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3.xml" ContentType="application/vnd.openxmlformats-officedocument.themeOverride+xml"/>
  <Override PartName="/word/drawings/drawing2.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drawings/drawing3.xml" ContentType="application/vnd.openxmlformats-officedocument.drawingml.chartshapes+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drawings/drawing4.xml" ContentType="application/vnd.openxmlformats-officedocument.drawingml.chartshapes+xml"/>
  <Override PartName="/word/charts/chart15.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5.xml" ContentType="application/vnd.openxmlformats-officedocument.themeOverride+xml"/>
  <Override PartName="/word/drawings/drawing5.xml" ContentType="application/vnd.openxmlformats-officedocument.drawingml.chartshapes+xml"/>
  <Override PartName="/word/charts/chart16.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16.xml" ContentType="application/vnd.openxmlformats-officedocument.themeOverride+xml"/>
  <Override PartName="/word/drawings/drawing6.xml" ContentType="application/vnd.openxmlformats-officedocument.drawingml.chartshapes+xml"/>
  <Override PartName="/word/charts/chart17.xml" ContentType="application/vnd.openxmlformats-officedocument.drawingml.chart+xml"/>
  <Override PartName="/word/theme/themeOverride17.xml" ContentType="application/vnd.openxmlformats-officedocument.themeOverride+xml"/>
  <Override PartName="/word/drawings/drawing7.xml" ContentType="application/vnd.openxmlformats-officedocument.drawingml.chartshapes+xml"/>
  <Override PartName="/word/charts/chart18.xml" ContentType="application/vnd.openxmlformats-officedocument.drawingml.chart+xml"/>
  <Override PartName="/word/theme/themeOverride18.xml" ContentType="application/vnd.openxmlformats-officedocument.themeOverride+xml"/>
  <Override PartName="/word/drawings/drawing8.xml" ContentType="application/vnd.openxmlformats-officedocument.drawingml.chartshapes+xml"/>
  <Override PartName="/word/charts/chart19.xml" ContentType="application/vnd.openxmlformats-officedocument.drawingml.chart+xml"/>
  <Override PartName="/word/theme/themeOverride19.xml" ContentType="application/vnd.openxmlformats-officedocument.themeOverride+xml"/>
  <Override PartName="/word/drawings/drawing9.xml" ContentType="application/vnd.openxmlformats-officedocument.drawingml.chartshapes+xml"/>
  <Override PartName="/word/charts/chart20.xml" ContentType="application/vnd.openxmlformats-officedocument.drawingml.chart+xml"/>
  <Override PartName="/word/theme/themeOverride20.xml" ContentType="application/vnd.openxmlformats-officedocument.themeOverride+xml"/>
  <Override PartName="/word/drawings/drawing10.xml" ContentType="application/vnd.openxmlformats-officedocument.drawingml.chartshapes+xml"/>
  <Override PartName="/word/charts/chart21.xml" ContentType="application/vnd.openxmlformats-officedocument.drawingml.chart+xml"/>
  <Override PartName="/word/theme/themeOverride21.xml" ContentType="application/vnd.openxmlformats-officedocument.themeOverride+xml"/>
  <Override PartName="/word/drawings/drawing11.xml" ContentType="application/vnd.openxmlformats-officedocument.drawingml.chartshapes+xml"/>
  <Override PartName="/word/charts/chart22.xml" ContentType="application/vnd.openxmlformats-officedocument.drawingml.chart+xml"/>
  <Override PartName="/word/theme/themeOverride22.xml" ContentType="application/vnd.openxmlformats-officedocument.themeOverride+xml"/>
  <Override PartName="/word/drawings/drawing12.xml" ContentType="application/vnd.openxmlformats-officedocument.drawingml.chartshapes+xml"/>
  <Override PartName="/word/charts/chart23.xml" ContentType="application/vnd.openxmlformats-officedocument.drawingml.chart+xml"/>
  <Override PartName="/word/theme/themeOverride23.xml" ContentType="application/vnd.openxmlformats-officedocument.themeOverride+xml"/>
  <Override PartName="/word/drawings/drawing13.xml" ContentType="application/vnd.openxmlformats-officedocument.drawingml.chartshapes+xml"/>
  <Override PartName="/word/charts/chart24.xml" ContentType="application/vnd.openxmlformats-officedocument.drawingml.chart+xml"/>
  <Override PartName="/word/theme/themeOverride24.xml" ContentType="application/vnd.openxmlformats-officedocument.themeOverride+xml"/>
  <Override PartName="/word/drawings/drawing14.xml" ContentType="application/vnd.openxmlformats-officedocument.drawingml.chartshapes+xml"/>
  <Override PartName="/word/charts/chart25.xml" ContentType="application/vnd.openxmlformats-officedocument.drawingml.chart+xml"/>
  <Override PartName="/word/theme/themeOverride25.xml" ContentType="application/vnd.openxmlformats-officedocument.themeOverride+xml"/>
  <Override PartName="/word/drawings/drawing15.xml" ContentType="application/vnd.openxmlformats-officedocument.drawingml.chartshapes+xml"/>
  <Override PartName="/word/charts/chart26.xml" ContentType="application/vnd.openxmlformats-officedocument.drawingml.chart+xml"/>
  <Override PartName="/word/theme/themeOverride26.xml" ContentType="application/vnd.openxmlformats-officedocument.themeOverride+xml"/>
  <Override PartName="/word/charts/chart27.xml" ContentType="application/vnd.openxmlformats-officedocument.drawingml.chart+xml"/>
  <Override PartName="/word/theme/themeOverride27.xml" ContentType="application/vnd.openxmlformats-officedocument.themeOverride+xml"/>
  <Override PartName="/word/charts/chart28.xml" ContentType="application/vnd.openxmlformats-officedocument.drawingml.chart+xml"/>
  <Override PartName="/word/theme/themeOverride28.xml" ContentType="application/vnd.openxmlformats-officedocument.themeOverride+xml"/>
  <Override PartName="/word/charts/chart29.xml" ContentType="application/vnd.openxmlformats-officedocument.drawingml.chart+xml"/>
  <Override PartName="/word/theme/themeOverride29.xml" ContentType="application/vnd.openxmlformats-officedocument.themeOverride+xml"/>
  <Override PartName="/word/charts/chart30.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0.xml" ContentType="application/vnd.openxmlformats-officedocument.themeOverride+xml"/>
  <Override PartName="/word/charts/chart31.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31.xml" ContentType="application/vnd.openxmlformats-officedocument.themeOverride+xml"/>
  <Override PartName="/word/charts/chart32.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32.xml" ContentType="application/vnd.openxmlformats-officedocument.themeOverride+xml"/>
  <Override PartName="/word/charts/chart33.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33.xml" ContentType="application/vnd.openxmlformats-officedocument.themeOverride+xml"/>
  <Override PartName="/word/charts/chart34.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34.xml" ContentType="application/vnd.openxmlformats-officedocument.themeOverride+xml"/>
  <Override PartName="/word/charts/chart35.xml" ContentType="application/vnd.openxmlformats-officedocument.drawingml.chart+xml"/>
  <Override PartName="/word/theme/themeOverride35.xml" ContentType="application/vnd.openxmlformats-officedocument.themeOverride+xml"/>
  <Override PartName="/word/charts/chart36.xml" ContentType="application/vnd.openxmlformats-officedocument.drawingml.chart+xml"/>
  <Override PartName="/word/theme/themeOverride36.xml" ContentType="application/vnd.openxmlformats-officedocument.themeOverride+xml"/>
  <Override PartName="/word/charts/chart37.xml" ContentType="application/vnd.openxmlformats-officedocument.drawingml.chart+xml"/>
  <Override PartName="/word/theme/themeOverride37.xml" ContentType="application/vnd.openxmlformats-officedocument.themeOverride+xml"/>
  <Override PartName="/word/charts/chart38.xml" ContentType="application/vnd.openxmlformats-officedocument.drawingml.chart+xml"/>
  <Override PartName="/word/theme/themeOverride38.xml" ContentType="application/vnd.openxmlformats-officedocument.themeOverride+xml"/>
  <Override PartName="/word/charts/chart39.xml" ContentType="application/vnd.openxmlformats-officedocument.drawingml.chart+xml"/>
  <Override PartName="/word/theme/themeOverride39.xml" ContentType="application/vnd.openxmlformats-officedocument.themeOverride+xml"/>
  <Override PartName="/word/drawings/drawing16.xml" ContentType="application/vnd.openxmlformats-officedocument.drawingml.chartshapes+xml"/>
  <Override PartName="/word/charts/chart40.xml" ContentType="application/vnd.openxmlformats-officedocument.drawingml.chart+xml"/>
  <Override PartName="/word/theme/themeOverride40.xml" ContentType="application/vnd.openxmlformats-officedocument.themeOverride+xml"/>
  <Override PartName="/word/charts/chart41.xml" ContentType="application/vnd.openxmlformats-officedocument.drawingml.chart+xml"/>
  <Override PartName="/word/theme/themeOverride41.xml" ContentType="application/vnd.openxmlformats-officedocument.themeOverride+xml"/>
  <Override PartName="/word/charts/chart42.xml" ContentType="application/vnd.openxmlformats-officedocument.drawingml.chart+xml"/>
  <Override PartName="/word/theme/themeOverride42.xml" ContentType="application/vnd.openxmlformats-officedocument.themeOverride+xml"/>
  <Override PartName="/word/charts/chart43.xml" ContentType="application/vnd.openxmlformats-officedocument.drawingml.chart+xml"/>
  <Override PartName="/word/theme/themeOverride43.xml" ContentType="application/vnd.openxmlformats-officedocument.themeOverride+xml"/>
  <Override PartName="/word/charts/chart44.xml" ContentType="application/vnd.openxmlformats-officedocument.drawingml.chart+xml"/>
  <Override PartName="/word/theme/themeOverride44.xml" ContentType="application/vnd.openxmlformats-officedocument.themeOverride+xml"/>
  <Override PartName="/word/charts/chart45.xml" ContentType="application/vnd.openxmlformats-officedocument.drawingml.chart+xml"/>
  <Override PartName="/word/theme/themeOverride45.xml" ContentType="application/vnd.openxmlformats-officedocument.themeOverride+xml"/>
  <Override PartName="/word/charts/chart46.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46.xml" ContentType="application/vnd.openxmlformats-officedocument.themeOverride+xml"/>
  <Override PartName="/word/charts/chart47.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47.xml" ContentType="application/vnd.openxmlformats-officedocument.themeOverride+xml"/>
  <Override PartName="/word/drawings/drawing17.xml" ContentType="application/vnd.openxmlformats-officedocument.drawingml.chartshapes+xml"/>
  <Override PartName="/word/charts/chart48.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48.xml" ContentType="application/vnd.openxmlformats-officedocument.themeOverride+xml"/>
  <Override PartName="/word/drawings/drawing18.xml" ContentType="application/vnd.openxmlformats-officedocument.drawingml.chartshapes+xml"/>
  <Override PartName="/word/charts/chart49.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49.xml" ContentType="application/vnd.openxmlformats-officedocument.themeOverride+xml"/>
  <Override PartName="/word/drawings/drawing19.xml" ContentType="application/vnd.openxmlformats-officedocument.drawingml.chartshapes+xml"/>
  <Override PartName="/word/charts/chart50.xml" ContentType="application/vnd.openxmlformats-officedocument.drawingml.chart+xml"/>
  <Override PartName="/word/theme/themeOverride50.xml" ContentType="application/vnd.openxmlformats-officedocument.themeOverride+xml"/>
  <Override PartName="/word/drawings/drawing20.xml" ContentType="application/vnd.openxmlformats-officedocument.drawingml.chartshapes+xml"/>
  <Override PartName="/word/charts/chart51.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51.xml" ContentType="application/vnd.openxmlformats-officedocument.themeOverride+xml"/>
  <Override PartName="/word/charts/chart52.xml" ContentType="application/vnd.openxmlformats-officedocument.drawingml.chart+xml"/>
  <Override PartName="/word/theme/themeOverride52.xml" ContentType="application/vnd.openxmlformats-officedocument.themeOverride+xml"/>
  <Override PartName="/word/charts/chart53.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53.xml" ContentType="application/vnd.openxmlformats-officedocument.themeOverride+xml"/>
  <Override PartName="/word/charts/chart54.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54.xml" ContentType="application/vnd.openxmlformats-officedocument.themeOverride+xml"/>
  <Override PartName="/word/charts/chart55.xml" ContentType="application/vnd.openxmlformats-officedocument.drawingml.chart+xml"/>
  <Override PartName="/word/theme/themeOverride55.xml" ContentType="application/vnd.openxmlformats-officedocument.themeOverride+xml"/>
  <Override PartName="/word/charts/chart56.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56.xml" ContentType="application/vnd.openxmlformats-officedocument.themeOverride+xml"/>
  <Override PartName="/word/charts/chart57.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58.xml" ContentType="application/vnd.openxmlformats-officedocument.drawingml.chart+xml"/>
  <Override PartName="/word/theme/themeOverride57.xml" ContentType="application/vnd.openxmlformats-officedocument.themeOverride+xml"/>
  <Override PartName="/word/charts/chart59.xml" ContentType="application/vnd.openxmlformats-officedocument.drawingml.chart+xml"/>
  <Override PartName="/word/theme/themeOverride58.xml" ContentType="application/vnd.openxmlformats-officedocument.themeOverride+xml"/>
  <Override PartName="/word/charts/chart60.xml" ContentType="application/vnd.openxmlformats-officedocument.drawingml.chart+xml"/>
  <Override PartName="/word/theme/themeOverride59.xml" ContentType="application/vnd.openxmlformats-officedocument.themeOverride+xml"/>
  <Override PartName="/word/charts/chart61.xml" ContentType="application/vnd.openxmlformats-officedocument.drawingml.chart+xml"/>
  <Override PartName="/word/theme/themeOverride60.xml" ContentType="application/vnd.openxmlformats-officedocument.themeOverride+xml"/>
  <Override PartName="/word/charts/chart62.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61.xml" ContentType="application/vnd.openxmlformats-officedocument.themeOverride+xml"/>
  <Override PartName="/word/charts/chart63.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64.xml" ContentType="application/vnd.openxmlformats-officedocument.drawingml.chart+xml"/>
  <Override PartName="/word/theme/themeOverride62.xml" ContentType="application/vnd.openxmlformats-officedocument.themeOverride+xml"/>
  <Override PartName="/word/charts/chart65.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63.xml" ContentType="application/vnd.openxmlformats-officedocument.themeOverride+xml"/>
  <Override PartName="/word/charts/chart66.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67.xml" ContentType="application/vnd.openxmlformats-officedocument.drawingml.chart+xml"/>
  <Override PartName="/word/charts/style23.xml" ContentType="application/vnd.ms-office.chartstyle+xml"/>
  <Override PartName="/word/charts/colors23.xml" ContentType="application/vnd.ms-office.chartcolorstyle+xml"/>
  <Override PartName="/word/drawings/drawing21.xml" ContentType="application/vnd.openxmlformats-officedocument.drawingml.chartshapes+xml"/>
  <Override PartName="/word/charts/chart68.xml" ContentType="application/vnd.openxmlformats-officedocument.drawingml.chart+xml"/>
  <Override PartName="/word/charts/style24.xml" ContentType="application/vnd.ms-office.chartstyle+xml"/>
  <Override PartName="/word/charts/colors24.xml" ContentType="application/vnd.ms-office.chartcolorstyle+xml"/>
  <Override PartName="/word/theme/themeOverride64.xml" ContentType="application/vnd.openxmlformats-officedocument.themeOverride+xml"/>
  <Override PartName="/word/charts/chart69.xml" ContentType="application/vnd.openxmlformats-officedocument.drawingml.chart+xml"/>
  <Override PartName="/word/charts/style25.xml" ContentType="application/vnd.ms-office.chartstyle+xml"/>
  <Override PartName="/word/charts/colors25.xml" ContentType="application/vnd.ms-office.chartcolorstyle+xml"/>
  <Override PartName="/word/theme/themeOverride65.xml" ContentType="application/vnd.openxmlformats-officedocument.themeOverride+xml"/>
  <Override PartName="/word/charts/chart70.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66.xml" ContentType="application/vnd.openxmlformats-officedocument.themeOverride+xml"/>
  <Override PartName="/word/charts/chart71.xml" ContentType="application/vnd.openxmlformats-officedocument.drawingml.chart+xml"/>
  <Override PartName="/word/charts/style27.xml" ContentType="application/vnd.ms-office.chartstyle+xml"/>
  <Override PartName="/word/charts/colors27.xml" ContentType="application/vnd.ms-office.chartcolorstyle+xml"/>
  <Override PartName="/word/theme/themeOverride67.xml" ContentType="application/vnd.openxmlformats-officedocument.themeOverride+xml"/>
  <Override PartName="/word/charts/chart72.xml" ContentType="application/vnd.openxmlformats-officedocument.drawingml.chart+xml"/>
  <Override PartName="/word/charts/style28.xml" ContentType="application/vnd.ms-office.chartstyle+xml"/>
  <Override PartName="/word/charts/colors28.xml" ContentType="application/vnd.ms-office.chartcolorstyle+xml"/>
  <Override PartName="/word/theme/themeOverride68.xml" ContentType="application/vnd.openxmlformats-officedocument.themeOverride+xml"/>
  <Override PartName="/word/charts/chart73.xml" ContentType="application/vnd.openxmlformats-officedocument.drawingml.chart+xml"/>
  <Override PartName="/word/charts/style29.xml" ContentType="application/vnd.ms-office.chartstyle+xml"/>
  <Override PartName="/word/charts/colors29.xml" ContentType="application/vnd.ms-office.chartcolorstyle+xml"/>
  <Override PartName="/word/theme/themeOverride69.xml" ContentType="application/vnd.openxmlformats-officedocument.themeOverride+xml"/>
  <Override PartName="/word/charts/chart74.xml" ContentType="application/vnd.openxmlformats-officedocument.drawingml.chart+xml"/>
  <Override PartName="/word/charts/style30.xml" ContentType="application/vnd.ms-office.chartstyle+xml"/>
  <Override PartName="/word/charts/colors30.xml" ContentType="application/vnd.ms-office.chartcolorstyle+xml"/>
  <Override PartName="/word/theme/themeOverride70.xml" ContentType="application/vnd.openxmlformats-officedocument.themeOverride+xml"/>
  <Override PartName="/word/charts/chart75.xml" ContentType="application/vnd.openxmlformats-officedocument.drawingml.chart+xml"/>
  <Override PartName="/word/charts/style31.xml" ContentType="application/vnd.ms-office.chartstyle+xml"/>
  <Override PartName="/word/charts/colors31.xml" ContentType="application/vnd.ms-office.chartcolorstyle+xml"/>
  <Override PartName="/word/theme/themeOverride71.xml" ContentType="application/vnd.openxmlformats-officedocument.themeOverride+xml"/>
  <Override PartName="/word/charts/chart76.xml" ContentType="application/vnd.openxmlformats-officedocument.drawingml.chart+xml"/>
  <Override PartName="/word/charts/style32.xml" ContentType="application/vnd.ms-office.chartstyle+xml"/>
  <Override PartName="/word/charts/colors32.xml" ContentType="application/vnd.ms-office.chartcolorstyle+xml"/>
  <Override PartName="/word/theme/themeOverride72.xml" ContentType="application/vnd.openxmlformats-officedocument.themeOverride+xml"/>
  <Override PartName="/word/charts/chart77.xml" ContentType="application/vnd.openxmlformats-officedocument.drawingml.chart+xml"/>
  <Override PartName="/word/charts/style33.xml" ContentType="application/vnd.ms-office.chartstyle+xml"/>
  <Override PartName="/word/charts/colors33.xml" ContentType="application/vnd.ms-office.chartcolorstyle+xml"/>
  <Override PartName="/word/theme/themeOverride73.xml" ContentType="application/vnd.openxmlformats-officedocument.themeOverride+xml"/>
  <Override PartName="/word/charts/chart78.xml" ContentType="application/vnd.openxmlformats-officedocument.drawingml.chart+xml"/>
  <Override PartName="/word/charts/style34.xml" ContentType="application/vnd.ms-office.chartstyle+xml"/>
  <Override PartName="/word/charts/colors34.xml" ContentType="application/vnd.ms-office.chartcolorstyle+xml"/>
  <Override PartName="/word/theme/themeOverride74.xml" ContentType="application/vnd.openxmlformats-officedocument.themeOverride+xml"/>
  <Override PartName="/word/charts/chart79.xml" ContentType="application/vnd.openxmlformats-officedocument.drawingml.chart+xml"/>
  <Override PartName="/word/charts/style35.xml" ContentType="application/vnd.ms-office.chartstyle+xml"/>
  <Override PartName="/word/charts/colors35.xml" ContentType="application/vnd.ms-office.chartcolorstyle+xml"/>
  <Override PartName="/word/theme/themeOverride75.xml" ContentType="application/vnd.openxmlformats-officedocument.themeOverride+xml"/>
  <Override PartName="/word/charts/chart80.xml" ContentType="application/vnd.openxmlformats-officedocument.drawingml.chart+xml"/>
  <Override PartName="/word/charts/style36.xml" ContentType="application/vnd.ms-office.chartstyle+xml"/>
  <Override PartName="/word/charts/colors36.xml" ContentType="application/vnd.ms-office.chartcolorstyle+xml"/>
  <Override PartName="/word/theme/themeOverride76.xml" ContentType="application/vnd.openxmlformats-officedocument.themeOverride+xml"/>
  <Override PartName="/word/charts/chart81.xml" ContentType="application/vnd.openxmlformats-officedocument.drawingml.chart+xml"/>
  <Override PartName="/word/charts/style37.xml" ContentType="application/vnd.ms-office.chartstyle+xml"/>
  <Override PartName="/word/charts/colors37.xml" ContentType="application/vnd.ms-office.chartcolorstyle+xml"/>
  <Override PartName="/word/theme/themeOverride77.xml" ContentType="application/vnd.openxmlformats-officedocument.themeOverride+xml"/>
  <Override PartName="/word/charts/chart82.xml" ContentType="application/vnd.openxmlformats-officedocument.drawingml.chart+xml"/>
  <Override PartName="/word/charts/style38.xml" ContentType="application/vnd.ms-office.chartstyle+xml"/>
  <Override PartName="/word/charts/colors38.xml" ContentType="application/vnd.ms-office.chartcolorstyle+xml"/>
  <Override PartName="/word/theme/themeOverride78.xml" ContentType="application/vnd.openxmlformats-officedocument.themeOverride+xml"/>
  <Override PartName="/word/charts/chart83.xml" ContentType="application/vnd.openxmlformats-officedocument.drawingml.chart+xml"/>
  <Override PartName="/word/charts/style39.xml" ContentType="application/vnd.ms-office.chartstyle+xml"/>
  <Override PartName="/word/charts/colors39.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8C7D8" w14:textId="77777777" w:rsidR="00B43595" w:rsidRPr="000232DD" w:rsidRDefault="00B43595" w:rsidP="00082769">
      <w:pPr>
        <w:pStyle w:val="TOC4"/>
        <w:ind w:right="-22"/>
        <w:jc w:val="both"/>
        <w:rPr>
          <w:color w:val="auto"/>
          <w:lang w:val="hy-AM"/>
        </w:rPr>
      </w:pPr>
      <w:bookmarkStart w:id="0" w:name="_Hlk241155534"/>
      <w:bookmarkEnd w:id="0"/>
      <w:r w:rsidRPr="000232DD">
        <w:rPr>
          <w:noProof/>
          <w:color w:val="auto"/>
        </w:rPr>
        <w:drawing>
          <wp:anchor distT="0" distB="0" distL="114300" distR="114300" simplePos="0" relativeHeight="251660288" behindDoc="0" locked="0" layoutInCell="1" allowOverlap="1" wp14:anchorId="5EC4E40A" wp14:editId="426D3DCE">
            <wp:simplePos x="0" y="0"/>
            <wp:positionH relativeFrom="leftMargin">
              <wp:posOffset>2525543</wp:posOffset>
            </wp:positionH>
            <wp:positionV relativeFrom="paragraph">
              <wp:posOffset>-198842</wp:posOffset>
            </wp:positionV>
            <wp:extent cx="61595" cy="1301750"/>
            <wp:effectExtent l="0" t="0" r="0" b="0"/>
            <wp:wrapNone/>
            <wp:docPr id="52" name="Picture 52" descr="https://www.minfin.am/website/themes/frontend/default/imag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0848" descr="https://www.minfin.am/website/themes/frontend/default/image/logo.png"/>
                    <pic:cNvPicPr>
                      <a:picLocks noChangeAspect="1" noChangeArrowheads="1"/>
                    </pic:cNvPicPr>
                  </pic:nvPicPr>
                  <pic:blipFill>
                    <a:blip r:embed="rId8">
                      <a:extLst>
                        <a:ext uri="{28A0092B-C50C-407E-A947-70E740481C1C}">
                          <a14:useLocalDpi xmlns:a14="http://schemas.microsoft.com/office/drawing/2010/main" val="0"/>
                        </a:ext>
                      </a:extLst>
                    </a:blip>
                    <a:srcRect r="94489"/>
                    <a:stretch>
                      <a:fillRect/>
                    </a:stretch>
                  </pic:blipFill>
                  <pic:spPr bwMode="auto">
                    <a:xfrm>
                      <a:off x="0" y="0"/>
                      <a:ext cx="61595" cy="1301750"/>
                    </a:xfrm>
                    <a:prstGeom prst="rect">
                      <a:avLst/>
                    </a:prstGeom>
                    <a:noFill/>
                  </pic:spPr>
                </pic:pic>
              </a:graphicData>
            </a:graphic>
            <wp14:sizeRelH relativeFrom="margin">
              <wp14:pctWidth>0</wp14:pctWidth>
            </wp14:sizeRelH>
            <wp14:sizeRelV relativeFrom="margin">
              <wp14:pctHeight>0</wp14:pctHeight>
            </wp14:sizeRelV>
          </wp:anchor>
        </w:drawing>
      </w:r>
      <w:r w:rsidRPr="000232DD">
        <w:rPr>
          <w:noProof/>
          <w:color w:val="auto"/>
        </w:rPr>
        <w:drawing>
          <wp:anchor distT="0" distB="0" distL="114300" distR="114300" simplePos="0" relativeHeight="251662336" behindDoc="0" locked="0" layoutInCell="1" allowOverlap="1" wp14:anchorId="73E8F06F" wp14:editId="4A5CC20B">
            <wp:simplePos x="0" y="0"/>
            <wp:positionH relativeFrom="margin">
              <wp:posOffset>-85090</wp:posOffset>
            </wp:positionH>
            <wp:positionV relativeFrom="paragraph">
              <wp:posOffset>-74477</wp:posOffset>
            </wp:positionV>
            <wp:extent cx="1332230" cy="1014730"/>
            <wp:effectExtent l="0" t="0" r="0" b="0"/>
            <wp:wrapNone/>
            <wp:docPr id="50" name="Picture 50"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2230" cy="1014730"/>
                    </a:xfrm>
                    <a:prstGeom prst="rect">
                      <a:avLst/>
                    </a:prstGeom>
                    <a:noFill/>
                  </pic:spPr>
                </pic:pic>
              </a:graphicData>
            </a:graphic>
            <wp14:sizeRelH relativeFrom="margin">
              <wp14:pctWidth>0</wp14:pctWidth>
            </wp14:sizeRelH>
            <wp14:sizeRelV relativeFrom="margin">
              <wp14:pctHeight>0</wp14:pctHeight>
            </wp14:sizeRelV>
          </wp:anchor>
        </w:drawing>
      </w:r>
      <w:r w:rsidRPr="000232DD">
        <w:rPr>
          <w:noProof/>
          <w:color w:val="auto"/>
        </w:rPr>
        <mc:AlternateContent>
          <mc:Choice Requires="wps">
            <w:drawing>
              <wp:anchor distT="0" distB="0" distL="114300" distR="114300" simplePos="0" relativeHeight="251659264" behindDoc="0" locked="0" layoutInCell="1" allowOverlap="1" wp14:anchorId="638CF33D" wp14:editId="315C63CC">
                <wp:simplePos x="0" y="0"/>
                <wp:positionH relativeFrom="page">
                  <wp:posOffset>-153269</wp:posOffset>
                </wp:positionH>
                <wp:positionV relativeFrom="paragraph">
                  <wp:posOffset>-916873</wp:posOffset>
                </wp:positionV>
                <wp:extent cx="2728595" cy="10993120"/>
                <wp:effectExtent l="0" t="0" r="0" b="0"/>
                <wp:wrapNone/>
                <wp:docPr id="53" name="Rectangle 53"/>
                <wp:cNvGraphicFramePr/>
                <a:graphic xmlns:a="http://schemas.openxmlformats.org/drawingml/2006/main">
                  <a:graphicData uri="http://schemas.microsoft.com/office/word/2010/wordprocessingShape">
                    <wps:wsp>
                      <wps:cNvSpPr/>
                      <wps:spPr>
                        <a:xfrm>
                          <a:off x="0" y="0"/>
                          <a:ext cx="2728595" cy="10993120"/>
                        </a:xfrm>
                        <a:prstGeom prst="rect">
                          <a:avLst/>
                        </a:prstGeom>
                        <a:solidFill>
                          <a:srgbClr val="44546A">
                            <a:alpha val="9607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A67A3CD" id="Rectangle 53" o:spid="_x0000_s1026" style="position:absolute;margin-left:-12.05pt;margin-top:-72.2pt;width:214.85pt;height:865.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" fillcolor="#44546a" stroked="f" strokeweight="1pt">
                <v:fill opacity="62965f"/>
                <w10:wrap anchorx="page"/>
              </v:rect>
            </w:pict>
          </mc:Fallback>
        </mc:AlternateContent>
      </w:r>
    </w:p>
    <w:p w14:paraId="7DD798BC" w14:textId="77777777" w:rsidR="00B43595" w:rsidRPr="000232DD" w:rsidRDefault="00B43595" w:rsidP="00082769">
      <w:pPr>
        <w:ind w:right="-22"/>
        <w:jc w:val="both"/>
        <w:rPr>
          <w:color w:val="auto"/>
        </w:rPr>
      </w:pPr>
    </w:p>
    <w:p w14:paraId="530B5A62" w14:textId="77777777" w:rsidR="00B43595" w:rsidRPr="000232DD" w:rsidRDefault="00B43595" w:rsidP="00082769">
      <w:pPr>
        <w:ind w:right="-22"/>
        <w:jc w:val="both"/>
        <w:rPr>
          <w:color w:val="auto"/>
          <w:lang w:val="ru-RU"/>
        </w:rPr>
      </w:pPr>
    </w:p>
    <w:p w14:paraId="759745A1" w14:textId="77777777" w:rsidR="00B43595" w:rsidRPr="000232DD" w:rsidRDefault="00B43595" w:rsidP="00082769">
      <w:pPr>
        <w:pStyle w:val="NoSpacing"/>
        <w:spacing w:after="120"/>
        <w:ind w:right="-22"/>
        <w:jc w:val="both"/>
        <w:rPr>
          <w:color w:val="auto"/>
          <w:szCs w:val="20"/>
          <w:lang w:val="ru-RU"/>
        </w:rPr>
      </w:pPr>
      <w:r w:rsidRPr="000232DD">
        <w:rPr>
          <w:noProof/>
          <w:color w:val="auto"/>
        </w:rPr>
        <mc:AlternateContent>
          <mc:Choice Requires="wps">
            <w:drawing>
              <wp:anchor distT="91440" distB="91440" distL="365760" distR="365760" simplePos="0" relativeHeight="251664384" behindDoc="0" locked="0" layoutInCell="1" allowOverlap="1" wp14:anchorId="406D4D85" wp14:editId="3C43BAF0">
                <wp:simplePos x="0" y="0"/>
                <wp:positionH relativeFrom="margin">
                  <wp:posOffset>-375467</wp:posOffset>
                </wp:positionH>
                <wp:positionV relativeFrom="margin">
                  <wp:posOffset>1159057</wp:posOffset>
                </wp:positionV>
                <wp:extent cx="1845129" cy="800100"/>
                <wp:effectExtent l="0" t="0" r="0" b="0"/>
                <wp:wrapNone/>
                <wp:docPr id="54" name="Rectangle 54"/>
                <wp:cNvGraphicFramePr/>
                <a:graphic xmlns:a="http://schemas.openxmlformats.org/drawingml/2006/main">
                  <a:graphicData uri="http://schemas.microsoft.com/office/word/2010/wordprocessingShape">
                    <wps:wsp>
                      <wps:cNvSpPr/>
                      <wps:spPr>
                        <a:xfrm>
                          <a:off x="0" y="0"/>
                          <a:ext cx="1845129" cy="8001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4F08B2" w14:textId="77777777" w:rsidR="006C6FF6" w:rsidRPr="00056843" w:rsidRDefault="006C6FF6" w:rsidP="00B43595">
                            <w:pPr>
                              <w:jc w:val="center"/>
                              <w:rPr>
                                <w:color w:val="FFFFFF" w:themeColor="background1"/>
                                <w:lang w:val="hy-AM"/>
                              </w:rPr>
                            </w:pPr>
                            <w:r w:rsidRPr="00056843">
                              <w:rPr>
                                <w:color w:val="FFFFFF" w:themeColor="background1"/>
                                <w:lang w:val="hy-AM"/>
                              </w:rPr>
                              <w:t>ՀԱՅԱՍՏԱՆԻ ՀԱՆՐԱՊԵՏՈՒԹՅԱՆ ԿԱՌԱՎԱՐՈՒԹՅԱՆ</w:t>
                            </w:r>
                          </w:p>
                          <w:p w14:paraId="130D672A" w14:textId="77777777" w:rsidR="006C6FF6" w:rsidRDefault="006C6FF6" w:rsidP="00B43595"/>
                          <w:p w14:paraId="043B6937"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64003DF" w14:textId="77777777" w:rsidR="006C6FF6" w:rsidRDefault="006C6FF6" w:rsidP="00B43595"/>
                          <w:p w14:paraId="10E1784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4CEFB01" w14:textId="77777777" w:rsidR="006C6FF6" w:rsidRDefault="006C6FF6" w:rsidP="00B43595"/>
                          <w:p w14:paraId="03802158"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58BE77C" w14:textId="77777777" w:rsidR="006C6FF6" w:rsidRDefault="006C6FF6" w:rsidP="00B43595"/>
                          <w:p w14:paraId="433C7AE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244D21C" w14:textId="77777777" w:rsidR="006C6FF6" w:rsidRPr="00A3353C" w:rsidRDefault="006C6FF6" w:rsidP="00B43595">
                            <w:pPr>
                              <w:jc w:val="right"/>
                              <w:rPr>
                                <w:sz w:val="74"/>
                                <w:szCs w:val="74"/>
                              </w:rPr>
                            </w:pPr>
                          </w:p>
                          <w:p w14:paraId="253D20E4" w14:textId="77777777" w:rsidR="006C6FF6" w:rsidRDefault="006C6FF6" w:rsidP="00B43595">
                            <w:pPr>
                              <w:jc w:val="right"/>
                            </w:pPr>
                          </w:p>
                          <w:p w14:paraId="35237E75"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2DB71EC1" w14:textId="77777777" w:rsidR="006C6FF6" w:rsidRDefault="006C6FF6" w:rsidP="00B43595"/>
                          <w:p w14:paraId="65239A3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1DF3FF7" w14:textId="77777777" w:rsidR="006C6FF6" w:rsidRDefault="006C6FF6" w:rsidP="00B43595"/>
                          <w:p w14:paraId="0CA5AB5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AABF74F" w14:textId="77777777" w:rsidR="006C6FF6" w:rsidRDefault="006C6FF6" w:rsidP="00B43595"/>
                          <w:p w14:paraId="423B7A7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ED56511" w14:textId="77777777" w:rsidR="006C6FF6" w:rsidRDefault="006C6FF6" w:rsidP="00B43595"/>
                          <w:p w14:paraId="5B932E7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386A7DA6" w14:textId="77777777" w:rsidR="006C6FF6" w:rsidRDefault="006C6FF6" w:rsidP="00B43595"/>
                          <w:p w14:paraId="68630ACA"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3AA1DE25" w14:textId="77777777" w:rsidR="006C6FF6" w:rsidRDefault="006C6FF6" w:rsidP="00B43595"/>
                          <w:p w14:paraId="6ED40775"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72F016C" w14:textId="77777777" w:rsidR="006C6FF6" w:rsidRDefault="006C6FF6" w:rsidP="00B43595"/>
                          <w:p w14:paraId="4156780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D48998A" w14:textId="77777777" w:rsidR="006C6FF6" w:rsidRDefault="006C6FF6" w:rsidP="00B43595"/>
                          <w:p w14:paraId="5536FE8D"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9D042A3" w14:textId="77777777" w:rsidR="006C6FF6" w:rsidRDefault="006C6FF6" w:rsidP="00B43595"/>
                          <w:p w14:paraId="059931C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1172223" w14:textId="77777777" w:rsidR="006C6FF6" w:rsidRPr="00A3353C" w:rsidRDefault="006C6FF6" w:rsidP="00B43595">
                            <w:pPr>
                              <w:jc w:val="right"/>
                              <w:rPr>
                                <w:sz w:val="74"/>
                                <w:szCs w:val="74"/>
                              </w:rPr>
                            </w:pPr>
                          </w:p>
                          <w:p w14:paraId="4F85952C" w14:textId="77777777" w:rsidR="006C6FF6" w:rsidRDefault="006C6FF6" w:rsidP="00B43595">
                            <w:pPr>
                              <w:jc w:val="right"/>
                            </w:pPr>
                          </w:p>
                          <w:p w14:paraId="52B88782"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0C336DDB" w14:textId="77777777" w:rsidR="006C6FF6" w:rsidRDefault="006C6FF6" w:rsidP="00B43595"/>
                          <w:p w14:paraId="2C0A260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1C62A31B" w14:textId="77777777" w:rsidR="006C6FF6" w:rsidRDefault="006C6FF6" w:rsidP="00B43595"/>
                          <w:p w14:paraId="0F18093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8275F79" w14:textId="77777777" w:rsidR="006C6FF6" w:rsidRDefault="006C6FF6" w:rsidP="00B43595"/>
                          <w:p w14:paraId="09867788"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6A45654" w14:textId="77777777" w:rsidR="006C6FF6" w:rsidRDefault="006C6FF6" w:rsidP="00B43595"/>
                          <w:p w14:paraId="699097A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6B16B1EA" w14:textId="77777777" w:rsidR="006C6FF6" w:rsidRDefault="006C6FF6" w:rsidP="00B43595"/>
                          <w:p w14:paraId="60B44C73" w14:textId="77777777" w:rsidR="006C6FF6" w:rsidRDefault="006C6FF6" w:rsidP="00B43595"/>
                          <w:p w14:paraId="7FE5CE1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E201AEE" w14:textId="77777777" w:rsidR="006C6FF6" w:rsidRPr="00A3353C" w:rsidRDefault="006C6FF6" w:rsidP="00B43595">
                            <w:pPr>
                              <w:jc w:val="right"/>
                              <w:rPr>
                                <w:sz w:val="74"/>
                                <w:szCs w:val="74"/>
                              </w:rPr>
                            </w:pPr>
                          </w:p>
                          <w:p w14:paraId="20B5D688" w14:textId="77777777" w:rsidR="006C6FF6" w:rsidRDefault="006C6FF6" w:rsidP="00B43595">
                            <w:pPr>
                              <w:jc w:val="right"/>
                            </w:pPr>
                          </w:p>
                          <w:p w14:paraId="7AF3F07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B5D66B0" w14:textId="77777777" w:rsidR="006C6FF6" w:rsidRPr="00A3353C" w:rsidRDefault="006C6FF6" w:rsidP="00B43595">
                            <w:pPr>
                              <w:jc w:val="right"/>
                              <w:rPr>
                                <w:sz w:val="74"/>
                                <w:szCs w:val="74"/>
                              </w:rPr>
                            </w:pPr>
                          </w:p>
                          <w:p w14:paraId="49395D35" w14:textId="77777777" w:rsidR="006C6FF6" w:rsidRDefault="006C6FF6" w:rsidP="00B43595"/>
                          <w:p w14:paraId="38B98A0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0F1FFB8" w14:textId="77777777" w:rsidR="006C6FF6" w:rsidRPr="00A3353C" w:rsidRDefault="006C6FF6" w:rsidP="00B43595">
                            <w:pPr>
                              <w:jc w:val="right"/>
                              <w:rPr>
                                <w:sz w:val="74"/>
                                <w:szCs w:val="74"/>
                              </w:rPr>
                            </w:pPr>
                          </w:p>
                          <w:p w14:paraId="1EEC1E5F" w14:textId="77777777" w:rsidR="006C6FF6" w:rsidRDefault="006C6FF6" w:rsidP="00B43595">
                            <w:pPr>
                              <w:jc w:val="right"/>
                            </w:pPr>
                          </w:p>
                          <w:p w14:paraId="6355E4E5"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713B22D8" w14:textId="77777777" w:rsidR="006C6FF6" w:rsidRDefault="006C6FF6" w:rsidP="00B43595"/>
                          <w:p w14:paraId="04B4A9C4"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21E169E5" w14:textId="77777777" w:rsidR="006C6FF6" w:rsidRDefault="006C6FF6" w:rsidP="00B43595"/>
                          <w:p w14:paraId="5FA837AD"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36CDE9C" w14:textId="77777777" w:rsidR="006C6FF6" w:rsidRDefault="006C6FF6" w:rsidP="00B43595"/>
                          <w:p w14:paraId="12A4DCB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9B339DB" w14:textId="77777777" w:rsidR="006C6FF6" w:rsidRDefault="006C6FF6" w:rsidP="00B43595"/>
                          <w:p w14:paraId="4BBF724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A90FBD2" w14:textId="77777777" w:rsidR="006C6FF6" w:rsidRDefault="006C6FF6" w:rsidP="00B43595"/>
                          <w:p w14:paraId="771966D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48AAE0E" w14:textId="77777777" w:rsidR="006C6FF6" w:rsidRPr="00A3353C" w:rsidRDefault="006C6FF6" w:rsidP="00B43595">
                            <w:pPr>
                              <w:jc w:val="right"/>
                              <w:rPr>
                                <w:sz w:val="74"/>
                                <w:szCs w:val="74"/>
                              </w:rPr>
                            </w:pPr>
                          </w:p>
                          <w:p w14:paraId="77441D3C" w14:textId="77777777" w:rsidR="006C6FF6" w:rsidRDefault="006C6FF6" w:rsidP="00B43595">
                            <w:pPr>
                              <w:jc w:val="right"/>
                            </w:pPr>
                          </w:p>
                          <w:p w14:paraId="0B2271F3"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437A212A" w14:textId="77777777" w:rsidR="006C6FF6" w:rsidRDefault="006C6FF6" w:rsidP="00B43595"/>
                          <w:p w14:paraId="3F571057"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A1AA968" w14:textId="77777777" w:rsidR="006C6FF6" w:rsidRDefault="006C6FF6" w:rsidP="00B43595"/>
                          <w:p w14:paraId="3BE1BF6B"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E792E08" w14:textId="77777777" w:rsidR="006C6FF6" w:rsidRDefault="006C6FF6" w:rsidP="00B43595"/>
                          <w:p w14:paraId="69E7D1A7"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D62F152" w14:textId="77777777" w:rsidR="006C6FF6" w:rsidRDefault="006C6FF6" w:rsidP="00B43595"/>
                          <w:p w14:paraId="57D0C81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7F9899AD" w14:textId="77777777" w:rsidR="006C6FF6" w:rsidRDefault="006C6FF6" w:rsidP="00B43595"/>
                          <w:p w14:paraId="1C4C9010"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403F865C" w14:textId="77777777" w:rsidR="006C6FF6" w:rsidRDefault="006C6FF6" w:rsidP="00B43595"/>
                          <w:p w14:paraId="60125B6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B48578E" w14:textId="77777777" w:rsidR="006C6FF6" w:rsidRDefault="006C6FF6" w:rsidP="00B43595"/>
                          <w:p w14:paraId="6153A8B8"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17C7548" w14:textId="77777777" w:rsidR="006C6FF6" w:rsidRDefault="006C6FF6" w:rsidP="00B43595"/>
                          <w:p w14:paraId="7EAC2E35"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E75AC67" w14:textId="77777777" w:rsidR="006C6FF6" w:rsidRDefault="006C6FF6" w:rsidP="00B43595"/>
                          <w:p w14:paraId="7363BCB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44B9564" w14:textId="77777777" w:rsidR="006C6FF6" w:rsidRPr="00A3353C" w:rsidRDefault="006C6FF6" w:rsidP="00B43595">
                            <w:pPr>
                              <w:jc w:val="right"/>
                              <w:rPr>
                                <w:sz w:val="74"/>
                                <w:szCs w:val="74"/>
                              </w:rPr>
                            </w:pPr>
                          </w:p>
                          <w:p w14:paraId="72AF0028" w14:textId="77777777" w:rsidR="006C6FF6" w:rsidRDefault="006C6FF6" w:rsidP="00B43595">
                            <w:pPr>
                              <w:jc w:val="right"/>
                            </w:pPr>
                          </w:p>
                          <w:p w14:paraId="3EA5EEC6"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7EC5FFA9" w14:textId="77777777" w:rsidR="006C6FF6" w:rsidRDefault="006C6FF6" w:rsidP="00B43595"/>
                          <w:p w14:paraId="0CEDFF84"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1702E04" w14:textId="77777777" w:rsidR="006C6FF6" w:rsidRDefault="006C6FF6" w:rsidP="00B43595"/>
                          <w:p w14:paraId="67A218BB"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09BB080" w14:textId="77777777" w:rsidR="006C6FF6" w:rsidRDefault="006C6FF6" w:rsidP="00B43595"/>
                          <w:p w14:paraId="7FCEEDE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08A6541" w14:textId="77777777" w:rsidR="006C6FF6" w:rsidRDefault="006C6FF6" w:rsidP="00B43595"/>
                          <w:p w14:paraId="185B457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008460FD" w14:textId="77777777" w:rsidR="006C6FF6" w:rsidRDefault="006C6FF6" w:rsidP="00B43595"/>
                          <w:p w14:paraId="71898853" w14:textId="77777777" w:rsidR="006C6FF6" w:rsidRDefault="006C6FF6" w:rsidP="00B43595"/>
                          <w:p w14:paraId="443FBDC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C5F862E" w14:textId="77777777" w:rsidR="006C6FF6" w:rsidRPr="00A3353C" w:rsidRDefault="006C6FF6" w:rsidP="00B43595">
                            <w:pPr>
                              <w:jc w:val="right"/>
                              <w:rPr>
                                <w:sz w:val="74"/>
                                <w:szCs w:val="74"/>
                              </w:rPr>
                            </w:pPr>
                          </w:p>
                          <w:p w14:paraId="57AB7038" w14:textId="77777777" w:rsidR="006C6FF6" w:rsidRDefault="006C6FF6" w:rsidP="00B43595">
                            <w:pPr>
                              <w:jc w:val="right"/>
                            </w:pPr>
                          </w:p>
                          <w:p w14:paraId="66FD088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43E253A" w14:textId="77777777" w:rsidR="006C6FF6" w:rsidRPr="00A3353C" w:rsidRDefault="006C6FF6" w:rsidP="00B43595">
                            <w:pPr>
                              <w:jc w:val="right"/>
                              <w:rPr>
                                <w:sz w:val="74"/>
                                <w:szCs w:val="74"/>
                              </w:rPr>
                            </w:pPr>
                          </w:p>
                          <w:p w14:paraId="2F26DC4A" w14:textId="77777777" w:rsidR="006C6FF6" w:rsidRDefault="006C6FF6" w:rsidP="00B43595"/>
                          <w:p w14:paraId="00DDE1E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B2FCDF4" w14:textId="77777777" w:rsidR="006C6FF6" w:rsidRPr="00A3353C" w:rsidRDefault="006C6FF6" w:rsidP="00B43595">
                            <w:pPr>
                              <w:jc w:val="right"/>
                              <w:rPr>
                                <w:sz w:val="74"/>
                                <w:szCs w:val="74"/>
                              </w:rPr>
                            </w:pPr>
                          </w:p>
                          <w:p w14:paraId="53FCF995" w14:textId="77777777" w:rsidR="006C6FF6" w:rsidRDefault="006C6FF6" w:rsidP="00B43595">
                            <w:pPr>
                              <w:jc w:val="right"/>
                            </w:pPr>
                          </w:p>
                          <w:p w14:paraId="2AFFBCAC"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2FF5C968" w14:textId="77777777" w:rsidR="006C6FF6" w:rsidRDefault="006C6FF6" w:rsidP="00B43595"/>
                          <w:p w14:paraId="033C7A18" w14:textId="77777777" w:rsidR="006C6FF6" w:rsidRDefault="006C6FF6" w:rsidP="00B43595"/>
                          <w:p w14:paraId="42249FFE"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21AB2BD" w14:textId="77777777" w:rsidR="006C6FF6" w:rsidRPr="00A3353C" w:rsidRDefault="006C6FF6" w:rsidP="00B43595">
                            <w:pPr>
                              <w:jc w:val="right"/>
                              <w:rPr>
                                <w:sz w:val="74"/>
                                <w:szCs w:val="74"/>
                              </w:rPr>
                            </w:pPr>
                          </w:p>
                          <w:p w14:paraId="2547B083" w14:textId="77777777" w:rsidR="006C6FF6" w:rsidRDefault="006C6FF6" w:rsidP="00B43595">
                            <w:pPr>
                              <w:jc w:val="right"/>
                            </w:pPr>
                          </w:p>
                          <w:p w14:paraId="4A4B5FB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8A4C0CF" w14:textId="77777777" w:rsidR="006C6FF6" w:rsidRPr="00A3353C" w:rsidRDefault="006C6FF6" w:rsidP="00B43595">
                            <w:pPr>
                              <w:jc w:val="right"/>
                              <w:rPr>
                                <w:sz w:val="74"/>
                                <w:szCs w:val="74"/>
                              </w:rPr>
                            </w:pPr>
                          </w:p>
                          <w:p w14:paraId="7385954B" w14:textId="77777777" w:rsidR="006C6FF6" w:rsidRDefault="006C6FF6" w:rsidP="00B43595"/>
                          <w:p w14:paraId="66BD651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ADD07F1" w14:textId="77777777" w:rsidR="006C6FF6" w:rsidRPr="00A3353C" w:rsidRDefault="006C6FF6" w:rsidP="00B43595">
                            <w:pPr>
                              <w:jc w:val="right"/>
                              <w:rPr>
                                <w:sz w:val="74"/>
                                <w:szCs w:val="74"/>
                              </w:rPr>
                            </w:pPr>
                          </w:p>
                          <w:p w14:paraId="5C866C6F" w14:textId="77777777" w:rsidR="006C6FF6" w:rsidRDefault="006C6FF6" w:rsidP="00B43595">
                            <w:pPr>
                              <w:jc w:val="right"/>
                            </w:pPr>
                          </w:p>
                          <w:p w14:paraId="2BFACDE5"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FB98F6D" w14:textId="77777777" w:rsidR="006C6FF6" w:rsidRPr="00A3353C" w:rsidRDefault="006C6FF6" w:rsidP="00B43595">
                            <w:pPr>
                              <w:jc w:val="right"/>
                              <w:rPr>
                                <w:sz w:val="74"/>
                                <w:szCs w:val="74"/>
                              </w:rPr>
                            </w:pPr>
                          </w:p>
                          <w:p w14:paraId="1CC01C25" w14:textId="77777777" w:rsidR="006C6FF6" w:rsidRDefault="006C6FF6" w:rsidP="00B43595"/>
                          <w:p w14:paraId="11047F3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49187FE" w14:textId="77777777" w:rsidR="006C6FF6" w:rsidRPr="00A3353C" w:rsidRDefault="006C6FF6" w:rsidP="00B43595">
                            <w:pPr>
                              <w:jc w:val="right"/>
                              <w:rPr>
                                <w:sz w:val="74"/>
                                <w:szCs w:val="74"/>
                              </w:rPr>
                            </w:pPr>
                          </w:p>
                          <w:p w14:paraId="0E1B16C2" w14:textId="77777777" w:rsidR="006C6FF6" w:rsidRDefault="006C6FF6" w:rsidP="00B43595">
                            <w:pPr>
                              <w:jc w:val="right"/>
                            </w:pPr>
                          </w:p>
                          <w:p w14:paraId="4044D124"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B18228D" w14:textId="77777777" w:rsidR="006C6FF6" w:rsidRPr="00A3353C" w:rsidRDefault="006C6FF6" w:rsidP="00B43595">
                            <w:pPr>
                              <w:jc w:val="right"/>
                              <w:rPr>
                                <w:sz w:val="74"/>
                                <w:szCs w:val="74"/>
                              </w:rPr>
                            </w:pPr>
                          </w:p>
                          <w:p w14:paraId="57F25835" w14:textId="77777777" w:rsidR="006C6FF6" w:rsidRDefault="006C6FF6" w:rsidP="00B43595"/>
                          <w:p w14:paraId="072ED30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A6385D9" w14:textId="77777777" w:rsidR="006C6FF6" w:rsidRPr="00A3353C" w:rsidRDefault="006C6FF6" w:rsidP="00B43595">
                            <w:pPr>
                              <w:jc w:val="right"/>
                              <w:rPr>
                                <w:sz w:val="74"/>
                                <w:szCs w:val="74"/>
                              </w:rPr>
                            </w:pPr>
                          </w:p>
                          <w:p w14:paraId="47128D6E" w14:textId="77777777" w:rsidR="006C6FF6" w:rsidRDefault="006C6FF6" w:rsidP="00B43595">
                            <w:pPr>
                              <w:jc w:val="right"/>
                            </w:pPr>
                          </w:p>
                          <w:p w14:paraId="2DC88642"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0D36EE4" w14:textId="77777777" w:rsidR="006C6FF6" w:rsidRDefault="006C6FF6" w:rsidP="00B43595"/>
                          <w:p w14:paraId="4A51DD4C" w14:textId="77777777" w:rsidR="006C6FF6" w:rsidRDefault="006C6FF6" w:rsidP="00B43595"/>
                          <w:p w14:paraId="41A3767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7058276" w14:textId="77777777" w:rsidR="006C6FF6" w:rsidRPr="00A3353C" w:rsidRDefault="006C6FF6" w:rsidP="00B43595">
                            <w:pPr>
                              <w:jc w:val="right"/>
                              <w:rPr>
                                <w:sz w:val="74"/>
                                <w:szCs w:val="74"/>
                              </w:rPr>
                            </w:pPr>
                          </w:p>
                          <w:p w14:paraId="696AB5AB" w14:textId="77777777" w:rsidR="006C6FF6" w:rsidRDefault="006C6FF6" w:rsidP="00B43595">
                            <w:pPr>
                              <w:jc w:val="right"/>
                            </w:pPr>
                          </w:p>
                          <w:p w14:paraId="3DC841E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6961503" w14:textId="77777777" w:rsidR="006C6FF6" w:rsidRPr="00A3353C" w:rsidRDefault="006C6FF6" w:rsidP="00B43595">
                            <w:pPr>
                              <w:jc w:val="right"/>
                              <w:rPr>
                                <w:sz w:val="74"/>
                                <w:szCs w:val="74"/>
                              </w:rPr>
                            </w:pPr>
                          </w:p>
                          <w:p w14:paraId="06B0EDDC" w14:textId="77777777" w:rsidR="006C6FF6" w:rsidRDefault="006C6FF6" w:rsidP="00B43595"/>
                          <w:p w14:paraId="4CA1B54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2B3A8D9" w14:textId="77777777" w:rsidR="006C6FF6" w:rsidRPr="00A3353C" w:rsidRDefault="006C6FF6" w:rsidP="00B43595">
                            <w:pPr>
                              <w:jc w:val="right"/>
                              <w:rPr>
                                <w:sz w:val="74"/>
                                <w:szCs w:val="74"/>
                              </w:rPr>
                            </w:pPr>
                          </w:p>
                          <w:p w14:paraId="7161810B" w14:textId="77777777" w:rsidR="006C6FF6" w:rsidRDefault="006C6FF6" w:rsidP="00B43595">
                            <w:pPr>
                              <w:jc w:val="right"/>
                            </w:pPr>
                          </w:p>
                          <w:p w14:paraId="44A078B5"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5B439F61" w14:textId="77777777" w:rsidR="006C6FF6" w:rsidRDefault="006C6FF6" w:rsidP="00B43595"/>
                          <w:p w14:paraId="4C462E18"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3B63311A" w14:textId="77777777" w:rsidR="006C6FF6" w:rsidRDefault="006C6FF6" w:rsidP="00B43595"/>
                          <w:p w14:paraId="675F78E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4AD1FB0" w14:textId="77777777" w:rsidR="006C6FF6" w:rsidRDefault="006C6FF6" w:rsidP="00B43595"/>
                          <w:p w14:paraId="10A5758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699DC83" w14:textId="77777777" w:rsidR="006C6FF6" w:rsidRDefault="006C6FF6" w:rsidP="00B43595"/>
                          <w:p w14:paraId="47AD50B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EFEBFD1" w14:textId="77777777" w:rsidR="006C6FF6" w:rsidRDefault="006C6FF6" w:rsidP="00B43595"/>
                          <w:p w14:paraId="6E11A35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5B54350" w14:textId="77777777" w:rsidR="006C6FF6" w:rsidRPr="00A3353C" w:rsidRDefault="006C6FF6" w:rsidP="00B43595">
                            <w:pPr>
                              <w:jc w:val="right"/>
                              <w:rPr>
                                <w:sz w:val="74"/>
                                <w:szCs w:val="74"/>
                              </w:rPr>
                            </w:pPr>
                          </w:p>
                          <w:p w14:paraId="05E418C7" w14:textId="77777777" w:rsidR="006C6FF6" w:rsidRDefault="006C6FF6" w:rsidP="00B43595">
                            <w:pPr>
                              <w:jc w:val="right"/>
                            </w:pPr>
                          </w:p>
                          <w:p w14:paraId="1A972D10"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34A87D14" w14:textId="77777777" w:rsidR="006C6FF6" w:rsidRDefault="006C6FF6" w:rsidP="00B43595"/>
                          <w:p w14:paraId="3ED33FE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9487B3B" w14:textId="77777777" w:rsidR="006C6FF6" w:rsidRDefault="006C6FF6" w:rsidP="00B43595"/>
                          <w:p w14:paraId="7CAC643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C8E883E" w14:textId="77777777" w:rsidR="006C6FF6" w:rsidRDefault="006C6FF6" w:rsidP="00B43595"/>
                          <w:p w14:paraId="030DBE1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14347A9" w14:textId="77777777" w:rsidR="006C6FF6" w:rsidRDefault="006C6FF6" w:rsidP="00B43595"/>
                          <w:p w14:paraId="4D20F22B"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03F728F3" w14:textId="77777777" w:rsidR="006C6FF6" w:rsidRDefault="006C6FF6" w:rsidP="00B43595"/>
                          <w:p w14:paraId="3BEAB723"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368090C8" w14:textId="77777777" w:rsidR="006C6FF6" w:rsidRDefault="006C6FF6" w:rsidP="00B43595"/>
                          <w:p w14:paraId="7D3F250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A7CEF69" w14:textId="77777777" w:rsidR="006C6FF6" w:rsidRDefault="006C6FF6" w:rsidP="00B43595"/>
                          <w:p w14:paraId="25F975E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E2BC70C" w14:textId="77777777" w:rsidR="006C6FF6" w:rsidRDefault="006C6FF6" w:rsidP="00B43595"/>
                          <w:p w14:paraId="20800BCD"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B517570" w14:textId="77777777" w:rsidR="006C6FF6" w:rsidRDefault="006C6FF6" w:rsidP="00B43595"/>
                          <w:p w14:paraId="2F132BD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D85D583" w14:textId="77777777" w:rsidR="006C6FF6" w:rsidRPr="00A3353C" w:rsidRDefault="006C6FF6" w:rsidP="00B43595">
                            <w:pPr>
                              <w:jc w:val="right"/>
                              <w:rPr>
                                <w:sz w:val="74"/>
                                <w:szCs w:val="74"/>
                              </w:rPr>
                            </w:pPr>
                          </w:p>
                          <w:p w14:paraId="625CC679" w14:textId="77777777" w:rsidR="006C6FF6" w:rsidRDefault="006C6FF6" w:rsidP="00B43595">
                            <w:pPr>
                              <w:jc w:val="right"/>
                            </w:pPr>
                          </w:p>
                          <w:p w14:paraId="1C36FF87"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04F5A348" w14:textId="77777777" w:rsidR="006C6FF6" w:rsidRDefault="006C6FF6" w:rsidP="00B43595"/>
                          <w:p w14:paraId="5E85AE56"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97E0763" w14:textId="77777777" w:rsidR="006C6FF6" w:rsidRDefault="006C6FF6" w:rsidP="00B43595"/>
                          <w:p w14:paraId="02EE3B42"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86401BC" w14:textId="77777777" w:rsidR="006C6FF6" w:rsidRDefault="006C6FF6" w:rsidP="00B43595"/>
                          <w:p w14:paraId="7FA349F5"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65949D6" w14:textId="77777777" w:rsidR="006C6FF6" w:rsidRDefault="006C6FF6" w:rsidP="00B43595"/>
                          <w:p w14:paraId="1A725B7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302B3A46" w14:textId="77777777" w:rsidR="006C6FF6" w:rsidRDefault="006C6FF6" w:rsidP="00B43595"/>
                          <w:p w14:paraId="05674DB3" w14:textId="77777777" w:rsidR="006C6FF6" w:rsidRDefault="006C6FF6" w:rsidP="00B43595"/>
                          <w:p w14:paraId="671C7D5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B00ED49" w14:textId="77777777" w:rsidR="006C6FF6" w:rsidRPr="00A3353C" w:rsidRDefault="006C6FF6" w:rsidP="00B43595">
                            <w:pPr>
                              <w:jc w:val="right"/>
                              <w:rPr>
                                <w:sz w:val="74"/>
                                <w:szCs w:val="74"/>
                              </w:rPr>
                            </w:pPr>
                          </w:p>
                          <w:p w14:paraId="7D9BE754" w14:textId="77777777" w:rsidR="006C6FF6" w:rsidRDefault="006C6FF6" w:rsidP="00B43595">
                            <w:pPr>
                              <w:jc w:val="right"/>
                            </w:pPr>
                          </w:p>
                          <w:p w14:paraId="61066B3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E4CE863" w14:textId="77777777" w:rsidR="006C6FF6" w:rsidRPr="00A3353C" w:rsidRDefault="006C6FF6" w:rsidP="00B43595">
                            <w:pPr>
                              <w:jc w:val="right"/>
                              <w:rPr>
                                <w:sz w:val="74"/>
                                <w:szCs w:val="74"/>
                              </w:rPr>
                            </w:pPr>
                          </w:p>
                          <w:p w14:paraId="777C0703" w14:textId="77777777" w:rsidR="006C6FF6" w:rsidRDefault="006C6FF6" w:rsidP="00B43595"/>
                          <w:p w14:paraId="6C25F14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6A52B80" w14:textId="77777777" w:rsidR="006C6FF6" w:rsidRPr="00A3353C" w:rsidRDefault="006C6FF6" w:rsidP="00B43595">
                            <w:pPr>
                              <w:jc w:val="right"/>
                              <w:rPr>
                                <w:sz w:val="74"/>
                                <w:szCs w:val="74"/>
                              </w:rPr>
                            </w:pPr>
                          </w:p>
                          <w:p w14:paraId="09827BBC" w14:textId="77777777" w:rsidR="006C6FF6" w:rsidRDefault="006C6FF6" w:rsidP="00B43595">
                            <w:pPr>
                              <w:jc w:val="right"/>
                            </w:pPr>
                          </w:p>
                          <w:p w14:paraId="6DD1918B"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1BC96ED2" w14:textId="77777777" w:rsidR="006C6FF6" w:rsidRDefault="006C6FF6" w:rsidP="00B43595"/>
                          <w:p w14:paraId="19AD225E"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220C2CD8" w14:textId="77777777" w:rsidR="006C6FF6" w:rsidRDefault="006C6FF6" w:rsidP="00B43595"/>
                          <w:p w14:paraId="482112E4"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7DE860D" w14:textId="77777777" w:rsidR="006C6FF6" w:rsidRDefault="006C6FF6" w:rsidP="00B43595"/>
                          <w:p w14:paraId="6EC976A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1DA3EB6" w14:textId="77777777" w:rsidR="006C6FF6" w:rsidRDefault="006C6FF6" w:rsidP="00B43595"/>
                          <w:p w14:paraId="6CA495C5"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112959D" w14:textId="77777777" w:rsidR="006C6FF6" w:rsidRDefault="006C6FF6" w:rsidP="00B43595"/>
                          <w:p w14:paraId="4102630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39CF555" w14:textId="77777777" w:rsidR="006C6FF6" w:rsidRPr="00A3353C" w:rsidRDefault="006C6FF6" w:rsidP="00B43595">
                            <w:pPr>
                              <w:jc w:val="right"/>
                              <w:rPr>
                                <w:sz w:val="74"/>
                                <w:szCs w:val="74"/>
                              </w:rPr>
                            </w:pPr>
                          </w:p>
                          <w:p w14:paraId="077C8643" w14:textId="77777777" w:rsidR="006C6FF6" w:rsidRDefault="006C6FF6" w:rsidP="00B43595">
                            <w:pPr>
                              <w:jc w:val="right"/>
                            </w:pPr>
                          </w:p>
                          <w:p w14:paraId="4F377DA6"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1EDC23D2" w14:textId="77777777" w:rsidR="006C6FF6" w:rsidRDefault="006C6FF6" w:rsidP="00B43595"/>
                          <w:p w14:paraId="7E56F2F2"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8B32EF0" w14:textId="77777777" w:rsidR="006C6FF6" w:rsidRDefault="006C6FF6" w:rsidP="00B43595"/>
                          <w:p w14:paraId="3D1CA54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EFE34F8" w14:textId="77777777" w:rsidR="006C6FF6" w:rsidRDefault="006C6FF6" w:rsidP="00B43595"/>
                          <w:p w14:paraId="4942D83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46CE8A8" w14:textId="77777777" w:rsidR="006C6FF6" w:rsidRDefault="006C6FF6" w:rsidP="00B43595"/>
                          <w:p w14:paraId="01263D7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3311B0B0" w14:textId="77777777" w:rsidR="006C6FF6" w:rsidRDefault="006C6FF6" w:rsidP="00B43595"/>
                          <w:p w14:paraId="48B42655"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422F5A6A" w14:textId="77777777" w:rsidR="006C6FF6" w:rsidRDefault="006C6FF6" w:rsidP="00B43595"/>
                          <w:p w14:paraId="2DAC7A4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CDB2971" w14:textId="77777777" w:rsidR="006C6FF6" w:rsidRDefault="006C6FF6" w:rsidP="00B43595"/>
                          <w:p w14:paraId="0ED1AA5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1C81BB95" w14:textId="77777777" w:rsidR="006C6FF6" w:rsidRDefault="006C6FF6" w:rsidP="00B43595"/>
                          <w:p w14:paraId="3805F807"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8090786" w14:textId="77777777" w:rsidR="006C6FF6" w:rsidRDefault="006C6FF6" w:rsidP="00B43595"/>
                          <w:p w14:paraId="6D72777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B5F187B" w14:textId="77777777" w:rsidR="006C6FF6" w:rsidRPr="00A3353C" w:rsidRDefault="006C6FF6" w:rsidP="00B43595">
                            <w:pPr>
                              <w:jc w:val="right"/>
                              <w:rPr>
                                <w:sz w:val="74"/>
                                <w:szCs w:val="74"/>
                              </w:rPr>
                            </w:pPr>
                          </w:p>
                          <w:p w14:paraId="6A3AFC53" w14:textId="77777777" w:rsidR="006C6FF6" w:rsidRDefault="006C6FF6" w:rsidP="00B43595">
                            <w:pPr>
                              <w:jc w:val="right"/>
                            </w:pPr>
                          </w:p>
                          <w:p w14:paraId="73EEED97"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301DBA35" w14:textId="77777777" w:rsidR="006C6FF6" w:rsidRDefault="006C6FF6" w:rsidP="00B43595"/>
                          <w:p w14:paraId="7F7D62E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849694F" w14:textId="77777777" w:rsidR="006C6FF6" w:rsidRDefault="006C6FF6" w:rsidP="00B43595"/>
                          <w:p w14:paraId="0359A03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0633CE3" w14:textId="77777777" w:rsidR="006C6FF6" w:rsidRDefault="006C6FF6" w:rsidP="00B43595"/>
                          <w:p w14:paraId="1A23961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24126ED" w14:textId="77777777" w:rsidR="006C6FF6" w:rsidRDefault="006C6FF6" w:rsidP="00B43595"/>
                          <w:p w14:paraId="787F2BA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41B9E860" w14:textId="77777777" w:rsidR="006C6FF6" w:rsidRDefault="006C6FF6" w:rsidP="00B43595"/>
                          <w:p w14:paraId="141494E7" w14:textId="77777777" w:rsidR="006C6FF6" w:rsidRDefault="006C6FF6" w:rsidP="00B43595"/>
                          <w:p w14:paraId="74A1163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2DE33F0" w14:textId="77777777" w:rsidR="006C6FF6" w:rsidRPr="00A3353C" w:rsidRDefault="006C6FF6" w:rsidP="00B43595">
                            <w:pPr>
                              <w:jc w:val="right"/>
                              <w:rPr>
                                <w:sz w:val="74"/>
                                <w:szCs w:val="74"/>
                              </w:rPr>
                            </w:pPr>
                          </w:p>
                          <w:p w14:paraId="017B770D" w14:textId="77777777" w:rsidR="006C6FF6" w:rsidRDefault="006C6FF6" w:rsidP="00B43595">
                            <w:pPr>
                              <w:jc w:val="right"/>
                            </w:pPr>
                          </w:p>
                          <w:p w14:paraId="7892E0A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5C2141B" w14:textId="77777777" w:rsidR="006C6FF6" w:rsidRPr="00A3353C" w:rsidRDefault="006C6FF6" w:rsidP="00B43595">
                            <w:pPr>
                              <w:jc w:val="right"/>
                              <w:rPr>
                                <w:sz w:val="74"/>
                                <w:szCs w:val="74"/>
                              </w:rPr>
                            </w:pPr>
                          </w:p>
                          <w:p w14:paraId="718A2B4B" w14:textId="77777777" w:rsidR="006C6FF6" w:rsidRDefault="006C6FF6" w:rsidP="00B43595"/>
                          <w:p w14:paraId="5CABD42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6F5E7CE" w14:textId="77777777" w:rsidR="006C6FF6" w:rsidRPr="00A3353C" w:rsidRDefault="006C6FF6" w:rsidP="00B43595">
                            <w:pPr>
                              <w:jc w:val="right"/>
                              <w:rPr>
                                <w:sz w:val="74"/>
                                <w:szCs w:val="74"/>
                              </w:rPr>
                            </w:pPr>
                          </w:p>
                          <w:p w14:paraId="62CAA04D" w14:textId="77777777" w:rsidR="006C6FF6" w:rsidRDefault="006C6FF6" w:rsidP="00B43595">
                            <w:pPr>
                              <w:jc w:val="right"/>
                            </w:pPr>
                          </w:p>
                          <w:p w14:paraId="12749B58"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1E782BA1" w14:textId="77777777" w:rsidR="006C6FF6" w:rsidRDefault="006C6FF6" w:rsidP="00B43595"/>
                          <w:p w14:paraId="032E7CDC" w14:textId="77777777" w:rsidR="006C6FF6" w:rsidRDefault="006C6FF6" w:rsidP="00B43595"/>
                          <w:p w14:paraId="2978AE55"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5C4C561" w14:textId="77777777" w:rsidR="006C6FF6" w:rsidRPr="00A3353C" w:rsidRDefault="006C6FF6" w:rsidP="00B43595">
                            <w:pPr>
                              <w:jc w:val="right"/>
                              <w:rPr>
                                <w:sz w:val="74"/>
                                <w:szCs w:val="74"/>
                              </w:rPr>
                            </w:pPr>
                          </w:p>
                          <w:p w14:paraId="38D4E431" w14:textId="77777777" w:rsidR="006C6FF6" w:rsidRDefault="006C6FF6" w:rsidP="00B43595">
                            <w:pPr>
                              <w:jc w:val="right"/>
                            </w:pPr>
                          </w:p>
                          <w:p w14:paraId="5A43105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9D743C1" w14:textId="77777777" w:rsidR="006C6FF6" w:rsidRPr="00A3353C" w:rsidRDefault="006C6FF6" w:rsidP="00B43595">
                            <w:pPr>
                              <w:jc w:val="right"/>
                              <w:rPr>
                                <w:sz w:val="74"/>
                                <w:szCs w:val="74"/>
                              </w:rPr>
                            </w:pPr>
                          </w:p>
                          <w:p w14:paraId="324F3501" w14:textId="77777777" w:rsidR="006C6FF6" w:rsidRDefault="006C6FF6" w:rsidP="00B43595"/>
                          <w:p w14:paraId="23B144C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2A9335A" w14:textId="77777777" w:rsidR="006C6FF6" w:rsidRPr="00A3353C" w:rsidRDefault="006C6FF6" w:rsidP="00B43595">
                            <w:pPr>
                              <w:jc w:val="right"/>
                              <w:rPr>
                                <w:sz w:val="74"/>
                                <w:szCs w:val="74"/>
                              </w:rPr>
                            </w:pPr>
                          </w:p>
                          <w:p w14:paraId="1023FD75" w14:textId="77777777" w:rsidR="006C6FF6" w:rsidRDefault="006C6FF6" w:rsidP="00B43595">
                            <w:pPr>
                              <w:jc w:val="right"/>
                            </w:pPr>
                          </w:p>
                          <w:p w14:paraId="4FBF2B5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3EED7DC" w14:textId="77777777" w:rsidR="006C6FF6" w:rsidRPr="00A3353C" w:rsidRDefault="006C6FF6" w:rsidP="00B43595">
                            <w:pPr>
                              <w:jc w:val="right"/>
                              <w:rPr>
                                <w:sz w:val="74"/>
                                <w:szCs w:val="74"/>
                              </w:rPr>
                            </w:pPr>
                          </w:p>
                          <w:p w14:paraId="2CDC0DA8" w14:textId="77777777" w:rsidR="006C6FF6" w:rsidRDefault="006C6FF6" w:rsidP="00B43595"/>
                          <w:p w14:paraId="1104ADE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B8FBEB8" w14:textId="77777777" w:rsidR="006C6FF6" w:rsidRPr="00A3353C" w:rsidRDefault="006C6FF6" w:rsidP="00B43595">
                            <w:pPr>
                              <w:jc w:val="right"/>
                              <w:rPr>
                                <w:sz w:val="74"/>
                                <w:szCs w:val="74"/>
                              </w:rPr>
                            </w:pPr>
                          </w:p>
                          <w:p w14:paraId="54949034" w14:textId="77777777" w:rsidR="006C6FF6" w:rsidRDefault="006C6FF6" w:rsidP="00B43595">
                            <w:pPr>
                              <w:jc w:val="right"/>
                            </w:pPr>
                          </w:p>
                          <w:p w14:paraId="626D025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B00A412" w14:textId="77777777" w:rsidR="006C6FF6" w:rsidRPr="00A3353C" w:rsidRDefault="006C6FF6" w:rsidP="00B43595">
                            <w:pPr>
                              <w:jc w:val="right"/>
                              <w:rPr>
                                <w:sz w:val="74"/>
                                <w:szCs w:val="74"/>
                              </w:rPr>
                            </w:pPr>
                          </w:p>
                          <w:p w14:paraId="32A30ACD" w14:textId="77777777" w:rsidR="006C6FF6" w:rsidRDefault="006C6FF6" w:rsidP="00B43595"/>
                          <w:p w14:paraId="33E2202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4F87587" w14:textId="77777777" w:rsidR="006C6FF6" w:rsidRPr="00A3353C" w:rsidRDefault="006C6FF6" w:rsidP="00B43595">
                            <w:pPr>
                              <w:jc w:val="right"/>
                              <w:rPr>
                                <w:sz w:val="74"/>
                                <w:szCs w:val="74"/>
                              </w:rPr>
                            </w:pPr>
                          </w:p>
                          <w:p w14:paraId="4AC16B19" w14:textId="77777777" w:rsidR="006C6FF6" w:rsidRDefault="006C6FF6" w:rsidP="00B43595">
                            <w:pPr>
                              <w:jc w:val="right"/>
                            </w:pPr>
                          </w:p>
                          <w:p w14:paraId="79367A9E"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3A0AE5C0" w14:textId="77777777" w:rsidR="006C6FF6" w:rsidRDefault="006C6FF6" w:rsidP="00B43595"/>
                          <w:p w14:paraId="4F1CD562" w14:textId="77777777" w:rsidR="006C6FF6" w:rsidRDefault="006C6FF6" w:rsidP="00B43595"/>
                          <w:p w14:paraId="2032FA4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EB7476F" w14:textId="77777777" w:rsidR="006C6FF6" w:rsidRPr="00A3353C" w:rsidRDefault="006C6FF6" w:rsidP="00B43595">
                            <w:pPr>
                              <w:jc w:val="right"/>
                              <w:rPr>
                                <w:sz w:val="74"/>
                                <w:szCs w:val="74"/>
                              </w:rPr>
                            </w:pPr>
                          </w:p>
                          <w:p w14:paraId="383C5387" w14:textId="77777777" w:rsidR="006C6FF6" w:rsidRDefault="006C6FF6" w:rsidP="00B43595">
                            <w:pPr>
                              <w:jc w:val="right"/>
                            </w:pPr>
                          </w:p>
                          <w:p w14:paraId="7D5D3296"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B6AAECE" w14:textId="77777777" w:rsidR="006C6FF6" w:rsidRPr="00A3353C" w:rsidRDefault="006C6FF6" w:rsidP="00B43595">
                            <w:pPr>
                              <w:jc w:val="right"/>
                              <w:rPr>
                                <w:sz w:val="74"/>
                                <w:szCs w:val="74"/>
                              </w:rPr>
                            </w:pPr>
                          </w:p>
                          <w:p w14:paraId="46C12107" w14:textId="77777777" w:rsidR="006C6FF6" w:rsidRDefault="006C6FF6" w:rsidP="00B43595"/>
                          <w:p w14:paraId="7A1CDDA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071821A" w14:textId="77777777" w:rsidR="006C6FF6" w:rsidRPr="00A3353C" w:rsidRDefault="006C6FF6" w:rsidP="00B43595">
                            <w:pPr>
                              <w:jc w:val="right"/>
                              <w:rPr>
                                <w:sz w:val="74"/>
                                <w:szCs w:val="74"/>
                              </w:rPr>
                            </w:pPr>
                          </w:p>
                          <w:p w14:paraId="5D98FF47" w14:textId="77777777" w:rsidR="006C6FF6" w:rsidRDefault="006C6FF6" w:rsidP="00B43595">
                            <w:pPr>
                              <w:jc w:val="right"/>
                            </w:pPr>
                          </w:p>
                          <w:p w14:paraId="51862CD8"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23734372" w14:textId="77777777" w:rsidR="006C6FF6" w:rsidRDefault="006C6FF6" w:rsidP="00B43595"/>
                          <w:p w14:paraId="17EF3240" w14:textId="77777777" w:rsidR="006C6FF6" w:rsidRDefault="006C6FF6" w:rsidP="00B43595"/>
                          <w:p w14:paraId="4E677FD1"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39F4219" w14:textId="77777777" w:rsidR="006C6FF6" w:rsidRPr="00A3353C" w:rsidRDefault="006C6FF6" w:rsidP="00B43595">
                            <w:pPr>
                              <w:jc w:val="right"/>
                              <w:rPr>
                                <w:sz w:val="74"/>
                                <w:szCs w:val="74"/>
                              </w:rPr>
                            </w:pPr>
                          </w:p>
                          <w:p w14:paraId="3FB7BCBB" w14:textId="77777777" w:rsidR="006C6FF6" w:rsidRDefault="006C6FF6" w:rsidP="00B43595">
                            <w:pPr>
                              <w:jc w:val="right"/>
                            </w:pPr>
                          </w:p>
                          <w:p w14:paraId="06D03152"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C00D307" w14:textId="77777777" w:rsidR="006C6FF6" w:rsidRPr="00A3353C" w:rsidRDefault="006C6FF6" w:rsidP="00B43595">
                            <w:pPr>
                              <w:jc w:val="right"/>
                              <w:rPr>
                                <w:sz w:val="74"/>
                                <w:szCs w:val="74"/>
                              </w:rPr>
                            </w:pPr>
                          </w:p>
                          <w:p w14:paraId="46ACB53E" w14:textId="77777777" w:rsidR="006C6FF6" w:rsidRDefault="006C6FF6" w:rsidP="00B43595"/>
                          <w:p w14:paraId="6AB1F58B"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825D686" w14:textId="77777777" w:rsidR="006C6FF6" w:rsidRPr="00A3353C" w:rsidRDefault="006C6FF6" w:rsidP="00B43595">
                            <w:pPr>
                              <w:jc w:val="right"/>
                              <w:rPr>
                                <w:sz w:val="74"/>
                                <w:szCs w:val="74"/>
                              </w:rPr>
                            </w:pPr>
                          </w:p>
                          <w:p w14:paraId="6EA3A446" w14:textId="77777777" w:rsidR="006C6FF6" w:rsidRDefault="006C6FF6" w:rsidP="00B43595">
                            <w:pPr>
                              <w:jc w:val="right"/>
                            </w:pPr>
                          </w:p>
                          <w:p w14:paraId="16E20A3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8AEB253" w14:textId="77777777" w:rsidR="006C6FF6" w:rsidRPr="00A3353C" w:rsidRDefault="006C6FF6" w:rsidP="00B43595">
                            <w:pPr>
                              <w:jc w:val="right"/>
                              <w:rPr>
                                <w:sz w:val="74"/>
                                <w:szCs w:val="74"/>
                              </w:rPr>
                            </w:pPr>
                          </w:p>
                          <w:p w14:paraId="60FC0BE4" w14:textId="77777777" w:rsidR="006C6FF6" w:rsidRDefault="006C6FF6" w:rsidP="00B43595"/>
                          <w:p w14:paraId="40611FD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90F582A" w14:textId="77777777" w:rsidR="006C6FF6" w:rsidRPr="00A3353C" w:rsidRDefault="006C6FF6" w:rsidP="00B43595">
                            <w:pPr>
                              <w:jc w:val="right"/>
                              <w:rPr>
                                <w:sz w:val="74"/>
                                <w:szCs w:val="74"/>
                              </w:rPr>
                            </w:pPr>
                          </w:p>
                          <w:p w14:paraId="0CB63407" w14:textId="77777777" w:rsidR="006C6FF6" w:rsidRDefault="006C6FF6" w:rsidP="00B43595">
                            <w:pPr>
                              <w:jc w:val="right"/>
                            </w:pPr>
                          </w:p>
                          <w:p w14:paraId="44F6B22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71E6D0C" w14:textId="77777777" w:rsidR="006C6FF6" w:rsidRPr="00A3353C" w:rsidRDefault="006C6FF6" w:rsidP="00B43595">
                            <w:pPr>
                              <w:jc w:val="right"/>
                              <w:rPr>
                                <w:sz w:val="74"/>
                                <w:szCs w:val="74"/>
                              </w:rPr>
                            </w:pPr>
                          </w:p>
                          <w:p w14:paraId="754A3322" w14:textId="77777777" w:rsidR="006C6FF6" w:rsidRDefault="006C6FF6" w:rsidP="00B43595"/>
                          <w:p w14:paraId="3A988E0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98D3A99" w14:textId="77777777" w:rsidR="006C6FF6" w:rsidRPr="00A3353C" w:rsidRDefault="006C6FF6" w:rsidP="00B43595">
                            <w:pPr>
                              <w:jc w:val="right"/>
                              <w:rPr>
                                <w:sz w:val="74"/>
                                <w:szCs w:val="74"/>
                              </w:rPr>
                            </w:pPr>
                          </w:p>
                          <w:p w14:paraId="0A0DBED3" w14:textId="77777777" w:rsidR="006C6FF6" w:rsidRDefault="006C6FF6" w:rsidP="00B43595">
                            <w:pPr>
                              <w:jc w:val="right"/>
                            </w:pPr>
                          </w:p>
                          <w:p w14:paraId="4C5E63D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C28277C" w14:textId="77777777" w:rsidR="006C6FF6" w:rsidRPr="00A3353C" w:rsidRDefault="006C6FF6" w:rsidP="00B43595">
                            <w:pPr>
                              <w:jc w:val="right"/>
                              <w:rPr>
                                <w:sz w:val="74"/>
                                <w:szCs w:val="74"/>
                              </w:rPr>
                            </w:pPr>
                          </w:p>
                          <w:p w14:paraId="0B7FA2BB" w14:textId="77777777" w:rsidR="006C6FF6" w:rsidRDefault="006C6FF6" w:rsidP="00B43595"/>
                          <w:p w14:paraId="3A929BE0"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572C634" w14:textId="77777777" w:rsidR="006C6FF6" w:rsidRPr="00A3353C" w:rsidRDefault="006C6FF6" w:rsidP="00B43595">
                            <w:pPr>
                              <w:jc w:val="right"/>
                              <w:rPr>
                                <w:sz w:val="74"/>
                                <w:szCs w:val="74"/>
                              </w:rPr>
                            </w:pPr>
                          </w:p>
                          <w:p w14:paraId="3F2A8CF6" w14:textId="77777777" w:rsidR="006C6FF6" w:rsidRDefault="006C6FF6" w:rsidP="00B43595">
                            <w:pPr>
                              <w:jc w:val="right"/>
                            </w:pPr>
                          </w:p>
                          <w:p w14:paraId="5E6E8B90"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1ECF71E" w14:textId="77777777" w:rsidR="006C6FF6" w:rsidRPr="00A3353C" w:rsidRDefault="006C6FF6" w:rsidP="00B43595">
                            <w:pPr>
                              <w:jc w:val="right"/>
                              <w:rPr>
                                <w:sz w:val="74"/>
                                <w:szCs w:val="74"/>
                              </w:rPr>
                            </w:pPr>
                          </w:p>
                          <w:p w14:paraId="0AD111A5" w14:textId="77777777" w:rsidR="006C6FF6" w:rsidRDefault="006C6FF6" w:rsidP="00B43595"/>
                          <w:p w14:paraId="119E8EF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ADF0055" w14:textId="77777777" w:rsidR="006C6FF6" w:rsidRPr="00A3353C" w:rsidRDefault="006C6FF6" w:rsidP="00B43595">
                            <w:pPr>
                              <w:jc w:val="right"/>
                              <w:rPr>
                                <w:sz w:val="74"/>
                                <w:szCs w:val="74"/>
                              </w:rPr>
                            </w:pPr>
                          </w:p>
                          <w:p w14:paraId="281C809E" w14:textId="77777777" w:rsidR="006C6FF6" w:rsidRDefault="006C6FF6" w:rsidP="00B43595">
                            <w:pPr>
                              <w:jc w:val="right"/>
                            </w:pPr>
                          </w:p>
                          <w:p w14:paraId="687EE8A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7B0B598" w14:textId="77777777" w:rsidR="006C6FF6" w:rsidRPr="00A3353C" w:rsidRDefault="006C6FF6" w:rsidP="00B43595">
                            <w:pPr>
                              <w:jc w:val="right"/>
                              <w:rPr>
                                <w:sz w:val="74"/>
                                <w:szCs w:val="74"/>
                              </w:rPr>
                            </w:pPr>
                          </w:p>
                          <w:p w14:paraId="01338162" w14:textId="77777777" w:rsidR="006C6FF6" w:rsidRDefault="006C6FF6" w:rsidP="00B43595"/>
                          <w:p w14:paraId="2FF73510"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9BB83F3" w14:textId="77777777" w:rsidR="006C6FF6" w:rsidRPr="00A3353C" w:rsidRDefault="006C6FF6" w:rsidP="00B43595">
                            <w:pPr>
                              <w:jc w:val="right"/>
                              <w:rPr>
                                <w:sz w:val="74"/>
                                <w:szCs w:val="74"/>
                              </w:rPr>
                            </w:pPr>
                          </w:p>
                          <w:p w14:paraId="69C1DE26" w14:textId="77777777" w:rsidR="006C6FF6" w:rsidRDefault="006C6FF6" w:rsidP="00B43595">
                            <w:pPr>
                              <w:jc w:val="right"/>
                            </w:pPr>
                          </w:p>
                          <w:p w14:paraId="4D744A4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1530E12" w14:textId="77777777" w:rsidR="006C6FF6" w:rsidRPr="00A3353C" w:rsidRDefault="006C6FF6" w:rsidP="00B43595">
                            <w:pPr>
                              <w:jc w:val="right"/>
                              <w:rPr>
                                <w:sz w:val="74"/>
                                <w:szCs w:val="74"/>
                              </w:rPr>
                            </w:pPr>
                          </w:p>
                          <w:p w14:paraId="6A4F6E73" w14:textId="77777777" w:rsidR="006C6FF6" w:rsidRDefault="006C6FF6" w:rsidP="00B43595"/>
                          <w:p w14:paraId="044D2E8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FFF0D45" w14:textId="77777777" w:rsidR="006C6FF6" w:rsidRPr="00A3353C" w:rsidRDefault="006C6FF6" w:rsidP="00B43595">
                            <w:pPr>
                              <w:jc w:val="right"/>
                              <w:rPr>
                                <w:sz w:val="74"/>
                                <w:szCs w:val="74"/>
                              </w:rPr>
                            </w:pPr>
                          </w:p>
                          <w:p w14:paraId="16ACDF32" w14:textId="77777777" w:rsidR="006C6FF6" w:rsidRDefault="006C6FF6" w:rsidP="00B43595">
                            <w:pPr>
                              <w:jc w:val="right"/>
                            </w:pPr>
                          </w:p>
                          <w:p w14:paraId="00FB2D73"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3F0B55AA" w14:textId="77777777" w:rsidR="006C6FF6" w:rsidRDefault="006C6FF6" w:rsidP="00B43595"/>
                          <w:p w14:paraId="30E24023" w14:textId="77777777" w:rsidR="006C6FF6" w:rsidRDefault="006C6FF6" w:rsidP="00B43595"/>
                          <w:p w14:paraId="72C35AC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B7F4D61" w14:textId="77777777" w:rsidR="006C6FF6" w:rsidRPr="00A3353C" w:rsidRDefault="006C6FF6" w:rsidP="00B43595">
                            <w:pPr>
                              <w:jc w:val="right"/>
                              <w:rPr>
                                <w:sz w:val="74"/>
                                <w:szCs w:val="74"/>
                              </w:rPr>
                            </w:pPr>
                          </w:p>
                          <w:p w14:paraId="6DC85315" w14:textId="77777777" w:rsidR="006C6FF6" w:rsidRDefault="006C6FF6" w:rsidP="00B43595">
                            <w:pPr>
                              <w:jc w:val="right"/>
                            </w:pPr>
                          </w:p>
                          <w:p w14:paraId="39284C75"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A09F9D9" w14:textId="77777777" w:rsidR="006C6FF6" w:rsidRPr="00A3353C" w:rsidRDefault="006C6FF6" w:rsidP="00B43595">
                            <w:pPr>
                              <w:jc w:val="right"/>
                              <w:rPr>
                                <w:sz w:val="74"/>
                                <w:szCs w:val="74"/>
                              </w:rPr>
                            </w:pPr>
                          </w:p>
                          <w:p w14:paraId="4BC2CF66" w14:textId="77777777" w:rsidR="006C6FF6" w:rsidRDefault="006C6FF6" w:rsidP="00B43595"/>
                          <w:p w14:paraId="0B9B668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3B92727" w14:textId="77777777" w:rsidR="006C6FF6" w:rsidRPr="00A3353C" w:rsidRDefault="006C6FF6" w:rsidP="00B43595">
                            <w:pPr>
                              <w:jc w:val="right"/>
                              <w:rPr>
                                <w:sz w:val="74"/>
                                <w:szCs w:val="74"/>
                              </w:rPr>
                            </w:pPr>
                          </w:p>
                          <w:p w14:paraId="511FE267" w14:textId="77777777" w:rsidR="006C6FF6" w:rsidRDefault="006C6FF6" w:rsidP="00B43595">
                            <w:pPr>
                              <w:jc w:val="right"/>
                            </w:pPr>
                          </w:p>
                          <w:p w14:paraId="4F3D5E16"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04F5593" w14:textId="77777777" w:rsidR="006C6FF6" w:rsidRDefault="006C6FF6" w:rsidP="00B43595"/>
                          <w:p w14:paraId="7E92AB3C" w14:textId="77777777" w:rsidR="006C6FF6" w:rsidRDefault="006C6FF6" w:rsidP="00B43595"/>
                          <w:p w14:paraId="5BC01DE6"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447E794" w14:textId="77777777" w:rsidR="006C6FF6" w:rsidRPr="00A3353C" w:rsidRDefault="006C6FF6" w:rsidP="00B43595">
                            <w:pPr>
                              <w:jc w:val="right"/>
                              <w:rPr>
                                <w:sz w:val="74"/>
                                <w:szCs w:val="74"/>
                              </w:rPr>
                            </w:pPr>
                          </w:p>
                          <w:p w14:paraId="058C0F9B" w14:textId="77777777" w:rsidR="006C6FF6" w:rsidRDefault="006C6FF6" w:rsidP="00B43595">
                            <w:pPr>
                              <w:jc w:val="right"/>
                            </w:pPr>
                          </w:p>
                          <w:p w14:paraId="693F6414"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FEF4B00" w14:textId="77777777" w:rsidR="006C6FF6" w:rsidRPr="00A3353C" w:rsidRDefault="006C6FF6" w:rsidP="00B43595">
                            <w:pPr>
                              <w:jc w:val="right"/>
                              <w:rPr>
                                <w:sz w:val="74"/>
                                <w:szCs w:val="74"/>
                              </w:rPr>
                            </w:pPr>
                          </w:p>
                          <w:p w14:paraId="5A1D22E1" w14:textId="77777777" w:rsidR="006C6FF6" w:rsidRDefault="006C6FF6" w:rsidP="00B43595"/>
                          <w:p w14:paraId="2ACFF07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6483609" w14:textId="77777777" w:rsidR="006C6FF6" w:rsidRPr="00A3353C" w:rsidRDefault="006C6FF6" w:rsidP="00B43595">
                            <w:pPr>
                              <w:jc w:val="right"/>
                              <w:rPr>
                                <w:sz w:val="74"/>
                                <w:szCs w:val="74"/>
                              </w:rPr>
                            </w:pPr>
                          </w:p>
                          <w:p w14:paraId="1B4DAAF9" w14:textId="77777777" w:rsidR="006C6FF6" w:rsidRDefault="006C6FF6" w:rsidP="00B43595">
                            <w:pPr>
                              <w:jc w:val="right"/>
                            </w:pPr>
                          </w:p>
                          <w:p w14:paraId="0DA4D2A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732DD84" w14:textId="77777777" w:rsidR="006C6FF6" w:rsidRPr="00A3353C" w:rsidRDefault="006C6FF6" w:rsidP="00B43595">
                            <w:pPr>
                              <w:jc w:val="right"/>
                              <w:rPr>
                                <w:sz w:val="74"/>
                                <w:szCs w:val="74"/>
                              </w:rPr>
                            </w:pPr>
                          </w:p>
                          <w:p w14:paraId="4568B9F0" w14:textId="77777777" w:rsidR="006C6FF6" w:rsidRDefault="006C6FF6" w:rsidP="00B43595"/>
                          <w:p w14:paraId="5DB213B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3AC148D" w14:textId="77777777" w:rsidR="006C6FF6" w:rsidRPr="00A3353C" w:rsidRDefault="006C6FF6" w:rsidP="00B43595">
                            <w:pPr>
                              <w:jc w:val="right"/>
                              <w:rPr>
                                <w:sz w:val="74"/>
                                <w:szCs w:val="74"/>
                              </w:rPr>
                            </w:pPr>
                          </w:p>
                          <w:p w14:paraId="4B9D255C" w14:textId="77777777" w:rsidR="006C6FF6" w:rsidRDefault="006C6FF6" w:rsidP="00B43595">
                            <w:pPr>
                              <w:jc w:val="right"/>
                            </w:pPr>
                          </w:p>
                          <w:p w14:paraId="66AF26D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871FFF0" w14:textId="77777777" w:rsidR="006C6FF6" w:rsidRPr="00A3353C" w:rsidRDefault="006C6FF6" w:rsidP="00B43595">
                            <w:pPr>
                              <w:jc w:val="right"/>
                              <w:rPr>
                                <w:sz w:val="74"/>
                                <w:szCs w:val="74"/>
                              </w:rPr>
                            </w:pPr>
                          </w:p>
                          <w:p w14:paraId="7874815C" w14:textId="77777777" w:rsidR="006C6FF6" w:rsidRDefault="006C6FF6" w:rsidP="00B43595"/>
                          <w:p w14:paraId="2893AB3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41B71E8" w14:textId="77777777" w:rsidR="006C6FF6" w:rsidRPr="00A3353C" w:rsidRDefault="006C6FF6" w:rsidP="00B43595">
                            <w:pPr>
                              <w:jc w:val="right"/>
                              <w:rPr>
                                <w:sz w:val="74"/>
                                <w:szCs w:val="74"/>
                              </w:rPr>
                            </w:pPr>
                          </w:p>
                          <w:p w14:paraId="6BEDBBD4" w14:textId="77777777" w:rsidR="006C6FF6" w:rsidRDefault="006C6FF6" w:rsidP="00B43595">
                            <w:pPr>
                              <w:jc w:val="right"/>
                            </w:pPr>
                          </w:p>
                          <w:p w14:paraId="1A4B9919"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613D08E8" w14:textId="77777777" w:rsidR="006C6FF6" w:rsidRDefault="006C6FF6" w:rsidP="00B43595"/>
                          <w:p w14:paraId="7D8B884A" w14:textId="77777777" w:rsidR="006C6FF6" w:rsidRDefault="006C6FF6" w:rsidP="00B43595"/>
                          <w:p w14:paraId="6CF8812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480BD1F" w14:textId="77777777" w:rsidR="006C6FF6" w:rsidRPr="00A3353C" w:rsidRDefault="006C6FF6" w:rsidP="00B43595">
                            <w:pPr>
                              <w:jc w:val="right"/>
                              <w:rPr>
                                <w:sz w:val="74"/>
                                <w:szCs w:val="74"/>
                              </w:rPr>
                            </w:pPr>
                          </w:p>
                          <w:p w14:paraId="29E40808" w14:textId="77777777" w:rsidR="006C6FF6" w:rsidRDefault="006C6FF6" w:rsidP="00B43595">
                            <w:pPr>
                              <w:jc w:val="right"/>
                            </w:pPr>
                          </w:p>
                          <w:p w14:paraId="2C14F67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B403216" w14:textId="77777777" w:rsidR="006C6FF6" w:rsidRPr="00A3353C" w:rsidRDefault="006C6FF6" w:rsidP="00B43595">
                            <w:pPr>
                              <w:jc w:val="right"/>
                              <w:rPr>
                                <w:sz w:val="74"/>
                                <w:szCs w:val="74"/>
                              </w:rPr>
                            </w:pPr>
                          </w:p>
                          <w:p w14:paraId="28CE3D53" w14:textId="77777777" w:rsidR="006C6FF6" w:rsidRDefault="006C6FF6" w:rsidP="00B43595"/>
                          <w:p w14:paraId="0B136FF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3BC511F" w14:textId="77777777" w:rsidR="006C6FF6" w:rsidRPr="00A3353C" w:rsidRDefault="006C6FF6" w:rsidP="00B43595">
                            <w:pPr>
                              <w:jc w:val="right"/>
                              <w:rPr>
                                <w:sz w:val="74"/>
                                <w:szCs w:val="74"/>
                              </w:rPr>
                            </w:pPr>
                          </w:p>
                          <w:p w14:paraId="6A80D0AD" w14:textId="77777777" w:rsidR="006C6FF6" w:rsidRDefault="006C6FF6" w:rsidP="00B43595">
                            <w:pPr>
                              <w:jc w:val="right"/>
                            </w:pPr>
                          </w:p>
                          <w:p w14:paraId="6AD26273"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2417BB4F" w14:textId="77777777" w:rsidR="006C6FF6" w:rsidRDefault="006C6FF6" w:rsidP="00B43595"/>
                          <w:p w14:paraId="3D797DF9"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78E27CBD" w14:textId="77777777" w:rsidR="006C6FF6" w:rsidRDefault="006C6FF6" w:rsidP="00B43595"/>
                          <w:p w14:paraId="23D86336"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F62CE88" w14:textId="77777777" w:rsidR="006C6FF6" w:rsidRDefault="006C6FF6" w:rsidP="00B43595"/>
                          <w:p w14:paraId="4C9A0EE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D3B5391" w14:textId="77777777" w:rsidR="006C6FF6" w:rsidRDefault="006C6FF6" w:rsidP="00B43595"/>
                          <w:p w14:paraId="7801C7B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758138B" w14:textId="77777777" w:rsidR="006C6FF6" w:rsidRDefault="006C6FF6" w:rsidP="00B43595"/>
                          <w:p w14:paraId="08F2A7C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01AF62C" w14:textId="77777777" w:rsidR="006C6FF6" w:rsidRPr="00A3353C" w:rsidRDefault="006C6FF6" w:rsidP="00B43595">
                            <w:pPr>
                              <w:jc w:val="right"/>
                              <w:rPr>
                                <w:sz w:val="74"/>
                                <w:szCs w:val="74"/>
                              </w:rPr>
                            </w:pPr>
                          </w:p>
                          <w:p w14:paraId="0562EC60" w14:textId="77777777" w:rsidR="006C6FF6" w:rsidRDefault="006C6FF6" w:rsidP="00B43595">
                            <w:pPr>
                              <w:jc w:val="right"/>
                            </w:pPr>
                          </w:p>
                          <w:p w14:paraId="3F12D20D"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501118E2" w14:textId="77777777" w:rsidR="006C6FF6" w:rsidRDefault="006C6FF6" w:rsidP="00B43595"/>
                          <w:p w14:paraId="3AF47FF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0DE668C" w14:textId="77777777" w:rsidR="006C6FF6" w:rsidRDefault="006C6FF6" w:rsidP="00B43595"/>
                          <w:p w14:paraId="7F10E2B2"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5D5BEB3" w14:textId="77777777" w:rsidR="006C6FF6" w:rsidRDefault="006C6FF6" w:rsidP="00B43595"/>
                          <w:p w14:paraId="3401B29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02C40D7" w14:textId="77777777" w:rsidR="006C6FF6" w:rsidRDefault="006C6FF6" w:rsidP="00B43595"/>
                          <w:p w14:paraId="7CC03B9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75BBE91F" w14:textId="77777777" w:rsidR="006C6FF6" w:rsidRDefault="006C6FF6" w:rsidP="00B43595"/>
                          <w:p w14:paraId="44EB4A77"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119488FB" w14:textId="77777777" w:rsidR="006C6FF6" w:rsidRDefault="006C6FF6" w:rsidP="00B43595"/>
                          <w:p w14:paraId="0A57BF2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34E11D0" w14:textId="77777777" w:rsidR="006C6FF6" w:rsidRDefault="006C6FF6" w:rsidP="00B43595"/>
                          <w:p w14:paraId="450E4B0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062208A" w14:textId="77777777" w:rsidR="006C6FF6" w:rsidRDefault="006C6FF6" w:rsidP="00B43595"/>
                          <w:p w14:paraId="5F8740C6"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2CCC252" w14:textId="77777777" w:rsidR="006C6FF6" w:rsidRDefault="006C6FF6" w:rsidP="00B43595"/>
                          <w:p w14:paraId="6447AE2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CF23E95" w14:textId="77777777" w:rsidR="006C6FF6" w:rsidRPr="00A3353C" w:rsidRDefault="006C6FF6" w:rsidP="00B43595">
                            <w:pPr>
                              <w:jc w:val="right"/>
                              <w:rPr>
                                <w:sz w:val="74"/>
                                <w:szCs w:val="74"/>
                              </w:rPr>
                            </w:pPr>
                          </w:p>
                          <w:p w14:paraId="6457971E" w14:textId="77777777" w:rsidR="006C6FF6" w:rsidRDefault="006C6FF6" w:rsidP="00B43595">
                            <w:pPr>
                              <w:jc w:val="right"/>
                            </w:pPr>
                          </w:p>
                          <w:p w14:paraId="0F4D548F"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24B1B2B0" w14:textId="77777777" w:rsidR="006C6FF6" w:rsidRDefault="006C6FF6" w:rsidP="00B43595"/>
                          <w:p w14:paraId="5020E16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18731F1B" w14:textId="77777777" w:rsidR="006C6FF6" w:rsidRDefault="006C6FF6" w:rsidP="00B43595"/>
                          <w:p w14:paraId="137D129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0402000" w14:textId="77777777" w:rsidR="006C6FF6" w:rsidRDefault="006C6FF6" w:rsidP="00B43595"/>
                          <w:p w14:paraId="7718695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E8E9B3A" w14:textId="77777777" w:rsidR="006C6FF6" w:rsidRDefault="006C6FF6" w:rsidP="00B43595"/>
                          <w:p w14:paraId="3FE5F1E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737D6801" w14:textId="77777777" w:rsidR="006C6FF6" w:rsidRDefault="006C6FF6" w:rsidP="00B43595"/>
                          <w:p w14:paraId="2D0BE6B3" w14:textId="77777777" w:rsidR="006C6FF6" w:rsidRDefault="006C6FF6" w:rsidP="00B43595"/>
                          <w:p w14:paraId="3C9E301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BA73AF2" w14:textId="77777777" w:rsidR="006C6FF6" w:rsidRPr="00A3353C" w:rsidRDefault="006C6FF6" w:rsidP="00B43595">
                            <w:pPr>
                              <w:jc w:val="right"/>
                              <w:rPr>
                                <w:sz w:val="74"/>
                                <w:szCs w:val="74"/>
                              </w:rPr>
                            </w:pPr>
                          </w:p>
                          <w:p w14:paraId="798D1AEB" w14:textId="77777777" w:rsidR="006C6FF6" w:rsidRDefault="006C6FF6" w:rsidP="00B43595">
                            <w:pPr>
                              <w:jc w:val="right"/>
                            </w:pPr>
                          </w:p>
                          <w:p w14:paraId="354EB4B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7788ACE" w14:textId="77777777" w:rsidR="006C6FF6" w:rsidRPr="00A3353C" w:rsidRDefault="006C6FF6" w:rsidP="00B43595">
                            <w:pPr>
                              <w:jc w:val="right"/>
                              <w:rPr>
                                <w:sz w:val="74"/>
                                <w:szCs w:val="74"/>
                              </w:rPr>
                            </w:pPr>
                          </w:p>
                          <w:p w14:paraId="5671DA00" w14:textId="77777777" w:rsidR="006C6FF6" w:rsidRDefault="006C6FF6" w:rsidP="00B43595"/>
                          <w:p w14:paraId="68C511A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B443EB0" w14:textId="77777777" w:rsidR="006C6FF6" w:rsidRPr="00A3353C" w:rsidRDefault="006C6FF6" w:rsidP="00B43595">
                            <w:pPr>
                              <w:jc w:val="right"/>
                              <w:rPr>
                                <w:sz w:val="74"/>
                                <w:szCs w:val="74"/>
                              </w:rPr>
                            </w:pPr>
                          </w:p>
                          <w:p w14:paraId="3425D728" w14:textId="77777777" w:rsidR="006C6FF6" w:rsidRDefault="006C6FF6" w:rsidP="00B43595">
                            <w:pPr>
                              <w:jc w:val="right"/>
                            </w:pPr>
                          </w:p>
                          <w:p w14:paraId="2ABBDEB1"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45AF8E2" w14:textId="77777777" w:rsidR="006C6FF6" w:rsidRDefault="006C6FF6" w:rsidP="00B43595"/>
                          <w:p w14:paraId="310A9BA4"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7F01BC7D" w14:textId="77777777" w:rsidR="006C6FF6" w:rsidRDefault="006C6FF6" w:rsidP="00B43595"/>
                          <w:p w14:paraId="00A9066B"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F67E5D9" w14:textId="77777777" w:rsidR="006C6FF6" w:rsidRDefault="006C6FF6" w:rsidP="00B43595"/>
                          <w:p w14:paraId="7FE9B1C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3557BDA" w14:textId="77777777" w:rsidR="006C6FF6" w:rsidRDefault="006C6FF6" w:rsidP="00B43595"/>
                          <w:p w14:paraId="417D3755"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BC0893F" w14:textId="77777777" w:rsidR="006C6FF6" w:rsidRDefault="006C6FF6" w:rsidP="00B43595"/>
                          <w:p w14:paraId="245E402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ECF10C6" w14:textId="77777777" w:rsidR="006C6FF6" w:rsidRPr="00A3353C" w:rsidRDefault="006C6FF6" w:rsidP="00B43595">
                            <w:pPr>
                              <w:jc w:val="right"/>
                              <w:rPr>
                                <w:sz w:val="74"/>
                                <w:szCs w:val="74"/>
                              </w:rPr>
                            </w:pPr>
                          </w:p>
                          <w:p w14:paraId="78C34D26" w14:textId="77777777" w:rsidR="006C6FF6" w:rsidRDefault="006C6FF6" w:rsidP="00B43595">
                            <w:pPr>
                              <w:jc w:val="right"/>
                            </w:pPr>
                          </w:p>
                          <w:p w14:paraId="7773A71C"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2ADEC433" w14:textId="77777777" w:rsidR="006C6FF6" w:rsidRDefault="006C6FF6" w:rsidP="00B43595"/>
                          <w:p w14:paraId="3F19A91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67821DB" w14:textId="77777777" w:rsidR="006C6FF6" w:rsidRDefault="006C6FF6" w:rsidP="00B43595"/>
                          <w:p w14:paraId="59B7B43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78A4E4A" w14:textId="77777777" w:rsidR="006C6FF6" w:rsidRDefault="006C6FF6" w:rsidP="00B43595"/>
                          <w:p w14:paraId="0FEA6DB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F7EB5B5" w14:textId="77777777" w:rsidR="006C6FF6" w:rsidRDefault="006C6FF6" w:rsidP="00B43595"/>
                          <w:p w14:paraId="2B0DA02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44C5788B" w14:textId="77777777" w:rsidR="006C6FF6" w:rsidRDefault="006C6FF6" w:rsidP="00B43595"/>
                          <w:p w14:paraId="66AE42D0"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464608FE" w14:textId="77777777" w:rsidR="006C6FF6" w:rsidRDefault="006C6FF6" w:rsidP="00B43595"/>
                          <w:p w14:paraId="07D3D38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46711BF" w14:textId="77777777" w:rsidR="006C6FF6" w:rsidRDefault="006C6FF6" w:rsidP="00B43595"/>
                          <w:p w14:paraId="6120CA9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207F205" w14:textId="77777777" w:rsidR="006C6FF6" w:rsidRDefault="006C6FF6" w:rsidP="00B43595"/>
                          <w:p w14:paraId="45DC7F62"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70FBD13" w14:textId="77777777" w:rsidR="006C6FF6" w:rsidRDefault="006C6FF6" w:rsidP="00B43595"/>
                          <w:p w14:paraId="71D5600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1D13253" w14:textId="77777777" w:rsidR="006C6FF6" w:rsidRPr="00A3353C" w:rsidRDefault="006C6FF6" w:rsidP="00B43595">
                            <w:pPr>
                              <w:jc w:val="right"/>
                              <w:rPr>
                                <w:sz w:val="74"/>
                                <w:szCs w:val="74"/>
                              </w:rPr>
                            </w:pPr>
                          </w:p>
                          <w:p w14:paraId="71846EE5" w14:textId="77777777" w:rsidR="006C6FF6" w:rsidRDefault="006C6FF6" w:rsidP="00B43595">
                            <w:pPr>
                              <w:jc w:val="right"/>
                            </w:pPr>
                          </w:p>
                          <w:p w14:paraId="009F31BE"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764404E3" w14:textId="77777777" w:rsidR="006C6FF6" w:rsidRDefault="006C6FF6" w:rsidP="00B43595"/>
                          <w:p w14:paraId="2A7C6184"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0B5DD4C" w14:textId="77777777" w:rsidR="006C6FF6" w:rsidRDefault="006C6FF6" w:rsidP="00B43595"/>
                          <w:p w14:paraId="5BF7660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D111373" w14:textId="77777777" w:rsidR="006C6FF6" w:rsidRDefault="006C6FF6" w:rsidP="00B43595"/>
                          <w:p w14:paraId="5323F4F9"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579D843" w14:textId="77777777" w:rsidR="006C6FF6" w:rsidRDefault="006C6FF6" w:rsidP="00B43595"/>
                          <w:p w14:paraId="4E6A5A1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610EA601" w14:textId="77777777" w:rsidR="006C6FF6" w:rsidRDefault="006C6FF6" w:rsidP="00B43595"/>
                          <w:p w14:paraId="0A034E0E" w14:textId="77777777" w:rsidR="006C6FF6" w:rsidRDefault="006C6FF6" w:rsidP="00B43595"/>
                          <w:p w14:paraId="3BD632D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36883EC" w14:textId="77777777" w:rsidR="006C6FF6" w:rsidRPr="00A3353C" w:rsidRDefault="006C6FF6" w:rsidP="00B43595">
                            <w:pPr>
                              <w:jc w:val="right"/>
                              <w:rPr>
                                <w:sz w:val="74"/>
                                <w:szCs w:val="74"/>
                              </w:rPr>
                            </w:pPr>
                          </w:p>
                          <w:p w14:paraId="7B99C235" w14:textId="77777777" w:rsidR="006C6FF6" w:rsidRDefault="006C6FF6" w:rsidP="00B43595">
                            <w:pPr>
                              <w:jc w:val="right"/>
                            </w:pPr>
                          </w:p>
                          <w:p w14:paraId="54BC646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A650568" w14:textId="77777777" w:rsidR="006C6FF6" w:rsidRPr="00A3353C" w:rsidRDefault="006C6FF6" w:rsidP="00B43595">
                            <w:pPr>
                              <w:jc w:val="right"/>
                              <w:rPr>
                                <w:sz w:val="74"/>
                                <w:szCs w:val="74"/>
                              </w:rPr>
                            </w:pPr>
                          </w:p>
                          <w:p w14:paraId="708D4AE2" w14:textId="77777777" w:rsidR="006C6FF6" w:rsidRDefault="006C6FF6" w:rsidP="00B43595"/>
                          <w:p w14:paraId="777EB3B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2C157CF" w14:textId="77777777" w:rsidR="006C6FF6" w:rsidRPr="00A3353C" w:rsidRDefault="006C6FF6" w:rsidP="00B43595">
                            <w:pPr>
                              <w:jc w:val="right"/>
                              <w:rPr>
                                <w:sz w:val="74"/>
                                <w:szCs w:val="74"/>
                              </w:rPr>
                            </w:pPr>
                          </w:p>
                          <w:p w14:paraId="5E52826E" w14:textId="77777777" w:rsidR="006C6FF6" w:rsidRDefault="006C6FF6" w:rsidP="00B43595">
                            <w:pPr>
                              <w:jc w:val="right"/>
                            </w:pPr>
                          </w:p>
                          <w:p w14:paraId="1E6294D3"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46F4147B" w14:textId="77777777" w:rsidR="006C6FF6" w:rsidRDefault="006C6FF6" w:rsidP="00B43595"/>
                          <w:p w14:paraId="1CC28482" w14:textId="77777777" w:rsidR="006C6FF6" w:rsidRDefault="006C6FF6" w:rsidP="00B43595"/>
                          <w:p w14:paraId="6D623030"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ADF8DC8" w14:textId="77777777" w:rsidR="006C6FF6" w:rsidRPr="00A3353C" w:rsidRDefault="006C6FF6" w:rsidP="00B43595">
                            <w:pPr>
                              <w:jc w:val="right"/>
                              <w:rPr>
                                <w:sz w:val="74"/>
                                <w:szCs w:val="74"/>
                              </w:rPr>
                            </w:pPr>
                          </w:p>
                          <w:p w14:paraId="1D4F24AC" w14:textId="77777777" w:rsidR="006C6FF6" w:rsidRDefault="006C6FF6" w:rsidP="00B43595">
                            <w:pPr>
                              <w:jc w:val="right"/>
                            </w:pPr>
                          </w:p>
                          <w:p w14:paraId="003EAD6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F9031B8" w14:textId="77777777" w:rsidR="006C6FF6" w:rsidRPr="00A3353C" w:rsidRDefault="006C6FF6" w:rsidP="00B43595">
                            <w:pPr>
                              <w:jc w:val="right"/>
                              <w:rPr>
                                <w:sz w:val="74"/>
                                <w:szCs w:val="74"/>
                              </w:rPr>
                            </w:pPr>
                          </w:p>
                          <w:p w14:paraId="59D05B1A" w14:textId="77777777" w:rsidR="006C6FF6" w:rsidRDefault="006C6FF6" w:rsidP="00B43595"/>
                          <w:p w14:paraId="2943D50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A504C8E" w14:textId="77777777" w:rsidR="006C6FF6" w:rsidRPr="00A3353C" w:rsidRDefault="006C6FF6" w:rsidP="00B43595">
                            <w:pPr>
                              <w:jc w:val="right"/>
                              <w:rPr>
                                <w:sz w:val="74"/>
                                <w:szCs w:val="74"/>
                              </w:rPr>
                            </w:pPr>
                          </w:p>
                          <w:p w14:paraId="6595A359" w14:textId="77777777" w:rsidR="006C6FF6" w:rsidRDefault="006C6FF6" w:rsidP="00B43595">
                            <w:pPr>
                              <w:jc w:val="right"/>
                            </w:pPr>
                          </w:p>
                          <w:p w14:paraId="38A87D4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2DACE82" w14:textId="77777777" w:rsidR="006C6FF6" w:rsidRPr="00A3353C" w:rsidRDefault="006C6FF6" w:rsidP="00B43595">
                            <w:pPr>
                              <w:jc w:val="right"/>
                              <w:rPr>
                                <w:sz w:val="74"/>
                                <w:szCs w:val="74"/>
                              </w:rPr>
                            </w:pPr>
                          </w:p>
                          <w:p w14:paraId="0F31102B" w14:textId="77777777" w:rsidR="006C6FF6" w:rsidRDefault="006C6FF6" w:rsidP="00B43595"/>
                          <w:p w14:paraId="68460B4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22B6B79" w14:textId="77777777" w:rsidR="006C6FF6" w:rsidRPr="00A3353C" w:rsidRDefault="006C6FF6" w:rsidP="00B43595">
                            <w:pPr>
                              <w:jc w:val="right"/>
                              <w:rPr>
                                <w:sz w:val="74"/>
                                <w:szCs w:val="74"/>
                              </w:rPr>
                            </w:pPr>
                          </w:p>
                          <w:p w14:paraId="36C6E224" w14:textId="77777777" w:rsidR="006C6FF6" w:rsidRDefault="006C6FF6" w:rsidP="00B43595">
                            <w:pPr>
                              <w:jc w:val="right"/>
                            </w:pPr>
                          </w:p>
                          <w:p w14:paraId="06DE491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8A77C55" w14:textId="77777777" w:rsidR="006C6FF6" w:rsidRPr="00A3353C" w:rsidRDefault="006C6FF6" w:rsidP="00B43595">
                            <w:pPr>
                              <w:jc w:val="right"/>
                              <w:rPr>
                                <w:sz w:val="74"/>
                                <w:szCs w:val="74"/>
                              </w:rPr>
                            </w:pPr>
                          </w:p>
                          <w:p w14:paraId="6C599574" w14:textId="77777777" w:rsidR="006C6FF6" w:rsidRDefault="006C6FF6" w:rsidP="00B43595"/>
                          <w:p w14:paraId="43C7756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5EFF0C5" w14:textId="77777777" w:rsidR="006C6FF6" w:rsidRPr="00A3353C" w:rsidRDefault="006C6FF6" w:rsidP="00B43595">
                            <w:pPr>
                              <w:jc w:val="right"/>
                              <w:rPr>
                                <w:sz w:val="74"/>
                                <w:szCs w:val="74"/>
                              </w:rPr>
                            </w:pPr>
                          </w:p>
                          <w:p w14:paraId="70F4952C" w14:textId="77777777" w:rsidR="006C6FF6" w:rsidRDefault="006C6FF6" w:rsidP="00B43595">
                            <w:pPr>
                              <w:jc w:val="right"/>
                            </w:pPr>
                          </w:p>
                          <w:p w14:paraId="720BB07E"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457EC730" w14:textId="77777777" w:rsidR="006C6FF6" w:rsidRDefault="006C6FF6" w:rsidP="00B43595"/>
                          <w:p w14:paraId="2BAC4831" w14:textId="77777777" w:rsidR="006C6FF6" w:rsidRDefault="006C6FF6" w:rsidP="00B43595"/>
                          <w:p w14:paraId="0B5A4BC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219F22D" w14:textId="77777777" w:rsidR="006C6FF6" w:rsidRPr="00A3353C" w:rsidRDefault="006C6FF6" w:rsidP="00B43595">
                            <w:pPr>
                              <w:jc w:val="right"/>
                              <w:rPr>
                                <w:sz w:val="74"/>
                                <w:szCs w:val="74"/>
                              </w:rPr>
                            </w:pPr>
                          </w:p>
                          <w:p w14:paraId="586C7CDE" w14:textId="77777777" w:rsidR="006C6FF6" w:rsidRDefault="006C6FF6" w:rsidP="00B43595">
                            <w:pPr>
                              <w:jc w:val="right"/>
                            </w:pPr>
                          </w:p>
                          <w:p w14:paraId="54FF264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B6CD653" w14:textId="77777777" w:rsidR="006C6FF6" w:rsidRPr="00A3353C" w:rsidRDefault="006C6FF6" w:rsidP="00B43595">
                            <w:pPr>
                              <w:jc w:val="right"/>
                              <w:rPr>
                                <w:sz w:val="74"/>
                                <w:szCs w:val="74"/>
                              </w:rPr>
                            </w:pPr>
                          </w:p>
                          <w:p w14:paraId="79670823" w14:textId="77777777" w:rsidR="006C6FF6" w:rsidRDefault="006C6FF6" w:rsidP="00B43595"/>
                          <w:p w14:paraId="00B02CB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1AF2D17" w14:textId="77777777" w:rsidR="006C6FF6" w:rsidRPr="00A3353C" w:rsidRDefault="006C6FF6" w:rsidP="00B43595">
                            <w:pPr>
                              <w:jc w:val="right"/>
                              <w:rPr>
                                <w:sz w:val="74"/>
                                <w:szCs w:val="74"/>
                              </w:rPr>
                            </w:pPr>
                          </w:p>
                          <w:p w14:paraId="386173F8" w14:textId="77777777" w:rsidR="006C6FF6" w:rsidRDefault="006C6FF6" w:rsidP="00B43595">
                            <w:pPr>
                              <w:jc w:val="right"/>
                            </w:pPr>
                          </w:p>
                          <w:p w14:paraId="0DAAC14E"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6AC68E26" w14:textId="77777777" w:rsidR="006C6FF6" w:rsidRDefault="006C6FF6" w:rsidP="00B43595"/>
                          <w:p w14:paraId="5E482636"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10EEE0BA" w14:textId="77777777" w:rsidR="006C6FF6" w:rsidRDefault="006C6FF6" w:rsidP="00B43595"/>
                          <w:p w14:paraId="373003C2"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80CE831" w14:textId="77777777" w:rsidR="006C6FF6" w:rsidRDefault="006C6FF6" w:rsidP="00B43595"/>
                          <w:p w14:paraId="32347AE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25C380E" w14:textId="77777777" w:rsidR="006C6FF6" w:rsidRDefault="006C6FF6" w:rsidP="00B43595"/>
                          <w:p w14:paraId="46DF2AC8"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A790F3F" w14:textId="77777777" w:rsidR="006C6FF6" w:rsidRDefault="006C6FF6" w:rsidP="00B43595"/>
                          <w:p w14:paraId="114AE6D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187733F" w14:textId="77777777" w:rsidR="006C6FF6" w:rsidRPr="00A3353C" w:rsidRDefault="006C6FF6" w:rsidP="00B43595">
                            <w:pPr>
                              <w:jc w:val="right"/>
                              <w:rPr>
                                <w:sz w:val="74"/>
                                <w:szCs w:val="74"/>
                              </w:rPr>
                            </w:pPr>
                          </w:p>
                          <w:p w14:paraId="445CEBE3" w14:textId="77777777" w:rsidR="006C6FF6" w:rsidRDefault="006C6FF6" w:rsidP="00B43595">
                            <w:pPr>
                              <w:jc w:val="right"/>
                            </w:pPr>
                          </w:p>
                          <w:p w14:paraId="3BD23F8E"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0BDCF298" w14:textId="77777777" w:rsidR="006C6FF6" w:rsidRDefault="006C6FF6" w:rsidP="00B43595"/>
                          <w:p w14:paraId="36537A0D"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B7E0D7B" w14:textId="77777777" w:rsidR="006C6FF6" w:rsidRDefault="006C6FF6" w:rsidP="00B43595"/>
                          <w:p w14:paraId="6DD7E978"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F248CDE" w14:textId="77777777" w:rsidR="006C6FF6" w:rsidRDefault="006C6FF6" w:rsidP="00B43595"/>
                          <w:p w14:paraId="083CE64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35A4201" w14:textId="77777777" w:rsidR="006C6FF6" w:rsidRDefault="006C6FF6" w:rsidP="00B43595"/>
                          <w:p w14:paraId="58A2D38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799A314B" w14:textId="77777777" w:rsidR="006C6FF6" w:rsidRDefault="006C6FF6" w:rsidP="00B43595"/>
                          <w:p w14:paraId="2B61F41F"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67DF1610" w14:textId="77777777" w:rsidR="006C6FF6" w:rsidRDefault="006C6FF6" w:rsidP="00B43595"/>
                          <w:p w14:paraId="745E449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F7B5550" w14:textId="77777777" w:rsidR="006C6FF6" w:rsidRDefault="006C6FF6" w:rsidP="00B43595"/>
                          <w:p w14:paraId="1984B7E7"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138FEA98" w14:textId="77777777" w:rsidR="006C6FF6" w:rsidRDefault="006C6FF6" w:rsidP="00B43595"/>
                          <w:p w14:paraId="13277C3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CD64B1C" w14:textId="77777777" w:rsidR="006C6FF6" w:rsidRDefault="006C6FF6" w:rsidP="00B43595"/>
                          <w:p w14:paraId="740C634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A49D9F0" w14:textId="77777777" w:rsidR="006C6FF6" w:rsidRPr="00A3353C" w:rsidRDefault="006C6FF6" w:rsidP="00B43595">
                            <w:pPr>
                              <w:jc w:val="right"/>
                              <w:rPr>
                                <w:sz w:val="74"/>
                                <w:szCs w:val="74"/>
                              </w:rPr>
                            </w:pPr>
                          </w:p>
                          <w:p w14:paraId="1E3A8DC1" w14:textId="77777777" w:rsidR="006C6FF6" w:rsidRDefault="006C6FF6" w:rsidP="00B43595">
                            <w:pPr>
                              <w:jc w:val="right"/>
                            </w:pPr>
                          </w:p>
                          <w:p w14:paraId="475CD61E"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4F8F0ECB" w14:textId="77777777" w:rsidR="006C6FF6" w:rsidRDefault="006C6FF6" w:rsidP="00B43595"/>
                          <w:p w14:paraId="3E37700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FD217DB" w14:textId="77777777" w:rsidR="006C6FF6" w:rsidRDefault="006C6FF6" w:rsidP="00B43595"/>
                          <w:p w14:paraId="69EA1FC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5D2BD09" w14:textId="77777777" w:rsidR="006C6FF6" w:rsidRDefault="006C6FF6" w:rsidP="00B43595"/>
                          <w:p w14:paraId="10AAD9A4"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56C141E" w14:textId="77777777" w:rsidR="006C6FF6" w:rsidRDefault="006C6FF6" w:rsidP="00B43595"/>
                          <w:p w14:paraId="1E4C647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73B71174" w14:textId="77777777" w:rsidR="006C6FF6" w:rsidRDefault="006C6FF6" w:rsidP="00B43595"/>
                          <w:p w14:paraId="51258261" w14:textId="77777777" w:rsidR="006C6FF6" w:rsidRDefault="006C6FF6" w:rsidP="00B43595"/>
                          <w:p w14:paraId="2707AB2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C3E419F" w14:textId="77777777" w:rsidR="006C6FF6" w:rsidRPr="00A3353C" w:rsidRDefault="006C6FF6" w:rsidP="00B43595">
                            <w:pPr>
                              <w:jc w:val="right"/>
                              <w:rPr>
                                <w:sz w:val="74"/>
                                <w:szCs w:val="74"/>
                              </w:rPr>
                            </w:pPr>
                          </w:p>
                          <w:p w14:paraId="2B686906" w14:textId="77777777" w:rsidR="006C6FF6" w:rsidRDefault="006C6FF6" w:rsidP="00B43595">
                            <w:pPr>
                              <w:jc w:val="right"/>
                            </w:pPr>
                          </w:p>
                          <w:p w14:paraId="5F91D32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85FA144" w14:textId="77777777" w:rsidR="006C6FF6" w:rsidRPr="00A3353C" w:rsidRDefault="006C6FF6" w:rsidP="00B43595">
                            <w:pPr>
                              <w:jc w:val="right"/>
                              <w:rPr>
                                <w:sz w:val="74"/>
                                <w:szCs w:val="74"/>
                              </w:rPr>
                            </w:pPr>
                          </w:p>
                          <w:p w14:paraId="07BA9CD3" w14:textId="77777777" w:rsidR="006C6FF6" w:rsidRDefault="006C6FF6" w:rsidP="00B43595"/>
                          <w:p w14:paraId="1D1F0C8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B2FF0D4" w14:textId="77777777" w:rsidR="006C6FF6" w:rsidRPr="00A3353C" w:rsidRDefault="006C6FF6" w:rsidP="00B43595">
                            <w:pPr>
                              <w:jc w:val="right"/>
                              <w:rPr>
                                <w:sz w:val="74"/>
                                <w:szCs w:val="74"/>
                              </w:rPr>
                            </w:pPr>
                          </w:p>
                          <w:p w14:paraId="0936DCCC" w14:textId="77777777" w:rsidR="006C6FF6" w:rsidRDefault="006C6FF6" w:rsidP="00B43595">
                            <w:pPr>
                              <w:jc w:val="right"/>
                            </w:pPr>
                          </w:p>
                          <w:p w14:paraId="18C1212E"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4422957D" w14:textId="77777777" w:rsidR="006C6FF6" w:rsidRDefault="006C6FF6" w:rsidP="00B43595"/>
                          <w:p w14:paraId="7DCDA397"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5509C71F" w14:textId="77777777" w:rsidR="006C6FF6" w:rsidRDefault="006C6FF6" w:rsidP="00B43595"/>
                          <w:p w14:paraId="7328E66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31CA83C" w14:textId="77777777" w:rsidR="006C6FF6" w:rsidRDefault="006C6FF6" w:rsidP="00B43595"/>
                          <w:p w14:paraId="7D6EC7F5"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1DF9EAC2" w14:textId="77777777" w:rsidR="006C6FF6" w:rsidRDefault="006C6FF6" w:rsidP="00B43595"/>
                          <w:p w14:paraId="17AFDC7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0AA49E0" w14:textId="77777777" w:rsidR="006C6FF6" w:rsidRDefault="006C6FF6" w:rsidP="00B43595"/>
                          <w:p w14:paraId="2FE1057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69C9AEC" w14:textId="77777777" w:rsidR="006C6FF6" w:rsidRPr="00A3353C" w:rsidRDefault="006C6FF6" w:rsidP="00B43595">
                            <w:pPr>
                              <w:jc w:val="right"/>
                              <w:rPr>
                                <w:sz w:val="74"/>
                                <w:szCs w:val="74"/>
                              </w:rPr>
                            </w:pPr>
                          </w:p>
                          <w:p w14:paraId="20F03C02" w14:textId="77777777" w:rsidR="006C6FF6" w:rsidRDefault="006C6FF6" w:rsidP="00B43595">
                            <w:pPr>
                              <w:jc w:val="right"/>
                            </w:pPr>
                          </w:p>
                          <w:p w14:paraId="3B3ADE43"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5C6D7965" w14:textId="77777777" w:rsidR="006C6FF6" w:rsidRDefault="006C6FF6" w:rsidP="00B43595"/>
                          <w:p w14:paraId="6ED6F559"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78F597B" w14:textId="77777777" w:rsidR="006C6FF6" w:rsidRDefault="006C6FF6" w:rsidP="00B43595"/>
                          <w:p w14:paraId="6168B127"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8610D79" w14:textId="77777777" w:rsidR="006C6FF6" w:rsidRDefault="006C6FF6" w:rsidP="00B43595"/>
                          <w:p w14:paraId="0E4E887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5D51457" w14:textId="77777777" w:rsidR="006C6FF6" w:rsidRDefault="006C6FF6" w:rsidP="00B43595"/>
                          <w:p w14:paraId="0A7A3DC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0EA0ABA0" w14:textId="77777777" w:rsidR="006C6FF6" w:rsidRDefault="006C6FF6" w:rsidP="00B43595"/>
                          <w:p w14:paraId="44E4D2AC"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1972D725" w14:textId="77777777" w:rsidR="006C6FF6" w:rsidRDefault="006C6FF6" w:rsidP="00B43595"/>
                          <w:p w14:paraId="65B464E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490EB08" w14:textId="77777777" w:rsidR="006C6FF6" w:rsidRDefault="006C6FF6" w:rsidP="00B43595"/>
                          <w:p w14:paraId="5695735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E75A2FF" w14:textId="77777777" w:rsidR="006C6FF6" w:rsidRDefault="006C6FF6" w:rsidP="00B43595"/>
                          <w:p w14:paraId="41FAEFC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2CE32CF" w14:textId="77777777" w:rsidR="006C6FF6" w:rsidRDefault="006C6FF6" w:rsidP="00B43595"/>
                          <w:p w14:paraId="4B8016E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BFB5E62" w14:textId="77777777" w:rsidR="006C6FF6" w:rsidRPr="00A3353C" w:rsidRDefault="006C6FF6" w:rsidP="00B43595">
                            <w:pPr>
                              <w:jc w:val="right"/>
                              <w:rPr>
                                <w:sz w:val="74"/>
                                <w:szCs w:val="74"/>
                              </w:rPr>
                            </w:pPr>
                          </w:p>
                          <w:p w14:paraId="45608D80" w14:textId="77777777" w:rsidR="006C6FF6" w:rsidRDefault="006C6FF6" w:rsidP="00B43595">
                            <w:pPr>
                              <w:jc w:val="right"/>
                            </w:pPr>
                          </w:p>
                          <w:p w14:paraId="24212E4F"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27FA5921" w14:textId="77777777" w:rsidR="006C6FF6" w:rsidRDefault="006C6FF6" w:rsidP="00B43595"/>
                          <w:p w14:paraId="4A3A04F4"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EDCE6CC" w14:textId="77777777" w:rsidR="006C6FF6" w:rsidRDefault="006C6FF6" w:rsidP="00B43595"/>
                          <w:p w14:paraId="6B8EF7F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6CCF44F" w14:textId="77777777" w:rsidR="006C6FF6" w:rsidRDefault="006C6FF6" w:rsidP="00B43595"/>
                          <w:p w14:paraId="5FC57282"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06D4D85" id="Rectangle 54" o:spid="_x0000_s1026" style="position:absolute;left:0;text-align:left;margin-left:-29.55pt;margin-top:91.25pt;width:145.3pt;height:63pt;z-index:251664384;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" filled="f" stroked="f" strokeweight="1pt">
                <v:textbox inset="10.8pt,0,10.8pt,0">
                  <w:txbxContent>
                    <w:p w14:paraId="204F08B2" w14:textId="77777777" w:rsidR="006C6FF6" w:rsidRPr="00056843" w:rsidRDefault="006C6FF6" w:rsidP="00B43595">
                      <w:pPr>
                        <w:jc w:val="center"/>
                        <w:rPr>
                          <w:color w:val="FFFFFF" w:themeColor="background1"/>
                          <w:lang w:val="hy-AM"/>
                        </w:rPr>
                      </w:pPr>
                      <w:r w:rsidRPr="00056843">
                        <w:rPr>
                          <w:color w:val="FFFFFF" w:themeColor="background1"/>
                          <w:lang w:val="hy-AM"/>
                        </w:rPr>
                        <w:t>ՀԱՅԱՍՏԱՆԻ ՀԱՆՐԱՊԵՏՈՒԹՅԱՆ ԿԱՌԱՎԱՐՈՒԹՅԱՆ</w:t>
                      </w:r>
                    </w:p>
                    <w:p w14:paraId="130D672A" w14:textId="77777777" w:rsidR="006C6FF6" w:rsidRDefault="006C6FF6" w:rsidP="00B43595"/>
                    <w:p w14:paraId="043B6937"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64003DF" w14:textId="77777777" w:rsidR="006C6FF6" w:rsidRDefault="006C6FF6" w:rsidP="00B43595"/>
                    <w:p w14:paraId="10E1784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4CEFB01" w14:textId="77777777" w:rsidR="006C6FF6" w:rsidRDefault="006C6FF6" w:rsidP="00B43595"/>
                    <w:p w14:paraId="03802158"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58BE77C" w14:textId="77777777" w:rsidR="006C6FF6" w:rsidRDefault="006C6FF6" w:rsidP="00B43595"/>
                    <w:p w14:paraId="433C7AE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244D21C" w14:textId="77777777" w:rsidR="006C6FF6" w:rsidRPr="00A3353C" w:rsidRDefault="006C6FF6" w:rsidP="00B43595">
                      <w:pPr>
                        <w:jc w:val="right"/>
                        <w:rPr>
                          <w:sz w:val="74"/>
                          <w:szCs w:val="74"/>
                        </w:rPr>
                      </w:pPr>
                    </w:p>
                    <w:p w14:paraId="253D20E4" w14:textId="77777777" w:rsidR="006C6FF6" w:rsidRDefault="006C6FF6" w:rsidP="00B43595">
                      <w:pPr>
                        <w:jc w:val="right"/>
                      </w:pPr>
                    </w:p>
                    <w:p w14:paraId="35237E75"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2DB71EC1" w14:textId="77777777" w:rsidR="006C6FF6" w:rsidRDefault="006C6FF6" w:rsidP="00B43595"/>
                    <w:p w14:paraId="65239A3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1DF3FF7" w14:textId="77777777" w:rsidR="006C6FF6" w:rsidRDefault="006C6FF6" w:rsidP="00B43595"/>
                    <w:p w14:paraId="0CA5AB5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AABF74F" w14:textId="77777777" w:rsidR="006C6FF6" w:rsidRDefault="006C6FF6" w:rsidP="00B43595"/>
                    <w:p w14:paraId="423B7A7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ED56511" w14:textId="77777777" w:rsidR="006C6FF6" w:rsidRDefault="006C6FF6" w:rsidP="00B43595"/>
                    <w:p w14:paraId="5B932E7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386A7DA6" w14:textId="77777777" w:rsidR="006C6FF6" w:rsidRDefault="006C6FF6" w:rsidP="00B43595"/>
                    <w:p w14:paraId="68630ACA"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3AA1DE25" w14:textId="77777777" w:rsidR="006C6FF6" w:rsidRDefault="006C6FF6" w:rsidP="00B43595"/>
                    <w:p w14:paraId="6ED40775"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72F016C" w14:textId="77777777" w:rsidR="006C6FF6" w:rsidRDefault="006C6FF6" w:rsidP="00B43595"/>
                    <w:p w14:paraId="4156780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D48998A" w14:textId="77777777" w:rsidR="006C6FF6" w:rsidRDefault="006C6FF6" w:rsidP="00B43595"/>
                    <w:p w14:paraId="5536FE8D"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9D042A3" w14:textId="77777777" w:rsidR="006C6FF6" w:rsidRDefault="006C6FF6" w:rsidP="00B43595"/>
                    <w:p w14:paraId="059931C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1172223" w14:textId="77777777" w:rsidR="006C6FF6" w:rsidRPr="00A3353C" w:rsidRDefault="006C6FF6" w:rsidP="00B43595">
                      <w:pPr>
                        <w:jc w:val="right"/>
                        <w:rPr>
                          <w:sz w:val="74"/>
                          <w:szCs w:val="74"/>
                        </w:rPr>
                      </w:pPr>
                    </w:p>
                    <w:p w14:paraId="4F85952C" w14:textId="77777777" w:rsidR="006C6FF6" w:rsidRDefault="006C6FF6" w:rsidP="00B43595">
                      <w:pPr>
                        <w:jc w:val="right"/>
                      </w:pPr>
                    </w:p>
                    <w:p w14:paraId="52B88782"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0C336DDB" w14:textId="77777777" w:rsidR="006C6FF6" w:rsidRDefault="006C6FF6" w:rsidP="00B43595"/>
                    <w:p w14:paraId="2C0A260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1C62A31B" w14:textId="77777777" w:rsidR="006C6FF6" w:rsidRDefault="006C6FF6" w:rsidP="00B43595"/>
                    <w:p w14:paraId="0F18093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8275F79" w14:textId="77777777" w:rsidR="006C6FF6" w:rsidRDefault="006C6FF6" w:rsidP="00B43595"/>
                    <w:p w14:paraId="09867788"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6A45654" w14:textId="77777777" w:rsidR="006C6FF6" w:rsidRDefault="006C6FF6" w:rsidP="00B43595"/>
                    <w:p w14:paraId="699097A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6B16B1EA" w14:textId="77777777" w:rsidR="006C6FF6" w:rsidRDefault="006C6FF6" w:rsidP="00B43595"/>
                    <w:p w14:paraId="60B44C73" w14:textId="77777777" w:rsidR="006C6FF6" w:rsidRDefault="006C6FF6" w:rsidP="00B43595"/>
                    <w:p w14:paraId="7FE5CE1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E201AEE" w14:textId="77777777" w:rsidR="006C6FF6" w:rsidRPr="00A3353C" w:rsidRDefault="006C6FF6" w:rsidP="00B43595">
                      <w:pPr>
                        <w:jc w:val="right"/>
                        <w:rPr>
                          <w:sz w:val="74"/>
                          <w:szCs w:val="74"/>
                        </w:rPr>
                      </w:pPr>
                    </w:p>
                    <w:p w14:paraId="20B5D688" w14:textId="77777777" w:rsidR="006C6FF6" w:rsidRDefault="006C6FF6" w:rsidP="00B43595">
                      <w:pPr>
                        <w:jc w:val="right"/>
                      </w:pPr>
                    </w:p>
                    <w:p w14:paraId="7AF3F07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B5D66B0" w14:textId="77777777" w:rsidR="006C6FF6" w:rsidRPr="00A3353C" w:rsidRDefault="006C6FF6" w:rsidP="00B43595">
                      <w:pPr>
                        <w:jc w:val="right"/>
                        <w:rPr>
                          <w:sz w:val="74"/>
                          <w:szCs w:val="74"/>
                        </w:rPr>
                      </w:pPr>
                    </w:p>
                    <w:p w14:paraId="49395D35" w14:textId="77777777" w:rsidR="006C6FF6" w:rsidRDefault="006C6FF6" w:rsidP="00B43595"/>
                    <w:p w14:paraId="38B98A0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0F1FFB8" w14:textId="77777777" w:rsidR="006C6FF6" w:rsidRPr="00A3353C" w:rsidRDefault="006C6FF6" w:rsidP="00B43595">
                      <w:pPr>
                        <w:jc w:val="right"/>
                        <w:rPr>
                          <w:sz w:val="74"/>
                          <w:szCs w:val="74"/>
                        </w:rPr>
                      </w:pPr>
                    </w:p>
                    <w:p w14:paraId="1EEC1E5F" w14:textId="77777777" w:rsidR="006C6FF6" w:rsidRDefault="006C6FF6" w:rsidP="00B43595">
                      <w:pPr>
                        <w:jc w:val="right"/>
                      </w:pPr>
                    </w:p>
                    <w:p w14:paraId="6355E4E5"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713B22D8" w14:textId="77777777" w:rsidR="006C6FF6" w:rsidRDefault="006C6FF6" w:rsidP="00B43595"/>
                    <w:p w14:paraId="04B4A9C4"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21E169E5" w14:textId="77777777" w:rsidR="006C6FF6" w:rsidRDefault="006C6FF6" w:rsidP="00B43595"/>
                    <w:p w14:paraId="5FA837AD"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36CDE9C" w14:textId="77777777" w:rsidR="006C6FF6" w:rsidRDefault="006C6FF6" w:rsidP="00B43595"/>
                    <w:p w14:paraId="12A4DCB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9B339DB" w14:textId="77777777" w:rsidR="006C6FF6" w:rsidRDefault="006C6FF6" w:rsidP="00B43595"/>
                    <w:p w14:paraId="4BBF724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A90FBD2" w14:textId="77777777" w:rsidR="006C6FF6" w:rsidRDefault="006C6FF6" w:rsidP="00B43595"/>
                    <w:p w14:paraId="771966D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48AAE0E" w14:textId="77777777" w:rsidR="006C6FF6" w:rsidRPr="00A3353C" w:rsidRDefault="006C6FF6" w:rsidP="00B43595">
                      <w:pPr>
                        <w:jc w:val="right"/>
                        <w:rPr>
                          <w:sz w:val="74"/>
                          <w:szCs w:val="74"/>
                        </w:rPr>
                      </w:pPr>
                    </w:p>
                    <w:p w14:paraId="77441D3C" w14:textId="77777777" w:rsidR="006C6FF6" w:rsidRDefault="006C6FF6" w:rsidP="00B43595">
                      <w:pPr>
                        <w:jc w:val="right"/>
                      </w:pPr>
                    </w:p>
                    <w:p w14:paraId="0B2271F3"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437A212A" w14:textId="77777777" w:rsidR="006C6FF6" w:rsidRDefault="006C6FF6" w:rsidP="00B43595"/>
                    <w:p w14:paraId="3F571057"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A1AA968" w14:textId="77777777" w:rsidR="006C6FF6" w:rsidRDefault="006C6FF6" w:rsidP="00B43595"/>
                    <w:p w14:paraId="3BE1BF6B"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E792E08" w14:textId="77777777" w:rsidR="006C6FF6" w:rsidRDefault="006C6FF6" w:rsidP="00B43595"/>
                    <w:p w14:paraId="69E7D1A7"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D62F152" w14:textId="77777777" w:rsidR="006C6FF6" w:rsidRDefault="006C6FF6" w:rsidP="00B43595"/>
                    <w:p w14:paraId="57D0C81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7F9899AD" w14:textId="77777777" w:rsidR="006C6FF6" w:rsidRDefault="006C6FF6" w:rsidP="00B43595"/>
                    <w:p w14:paraId="1C4C9010"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403F865C" w14:textId="77777777" w:rsidR="006C6FF6" w:rsidRDefault="006C6FF6" w:rsidP="00B43595"/>
                    <w:p w14:paraId="60125B6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B48578E" w14:textId="77777777" w:rsidR="006C6FF6" w:rsidRDefault="006C6FF6" w:rsidP="00B43595"/>
                    <w:p w14:paraId="6153A8B8"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17C7548" w14:textId="77777777" w:rsidR="006C6FF6" w:rsidRDefault="006C6FF6" w:rsidP="00B43595"/>
                    <w:p w14:paraId="7EAC2E35"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E75AC67" w14:textId="77777777" w:rsidR="006C6FF6" w:rsidRDefault="006C6FF6" w:rsidP="00B43595"/>
                    <w:p w14:paraId="7363BCB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44B9564" w14:textId="77777777" w:rsidR="006C6FF6" w:rsidRPr="00A3353C" w:rsidRDefault="006C6FF6" w:rsidP="00B43595">
                      <w:pPr>
                        <w:jc w:val="right"/>
                        <w:rPr>
                          <w:sz w:val="74"/>
                          <w:szCs w:val="74"/>
                        </w:rPr>
                      </w:pPr>
                    </w:p>
                    <w:p w14:paraId="72AF0028" w14:textId="77777777" w:rsidR="006C6FF6" w:rsidRDefault="006C6FF6" w:rsidP="00B43595">
                      <w:pPr>
                        <w:jc w:val="right"/>
                      </w:pPr>
                    </w:p>
                    <w:p w14:paraId="3EA5EEC6"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7EC5FFA9" w14:textId="77777777" w:rsidR="006C6FF6" w:rsidRDefault="006C6FF6" w:rsidP="00B43595"/>
                    <w:p w14:paraId="0CEDFF84"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1702E04" w14:textId="77777777" w:rsidR="006C6FF6" w:rsidRDefault="006C6FF6" w:rsidP="00B43595"/>
                    <w:p w14:paraId="67A218BB"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09BB080" w14:textId="77777777" w:rsidR="006C6FF6" w:rsidRDefault="006C6FF6" w:rsidP="00B43595"/>
                    <w:p w14:paraId="7FCEEDE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08A6541" w14:textId="77777777" w:rsidR="006C6FF6" w:rsidRDefault="006C6FF6" w:rsidP="00B43595"/>
                    <w:p w14:paraId="185B457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008460FD" w14:textId="77777777" w:rsidR="006C6FF6" w:rsidRDefault="006C6FF6" w:rsidP="00B43595"/>
                    <w:p w14:paraId="71898853" w14:textId="77777777" w:rsidR="006C6FF6" w:rsidRDefault="006C6FF6" w:rsidP="00B43595"/>
                    <w:p w14:paraId="443FBDC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C5F862E" w14:textId="77777777" w:rsidR="006C6FF6" w:rsidRPr="00A3353C" w:rsidRDefault="006C6FF6" w:rsidP="00B43595">
                      <w:pPr>
                        <w:jc w:val="right"/>
                        <w:rPr>
                          <w:sz w:val="74"/>
                          <w:szCs w:val="74"/>
                        </w:rPr>
                      </w:pPr>
                    </w:p>
                    <w:p w14:paraId="57AB7038" w14:textId="77777777" w:rsidR="006C6FF6" w:rsidRDefault="006C6FF6" w:rsidP="00B43595">
                      <w:pPr>
                        <w:jc w:val="right"/>
                      </w:pPr>
                    </w:p>
                    <w:p w14:paraId="66FD088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43E253A" w14:textId="77777777" w:rsidR="006C6FF6" w:rsidRPr="00A3353C" w:rsidRDefault="006C6FF6" w:rsidP="00B43595">
                      <w:pPr>
                        <w:jc w:val="right"/>
                        <w:rPr>
                          <w:sz w:val="74"/>
                          <w:szCs w:val="74"/>
                        </w:rPr>
                      </w:pPr>
                    </w:p>
                    <w:p w14:paraId="2F26DC4A" w14:textId="77777777" w:rsidR="006C6FF6" w:rsidRDefault="006C6FF6" w:rsidP="00B43595"/>
                    <w:p w14:paraId="00DDE1E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B2FCDF4" w14:textId="77777777" w:rsidR="006C6FF6" w:rsidRPr="00A3353C" w:rsidRDefault="006C6FF6" w:rsidP="00B43595">
                      <w:pPr>
                        <w:jc w:val="right"/>
                        <w:rPr>
                          <w:sz w:val="74"/>
                          <w:szCs w:val="74"/>
                        </w:rPr>
                      </w:pPr>
                    </w:p>
                    <w:p w14:paraId="53FCF995" w14:textId="77777777" w:rsidR="006C6FF6" w:rsidRDefault="006C6FF6" w:rsidP="00B43595">
                      <w:pPr>
                        <w:jc w:val="right"/>
                      </w:pPr>
                    </w:p>
                    <w:p w14:paraId="2AFFBCAC"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2FF5C968" w14:textId="77777777" w:rsidR="006C6FF6" w:rsidRDefault="006C6FF6" w:rsidP="00B43595"/>
                    <w:p w14:paraId="033C7A18" w14:textId="77777777" w:rsidR="006C6FF6" w:rsidRDefault="006C6FF6" w:rsidP="00B43595"/>
                    <w:p w14:paraId="42249FFE"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21AB2BD" w14:textId="77777777" w:rsidR="006C6FF6" w:rsidRPr="00A3353C" w:rsidRDefault="006C6FF6" w:rsidP="00B43595">
                      <w:pPr>
                        <w:jc w:val="right"/>
                        <w:rPr>
                          <w:sz w:val="74"/>
                          <w:szCs w:val="74"/>
                        </w:rPr>
                      </w:pPr>
                    </w:p>
                    <w:p w14:paraId="2547B083" w14:textId="77777777" w:rsidR="006C6FF6" w:rsidRDefault="006C6FF6" w:rsidP="00B43595">
                      <w:pPr>
                        <w:jc w:val="right"/>
                      </w:pPr>
                    </w:p>
                    <w:p w14:paraId="4A4B5FB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8A4C0CF" w14:textId="77777777" w:rsidR="006C6FF6" w:rsidRPr="00A3353C" w:rsidRDefault="006C6FF6" w:rsidP="00B43595">
                      <w:pPr>
                        <w:jc w:val="right"/>
                        <w:rPr>
                          <w:sz w:val="74"/>
                          <w:szCs w:val="74"/>
                        </w:rPr>
                      </w:pPr>
                    </w:p>
                    <w:p w14:paraId="7385954B" w14:textId="77777777" w:rsidR="006C6FF6" w:rsidRDefault="006C6FF6" w:rsidP="00B43595"/>
                    <w:p w14:paraId="66BD651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ADD07F1" w14:textId="77777777" w:rsidR="006C6FF6" w:rsidRPr="00A3353C" w:rsidRDefault="006C6FF6" w:rsidP="00B43595">
                      <w:pPr>
                        <w:jc w:val="right"/>
                        <w:rPr>
                          <w:sz w:val="74"/>
                          <w:szCs w:val="74"/>
                        </w:rPr>
                      </w:pPr>
                    </w:p>
                    <w:p w14:paraId="5C866C6F" w14:textId="77777777" w:rsidR="006C6FF6" w:rsidRDefault="006C6FF6" w:rsidP="00B43595">
                      <w:pPr>
                        <w:jc w:val="right"/>
                      </w:pPr>
                    </w:p>
                    <w:p w14:paraId="2BFACDE5"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FB98F6D" w14:textId="77777777" w:rsidR="006C6FF6" w:rsidRPr="00A3353C" w:rsidRDefault="006C6FF6" w:rsidP="00B43595">
                      <w:pPr>
                        <w:jc w:val="right"/>
                        <w:rPr>
                          <w:sz w:val="74"/>
                          <w:szCs w:val="74"/>
                        </w:rPr>
                      </w:pPr>
                    </w:p>
                    <w:p w14:paraId="1CC01C25" w14:textId="77777777" w:rsidR="006C6FF6" w:rsidRDefault="006C6FF6" w:rsidP="00B43595"/>
                    <w:p w14:paraId="11047F3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49187FE" w14:textId="77777777" w:rsidR="006C6FF6" w:rsidRPr="00A3353C" w:rsidRDefault="006C6FF6" w:rsidP="00B43595">
                      <w:pPr>
                        <w:jc w:val="right"/>
                        <w:rPr>
                          <w:sz w:val="74"/>
                          <w:szCs w:val="74"/>
                        </w:rPr>
                      </w:pPr>
                    </w:p>
                    <w:p w14:paraId="0E1B16C2" w14:textId="77777777" w:rsidR="006C6FF6" w:rsidRDefault="006C6FF6" w:rsidP="00B43595">
                      <w:pPr>
                        <w:jc w:val="right"/>
                      </w:pPr>
                    </w:p>
                    <w:p w14:paraId="4044D124"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B18228D" w14:textId="77777777" w:rsidR="006C6FF6" w:rsidRPr="00A3353C" w:rsidRDefault="006C6FF6" w:rsidP="00B43595">
                      <w:pPr>
                        <w:jc w:val="right"/>
                        <w:rPr>
                          <w:sz w:val="74"/>
                          <w:szCs w:val="74"/>
                        </w:rPr>
                      </w:pPr>
                    </w:p>
                    <w:p w14:paraId="57F25835" w14:textId="77777777" w:rsidR="006C6FF6" w:rsidRDefault="006C6FF6" w:rsidP="00B43595"/>
                    <w:p w14:paraId="072ED30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A6385D9" w14:textId="77777777" w:rsidR="006C6FF6" w:rsidRPr="00A3353C" w:rsidRDefault="006C6FF6" w:rsidP="00B43595">
                      <w:pPr>
                        <w:jc w:val="right"/>
                        <w:rPr>
                          <w:sz w:val="74"/>
                          <w:szCs w:val="74"/>
                        </w:rPr>
                      </w:pPr>
                    </w:p>
                    <w:p w14:paraId="47128D6E" w14:textId="77777777" w:rsidR="006C6FF6" w:rsidRDefault="006C6FF6" w:rsidP="00B43595">
                      <w:pPr>
                        <w:jc w:val="right"/>
                      </w:pPr>
                    </w:p>
                    <w:p w14:paraId="2DC88642"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0D36EE4" w14:textId="77777777" w:rsidR="006C6FF6" w:rsidRDefault="006C6FF6" w:rsidP="00B43595"/>
                    <w:p w14:paraId="4A51DD4C" w14:textId="77777777" w:rsidR="006C6FF6" w:rsidRDefault="006C6FF6" w:rsidP="00B43595"/>
                    <w:p w14:paraId="41A3767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7058276" w14:textId="77777777" w:rsidR="006C6FF6" w:rsidRPr="00A3353C" w:rsidRDefault="006C6FF6" w:rsidP="00B43595">
                      <w:pPr>
                        <w:jc w:val="right"/>
                        <w:rPr>
                          <w:sz w:val="74"/>
                          <w:szCs w:val="74"/>
                        </w:rPr>
                      </w:pPr>
                    </w:p>
                    <w:p w14:paraId="696AB5AB" w14:textId="77777777" w:rsidR="006C6FF6" w:rsidRDefault="006C6FF6" w:rsidP="00B43595">
                      <w:pPr>
                        <w:jc w:val="right"/>
                      </w:pPr>
                    </w:p>
                    <w:p w14:paraId="3DC841E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6961503" w14:textId="77777777" w:rsidR="006C6FF6" w:rsidRPr="00A3353C" w:rsidRDefault="006C6FF6" w:rsidP="00B43595">
                      <w:pPr>
                        <w:jc w:val="right"/>
                        <w:rPr>
                          <w:sz w:val="74"/>
                          <w:szCs w:val="74"/>
                        </w:rPr>
                      </w:pPr>
                    </w:p>
                    <w:p w14:paraId="06B0EDDC" w14:textId="77777777" w:rsidR="006C6FF6" w:rsidRDefault="006C6FF6" w:rsidP="00B43595"/>
                    <w:p w14:paraId="4CA1B54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2B3A8D9" w14:textId="77777777" w:rsidR="006C6FF6" w:rsidRPr="00A3353C" w:rsidRDefault="006C6FF6" w:rsidP="00B43595">
                      <w:pPr>
                        <w:jc w:val="right"/>
                        <w:rPr>
                          <w:sz w:val="74"/>
                          <w:szCs w:val="74"/>
                        </w:rPr>
                      </w:pPr>
                    </w:p>
                    <w:p w14:paraId="7161810B" w14:textId="77777777" w:rsidR="006C6FF6" w:rsidRDefault="006C6FF6" w:rsidP="00B43595">
                      <w:pPr>
                        <w:jc w:val="right"/>
                      </w:pPr>
                    </w:p>
                    <w:p w14:paraId="44A078B5"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5B439F61" w14:textId="77777777" w:rsidR="006C6FF6" w:rsidRDefault="006C6FF6" w:rsidP="00B43595"/>
                    <w:p w14:paraId="4C462E18"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3B63311A" w14:textId="77777777" w:rsidR="006C6FF6" w:rsidRDefault="006C6FF6" w:rsidP="00B43595"/>
                    <w:p w14:paraId="675F78E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4AD1FB0" w14:textId="77777777" w:rsidR="006C6FF6" w:rsidRDefault="006C6FF6" w:rsidP="00B43595"/>
                    <w:p w14:paraId="10A5758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699DC83" w14:textId="77777777" w:rsidR="006C6FF6" w:rsidRDefault="006C6FF6" w:rsidP="00B43595"/>
                    <w:p w14:paraId="47AD50B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EFEBFD1" w14:textId="77777777" w:rsidR="006C6FF6" w:rsidRDefault="006C6FF6" w:rsidP="00B43595"/>
                    <w:p w14:paraId="6E11A35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5B54350" w14:textId="77777777" w:rsidR="006C6FF6" w:rsidRPr="00A3353C" w:rsidRDefault="006C6FF6" w:rsidP="00B43595">
                      <w:pPr>
                        <w:jc w:val="right"/>
                        <w:rPr>
                          <w:sz w:val="74"/>
                          <w:szCs w:val="74"/>
                        </w:rPr>
                      </w:pPr>
                    </w:p>
                    <w:p w14:paraId="05E418C7" w14:textId="77777777" w:rsidR="006C6FF6" w:rsidRDefault="006C6FF6" w:rsidP="00B43595">
                      <w:pPr>
                        <w:jc w:val="right"/>
                      </w:pPr>
                    </w:p>
                    <w:p w14:paraId="1A972D10"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34A87D14" w14:textId="77777777" w:rsidR="006C6FF6" w:rsidRDefault="006C6FF6" w:rsidP="00B43595"/>
                    <w:p w14:paraId="3ED33FE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9487B3B" w14:textId="77777777" w:rsidR="006C6FF6" w:rsidRDefault="006C6FF6" w:rsidP="00B43595"/>
                    <w:p w14:paraId="7CAC643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C8E883E" w14:textId="77777777" w:rsidR="006C6FF6" w:rsidRDefault="006C6FF6" w:rsidP="00B43595"/>
                    <w:p w14:paraId="030DBE1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14347A9" w14:textId="77777777" w:rsidR="006C6FF6" w:rsidRDefault="006C6FF6" w:rsidP="00B43595"/>
                    <w:p w14:paraId="4D20F22B"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03F728F3" w14:textId="77777777" w:rsidR="006C6FF6" w:rsidRDefault="006C6FF6" w:rsidP="00B43595"/>
                    <w:p w14:paraId="3BEAB723"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368090C8" w14:textId="77777777" w:rsidR="006C6FF6" w:rsidRDefault="006C6FF6" w:rsidP="00B43595"/>
                    <w:p w14:paraId="7D3F250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A7CEF69" w14:textId="77777777" w:rsidR="006C6FF6" w:rsidRDefault="006C6FF6" w:rsidP="00B43595"/>
                    <w:p w14:paraId="25F975E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E2BC70C" w14:textId="77777777" w:rsidR="006C6FF6" w:rsidRDefault="006C6FF6" w:rsidP="00B43595"/>
                    <w:p w14:paraId="20800BCD"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B517570" w14:textId="77777777" w:rsidR="006C6FF6" w:rsidRDefault="006C6FF6" w:rsidP="00B43595"/>
                    <w:p w14:paraId="2F132BD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D85D583" w14:textId="77777777" w:rsidR="006C6FF6" w:rsidRPr="00A3353C" w:rsidRDefault="006C6FF6" w:rsidP="00B43595">
                      <w:pPr>
                        <w:jc w:val="right"/>
                        <w:rPr>
                          <w:sz w:val="74"/>
                          <w:szCs w:val="74"/>
                        </w:rPr>
                      </w:pPr>
                    </w:p>
                    <w:p w14:paraId="625CC679" w14:textId="77777777" w:rsidR="006C6FF6" w:rsidRDefault="006C6FF6" w:rsidP="00B43595">
                      <w:pPr>
                        <w:jc w:val="right"/>
                      </w:pPr>
                    </w:p>
                    <w:p w14:paraId="1C36FF87"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04F5A348" w14:textId="77777777" w:rsidR="006C6FF6" w:rsidRDefault="006C6FF6" w:rsidP="00B43595"/>
                    <w:p w14:paraId="5E85AE56"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97E0763" w14:textId="77777777" w:rsidR="006C6FF6" w:rsidRDefault="006C6FF6" w:rsidP="00B43595"/>
                    <w:p w14:paraId="02EE3B42"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86401BC" w14:textId="77777777" w:rsidR="006C6FF6" w:rsidRDefault="006C6FF6" w:rsidP="00B43595"/>
                    <w:p w14:paraId="7FA349F5"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65949D6" w14:textId="77777777" w:rsidR="006C6FF6" w:rsidRDefault="006C6FF6" w:rsidP="00B43595"/>
                    <w:p w14:paraId="1A725B7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302B3A46" w14:textId="77777777" w:rsidR="006C6FF6" w:rsidRDefault="006C6FF6" w:rsidP="00B43595"/>
                    <w:p w14:paraId="05674DB3" w14:textId="77777777" w:rsidR="006C6FF6" w:rsidRDefault="006C6FF6" w:rsidP="00B43595"/>
                    <w:p w14:paraId="671C7D5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B00ED49" w14:textId="77777777" w:rsidR="006C6FF6" w:rsidRPr="00A3353C" w:rsidRDefault="006C6FF6" w:rsidP="00B43595">
                      <w:pPr>
                        <w:jc w:val="right"/>
                        <w:rPr>
                          <w:sz w:val="74"/>
                          <w:szCs w:val="74"/>
                        </w:rPr>
                      </w:pPr>
                    </w:p>
                    <w:p w14:paraId="7D9BE754" w14:textId="77777777" w:rsidR="006C6FF6" w:rsidRDefault="006C6FF6" w:rsidP="00B43595">
                      <w:pPr>
                        <w:jc w:val="right"/>
                      </w:pPr>
                    </w:p>
                    <w:p w14:paraId="61066B3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E4CE863" w14:textId="77777777" w:rsidR="006C6FF6" w:rsidRPr="00A3353C" w:rsidRDefault="006C6FF6" w:rsidP="00B43595">
                      <w:pPr>
                        <w:jc w:val="right"/>
                        <w:rPr>
                          <w:sz w:val="74"/>
                          <w:szCs w:val="74"/>
                        </w:rPr>
                      </w:pPr>
                    </w:p>
                    <w:p w14:paraId="777C0703" w14:textId="77777777" w:rsidR="006C6FF6" w:rsidRDefault="006C6FF6" w:rsidP="00B43595"/>
                    <w:p w14:paraId="6C25F14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6A52B80" w14:textId="77777777" w:rsidR="006C6FF6" w:rsidRPr="00A3353C" w:rsidRDefault="006C6FF6" w:rsidP="00B43595">
                      <w:pPr>
                        <w:jc w:val="right"/>
                        <w:rPr>
                          <w:sz w:val="74"/>
                          <w:szCs w:val="74"/>
                        </w:rPr>
                      </w:pPr>
                    </w:p>
                    <w:p w14:paraId="09827BBC" w14:textId="77777777" w:rsidR="006C6FF6" w:rsidRDefault="006C6FF6" w:rsidP="00B43595">
                      <w:pPr>
                        <w:jc w:val="right"/>
                      </w:pPr>
                    </w:p>
                    <w:p w14:paraId="6DD1918B"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1BC96ED2" w14:textId="77777777" w:rsidR="006C6FF6" w:rsidRDefault="006C6FF6" w:rsidP="00B43595"/>
                    <w:p w14:paraId="19AD225E"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220C2CD8" w14:textId="77777777" w:rsidR="006C6FF6" w:rsidRDefault="006C6FF6" w:rsidP="00B43595"/>
                    <w:p w14:paraId="482112E4"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7DE860D" w14:textId="77777777" w:rsidR="006C6FF6" w:rsidRDefault="006C6FF6" w:rsidP="00B43595"/>
                    <w:p w14:paraId="6EC976A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1DA3EB6" w14:textId="77777777" w:rsidR="006C6FF6" w:rsidRDefault="006C6FF6" w:rsidP="00B43595"/>
                    <w:p w14:paraId="6CA495C5"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112959D" w14:textId="77777777" w:rsidR="006C6FF6" w:rsidRDefault="006C6FF6" w:rsidP="00B43595"/>
                    <w:p w14:paraId="4102630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39CF555" w14:textId="77777777" w:rsidR="006C6FF6" w:rsidRPr="00A3353C" w:rsidRDefault="006C6FF6" w:rsidP="00B43595">
                      <w:pPr>
                        <w:jc w:val="right"/>
                        <w:rPr>
                          <w:sz w:val="74"/>
                          <w:szCs w:val="74"/>
                        </w:rPr>
                      </w:pPr>
                    </w:p>
                    <w:p w14:paraId="077C8643" w14:textId="77777777" w:rsidR="006C6FF6" w:rsidRDefault="006C6FF6" w:rsidP="00B43595">
                      <w:pPr>
                        <w:jc w:val="right"/>
                      </w:pPr>
                    </w:p>
                    <w:p w14:paraId="4F377DA6"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1EDC23D2" w14:textId="77777777" w:rsidR="006C6FF6" w:rsidRDefault="006C6FF6" w:rsidP="00B43595"/>
                    <w:p w14:paraId="7E56F2F2"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8B32EF0" w14:textId="77777777" w:rsidR="006C6FF6" w:rsidRDefault="006C6FF6" w:rsidP="00B43595"/>
                    <w:p w14:paraId="3D1CA54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EFE34F8" w14:textId="77777777" w:rsidR="006C6FF6" w:rsidRDefault="006C6FF6" w:rsidP="00B43595"/>
                    <w:p w14:paraId="4942D83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46CE8A8" w14:textId="77777777" w:rsidR="006C6FF6" w:rsidRDefault="006C6FF6" w:rsidP="00B43595"/>
                    <w:p w14:paraId="01263D7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3311B0B0" w14:textId="77777777" w:rsidR="006C6FF6" w:rsidRDefault="006C6FF6" w:rsidP="00B43595"/>
                    <w:p w14:paraId="48B42655"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422F5A6A" w14:textId="77777777" w:rsidR="006C6FF6" w:rsidRDefault="006C6FF6" w:rsidP="00B43595"/>
                    <w:p w14:paraId="2DAC7A4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CDB2971" w14:textId="77777777" w:rsidR="006C6FF6" w:rsidRDefault="006C6FF6" w:rsidP="00B43595"/>
                    <w:p w14:paraId="0ED1AA5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1C81BB95" w14:textId="77777777" w:rsidR="006C6FF6" w:rsidRDefault="006C6FF6" w:rsidP="00B43595"/>
                    <w:p w14:paraId="3805F807"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8090786" w14:textId="77777777" w:rsidR="006C6FF6" w:rsidRDefault="006C6FF6" w:rsidP="00B43595"/>
                    <w:p w14:paraId="6D72777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B5F187B" w14:textId="77777777" w:rsidR="006C6FF6" w:rsidRPr="00A3353C" w:rsidRDefault="006C6FF6" w:rsidP="00B43595">
                      <w:pPr>
                        <w:jc w:val="right"/>
                        <w:rPr>
                          <w:sz w:val="74"/>
                          <w:szCs w:val="74"/>
                        </w:rPr>
                      </w:pPr>
                    </w:p>
                    <w:p w14:paraId="6A3AFC53" w14:textId="77777777" w:rsidR="006C6FF6" w:rsidRDefault="006C6FF6" w:rsidP="00B43595">
                      <w:pPr>
                        <w:jc w:val="right"/>
                      </w:pPr>
                    </w:p>
                    <w:p w14:paraId="73EEED97"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301DBA35" w14:textId="77777777" w:rsidR="006C6FF6" w:rsidRDefault="006C6FF6" w:rsidP="00B43595"/>
                    <w:p w14:paraId="7F7D62E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849694F" w14:textId="77777777" w:rsidR="006C6FF6" w:rsidRDefault="006C6FF6" w:rsidP="00B43595"/>
                    <w:p w14:paraId="0359A03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0633CE3" w14:textId="77777777" w:rsidR="006C6FF6" w:rsidRDefault="006C6FF6" w:rsidP="00B43595"/>
                    <w:p w14:paraId="1A23961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24126ED" w14:textId="77777777" w:rsidR="006C6FF6" w:rsidRDefault="006C6FF6" w:rsidP="00B43595"/>
                    <w:p w14:paraId="787F2BA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41B9E860" w14:textId="77777777" w:rsidR="006C6FF6" w:rsidRDefault="006C6FF6" w:rsidP="00B43595"/>
                    <w:p w14:paraId="141494E7" w14:textId="77777777" w:rsidR="006C6FF6" w:rsidRDefault="006C6FF6" w:rsidP="00B43595"/>
                    <w:p w14:paraId="74A1163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2DE33F0" w14:textId="77777777" w:rsidR="006C6FF6" w:rsidRPr="00A3353C" w:rsidRDefault="006C6FF6" w:rsidP="00B43595">
                      <w:pPr>
                        <w:jc w:val="right"/>
                        <w:rPr>
                          <w:sz w:val="74"/>
                          <w:szCs w:val="74"/>
                        </w:rPr>
                      </w:pPr>
                    </w:p>
                    <w:p w14:paraId="017B770D" w14:textId="77777777" w:rsidR="006C6FF6" w:rsidRDefault="006C6FF6" w:rsidP="00B43595">
                      <w:pPr>
                        <w:jc w:val="right"/>
                      </w:pPr>
                    </w:p>
                    <w:p w14:paraId="7892E0A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5C2141B" w14:textId="77777777" w:rsidR="006C6FF6" w:rsidRPr="00A3353C" w:rsidRDefault="006C6FF6" w:rsidP="00B43595">
                      <w:pPr>
                        <w:jc w:val="right"/>
                        <w:rPr>
                          <w:sz w:val="74"/>
                          <w:szCs w:val="74"/>
                        </w:rPr>
                      </w:pPr>
                    </w:p>
                    <w:p w14:paraId="718A2B4B" w14:textId="77777777" w:rsidR="006C6FF6" w:rsidRDefault="006C6FF6" w:rsidP="00B43595"/>
                    <w:p w14:paraId="5CABD42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6F5E7CE" w14:textId="77777777" w:rsidR="006C6FF6" w:rsidRPr="00A3353C" w:rsidRDefault="006C6FF6" w:rsidP="00B43595">
                      <w:pPr>
                        <w:jc w:val="right"/>
                        <w:rPr>
                          <w:sz w:val="74"/>
                          <w:szCs w:val="74"/>
                        </w:rPr>
                      </w:pPr>
                    </w:p>
                    <w:p w14:paraId="62CAA04D" w14:textId="77777777" w:rsidR="006C6FF6" w:rsidRDefault="006C6FF6" w:rsidP="00B43595">
                      <w:pPr>
                        <w:jc w:val="right"/>
                      </w:pPr>
                    </w:p>
                    <w:p w14:paraId="12749B58"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1E782BA1" w14:textId="77777777" w:rsidR="006C6FF6" w:rsidRDefault="006C6FF6" w:rsidP="00B43595"/>
                    <w:p w14:paraId="032E7CDC" w14:textId="77777777" w:rsidR="006C6FF6" w:rsidRDefault="006C6FF6" w:rsidP="00B43595"/>
                    <w:p w14:paraId="2978AE55"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5C4C561" w14:textId="77777777" w:rsidR="006C6FF6" w:rsidRPr="00A3353C" w:rsidRDefault="006C6FF6" w:rsidP="00B43595">
                      <w:pPr>
                        <w:jc w:val="right"/>
                        <w:rPr>
                          <w:sz w:val="74"/>
                          <w:szCs w:val="74"/>
                        </w:rPr>
                      </w:pPr>
                    </w:p>
                    <w:p w14:paraId="38D4E431" w14:textId="77777777" w:rsidR="006C6FF6" w:rsidRDefault="006C6FF6" w:rsidP="00B43595">
                      <w:pPr>
                        <w:jc w:val="right"/>
                      </w:pPr>
                    </w:p>
                    <w:p w14:paraId="5A43105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9D743C1" w14:textId="77777777" w:rsidR="006C6FF6" w:rsidRPr="00A3353C" w:rsidRDefault="006C6FF6" w:rsidP="00B43595">
                      <w:pPr>
                        <w:jc w:val="right"/>
                        <w:rPr>
                          <w:sz w:val="74"/>
                          <w:szCs w:val="74"/>
                        </w:rPr>
                      </w:pPr>
                    </w:p>
                    <w:p w14:paraId="324F3501" w14:textId="77777777" w:rsidR="006C6FF6" w:rsidRDefault="006C6FF6" w:rsidP="00B43595"/>
                    <w:p w14:paraId="23B144C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2A9335A" w14:textId="77777777" w:rsidR="006C6FF6" w:rsidRPr="00A3353C" w:rsidRDefault="006C6FF6" w:rsidP="00B43595">
                      <w:pPr>
                        <w:jc w:val="right"/>
                        <w:rPr>
                          <w:sz w:val="74"/>
                          <w:szCs w:val="74"/>
                        </w:rPr>
                      </w:pPr>
                    </w:p>
                    <w:p w14:paraId="1023FD75" w14:textId="77777777" w:rsidR="006C6FF6" w:rsidRDefault="006C6FF6" w:rsidP="00B43595">
                      <w:pPr>
                        <w:jc w:val="right"/>
                      </w:pPr>
                    </w:p>
                    <w:p w14:paraId="4FBF2B5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3EED7DC" w14:textId="77777777" w:rsidR="006C6FF6" w:rsidRPr="00A3353C" w:rsidRDefault="006C6FF6" w:rsidP="00B43595">
                      <w:pPr>
                        <w:jc w:val="right"/>
                        <w:rPr>
                          <w:sz w:val="74"/>
                          <w:szCs w:val="74"/>
                        </w:rPr>
                      </w:pPr>
                    </w:p>
                    <w:p w14:paraId="2CDC0DA8" w14:textId="77777777" w:rsidR="006C6FF6" w:rsidRDefault="006C6FF6" w:rsidP="00B43595"/>
                    <w:p w14:paraId="1104ADE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B8FBEB8" w14:textId="77777777" w:rsidR="006C6FF6" w:rsidRPr="00A3353C" w:rsidRDefault="006C6FF6" w:rsidP="00B43595">
                      <w:pPr>
                        <w:jc w:val="right"/>
                        <w:rPr>
                          <w:sz w:val="74"/>
                          <w:szCs w:val="74"/>
                        </w:rPr>
                      </w:pPr>
                    </w:p>
                    <w:p w14:paraId="54949034" w14:textId="77777777" w:rsidR="006C6FF6" w:rsidRDefault="006C6FF6" w:rsidP="00B43595">
                      <w:pPr>
                        <w:jc w:val="right"/>
                      </w:pPr>
                    </w:p>
                    <w:p w14:paraId="626D025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B00A412" w14:textId="77777777" w:rsidR="006C6FF6" w:rsidRPr="00A3353C" w:rsidRDefault="006C6FF6" w:rsidP="00B43595">
                      <w:pPr>
                        <w:jc w:val="right"/>
                        <w:rPr>
                          <w:sz w:val="74"/>
                          <w:szCs w:val="74"/>
                        </w:rPr>
                      </w:pPr>
                    </w:p>
                    <w:p w14:paraId="32A30ACD" w14:textId="77777777" w:rsidR="006C6FF6" w:rsidRDefault="006C6FF6" w:rsidP="00B43595"/>
                    <w:p w14:paraId="33E2202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4F87587" w14:textId="77777777" w:rsidR="006C6FF6" w:rsidRPr="00A3353C" w:rsidRDefault="006C6FF6" w:rsidP="00B43595">
                      <w:pPr>
                        <w:jc w:val="right"/>
                        <w:rPr>
                          <w:sz w:val="74"/>
                          <w:szCs w:val="74"/>
                        </w:rPr>
                      </w:pPr>
                    </w:p>
                    <w:p w14:paraId="4AC16B19" w14:textId="77777777" w:rsidR="006C6FF6" w:rsidRDefault="006C6FF6" w:rsidP="00B43595">
                      <w:pPr>
                        <w:jc w:val="right"/>
                      </w:pPr>
                    </w:p>
                    <w:p w14:paraId="79367A9E"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3A0AE5C0" w14:textId="77777777" w:rsidR="006C6FF6" w:rsidRDefault="006C6FF6" w:rsidP="00B43595"/>
                    <w:p w14:paraId="4F1CD562" w14:textId="77777777" w:rsidR="006C6FF6" w:rsidRDefault="006C6FF6" w:rsidP="00B43595"/>
                    <w:p w14:paraId="2032FA4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EB7476F" w14:textId="77777777" w:rsidR="006C6FF6" w:rsidRPr="00A3353C" w:rsidRDefault="006C6FF6" w:rsidP="00B43595">
                      <w:pPr>
                        <w:jc w:val="right"/>
                        <w:rPr>
                          <w:sz w:val="74"/>
                          <w:szCs w:val="74"/>
                        </w:rPr>
                      </w:pPr>
                    </w:p>
                    <w:p w14:paraId="383C5387" w14:textId="77777777" w:rsidR="006C6FF6" w:rsidRDefault="006C6FF6" w:rsidP="00B43595">
                      <w:pPr>
                        <w:jc w:val="right"/>
                      </w:pPr>
                    </w:p>
                    <w:p w14:paraId="7D5D3296"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B6AAECE" w14:textId="77777777" w:rsidR="006C6FF6" w:rsidRPr="00A3353C" w:rsidRDefault="006C6FF6" w:rsidP="00B43595">
                      <w:pPr>
                        <w:jc w:val="right"/>
                        <w:rPr>
                          <w:sz w:val="74"/>
                          <w:szCs w:val="74"/>
                        </w:rPr>
                      </w:pPr>
                    </w:p>
                    <w:p w14:paraId="46C12107" w14:textId="77777777" w:rsidR="006C6FF6" w:rsidRDefault="006C6FF6" w:rsidP="00B43595"/>
                    <w:p w14:paraId="7A1CDDA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071821A" w14:textId="77777777" w:rsidR="006C6FF6" w:rsidRPr="00A3353C" w:rsidRDefault="006C6FF6" w:rsidP="00B43595">
                      <w:pPr>
                        <w:jc w:val="right"/>
                        <w:rPr>
                          <w:sz w:val="74"/>
                          <w:szCs w:val="74"/>
                        </w:rPr>
                      </w:pPr>
                    </w:p>
                    <w:p w14:paraId="5D98FF47" w14:textId="77777777" w:rsidR="006C6FF6" w:rsidRDefault="006C6FF6" w:rsidP="00B43595">
                      <w:pPr>
                        <w:jc w:val="right"/>
                      </w:pPr>
                    </w:p>
                    <w:p w14:paraId="51862CD8"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23734372" w14:textId="77777777" w:rsidR="006C6FF6" w:rsidRDefault="006C6FF6" w:rsidP="00B43595"/>
                    <w:p w14:paraId="17EF3240" w14:textId="77777777" w:rsidR="006C6FF6" w:rsidRDefault="006C6FF6" w:rsidP="00B43595"/>
                    <w:p w14:paraId="4E677FD1"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39F4219" w14:textId="77777777" w:rsidR="006C6FF6" w:rsidRPr="00A3353C" w:rsidRDefault="006C6FF6" w:rsidP="00B43595">
                      <w:pPr>
                        <w:jc w:val="right"/>
                        <w:rPr>
                          <w:sz w:val="74"/>
                          <w:szCs w:val="74"/>
                        </w:rPr>
                      </w:pPr>
                    </w:p>
                    <w:p w14:paraId="3FB7BCBB" w14:textId="77777777" w:rsidR="006C6FF6" w:rsidRDefault="006C6FF6" w:rsidP="00B43595">
                      <w:pPr>
                        <w:jc w:val="right"/>
                      </w:pPr>
                    </w:p>
                    <w:p w14:paraId="06D03152"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C00D307" w14:textId="77777777" w:rsidR="006C6FF6" w:rsidRPr="00A3353C" w:rsidRDefault="006C6FF6" w:rsidP="00B43595">
                      <w:pPr>
                        <w:jc w:val="right"/>
                        <w:rPr>
                          <w:sz w:val="74"/>
                          <w:szCs w:val="74"/>
                        </w:rPr>
                      </w:pPr>
                    </w:p>
                    <w:p w14:paraId="46ACB53E" w14:textId="77777777" w:rsidR="006C6FF6" w:rsidRDefault="006C6FF6" w:rsidP="00B43595"/>
                    <w:p w14:paraId="6AB1F58B"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825D686" w14:textId="77777777" w:rsidR="006C6FF6" w:rsidRPr="00A3353C" w:rsidRDefault="006C6FF6" w:rsidP="00B43595">
                      <w:pPr>
                        <w:jc w:val="right"/>
                        <w:rPr>
                          <w:sz w:val="74"/>
                          <w:szCs w:val="74"/>
                        </w:rPr>
                      </w:pPr>
                    </w:p>
                    <w:p w14:paraId="6EA3A446" w14:textId="77777777" w:rsidR="006C6FF6" w:rsidRDefault="006C6FF6" w:rsidP="00B43595">
                      <w:pPr>
                        <w:jc w:val="right"/>
                      </w:pPr>
                    </w:p>
                    <w:p w14:paraId="16E20A3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8AEB253" w14:textId="77777777" w:rsidR="006C6FF6" w:rsidRPr="00A3353C" w:rsidRDefault="006C6FF6" w:rsidP="00B43595">
                      <w:pPr>
                        <w:jc w:val="right"/>
                        <w:rPr>
                          <w:sz w:val="74"/>
                          <w:szCs w:val="74"/>
                        </w:rPr>
                      </w:pPr>
                    </w:p>
                    <w:p w14:paraId="60FC0BE4" w14:textId="77777777" w:rsidR="006C6FF6" w:rsidRDefault="006C6FF6" w:rsidP="00B43595"/>
                    <w:p w14:paraId="40611FD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90F582A" w14:textId="77777777" w:rsidR="006C6FF6" w:rsidRPr="00A3353C" w:rsidRDefault="006C6FF6" w:rsidP="00B43595">
                      <w:pPr>
                        <w:jc w:val="right"/>
                        <w:rPr>
                          <w:sz w:val="74"/>
                          <w:szCs w:val="74"/>
                        </w:rPr>
                      </w:pPr>
                    </w:p>
                    <w:p w14:paraId="0CB63407" w14:textId="77777777" w:rsidR="006C6FF6" w:rsidRDefault="006C6FF6" w:rsidP="00B43595">
                      <w:pPr>
                        <w:jc w:val="right"/>
                      </w:pPr>
                    </w:p>
                    <w:p w14:paraId="44F6B22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71E6D0C" w14:textId="77777777" w:rsidR="006C6FF6" w:rsidRPr="00A3353C" w:rsidRDefault="006C6FF6" w:rsidP="00B43595">
                      <w:pPr>
                        <w:jc w:val="right"/>
                        <w:rPr>
                          <w:sz w:val="74"/>
                          <w:szCs w:val="74"/>
                        </w:rPr>
                      </w:pPr>
                    </w:p>
                    <w:p w14:paraId="754A3322" w14:textId="77777777" w:rsidR="006C6FF6" w:rsidRDefault="006C6FF6" w:rsidP="00B43595"/>
                    <w:p w14:paraId="3A988E0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98D3A99" w14:textId="77777777" w:rsidR="006C6FF6" w:rsidRPr="00A3353C" w:rsidRDefault="006C6FF6" w:rsidP="00B43595">
                      <w:pPr>
                        <w:jc w:val="right"/>
                        <w:rPr>
                          <w:sz w:val="74"/>
                          <w:szCs w:val="74"/>
                        </w:rPr>
                      </w:pPr>
                    </w:p>
                    <w:p w14:paraId="0A0DBED3" w14:textId="77777777" w:rsidR="006C6FF6" w:rsidRDefault="006C6FF6" w:rsidP="00B43595">
                      <w:pPr>
                        <w:jc w:val="right"/>
                      </w:pPr>
                    </w:p>
                    <w:p w14:paraId="4C5E63D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C28277C" w14:textId="77777777" w:rsidR="006C6FF6" w:rsidRPr="00A3353C" w:rsidRDefault="006C6FF6" w:rsidP="00B43595">
                      <w:pPr>
                        <w:jc w:val="right"/>
                        <w:rPr>
                          <w:sz w:val="74"/>
                          <w:szCs w:val="74"/>
                        </w:rPr>
                      </w:pPr>
                    </w:p>
                    <w:p w14:paraId="0B7FA2BB" w14:textId="77777777" w:rsidR="006C6FF6" w:rsidRDefault="006C6FF6" w:rsidP="00B43595"/>
                    <w:p w14:paraId="3A929BE0"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572C634" w14:textId="77777777" w:rsidR="006C6FF6" w:rsidRPr="00A3353C" w:rsidRDefault="006C6FF6" w:rsidP="00B43595">
                      <w:pPr>
                        <w:jc w:val="right"/>
                        <w:rPr>
                          <w:sz w:val="74"/>
                          <w:szCs w:val="74"/>
                        </w:rPr>
                      </w:pPr>
                    </w:p>
                    <w:p w14:paraId="3F2A8CF6" w14:textId="77777777" w:rsidR="006C6FF6" w:rsidRDefault="006C6FF6" w:rsidP="00B43595">
                      <w:pPr>
                        <w:jc w:val="right"/>
                      </w:pPr>
                    </w:p>
                    <w:p w14:paraId="5E6E8B90"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1ECF71E" w14:textId="77777777" w:rsidR="006C6FF6" w:rsidRPr="00A3353C" w:rsidRDefault="006C6FF6" w:rsidP="00B43595">
                      <w:pPr>
                        <w:jc w:val="right"/>
                        <w:rPr>
                          <w:sz w:val="74"/>
                          <w:szCs w:val="74"/>
                        </w:rPr>
                      </w:pPr>
                    </w:p>
                    <w:p w14:paraId="0AD111A5" w14:textId="77777777" w:rsidR="006C6FF6" w:rsidRDefault="006C6FF6" w:rsidP="00B43595"/>
                    <w:p w14:paraId="119E8EF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ADF0055" w14:textId="77777777" w:rsidR="006C6FF6" w:rsidRPr="00A3353C" w:rsidRDefault="006C6FF6" w:rsidP="00B43595">
                      <w:pPr>
                        <w:jc w:val="right"/>
                        <w:rPr>
                          <w:sz w:val="74"/>
                          <w:szCs w:val="74"/>
                        </w:rPr>
                      </w:pPr>
                    </w:p>
                    <w:p w14:paraId="281C809E" w14:textId="77777777" w:rsidR="006C6FF6" w:rsidRDefault="006C6FF6" w:rsidP="00B43595">
                      <w:pPr>
                        <w:jc w:val="right"/>
                      </w:pPr>
                    </w:p>
                    <w:p w14:paraId="687EE8A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7B0B598" w14:textId="77777777" w:rsidR="006C6FF6" w:rsidRPr="00A3353C" w:rsidRDefault="006C6FF6" w:rsidP="00B43595">
                      <w:pPr>
                        <w:jc w:val="right"/>
                        <w:rPr>
                          <w:sz w:val="74"/>
                          <w:szCs w:val="74"/>
                        </w:rPr>
                      </w:pPr>
                    </w:p>
                    <w:p w14:paraId="01338162" w14:textId="77777777" w:rsidR="006C6FF6" w:rsidRDefault="006C6FF6" w:rsidP="00B43595"/>
                    <w:p w14:paraId="2FF73510"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9BB83F3" w14:textId="77777777" w:rsidR="006C6FF6" w:rsidRPr="00A3353C" w:rsidRDefault="006C6FF6" w:rsidP="00B43595">
                      <w:pPr>
                        <w:jc w:val="right"/>
                        <w:rPr>
                          <w:sz w:val="74"/>
                          <w:szCs w:val="74"/>
                        </w:rPr>
                      </w:pPr>
                    </w:p>
                    <w:p w14:paraId="69C1DE26" w14:textId="77777777" w:rsidR="006C6FF6" w:rsidRDefault="006C6FF6" w:rsidP="00B43595">
                      <w:pPr>
                        <w:jc w:val="right"/>
                      </w:pPr>
                    </w:p>
                    <w:p w14:paraId="4D744A4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1530E12" w14:textId="77777777" w:rsidR="006C6FF6" w:rsidRPr="00A3353C" w:rsidRDefault="006C6FF6" w:rsidP="00B43595">
                      <w:pPr>
                        <w:jc w:val="right"/>
                        <w:rPr>
                          <w:sz w:val="74"/>
                          <w:szCs w:val="74"/>
                        </w:rPr>
                      </w:pPr>
                    </w:p>
                    <w:p w14:paraId="6A4F6E73" w14:textId="77777777" w:rsidR="006C6FF6" w:rsidRDefault="006C6FF6" w:rsidP="00B43595"/>
                    <w:p w14:paraId="044D2E8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FFF0D45" w14:textId="77777777" w:rsidR="006C6FF6" w:rsidRPr="00A3353C" w:rsidRDefault="006C6FF6" w:rsidP="00B43595">
                      <w:pPr>
                        <w:jc w:val="right"/>
                        <w:rPr>
                          <w:sz w:val="74"/>
                          <w:szCs w:val="74"/>
                        </w:rPr>
                      </w:pPr>
                    </w:p>
                    <w:p w14:paraId="16ACDF32" w14:textId="77777777" w:rsidR="006C6FF6" w:rsidRDefault="006C6FF6" w:rsidP="00B43595">
                      <w:pPr>
                        <w:jc w:val="right"/>
                      </w:pPr>
                    </w:p>
                    <w:p w14:paraId="00FB2D73"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3F0B55AA" w14:textId="77777777" w:rsidR="006C6FF6" w:rsidRDefault="006C6FF6" w:rsidP="00B43595"/>
                    <w:p w14:paraId="30E24023" w14:textId="77777777" w:rsidR="006C6FF6" w:rsidRDefault="006C6FF6" w:rsidP="00B43595"/>
                    <w:p w14:paraId="72C35AC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B7F4D61" w14:textId="77777777" w:rsidR="006C6FF6" w:rsidRPr="00A3353C" w:rsidRDefault="006C6FF6" w:rsidP="00B43595">
                      <w:pPr>
                        <w:jc w:val="right"/>
                        <w:rPr>
                          <w:sz w:val="74"/>
                          <w:szCs w:val="74"/>
                        </w:rPr>
                      </w:pPr>
                    </w:p>
                    <w:p w14:paraId="6DC85315" w14:textId="77777777" w:rsidR="006C6FF6" w:rsidRDefault="006C6FF6" w:rsidP="00B43595">
                      <w:pPr>
                        <w:jc w:val="right"/>
                      </w:pPr>
                    </w:p>
                    <w:p w14:paraId="39284C75"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A09F9D9" w14:textId="77777777" w:rsidR="006C6FF6" w:rsidRPr="00A3353C" w:rsidRDefault="006C6FF6" w:rsidP="00B43595">
                      <w:pPr>
                        <w:jc w:val="right"/>
                        <w:rPr>
                          <w:sz w:val="74"/>
                          <w:szCs w:val="74"/>
                        </w:rPr>
                      </w:pPr>
                    </w:p>
                    <w:p w14:paraId="4BC2CF66" w14:textId="77777777" w:rsidR="006C6FF6" w:rsidRDefault="006C6FF6" w:rsidP="00B43595"/>
                    <w:p w14:paraId="0B9B668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3B92727" w14:textId="77777777" w:rsidR="006C6FF6" w:rsidRPr="00A3353C" w:rsidRDefault="006C6FF6" w:rsidP="00B43595">
                      <w:pPr>
                        <w:jc w:val="right"/>
                        <w:rPr>
                          <w:sz w:val="74"/>
                          <w:szCs w:val="74"/>
                        </w:rPr>
                      </w:pPr>
                    </w:p>
                    <w:p w14:paraId="511FE267" w14:textId="77777777" w:rsidR="006C6FF6" w:rsidRDefault="006C6FF6" w:rsidP="00B43595">
                      <w:pPr>
                        <w:jc w:val="right"/>
                      </w:pPr>
                    </w:p>
                    <w:p w14:paraId="4F3D5E16"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04F5593" w14:textId="77777777" w:rsidR="006C6FF6" w:rsidRDefault="006C6FF6" w:rsidP="00B43595"/>
                    <w:p w14:paraId="7E92AB3C" w14:textId="77777777" w:rsidR="006C6FF6" w:rsidRDefault="006C6FF6" w:rsidP="00B43595"/>
                    <w:p w14:paraId="5BC01DE6"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447E794" w14:textId="77777777" w:rsidR="006C6FF6" w:rsidRPr="00A3353C" w:rsidRDefault="006C6FF6" w:rsidP="00B43595">
                      <w:pPr>
                        <w:jc w:val="right"/>
                        <w:rPr>
                          <w:sz w:val="74"/>
                          <w:szCs w:val="74"/>
                        </w:rPr>
                      </w:pPr>
                    </w:p>
                    <w:p w14:paraId="058C0F9B" w14:textId="77777777" w:rsidR="006C6FF6" w:rsidRDefault="006C6FF6" w:rsidP="00B43595">
                      <w:pPr>
                        <w:jc w:val="right"/>
                      </w:pPr>
                    </w:p>
                    <w:p w14:paraId="693F6414"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FEF4B00" w14:textId="77777777" w:rsidR="006C6FF6" w:rsidRPr="00A3353C" w:rsidRDefault="006C6FF6" w:rsidP="00B43595">
                      <w:pPr>
                        <w:jc w:val="right"/>
                        <w:rPr>
                          <w:sz w:val="74"/>
                          <w:szCs w:val="74"/>
                        </w:rPr>
                      </w:pPr>
                    </w:p>
                    <w:p w14:paraId="5A1D22E1" w14:textId="77777777" w:rsidR="006C6FF6" w:rsidRDefault="006C6FF6" w:rsidP="00B43595"/>
                    <w:p w14:paraId="2ACFF07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6483609" w14:textId="77777777" w:rsidR="006C6FF6" w:rsidRPr="00A3353C" w:rsidRDefault="006C6FF6" w:rsidP="00B43595">
                      <w:pPr>
                        <w:jc w:val="right"/>
                        <w:rPr>
                          <w:sz w:val="74"/>
                          <w:szCs w:val="74"/>
                        </w:rPr>
                      </w:pPr>
                    </w:p>
                    <w:p w14:paraId="1B4DAAF9" w14:textId="77777777" w:rsidR="006C6FF6" w:rsidRDefault="006C6FF6" w:rsidP="00B43595">
                      <w:pPr>
                        <w:jc w:val="right"/>
                      </w:pPr>
                    </w:p>
                    <w:p w14:paraId="0DA4D2A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732DD84" w14:textId="77777777" w:rsidR="006C6FF6" w:rsidRPr="00A3353C" w:rsidRDefault="006C6FF6" w:rsidP="00B43595">
                      <w:pPr>
                        <w:jc w:val="right"/>
                        <w:rPr>
                          <w:sz w:val="74"/>
                          <w:szCs w:val="74"/>
                        </w:rPr>
                      </w:pPr>
                    </w:p>
                    <w:p w14:paraId="4568B9F0" w14:textId="77777777" w:rsidR="006C6FF6" w:rsidRDefault="006C6FF6" w:rsidP="00B43595"/>
                    <w:p w14:paraId="5DB213B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3AC148D" w14:textId="77777777" w:rsidR="006C6FF6" w:rsidRPr="00A3353C" w:rsidRDefault="006C6FF6" w:rsidP="00B43595">
                      <w:pPr>
                        <w:jc w:val="right"/>
                        <w:rPr>
                          <w:sz w:val="74"/>
                          <w:szCs w:val="74"/>
                        </w:rPr>
                      </w:pPr>
                    </w:p>
                    <w:p w14:paraId="4B9D255C" w14:textId="77777777" w:rsidR="006C6FF6" w:rsidRDefault="006C6FF6" w:rsidP="00B43595">
                      <w:pPr>
                        <w:jc w:val="right"/>
                      </w:pPr>
                    </w:p>
                    <w:p w14:paraId="66AF26D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871FFF0" w14:textId="77777777" w:rsidR="006C6FF6" w:rsidRPr="00A3353C" w:rsidRDefault="006C6FF6" w:rsidP="00B43595">
                      <w:pPr>
                        <w:jc w:val="right"/>
                        <w:rPr>
                          <w:sz w:val="74"/>
                          <w:szCs w:val="74"/>
                        </w:rPr>
                      </w:pPr>
                    </w:p>
                    <w:p w14:paraId="7874815C" w14:textId="77777777" w:rsidR="006C6FF6" w:rsidRDefault="006C6FF6" w:rsidP="00B43595"/>
                    <w:p w14:paraId="2893AB3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41B71E8" w14:textId="77777777" w:rsidR="006C6FF6" w:rsidRPr="00A3353C" w:rsidRDefault="006C6FF6" w:rsidP="00B43595">
                      <w:pPr>
                        <w:jc w:val="right"/>
                        <w:rPr>
                          <w:sz w:val="74"/>
                          <w:szCs w:val="74"/>
                        </w:rPr>
                      </w:pPr>
                    </w:p>
                    <w:p w14:paraId="6BEDBBD4" w14:textId="77777777" w:rsidR="006C6FF6" w:rsidRDefault="006C6FF6" w:rsidP="00B43595">
                      <w:pPr>
                        <w:jc w:val="right"/>
                      </w:pPr>
                    </w:p>
                    <w:p w14:paraId="1A4B9919"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613D08E8" w14:textId="77777777" w:rsidR="006C6FF6" w:rsidRDefault="006C6FF6" w:rsidP="00B43595"/>
                    <w:p w14:paraId="7D8B884A" w14:textId="77777777" w:rsidR="006C6FF6" w:rsidRDefault="006C6FF6" w:rsidP="00B43595"/>
                    <w:p w14:paraId="6CF8812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480BD1F" w14:textId="77777777" w:rsidR="006C6FF6" w:rsidRPr="00A3353C" w:rsidRDefault="006C6FF6" w:rsidP="00B43595">
                      <w:pPr>
                        <w:jc w:val="right"/>
                        <w:rPr>
                          <w:sz w:val="74"/>
                          <w:szCs w:val="74"/>
                        </w:rPr>
                      </w:pPr>
                    </w:p>
                    <w:p w14:paraId="29E40808" w14:textId="77777777" w:rsidR="006C6FF6" w:rsidRDefault="006C6FF6" w:rsidP="00B43595">
                      <w:pPr>
                        <w:jc w:val="right"/>
                      </w:pPr>
                    </w:p>
                    <w:p w14:paraId="2C14F67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B403216" w14:textId="77777777" w:rsidR="006C6FF6" w:rsidRPr="00A3353C" w:rsidRDefault="006C6FF6" w:rsidP="00B43595">
                      <w:pPr>
                        <w:jc w:val="right"/>
                        <w:rPr>
                          <w:sz w:val="74"/>
                          <w:szCs w:val="74"/>
                        </w:rPr>
                      </w:pPr>
                    </w:p>
                    <w:p w14:paraId="28CE3D53" w14:textId="77777777" w:rsidR="006C6FF6" w:rsidRDefault="006C6FF6" w:rsidP="00B43595"/>
                    <w:p w14:paraId="0B136FF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3BC511F" w14:textId="77777777" w:rsidR="006C6FF6" w:rsidRPr="00A3353C" w:rsidRDefault="006C6FF6" w:rsidP="00B43595">
                      <w:pPr>
                        <w:jc w:val="right"/>
                        <w:rPr>
                          <w:sz w:val="74"/>
                          <w:szCs w:val="74"/>
                        </w:rPr>
                      </w:pPr>
                    </w:p>
                    <w:p w14:paraId="6A80D0AD" w14:textId="77777777" w:rsidR="006C6FF6" w:rsidRDefault="006C6FF6" w:rsidP="00B43595">
                      <w:pPr>
                        <w:jc w:val="right"/>
                      </w:pPr>
                    </w:p>
                    <w:p w14:paraId="6AD26273"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2417BB4F" w14:textId="77777777" w:rsidR="006C6FF6" w:rsidRDefault="006C6FF6" w:rsidP="00B43595"/>
                    <w:p w14:paraId="3D797DF9"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78E27CBD" w14:textId="77777777" w:rsidR="006C6FF6" w:rsidRDefault="006C6FF6" w:rsidP="00B43595"/>
                    <w:p w14:paraId="23D86336"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F62CE88" w14:textId="77777777" w:rsidR="006C6FF6" w:rsidRDefault="006C6FF6" w:rsidP="00B43595"/>
                    <w:p w14:paraId="4C9A0EE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D3B5391" w14:textId="77777777" w:rsidR="006C6FF6" w:rsidRDefault="006C6FF6" w:rsidP="00B43595"/>
                    <w:p w14:paraId="7801C7B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758138B" w14:textId="77777777" w:rsidR="006C6FF6" w:rsidRDefault="006C6FF6" w:rsidP="00B43595"/>
                    <w:p w14:paraId="08F2A7C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01AF62C" w14:textId="77777777" w:rsidR="006C6FF6" w:rsidRPr="00A3353C" w:rsidRDefault="006C6FF6" w:rsidP="00B43595">
                      <w:pPr>
                        <w:jc w:val="right"/>
                        <w:rPr>
                          <w:sz w:val="74"/>
                          <w:szCs w:val="74"/>
                        </w:rPr>
                      </w:pPr>
                    </w:p>
                    <w:p w14:paraId="0562EC60" w14:textId="77777777" w:rsidR="006C6FF6" w:rsidRDefault="006C6FF6" w:rsidP="00B43595">
                      <w:pPr>
                        <w:jc w:val="right"/>
                      </w:pPr>
                    </w:p>
                    <w:p w14:paraId="3F12D20D"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501118E2" w14:textId="77777777" w:rsidR="006C6FF6" w:rsidRDefault="006C6FF6" w:rsidP="00B43595"/>
                    <w:p w14:paraId="3AF47FF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0DE668C" w14:textId="77777777" w:rsidR="006C6FF6" w:rsidRDefault="006C6FF6" w:rsidP="00B43595"/>
                    <w:p w14:paraId="7F10E2B2"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5D5BEB3" w14:textId="77777777" w:rsidR="006C6FF6" w:rsidRDefault="006C6FF6" w:rsidP="00B43595"/>
                    <w:p w14:paraId="3401B29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02C40D7" w14:textId="77777777" w:rsidR="006C6FF6" w:rsidRDefault="006C6FF6" w:rsidP="00B43595"/>
                    <w:p w14:paraId="7CC03B9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75BBE91F" w14:textId="77777777" w:rsidR="006C6FF6" w:rsidRDefault="006C6FF6" w:rsidP="00B43595"/>
                    <w:p w14:paraId="44EB4A77"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119488FB" w14:textId="77777777" w:rsidR="006C6FF6" w:rsidRDefault="006C6FF6" w:rsidP="00B43595"/>
                    <w:p w14:paraId="0A57BF2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34E11D0" w14:textId="77777777" w:rsidR="006C6FF6" w:rsidRDefault="006C6FF6" w:rsidP="00B43595"/>
                    <w:p w14:paraId="450E4B0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062208A" w14:textId="77777777" w:rsidR="006C6FF6" w:rsidRDefault="006C6FF6" w:rsidP="00B43595"/>
                    <w:p w14:paraId="5F8740C6"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2CCC252" w14:textId="77777777" w:rsidR="006C6FF6" w:rsidRDefault="006C6FF6" w:rsidP="00B43595"/>
                    <w:p w14:paraId="6447AE2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CF23E95" w14:textId="77777777" w:rsidR="006C6FF6" w:rsidRPr="00A3353C" w:rsidRDefault="006C6FF6" w:rsidP="00B43595">
                      <w:pPr>
                        <w:jc w:val="right"/>
                        <w:rPr>
                          <w:sz w:val="74"/>
                          <w:szCs w:val="74"/>
                        </w:rPr>
                      </w:pPr>
                    </w:p>
                    <w:p w14:paraId="6457971E" w14:textId="77777777" w:rsidR="006C6FF6" w:rsidRDefault="006C6FF6" w:rsidP="00B43595">
                      <w:pPr>
                        <w:jc w:val="right"/>
                      </w:pPr>
                    </w:p>
                    <w:p w14:paraId="0F4D548F"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24B1B2B0" w14:textId="77777777" w:rsidR="006C6FF6" w:rsidRDefault="006C6FF6" w:rsidP="00B43595"/>
                    <w:p w14:paraId="5020E16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18731F1B" w14:textId="77777777" w:rsidR="006C6FF6" w:rsidRDefault="006C6FF6" w:rsidP="00B43595"/>
                    <w:p w14:paraId="137D129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0402000" w14:textId="77777777" w:rsidR="006C6FF6" w:rsidRDefault="006C6FF6" w:rsidP="00B43595"/>
                    <w:p w14:paraId="7718695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E8E9B3A" w14:textId="77777777" w:rsidR="006C6FF6" w:rsidRDefault="006C6FF6" w:rsidP="00B43595"/>
                    <w:p w14:paraId="3FE5F1E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737D6801" w14:textId="77777777" w:rsidR="006C6FF6" w:rsidRDefault="006C6FF6" w:rsidP="00B43595"/>
                    <w:p w14:paraId="2D0BE6B3" w14:textId="77777777" w:rsidR="006C6FF6" w:rsidRDefault="006C6FF6" w:rsidP="00B43595"/>
                    <w:p w14:paraId="3C9E301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BA73AF2" w14:textId="77777777" w:rsidR="006C6FF6" w:rsidRPr="00A3353C" w:rsidRDefault="006C6FF6" w:rsidP="00B43595">
                      <w:pPr>
                        <w:jc w:val="right"/>
                        <w:rPr>
                          <w:sz w:val="74"/>
                          <w:szCs w:val="74"/>
                        </w:rPr>
                      </w:pPr>
                    </w:p>
                    <w:p w14:paraId="798D1AEB" w14:textId="77777777" w:rsidR="006C6FF6" w:rsidRDefault="006C6FF6" w:rsidP="00B43595">
                      <w:pPr>
                        <w:jc w:val="right"/>
                      </w:pPr>
                    </w:p>
                    <w:p w14:paraId="354EB4B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7788ACE" w14:textId="77777777" w:rsidR="006C6FF6" w:rsidRPr="00A3353C" w:rsidRDefault="006C6FF6" w:rsidP="00B43595">
                      <w:pPr>
                        <w:jc w:val="right"/>
                        <w:rPr>
                          <w:sz w:val="74"/>
                          <w:szCs w:val="74"/>
                        </w:rPr>
                      </w:pPr>
                    </w:p>
                    <w:p w14:paraId="5671DA00" w14:textId="77777777" w:rsidR="006C6FF6" w:rsidRDefault="006C6FF6" w:rsidP="00B43595"/>
                    <w:p w14:paraId="68C511A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B443EB0" w14:textId="77777777" w:rsidR="006C6FF6" w:rsidRPr="00A3353C" w:rsidRDefault="006C6FF6" w:rsidP="00B43595">
                      <w:pPr>
                        <w:jc w:val="right"/>
                        <w:rPr>
                          <w:sz w:val="74"/>
                          <w:szCs w:val="74"/>
                        </w:rPr>
                      </w:pPr>
                    </w:p>
                    <w:p w14:paraId="3425D728" w14:textId="77777777" w:rsidR="006C6FF6" w:rsidRDefault="006C6FF6" w:rsidP="00B43595">
                      <w:pPr>
                        <w:jc w:val="right"/>
                      </w:pPr>
                    </w:p>
                    <w:p w14:paraId="2ABBDEB1"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45AF8E2" w14:textId="77777777" w:rsidR="006C6FF6" w:rsidRDefault="006C6FF6" w:rsidP="00B43595"/>
                    <w:p w14:paraId="310A9BA4"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7F01BC7D" w14:textId="77777777" w:rsidR="006C6FF6" w:rsidRDefault="006C6FF6" w:rsidP="00B43595"/>
                    <w:p w14:paraId="00A9066B"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F67E5D9" w14:textId="77777777" w:rsidR="006C6FF6" w:rsidRDefault="006C6FF6" w:rsidP="00B43595"/>
                    <w:p w14:paraId="7FE9B1C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3557BDA" w14:textId="77777777" w:rsidR="006C6FF6" w:rsidRDefault="006C6FF6" w:rsidP="00B43595"/>
                    <w:p w14:paraId="417D3755"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BC0893F" w14:textId="77777777" w:rsidR="006C6FF6" w:rsidRDefault="006C6FF6" w:rsidP="00B43595"/>
                    <w:p w14:paraId="245E402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ECF10C6" w14:textId="77777777" w:rsidR="006C6FF6" w:rsidRPr="00A3353C" w:rsidRDefault="006C6FF6" w:rsidP="00B43595">
                      <w:pPr>
                        <w:jc w:val="right"/>
                        <w:rPr>
                          <w:sz w:val="74"/>
                          <w:szCs w:val="74"/>
                        </w:rPr>
                      </w:pPr>
                    </w:p>
                    <w:p w14:paraId="78C34D26" w14:textId="77777777" w:rsidR="006C6FF6" w:rsidRDefault="006C6FF6" w:rsidP="00B43595">
                      <w:pPr>
                        <w:jc w:val="right"/>
                      </w:pPr>
                    </w:p>
                    <w:p w14:paraId="7773A71C"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2ADEC433" w14:textId="77777777" w:rsidR="006C6FF6" w:rsidRDefault="006C6FF6" w:rsidP="00B43595"/>
                    <w:p w14:paraId="3F19A91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67821DB" w14:textId="77777777" w:rsidR="006C6FF6" w:rsidRDefault="006C6FF6" w:rsidP="00B43595"/>
                    <w:p w14:paraId="59B7B43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78A4E4A" w14:textId="77777777" w:rsidR="006C6FF6" w:rsidRDefault="006C6FF6" w:rsidP="00B43595"/>
                    <w:p w14:paraId="0FEA6DB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F7EB5B5" w14:textId="77777777" w:rsidR="006C6FF6" w:rsidRDefault="006C6FF6" w:rsidP="00B43595"/>
                    <w:p w14:paraId="2B0DA02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44C5788B" w14:textId="77777777" w:rsidR="006C6FF6" w:rsidRDefault="006C6FF6" w:rsidP="00B43595"/>
                    <w:p w14:paraId="66AE42D0"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464608FE" w14:textId="77777777" w:rsidR="006C6FF6" w:rsidRDefault="006C6FF6" w:rsidP="00B43595"/>
                    <w:p w14:paraId="07D3D38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46711BF" w14:textId="77777777" w:rsidR="006C6FF6" w:rsidRDefault="006C6FF6" w:rsidP="00B43595"/>
                    <w:p w14:paraId="6120CA9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207F205" w14:textId="77777777" w:rsidR="006C6FF6" w:rsidRDefault="006C6FF6" w:rsidP="00B43595"/>
                    <w:p w14:paraId="45DC7F62"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70FBD13" w14:textId="77777777" w:rsidR="006C6FF6" w:rsidRDefault="006C6FF6" w:rsidP="00B43595"/>
                    <w:p w14:paraId="71D5600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1D13253" w14:textId="77777777" w:rsidR="006C6FF6" w:rsidRPr="00A3353C" w:rsidRDefault="006C6FF6" w:rsidP="00B43595">
                      <w:pPr>
                        <w:jc w:val="right"/>
                        <w:rPr>
                          <w:sz w:val="74"/>
                          <w:szCs w:val="74"/>
                        </w:rPr>
                      </w:pPr>
                    </w:p>
                    <w:p w14:paraId="71846EE5" w14:textId="77777777" w:rsidR="006C6FF6" w:rsidRDefault="006C6FF6" w:rsidP="00B43595">
                      <w:pPr>
                        <w:jc w:val="right"/>
                      </w:pPr>
                    </w:p>
                    <w:p w14:paraId="009F31BE"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764404E3" w14:textId="77777777" w:rsidR="006C6FF6" w:rsidRDefault="006C6FF6" w:rsidP="00B43595"/>
                    <w:p w14:paraId="2A7C6184"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0B5DD4C" w14:textId="77777777" w:rsidR="006C6FF6" w:rsidRDefault="006C6FF6" w:rsidP="00B43595"/>
                    <w:p w14:paraId="5BF7660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D111373" w14:textId="77777777" w:rsidR="006C6FF6" w:rsidRDefault="006C6FF6" w:rsidP="00B43595"/>
                    <w:p w14:paraId="5323F4F9"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579D843" w14:textId="77777777" w:rsidR="006C6FF6" w:rsidRDefault="006C6FF6" w:rsidP="00B43595"/>
                    <w:p w14:paraId="4E6A5A1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610EA601" w14:textId="77777777" w:rsidR="006C6FF6" w:rsidRDefault="006C6FF6" w:rsidP="00B43595"/>
                    <w:p w14:paraId="0A034E0E" w14:textId="77777777" w:rsidR="006C6FF6" w:rsidRDefault="006C6FF6" w:rsidP="00B43595"/>
                    <w:p w14:paraId="3BD632D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36883EC" w14:textId="77777777" w:rsidR="006C6FF6" w:rsidRPr="00A3353C" w:rsidRDefault="006C6FF6" w:rsidP="00B43595">
                      <w:pPr>
                        <w:jc w:val="right"/>
                        <w:rPr>
                          <w:sz w:val="74"/>
                          <w:szCs w:val="74"/>
                        </w:rPr>
                      </w:pPr>
                    </w:p>
                    <w:p w14:paraId="7B99C235" w14:textId="77777777" w:rsidR="006C6FF6" w:rsidRDefault="006C6FF6" w:rsidP="00B43595">
                      <w:pPr>
                        <w:jc w:val="right"/>
                      </w:pPr>
                    </w:p>
                    <w:p w14:paraId="54BC646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A650568" w14:textId="77777777" w:rsidR="006C6FF6" w:rsidRPr="00A3353C" w:rsidRDefault="006C6FF6" w:rsidP="00B43595">
                      <w:pPr>
                        <w:jc w:val="right"/>
                        <w:rPr>
                          <w:sz w:val="74"/>
                          <w:szCs w:val="74"/>
                        </w:rPr>
                      </w:pPr>
                    </w:p>
                    <w:p w14:paraId="708D4AE2" w14:textId="77777777" w:rsidR="006C6FF6" w:rsidRDefault="006C6FF6" w:rsidP="00B43595"/>
                    <w:p w14:paraId="777EB3B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2C157CF" w14:textId="77777777" w:rsidR="006C6FF6" w:rsidRPr="00A3353C" w:rsidRDefault="006C6FF6" w:rsidP="00B43595">
                      <w:pPr>
                        <w:jc w:val="right"/>
                        <w:rPr>
                          <w:sz w:val="74"/>
                          <w:szCs w:val="74"/>
                        </w:rPr>
                      </w:pPr>
                    </w:p>
                    <w:p w14:paraId="5E52826E" w14:textId="77777777" w:rsidR="006C6FF6" w:rsidRDefault="006C6FF6" w:rsidP="00B43595">
                      <w:pPr>
                        <w:jc w:val="right"/>
                      </w:pPr>
                    </w:p>
                    <w:p w14:paraId="1E6294D3"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46F4147B" w14:textId="77777777" w:rsidR="006C6FF6" w:rsidRDefault="006C6FF6" w:rsidP="00B43595"/>
                    <w:p w14:paraId="1CC28482" w14:textId="77777777" w:rsidR="006C6FF6" w:rsidRDefault="006C6FF6" w:rsidP="00B43595"/>
                    <w:p w14:paraId="6D623030"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ADF8DC8" w14:textId="77777777" w:rsidR="006C6FF6" w:rsidRPr="00A3353C" w:rsidRDefault="006C6FF6" w:rsidP="00B43595">
                      <w:pPr>
                        <w:jc w:val="right"/>
                        <w:rPr>
                          <w:sz w:val="74"/>
                          <w:szCs w:val="74"/>
                        </w:rPr>
                      </w:pPr>
                    </w:p>
                    <w:p w14:paraId="1D4F24AC" w14:textId="77777777" w:rsidR="006C6FF6" w:rsidRDefault="006C6FF6" w:rsidP="00B43595">
                      <w:pPr>
                        <w:jc w:val="right"/>
                      </w:pPr>
                    </w:p>
                    <w:p w14:paraId="003EAD6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F9031B8" w14:textId="77777777" w:rsidR="006C6FF6" w:rsidRPr="00A3353C" w:rsidRDefault="006C6FF6" w:rsidP="00B43595">
                      <w:pPr>
                        <w:jc w:val="right"/>
                        <w:rPr>
                          <w:sz w:val="74"/>
                          <w:szCs w:val="74"/>
                        </w:rPr>
                      </w:pPr>
                    </w:p>
                    <w:p w14:paraId="59D05B1A" w14:textId="77777777" w:rsidR="006C6FF6" w:rsidRDefault="006C6FF6" w:rsidP="00B43595"/>
                    <w:p w14:paraId="2943D50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A504C8E" w14:textId="77777777" w:rsidR="006C6FF6" w:rsidRPr="00A3353C" w:rsidRDefault="006C6FF6" w:rsidP="00B43595">
                      <w:pPr>
                        <w:jc w:val="right"/>
                        <w:rPr>
                          <w:sz w:val="74"/>
                          <w:szCs w:val="74"/>
                        </w:rPr>
                      </w:pPr>
                    </w:p>
                    <w:p w14:paraId="6595A359" w14:textId="77777777" w:rsidR="006C6FF6" w:rsidRDefault="006C6FF6" w:rsidP="00B43595">
                      <w:pPr>
                        <w:jc w:val="right"/>
                      </w:pPr>
                    </w:p>
                    <w:p w14:paraId="38A87D4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2DACE82" w14:textId="77777777" w:rsidR="006C6FF6" w:rsidRPr="00A3353C" w:rsidRDefault="006C6FF6" w:rsidP="00B43595">
                      <w:pPr>
                        <w:jc w:val="right"/>
                        <w:rPr>
                          <w:sz w:val="74"/>
                          <w:szCs w:val="74"/>
                        </w:rPr>
                      </w:pPr>
                    </w:p>
                    <w:p w14:paraId="0F31102B" w14:textId="77777777" w:rsidR="006C6FF6" w:rsidRDefault="006C6FF6" w:rsidP="00B43595"/>
                    <w:p w14:paraId="68460B4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22B6B79" w14:textId="77777777" w:rsidR="006C6FF6" w:rsidRPr="00A3353C" w:rsidRDefault="006C6FF6" w:rsidP="00B43595">
                      <w:pPr>
                        <w:jc w:val="right"/>
                        <w:rPr>
                          <w:sz w:val="74"/>
                          <w:szCs w:val="74"/>
                        </w:rPr>
                      </w:pPr>
                    </w:p>
                    <w:p w14:paraId="36C6E224" w14:textId="77777777" w:rsidR="006C6FF6" w:rsidRDefault="006C6FF6" w:rsidP="00B43595">
                      <w:pPr>
                        <w:jc w:val="right"/>
                      </w:pPr>
                    </w:p>
                    <w:p w14:paraId="06DE491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8A77C55" w14:textId="77777777" w:rsidR="006C6FF6" w:rsidRPr="00A3353C" w:rsidRDefault="006C6FF6" w:rsidP="00B43595">
                      <w:pPr>
                        <w:jc w:val="right"/>
                        <w:rPr>
                          <w:sz w:val="74"/>
                          <w:szCs w:val="74"/>
                        </w:rPr>
                      </w:pPr>
                    </w:p>
                    <w:p w14:paraId="6C599574" w14:textId="77777777" w:rsidR="006C6FF6" w:rsidRDefault="006C6FF6" w:rsidP="00B43595"/>
                    <w:p w14:paraId="43C7756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5EFF0C5" w14:textId="77777777" w:rsidR="006C6FF6" w:rsidRPr="00A3353C" w:rsidRDefault="006C6FF6" w:rsidP="00B43595">
                      <w:pPr>
                        <w:jc w:val="right"/>
                        <w:rPr>
                          <w:sz w:val="74"/>
                          <w:szCs w:val="74"/>
                        </w:rPr>
                      </w:pPr>
                    </w:p>
                    <w:p w14:paraId="70F4952C" w14:textId="77777777" w:rsidR="006C6FF6" w:rsidRDefault="006C6FF6" w:rsidP="00B43595">
                      <w:pPr>
                        <w:jc w:val="right"/>
                      </w:pPr>
                    </w:p>
                    <w:p w14:paraId="720BB07E"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457EC730" w14:textId="77777777" w:rsidR="006C6FF6" w:rsidRDefault="006C6FF6" w:rsidP="00B43595"/>
                    <w:p w14:paraId="2BAC4831" w14:textId="77777777" w:rsidR="006C6FF6" w:rsidRDefault="006C6FF6" w:rsidP="00B43595"/>
                    <w:p w14:paraId="0B5A4BC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219F22D" w14:textId="77777777" w:rsidR="006C6FF6" w:rsidRPr="00A3353C" w:rsidRDefault="006C6FF6" w:rsidP="00B43595">
                      <w:pPr>
                        <w:jc w:val="right"/>
                        <w:rPr>
                          <w:sz w:val="74"/>
                          <w:szCs w:val="74"/>
                        </w:rPr>
                      </w:pPr>
                    </w:p>
                    <w:p w14:paraId="586C7CDE" w14:textId="77777777" w:rsidR="006C6FF6" w:rsidRDefault="006C6FF6" w:rsidP="00B43595">
                      <w:pPr>
                        <w:jc w:val="right"/>
                      </w:pPr>
                    </w:p>
                    <w:p w14:paraId="54FF264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B6CD653" w14:textId="77777777" w:rsidR="006C6FF6" w:rsidRPr="00A3353C" w:rsidRDefault="006C6FF6" w:rsidP="00B43595">
                      <w:pPr>
                        <w:jc w:val="right"/>
                        <w:rPr>
                          <w:sz w:val="74"/>
                          <w:szCs w:val="74"/>
                        </w:rPr>
                      </w:pPr>
                    </w:p>
                    <w:p w14:paraId="79670823" w14:textId="77777777" w:rsidR="006C6FF6" w:rsidRDefault="006C6FF6" w:rsidP="00B43595"/>
                    <w:p w14:paraId="00B02CB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1AF2D17" w14:textId="77777777" w:rsidR="006C6FF6" w:rsidRPr="00A3353C" w:rsidRDefault="006C6FF6" w:rsidP="00B43595">
                      <w:pPr>
                        <w:jc w:val="right"/>
                        <w:rPr>
                          <w:sz w:val="74"/>
                          <w:szCs w:val="74"/>
                        </w:rPr>
                      </w:pPr>
                    </w:p>
                    <w:p w14:paraId="386173F8" w14:textId="77777777" w:rsidR="006C6FF6" w:rsidRDefault="006C6FF6" w:rsidP="00B43595">
                      <w:pPr>
                        <w:jc w:val="right"/>
                      </w:pPr>
                    </w:p>
                    <w:p w14:paraId="0DAAC14E"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6AC68E26" w14:textId="77777777" w:rsidR="006C6FF6" w:rsidRDefault="006C6FF6" w:rsidP="00B43595"/>
                    <w:p w14:paraId="5E482636"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10EEE0BA" w14:textId="77777777" w:rsidR="006C6FF6" w:rsidRDefault="006C6FF6" w:rsidP="00B43595"/>
                    <w:p w14:paraId="373003C2"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80CE831" w14:textId="77777777" w:rsidR="006C6FF6" w:rsidRDefault="006C6FF6" w:rsidP="00B43595"/>
                    <w:p w14:paraId="32347AE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25C380E" w14:textId="77777777" w:rsidR="006C6FF6" w:rsidRDefault="006C6FF6" w:rsidP="00B43595"/>
                    <w:p w14:paraId="46DF2AC8"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A790F3F" w14:textId="77777777" w:rsidR="006C6FF6" w:rsidRDefault="006C6FF6" w:rsidP="00B43595"/>
                    <w:p w14:paraId="114AE6D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187733F" w14:textId="77777777" w:rsidR="006C6FF6" w:rsidRPr="00A3353C" w:rsidRDefault="006C6FF6" w:rsidP="00B43595">
                      <w:pPr>
                        <w:jc w:val="right"/>
                        <w:rPr>
                          <w:sz w:val="74"/>
                          <w:szCs w:val="74"/>
                        </w:rPr>
                      </w:pPr>
                    </w:p>
                    <w:p w14:paraId="445CEBE3" w14:textId="77777777" w:rsidR="006C6FF6" w:rsidRDefault="006C6FF6" w:rsidP="00B43595">
                      <w:pPr>
                        <w:jc w:val="right"/>
                      </w:pPr>
                    </w:p>
                    <w:p w14:paraId="3BD23F8E"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0BDCF298" w14:textId="77777777" w:rsidR="006C6FF6" w:rsidRDefault="006C6FF6" w:rsidP="00B43595"/>
                    <w:p w14:paraId="36537A0D"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B7E0D7B" w14:textId="77777777" w:rsidR="006C6FF6" w:rsidRDefault="006C6FF6" w:rsidP="00B43595"/>
                    <w:p w14:paraId="6DD7E978"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F248CDE" w14:textId="77777777" w:rsidR="006C6FF6" w:rsidRDefault="006C6FF6" w:rsidP="00B43595"/>
                    <w:p w14:paraId="083CE643"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35A4201" w14:textId="77777777" w:rsidR="006C6FF6" w:rsidRDefault="006C6FF6" w:rsidP="00B43595"/>
                    <w:p w14:paraId="58A2D38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799A314B" w14:textId="77777777" w:rsidR="006C6FF6" w:rsidRDefault="006C6FF6" w:rsidP="00B43595"/>
                    <w:p w14:paraId="2B61F41F"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67DF1610" w14:textId="77777777" w:rsidR="006C6FF6" w:rsidRDefault="006C6FF6" w:rsidP="00B43595"/>
                    <w:p w14:paraId="745E449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F7B5550" w14:textId="77777777" w:rsidR="006C6FF6" w:rsidRDefault="006C6FF6" w:rsidP="00B43595"/>
                    <w:p w14:paraId="1984B7E7"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138FEA98" w14:textId="77777777" w:rsidR="006C6FF6" w:rsidRDefault="006C6FF6" w:rsidP="00B43595"/>
                    <w:p w14:paraId="13277C3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CD64B1C" w14:textId="77777777" w:rsidR="006C6FF6" w:rsidRDefault="006C6FF6" w:rsidP="00B43595"/>
                    <w:p w14:paraId="740C634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A49D9F0" w14:textId="77777777" w:rsidR="006C6FF6" w:rsidRPr="00A3353C" w:rsidRDefault="006C6FF6" w:rsidP="00B43595">
                      <w:pPr>
                        <w:jc w:val="right"/>
                        <w:rPr>
                          <w:sz w:val="74"/>
                          <w:szCs w:val="74"/>
                        </w:rPr>
                      </w:pPr>
                    </w:p>
                    <w:p w14:paraId="1E3A8DC1" w14:textId="77777777" w:rsidR="006C6FF6" w:rsidRDefault="006C6FF6" w:rsidP="00B43595">
                      <w:pPr>
                        <w:jc w:val="right"/>
                      </w:pPr>
                    </w:p>
                    <w:p w14:paraId="475CD61E"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4F8F0ECB" w14:textId="77777777" w:rsidR="006C6FF6" w:rsidRDefault="006C6FF6" w:rsidP="00B43595"/>
                    <w:p w14:paraId="3E37700A"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FD217DB" w14:textId="77777777" w:rsidR="006C6FF6" w:rsidRDefault="006C6FF6" w:rsidP="00B43595"/>
                    <w:p w14:paraId="69EA1FC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5D2BD09" w14:textId="77777777" w:rsidR="006C6FF6" w:rsidRDefault="006C6FF6" w:rsidP="00B43595"/>
                    <w:p w14:paraId="10AAD9A4"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56C141E" w14:textId="77777777" w:rsidR="006C6FF6" w:rsidRDefault="006C6FF6" w:rsidP="00B43595"/>
                    <w:p w14:paraId="1E4C647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73B71174" w14:textId="77777777" w:rsidR="006C6FF6" w:rsidRDefault="006C6FF6" w:rsidP="00B43595"/>
                    <w:p w14:paraId="51258261" w14:textId="77777777" w:rsidR="006C6FF6" w:rsidRDefault="006C6FF6" w:rsidP="00B43595"/>
                    <w:p w14:paraId="2707AB2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C3E419F" w14:textId="77777777" w:rsidR="006C6FF6" w:rsidRPr="00A3353C" w:rsidRDefault="006C6FF6" w:rsidP="00B43595">
                      <w:pPr>
                        <w:jc w:val="right"/>
                        <w:rPr>
                          <w:sz w:val="74"/>
                          <w:szCs w:val="74"/>
                        </w:rPr>
                      </w:pPr>
                    </w:p>
                    <w:p w14:paraId="2B686906" w14:textId="77777777" w:rsidR="006C6FF6" w:rsidRDefault="006C6FF6" w:rsidP="00B43595">
                      <w:pPr>
                        <w:jc w:val="right"/>
                      </w:pPr>
                    </w:p>
                    <w:p w14:paraId="5F91D32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85FA144" w14:textId="77777777" w:rsidR="006C6FF6" w:rsidRPr="00A3353C" w:rsidRDefault="006C6FF6" w:rsidP="00B43595">
                      <w:pPr>
                        <w:jc w:val="right"/>
                        <w:rPr>
                          <w:sz w:val="74"/>
                          <w:szCs w:val="74"/>
                        </w:rPr>
                      </w:pPr>
                    </w:p>
                    <w:p w14:paraId="07BA9CD3" w14:textId="77777777" w:rsidR="006C6FF6" w:rsidRDefault="006C6FF6" w:rsidP="00B43595"/>
                    <w:p w14:paraId="1D1F0C8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B2FF0D4" w14:textId="77777777" w:rsidR="006C6FF6" w:rsidRPr="00A3353C" w:rsidRDefault="006C6FF6" w:rsidP="00B43595">
                      <w:pPr>
                        <w:jc w:val="right"/>
                        <w:rPr>
                          <w:sz w:val="74"/>
                          <w:szCs w:val="74"/>
                        </w:rPr>
                      </w:pPr>
                    </w:p>
                    <w:p w14:paraId="0936DCCC" w14:textId="77777777" w:rsidR="006C6FF6" w:rsidRDefault="006C6FF6" w:rsidP="00B43595">
                      <w:pPr>
                        <w:jc w:val="right"/>
                      </w:pPr>
                    </w:p>
                    <w:p w14:paraId="18C1212E"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4422957D" w14:textId="77777777" w:rsidR="006C6FF6" w:rsidRDefault="006C6FF6" w:rsidP="00B43595"/>
                    <w:p w14:paraId="7DCDA397"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5509C71F" w14:textId="77777777" w:rsidR="006C6FF6" w:rsidRDefault="006C6FF6" w:rsidP="00B43595"/>
                    <w:p w14:paraId="7328E66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31CA83C" w14:textId="77777777" w:rsidR="006C6FF6" w:rsidRDefault="006C6FF6" w:rsidP="00B43595"/>
                    <w:p w14:paraId="7D6EC7F5"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1DF9EAC2" w14:textId="77777777" w:rsidR="006C6FF6" w:rsidRDefault="006C6FF6" w:rsidP="00B43595"/>
                    <w:p w14:paraId="17AFDC7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0AA49E0" w14:textId="77777777" w:rsidR="006C6FF6" w:rsidRDefault="006C6FF6" w:rsidP="00B43595"/>
                    <w:p w14:paraId="2FE1057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69C9AEC" w14:textId="77777777" w:rsidR="006C6FF6" w:rsidRPr="00A3353C" w:rsidRDefault="006C6FF6" w:rsidP="00B43595">
                      <w:pPr>
                        <w:jc w:val="right"/>
                        <w:rPr>
                          <w:sz w:val="74"/>
                          <w:szCs w:val="74"/>
                        </w:rPr>
                      </w:pPr>
                    </w:p>
                    <w:p w14:paraId="20F03C02" w14:textId="77777777" w:rsidR="006C6FF6" w:rsidRDefault="006C6FF6" w:rsidP="00B43595">
                      <w:pPr>
                        <w:jc w:val="right"/>
                      </w:pPr>
                    </w:p>
                    <w:p w14:paraId="3B3ADE43"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5C6D7965" w14:textId="77777777" w:rsidR="006C6FF6" w:rsidRDefault="006C6FF6" w:rsidP="00B43595"/>
                    <w:p w14:paraId="6ED6F559"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478F597B" w14:textId="77777777" w:rsidR="006C6FF6" w:rsidRDefault="006C6FF6" w:rsidP="00B43595"/>
                    <w:p w14:paraId="6168B127"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08610D79" w14:textId="77777777" w:rsidR="006C6FF6" w:rsidRDefault="006C6FF6" w:rsidP="00B43595"/>
                    <w:p w14:paraId="0E4E8871"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75D51457" w14:textId="77777777" w:rsidR="006C6FF6" w:rsidRDefault="006C6FF6" w:rsidP="00B43595"/>
                    <w:p w14:paraId="0A7A3DC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p>
                    <w:p w14:paraId="0EA0ABA0" w14:textId="77777777" w:rsidR="006C6FF6" w:rsidRDefault="006C6FF6" w:rsidP="00B43595"/>
                    <w:p w14:paraId="44E4D2AC" w14:textId="77777777" w:rsidR="006C6FF6" w:rsidRPr="00056843" w:rsidRDefault="006C6FF6" w:rsidP="00B43595">
                      <w:pPr>
                        <w:jc w:val="center"/>
                        <w:rPr>
                          <w:color w:val="FFFFFF" w:themeColor="background1"/>
                          <w:lang w:val="hy-AM"/>
                        </w:rPr>
                      </w:pPr>
                      <w:r w:rsidRPr="00056843">
                        <w:rPr>
                          <w:color w:val="FFFFFF" w:themeColor="background1"/>
                          <w:lang w:val="hy-AM"/>
                        </w:rPr>
                        <w:t>ԹՅԱՆ ԿԱՌԱՎԱՐՈՒԹՅԱՆ</w:t>
                      </w:r>
                    </w:p>
                    <w:p w14:paraId="1972D725" w14:textId="77777777" w:rsidR="006C6FF6" w:rsidRDefault="006C6FF6" w:rsidP="00B43595"/>
                    <w:p w14:paraId="65B464EE"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490EB08" w14:textId="77777777" w:rsidR="006C6FF6" w:rsidRDefault="006C6FF6" w:rsidP="00B43595"/>
                    <w:p w14:paraId="56957350"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3E75A2FF" w14:textId="77777777" w:rsidR="006C6FF6" w:rsidRDefault="006C6FF6" w:rsidP="00B43595"/>
                    <w:p w14:paraId="41FAEFCC"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52CE32CF" w14:textId="77777777" w:rsidR="006C6FF6" w:rsidRDefault="006C6FF6" w:rsidP="00B43595"/>
                    <w:p w14:paraId="4B8016E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BFB5E62" w14:textId="77777777" w:rsidR="006C6FF6" w:rsidRPr="00A3353C" w:rsidRDefault="006C6FF6" w:rsidP="00B43595">
                      <w:pPr>
                        <w:jc w:val="right"/>
                        <w:rPr>
                          <w:sz w:val="74"/>
                          <w:szCs w:val="74"/>
                        </w:rPr>
                      </w:pPr>
                    </w:p>
                    <w:p w14:paraId="45608D80" w14:textId="77777777" w:rsidR="006C6FF6" w:rsidRDefault="006C6FF6" w:rsidP="00B43595">
                      <w:pPr>
                        <w:jc w:val="right"/>
                      </w:pPr>
                    </w:p>
                    <w:p w14:paraId="24212E4F" w14:textId="77777777" w:rsidR="006C6FF6" w:rsidRPr="00056843" w:rsidRDefault="006C6FF6" w:rsidP="00B43595">
                      <w:pPr>
                        <w:jc w:val="center"/>
                        <w:rPr>
                          <w:color w:val="FFFFFF" w:themeColor="background1"/>
                          <w:lang w:val="hy-AM"/>
                        </w:rPr>
                      </w:pPr>
                      <w:r w:rsidRPr="00682390">
                        <w:rPr>
                          <w:b/>
                          <w:color w:val="0E2841" w:themeColor="text2"/>
                          <w:sz w:val="40"/>
                          <w:szCs w:val="40"/>
                        </w:rPr>
                        <w:t>ԲՅՈՒՋԵՏԱՅԻՆ ՈՒՂԵՐՁ</w:t>
                      </w:r>
                      <w:r w:rsidRPr="00682390">
                        <w:rPr>
                          <w:b/>
                          <w:color w:val="0E2841" w:themeColor="text2"/>
                          <w:sz w:val="70"/>
                          <w:szCs w:val="70"/>
                        </w:rPr>
                        <w:t>2025 ԹՎԱԿԱՆԻ</w:t>
                      </w:r>
                      <w:r w:rsidRPr="00056843">
                        <w:rPr>
                          <w:color w:val="FFFFFF" w:themeColor="background1"/>
                          <w:lang w:val="hy-AM"/>
                        </w:rPr>
                        <w:t>ԹՅԱՆ ԿԱՌԱՎԱՐՈՒԹՅԱՆ</w:t>
                      </w:r>
                    </w:p>
                    <w:p w14:paraId="27FA5921" w14:textId="77777777" w:rsidR="006C6FF6" w:rsidRDefault="006C6FF6" w:rsidP="00B43595"/>
                    <w:p w14:paraId="4A3A04F4"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2EDCE6CC" w14:textId="77777777" w:rsidR="006C6FF6" w:rsidRDefault="006C6FF6" w:rsidP="00B43595"/>
                    <w:p w14:paraId="6B8EF7FF"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p w14:paraId="66CCF44F" w14:textId="77777777" w:rsidR="006C6FF6" w:rsidRDefault="006C6FF6" w:rsidP="00B43595"/>
                    <w:p w14:paraId="5FC57282" w14:textId="77777777" w:rsidR="006C6FF6" w:rsidRPr="00056843" w:rsidRDefault="006C6FF6" w:rsidP="00B43595">
                      <w:pPr>
                        <w:jc w:val="center"/>
                        <w:rPr>
                          <w:color w:val="FFFFFF" w:themeColor="background1"/>
                          <w:lang w:val="hy-AM"/>
                        </w:rPr>
                      </w:pPr>
                      <w:r w:rsidRPr="00682390">
                        <w:rPr>
                          <w:b/>
                          <w:color w:val="0E2841" w:themeColor="text2"/>
                          <w:sz w:val="70"/>
                          <w:szCs w:val="70"/>
                        </w:rPr>
                        <w:t>2025 ԹՎԱԿԱՆԻ</w:t>
                      </w:r>
                      <w:r w:rsidRPr="00056843">
                        <w:rPr>
                          <w:color w:val="FFFFFF" w:themeColor="background1"/>
                          <w:lang w:val="hy-AM"/>
                        </w:rPr>
                        <w:t>ԹՅԱՆ ԿԱՌԱՎԱՐՈՒԹՅԱՆ</w:t>
                      </w:r>
                    </w:p>
                  </w:txbxContent>
                </v:textbox>
                <w10:wrap anchorx="margin" anchory="margin"/>
              </v:rect>
            </w:pict>
          </mc:Fallback>
        </mc:AlternateContent>
      </w:r>
    </w:p>
    <w:p w14:paraId="47571E22" w14:textId="77777777" w:rsidR="00B43595" w:rsidRPr="000232DD" w:rsidRDefault="00B43595" w:rsidP="00082769">
      <w:pPr>
        <w:pStyle w:val="BodytextBullets"/>
        <w:ind w:left="0" w:right="-22" w:firstLine="0"/>
        <w:rPr>
          <w:color w:val="auto"/>
        </w:rPr>
      </w:pPr>
    </w:p>
    <w:p w14:paraId="742BE6E0" w14:textId="77777777" w:rsidR="00B43595" w:rsidRPr="000232DD" w:rsidRDefault="00B43595" w:rsidP="00082769">
      <w:pPr>
        <w:pStyle w:val="NoSpacing"/>
        <w:spacing w:after="120"/>
        <w:ind w:right="-22"/>
        <w:jc w:val="both"/>
        <w:rPr>
          <w:rFonts w:asciiTheme="minorHAnsi" w:hAnsiTheme="minorHAnsi"/>
          <w:b w:val="0"/>
          <w:color w:val="auto"/>
          <w:sz w:val="22"/>
          <w:szCs w:val="20"/>
        </w:rPr>
      </w:pPr>
    </w:p>
    <w:sdt>
      <w:sdtPr>
        <w:rPr>
          <w:rFonts w:asciiTheme="minorHAnsi" w:hAnsiTheme="minorHAnsi"/>
          <w:b w:val="0"/>
          <w:color w:val="auto"/>
          <w:sz w:val="22"/>
          <w:szCs w:val="20"/>
        </w:rPr>
        <w:id w:val="494153856"/>
        <w:docPartObj>
          <w:docPartGallery w:val="Cover Pages"/>
          <w:docPartUnique/>
        </w:docPartObj>
      </w:sdtPr>
      <w:sdtEndPr>
        <w:rPr>
          <w:rFonts w:ascii="GHEA Grapalat" w:hAnsi="GHEA Grapalat"/>
          <w:b/>
          <w:sz w:val="40"/>
        </w:rPr>
      </w:sdtEndPr>
      <w:sdtContent>
        <w:p w14:paraId="53450820" w14:textId="293B90FA" w:rsidR="00B43595" w:rsidRPr="000232DD" w:rsidRDefault="001D56CB" w:rsidP="001D56CB">
          <w:pPr>
            <w:pStyle w:val="NoSpacing"/>
            <w:tabs>
              <w:tab w:val="center" w:pos="5184"/>
            </w:tabs>
            <w:spacing w:after="120"/>
            <w:ind w:right="-22"/>
            <w:jc w:val="both"/>
            <w:rPr>
              <w:color w:val="auto"/>
              <w:szCs w:val="20"/>
            </w:rPr>
          </w:pPr>
          <w:r>
            <w:rPr>
              <w:rFonts w:asciiTheme="minorHAnsi" w:hAnsiTheme="minorHAnsi"/>
              <w:b w:val="0"/>
              <w:color w:val="auto"/>
              <w:sz w:val="22"/>
              <w:szCs w:val="20"/>
            </w:rPr>
            <w:tab/>
          </w:r>
        </w:p>
        <w:p w14:paraId="5E11446F" w14:textId="77777777" w:rsidR="00B43595" w:rsidRPr="000232DD" w:rsidRDefault="00B43595" w:rsidP="00082769">
          <w:pPr>
            <w:pStyle w:val="TOC1"/>
            <w:ind w:right="-22"/>
            <w:rPr>
              <w:color w:val="auto"/>
            </w:rPr>
          </w:pPr>
          <w:r w:rsidRPr="000232DD">
            <w:rPr>
              <w:noProof/>
              <w:color w:val="auto"/>
            </w:rPr>
            <mc:AlternateContent>
              <mc:Choice Requires="wps">
                <w:drawing>
                  <wp:anchor distT="91440" distB="91440" distL="365760" distR="365760" simplePos="0" relativeHeight="251661312" behindDoc="0" locked="0" layoutInCell="1" allowOverlap="1" wp14:anchorId="0D6757F1" wp14:editId="50A5685B">
                    <wp:simplePos x="0" y="0"/>
                    <wp:positionH relativeFrom="margin">
                      <wp:posOffset>1076325</wp:posOffset>
                    </wp:positionH>
                    <wp:positionV relativeFrom="margin">
                      <wp:posOffset>7077075</wp:posOffset>
                    </wp:positionV>
                    <wp:extent cx="5581650" cy="1009650"/>
                    <wp:effectExtent l="0" t="0" r="0" b="0"/>
                    <wp:wrapNone/>
                    <wp:docPr id="49" name="Rectangle 49"/>
                    <wp:cNvGraphicFramePr/>
                    <a:graphic xmlns:a="http://schemas.openxmlformats.org/drawingml/2006/main">
                      <a:graphicData uri="http://schemas.microsoft.com/office/word/2010/wordprocessingShape">
                        <wps:wsp>
                          <wps:cNvSpPr/>
                          <wps:spPr>
                            <a:xfrm>
                              <a:off x="0" y="0"/>
                              <a:ext cx="5581650" cy="10096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29437E" w14:textId="77777777" w:rsidR="006C6FF6" w:rsidRPr="00812F22" w:rsidRDefault="006C6FF6" w:rsidP="00B43595">
                                <w:pPr>
                                  <w:pStyle w:val="BodyText1"/>
                                  <w:jc w:val="right"/>
                                  <w:rPr>
                                    <w:b/>
                                    <w:color w:val="0E2841" w:themeColor="text2"/>
                                    <w:sz w:val="36"/>
                                    <w:szCs w:val="36"/>
                                  </w:rPr>
                                </w:pPr>
                                <w:bookmarkStart w:id="1" w:name="_Toc178604091"/>
                                <w:r w:rsidRPr="00812F22">
                                  <w:rPr>
                                    <w:b/>
                                    <w:color w:val="0E2841" w:themeColor="text2"/>
                                    <w:sz w:val="36"/>
                                    <w:szCs w:val="36"/>
                                  </w:rPr>
                                  <w:t>ՈՒՂԵՐՁ</w:t>
                                </w:r>
                                <w:r w:rsidRPr="00812F22">
                                  <w:rPr>
                                    <w:b/>
                                    <w:color w:val="0E2841" w:themeColor="text2"/>
                                    <w:sz w:val="36"/>
                                    <w:szCs w:val="36"/>
                                    <w:lang w:val="hy-AM"/>
                                  </w:rPr>
                                  <w:t>-ԲԱՑԱՏՐԱԳԻՐ</w:t>
                                </w:r>
                              </w:p>
                              <w:p w14:paraId="2C0F0367" w14:textId="77777777" w:rsidR="006C6FF6" w:rsidRDefault="006C6FF6" w:rsidP="00B43595"/>
                              <w:p w14:paraId="57025CF6" w14:textId="77777777" w:rsidR="006C6FF6" w:rsidRDefault="006C6FF6" w:rsidP="00B43595"/>
                              <w:p w14:paraId="10B51B5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EE6A782" w14:textId="77777777" w:rsidR="006C6FF6" w:rsidRPr="00A3353C" w:rsidRDefault="006C6FF6" w:rsidP="00B43595">
                                <w:pPr>
                                  <w:jc w:val="right"/>
                                  <w:rPr>
                                    <w:sz w:val="74"/>
                                    <w:szCs w:val="74"/>
                                  </w:rPr>
                                </w:pPr>
                              </w:p>
                              <w:p w14:paraId="41B4E3F8" w14:textId="77777777" w:rsidR="006C6FF6" w:rsidRDefault="006C6FF6" w:rsidP="00B43595">
                                <w:pPr>
                                  <w:jc w:val="right"/>
                                </w:pPr>
                              </w:p>
                              <w:p w14:paraId="539A6E5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6880A39" w14:textId="77777777" w:rsidR="006C6FF6" w:rsidRPr="00A3353C" w:rsidRDefault="006C6FF6" w:rsidP="00B43595">
                                <w:pPr>
                                  <w:jc w:val="right"/>
                                  <w:rPr>
                                    <w:sz w:val="74"/>
                                    <w:szCs w:val="74"/>
                                  </w:rPr>
                                </w:pPr>
                              </w:p>
                              <w:p w14:paraId="0BFD07E6" w14:textId="77777777" w:rsidR="006C6FF6" w:rsidRDefault="006C6FF6" w:rsidP="00B43595"/>
                              <w:p w14:paraId="0524B83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CBB7ED3" w14:textId="77777777" w:rsidR="006C6FF6" w:rsidRPr="00A3353C" w:rsidRDefault="006C6FF6" w:rsidP="00B43595">
                                <w:pPr>
                                  <w:jc w:val="right"/>
                                  <w:rPr>
                                    <w:sz w:val="74"/>
                                    <w:szCs w:val="74"/>
                                  </w:rPr>
                                </w:pPr>
                              </w:p>
                              <w:p w14:paraId="6FFD5FFB" w14:textId="77777777" w:rsidR="006C6FF6" w:rsidRDefault="006C6FF6" w:rsidP="00B43595">
                                <w:pPr>
                                  <w:jc w:val="right"/>
                                </w:pPr>
                              </w:p>
                              <w:p w14:paraId="66581FC9"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5DC848BF" w14:textId="77777777" w:rsidR="006C6FF6" w:rsidRDefault="006C6FF6" w:rsidP="00B43595"/>
                              <w:p w14:paraId="679BA259" w14:textId="77777777" w:rsidR="006C6FF6" w:rsidRDefault="006C6FF6" w:rsidP="00B43595"/>
                              <w:p w14:paraId="58B01DCD"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77429C5" w14:textId="77777777" w:rsidR="006C6FF6" w:rsidRPr="00A3353C" w:rsidRDefault="006C6FF6" w:rsidP="00B43595">
                                <w:pPr>
                                  <w:jc w:val="right"/>
                                  <w:rPr>
                                    <w:sz w:val="74"/>
                                    <w:szCs w:val="74"/>
                                  </w:rPr>
                                </w:pPr>
                              </w:p>
                              <w:p w14:paraId="3E7364C6" w14:textId="77777777" w:rsidR="006C6FF6" w:rsidRDefault="006C6FF6" w:rsidP="00B43595">
                                <w:pPr>
                                  <w:jc w:val="right"/>
                                </w:pPr>
                              </w:p>
                              <w:p w14:paraId="6BEDE3A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0439B2B" w14:textId="77777777" w:rsidR="006C6FF6" w:rsidRPr="00A3353C" w:rsidRDefault="006C6FF6" w:rsidP="00B43595">
                                <w:pPr>
                                  <w:jc w:val="right"/>
                                  <w:rPr>
                                    <w:sz w:val="74"/>
                                    <w:szCs w:val="74"/>
                                  </w:rPr>
                                </w:pPr>
                              </w:p>
                              <w:p w14:paraId="5CA49344" w14:textId="77777777" w:rsidR="006C6FF6" w:rsidRDefault="006C6FF6" w:rsidP="00B43595"/>
                              <w:p w14:paraId="30B27EF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ABD3C05" w14:textId="77777777" w:rsidR="006C6FF6" w:rsidRPr="00A3353C" w:rsidRDefault="006C6FF6" w:rsidP="00B43595">
                                <w:pPr>
                                  <w:jc w:val="right"/>
                                  <w:rPr>
                                    <w:sz w:val="74"/>
                                    <w:szCs w:val="74"/>
                                  </w:rPr>
                                </w:pPr>
                              </w:p>
                              <w:p w14:paraId="58B45C70" w14:textId="77777777" w:rsidR="006C6FF6" w:rsidRDefault="006C6FF6" w:rsidP="00B43595">
                                <w:pPr>
                                  <w:jc w:val="right"/>
                                </w:pPr>
                              </w:p>
                              <w:p w14:paraId="1A4B1F9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F08853A" w14:textId="77777777" w:rsidR="006C6FF6" w:rsidRPr="00A3353C" w:rsidRDefault="006C6FF6" w:rsidP="00B43595">
                                <w:pPr>
                                  <w:jc w:val="right"/>
                                  <w:rPr>
                                    <w:sz w:val="74"/>
                                    <w:szCs w:val="74"/>
                                  </w:rPr>
                                </w:pPr>
                              </w:p>
                              <w:p w14:paraId="14EBEEF2" w14:textId="77777777" w:rsidR="006C6FF6" w:rsidRDefault="006C6FF6" w:rsidP="00B43595"/>
                              <w:p w14:paraId="3A3A6A7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E134C0B" w14:textId="77777777" w:rsidR="006C6FF6" w:rsidRPr="00A3353C" w:rsidRDefault="006C6FF6" w:rsidP="00B43595">
                                <w:pPr>
                                  <w:jc w:val="right"/>
                                  <w:rPr>
                                    <w:sz w:val="74"/>
                                    <w:szCs w:val="74"/>
                                  </w:rPr>
                                </w:pPr>
                              </w:p>
                              <w:p w14:paraId="755922A7" w14:textId="77777777" w:rsidR="006C6FF6" w:rsidRDefault="006C6FF6" w:rsidP="00B43595">
                                <w:pPr>
                                  <w:jc w:val="right"/>
                                </w:pPr>
                              </w:p>
                              <w:p w14:paraId="779346C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80FC9C3" w14:textId="77777777" w:rsidR="006C6FF6" w:rsidRPr="00A3353C" w:rsidRDefault="006C6FF6" w:rsidP="00B43595">
                                <w:pPr>
                                  <w:jc w:val="right"/>
                                  <w:rPr>
                                    <w:sz w:val="74"/>
                                    <w:szCs w:val="74"/>
                                  </w:rPr>
                                </w:pPr>
                              </w:p>
                              <w:p w14:paraId="40BC2CF5" w14:textId="77777777" w:rsidR="006C6FF6" w:rsidRDefault="006C6FF6" w:rsidP="00B43595"/>
                              <w:p w14:paraId="0E159B2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DEE1370" w14:textId="77777777" w:rsidR="006C6FF6" w:rsidRPr="00A3353C" w:rsidRDefault="006C6FF6" w:rsidP="00B43595">
                                <w:pPr>
                                  <w:jc w:val="right"/>
                                  <w:rPr>
                                    <w:sz w:val="74"/>
                                    <w:szCs w:val="74"/>
                                  </w:rPr>
                                </w:pPr>
                              </w:p>
                              <w:p w14:paraId="616C9B95" w14:textId="77777777" w:rsidR="006C6FF6" w:rsidRDefault="006C6FF6" w:rsidP="00B43595">
                                <w:pPr>
                                  <w:jc w:val="right"/>
                                </w:pPr>
                              </w:p>
                              <w:p w14:paraId="1E99928D"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497E286" w14:textId="77777777" w:rsidR="006C6FF6" w:rsidRDefault="006C6FF6" w:rsidP="00B43595"/>
                              <w:p w14:paraId="51D9E41A" w14:textId="77777777" w:rsidR="006C6FF6" w:rsidRDefault="006C6FF6" w:rsidP="00B43595"/>
                              <w:p w14:paraId="2F10A6D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CDD6770" w14:textId="77777777" w:rsidR="006C6FF6" w:rsidRPr="00A3353C" w:rsidRDefault="006C6FF6" w:rsidP="00B43595">
                                <w:pPr>
                                  <w:jc w:val="right"/>
                                  <w:rPr>
                                    <w:sz w:val="74"/>
                                    <w:szCs w:val="74"/>
                                  </w:rPr>
                                </w:pPr>
                              </w:p>
                              <w:p w14:paraId="44D60BA7" w14:textId="77777777" w:rsidR="006C6FF6" w:rsidRDefault="006C6FF6" w:rsidP="00B43595">
                                <w:pPr>
                                  <w:jc w:val="right"/>
                                </w:pPr>
                              </w:p>
                              <w:p w14:paraId="6289E8F2"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FBA7F9A" w14:textId="77777777" w:rsidR="006C6FF6" w:rsidRPr="00A3353C" w:rsidRDefault="006C6FF6" w:rsidP="00B43595">
                                <w:pPr>
                                  <w:jc w:val="right"/>
                                  <w:rPr>
                                    <w:sz w:val="74"/>
                                    <w:szCs w:val="74"/>
                                  </w:rPr>
                                </w:pPr>
                              </w:p>
                              <w:p w14:paraId="10BE222C" w14:textId="77777777" w:rsidR="006C6FF6" w:rsidRDefault="006C6FF6" w:rsidP="00B43595"/>
                              <w:p w14:paraId="6931A2B0"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03B1653" w14:textId="77777777" w:rsidR="006C6FF6" w:rsidRPr="00A3353C" w:rsidRDefault="006C6FF6" w:rsidP="00B43595">
                                <w:pPr>
                                  <w:jc w:val="right"/>
                                  <w:rPr>
                                    <w:sz w:val="74"/>
                                    <w:szCs w:val="74"/>
                                  </w:rPr>
                                </w:pPr>
                              </w:p>
                              <w:p w14:paraId="65D44691" w14:textId="77777777" w:rsidR="006C6FF6" w:rsidRDefault="006C6FF6" w:rsidP="00B43595">
                                <w:pPr>
                                  <w:jc w:val="right"/>
                                </w:pPr>
                              </w:p>
                              <w:p w14:paraId="1BA40F68"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7FEFBD61" w14:textId="77777777" w:rsidR="006C6FF6" w:rsidRDefault="006C6FF6" w:rsidP="00B43595"/>
                              <w:p w14:paraId="2B411FB6" w14:textId="77777777" w:rsidR="006C6FF6" w:rsidRDefault="006C6FF6" w:rsidP="00B43595"/>
                              <w:p w14:paraId="7C6A4B20"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4D10BCE" w14:textId="77777777" w:rsidR="006C6FF6" w:rsidRPr="00A3353C" w:rsidRDefault="006C6FF6" w:rsidP="00B43595">
                                <w:pPr>
                                  <w:jc w:val="right"/>
                                  <w:rPr>
                                    <w:sz w:val="74"/>
                                    <w:szCs w:val="74"/>
                                  </w:rPr>
                                </w:pPr>
                              </w:p>
                              <w:p w14:paraId="32BE9702" w14:textId="77777777" w:rsidR="006C6FF6" w:rsidRDefault="006C6FF6" w:rsidP="00B43595">
                                <w:pPr>
                                  <w:jc w:val="right"/>
                                </w:pPr>
                              </w:p>
                              <w:p w14:paraId="54B3F1E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6542461" w14:textId="77777777" w:rsidR="006C6FF6" w:rsidRPr="00A3353C" w:rsidRDefault="006C6FF6" w:rsidP="00B43595">
                                <w:pPr>
                                  <w:jc w:val="right"/>
                                  <w:rPr>
                                    <w:sz w:val="74"/>
                                    <w:szCs w:val="74"/>
                                  </w:rPr>
                                </w:pPr>
                              </w:p>
                              <w:p w14:paraId="35046193" w14:textId="77777777" w:rsidR="006C6FF6" w:rsidRDefault="006C6FF6" w:rsidP="00B43595"/>
                              <w:p w14:paraId="0420110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D3B18F5" w14:textId="77777777" w:rsidR="006C6FF6" w:rsidRPr="00A3353C" w:rsidRDefault="006C6FF6" w:rsidP="00B43595">
                                <w:pPr>
                                  <w:jc w:val="right"/>
                                  <w:rPr>
                                    <w:sz w:val="74"/>
                                    <w:szCs w:val="74"/>
                                  </w:rPr>
                                </w:pPr>
                              </w:p>
                              <w:p w14:paraId="3F3944CC" w14:textId="77777777" w:rsidR="006C6FF6" w:rsidRDefault="006C6FF6" w:rsidP="00B43595">
                                <w:pPr>
                                  <w:jc w:val="right"/>
                                </w:pPr>
                              </w:p>
                              <w:p w14:paraId="13111F2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2E3E060" w14:textId="77777777" w:rsidR="006C6FF6" w:rsidRPr="00A3353C" w:rsidRDefault="006C6FF6" w:rsidP="00B43595">
                                <w:pPr>
                                  <w:jc w:val="right"/>
                                  <w:rPr>
                                    <w:sz w:val="74"/>
                                    <w:szCs w:val="74"/>
                                  </w:rPr>
                                </w:pPr>
                              </w:p>
                              <w:p w14:paraId="4B237CDF" w14:textId="77777777" w:rsidR="006C6FF6" w:rsidRDefault="006C6FF6" w:rsidP="00B43595"/>
                              <w:p w14:paraId="2B7A411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C20E807" w14:textId="77777777" w:rsidR="006C6FF6" w:rsidRPr="00A3353C" w:rsidRDefault="006C6FF6" w:rsidP="00B43595">
                                <w:pPr>
                                  <w:jc w:val="right"/>
                                  <w:rPr>
                                    <w:sz w:val="74"/>
                                    <w:szCs w:val="74"/>
                                  </w:rPr>
                                </w:pPr>
                              </w:p>
                              <w:p w14:paraId="65721CFF" w14:textId="77777777" w:rsidR="006C6FF6" w:rsidRDefault="006C6FF6" w:rsidP="00B43595">
                                <w:pPr>
                                  <w:jc w:val="right"/>
                                </w:pPr>
                              </w:p>
                              <w:p w14:paraId="65CF5546"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E075B2F" w14:textId="77777777" w:rsidR="006C6FF6" w:rsidRPr="00A3353C" w:rsidRDefault="006C6FF6" w:rsidP="00B43595">
                                <w:pPr>
                                  <w:jc w:val="right"/>
                                  <w:rPr>
                                    <w:sz w:val="74"/>
                                    <w:szCs w:val="74"/>
                                  </w:rPr>
                                </w:pPr>
                              </w:p>
                              <w:p w14:paraId="5B420479" w14:textId="77777777" w:rsidR="006C6FF6" w:rsidRDefault="006C6FF6" w:rsidP="00B43595"/>
                              <w:p w14:paraId="0EB26D1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E103B6F" w14:textId="77777777" w:rsidR="006C6FF6" w:rsidRPr="00A3353C" w:rsidRDefault="006C6FF6" w:rsidP="00B43595">
                                <w:pPr>
                                  <w:jc w:val="right"/>
                                  <w:rPr>
                                    <w:sz w:val="74"/>
                                    <w:szCs w:val="74"/>
                                  </w:rPr>
                                </w:pPr>
                              </w:p>
                              <w:p w14:paraId="7FC50BFA" w14:textId="77777777" w:rsidR="006C6FF6" w:rsidRDefault="006C6FF6" w:rsidP="00B43595">
                                <w:pPr>
                                  <w:jc w:val="right"/>
                                </w:pPr>
                              </w:p>
                              <w:p w14:paraId="4569835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BE13EE7" w14:textId="77777777" w:rsidR="006C6FF6" w:rsidRPr="00A3353C" w:rsidRDefault="006C6FF6" w:rsidP="00B43595">
                                <w:pPr>
                                  <w:jc w:val="right"/>
                                  <w:rPr>
                                    <w:sz w:val="74"/>
                                    <w:szCs w:val="74"/>
                                  </w:rPr>
                                </w:pPr>
                              </w:p>
                              <w:p w14:paraId="0B3725FF" w14:textId="77777777" w:rsidR="006C6FF6" w:rsidRDefault="006C6FF6" w:rsidP="00B43595"/>
                              <w:p w14:paraId="5DB967B3"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CCC237B" w14:textId="77777777" w:rsidR="006C6FF6" w:rsidRPr="00A3353C" w:rsidRDefault="006C6FF6" w:rsidP="00B43595">
                                <w:pPr>
                                  <w:jc w:val="right"/>
                                  <w:rPr>
                                    <w:sz w:val="74"/>
                                    <w:szCs w:val="74"/>
                                  </w:rPr>
                                </w:pPr>
                              </w:p>
                              <w:p w14:paraId="2E79FD47" w14:textId="77777777" w:rsidR="006C6FF6" w:rsidRDefault="006C6FF6" w:rsidP="00B43595">
                                <w:pPr>
                                  <w:jc w:val="right"/>
                                </w:pPr>
                              </w:p>
                              <w:p w14:paraId="18F64D3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BFDB25E" w14:textId="77777777" w:rsidR="006C6FF6" w:rsidRPr="00A3353C" w:rsidRDefault="006C6FF6" w:rsidP="00B43595">
                                <w:pPr>
                                  <w:jc w:val="right"/>
                                  <w:rPr>
                                    <w:sz w:val="74"/>
                                    <w:szCs w:val="74"/>
                                  </w:rPr>
                                </w:pPr>
                              </w:p>
                              <w:p w14:paraId="0EB08323" w14:textId="77777777" w:rsidR="006C6FF6" w:rsidRDefault="006C6FF6" w:rsidP="00B43595"/>
                              <w:p w14:paraId="24A3980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30C14DE" w14:textId="77777777" w:rsidR="006C6FF6" w:rsidRPr="00A3353C" w:rsidRDefault="006C6FF6" w:rsidP="00B43595">
                                <w:pPr>
                                  <w:jc w:val="right"/>
                                  <w:rPr>
                                    <w:sz w:val="74"/>
                                    <w:szCs w:val="74"/>
                                  </w:rPr>
                                </w:pPr>
                              </w:p>
                              <w:p w14:paraId="718957B2" w14:textId="77777777" w:rsidR="006C6FF6" w:rsidRDefault="006C6FF6" w:rsidP="00B43595">
                                <w:pPr>
                                  <w:jc w:val="right"/>
                                </w:pPr>
                              </w:p>
                              <w:p w14:paraId="3CF639B5"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D1099EA" w14:textId="77777777" w:rsidR="006C6FF6" w:rsidRPr="00A3353C" w:rsidRDefault="006C6FF6" w:rsidP="00B43595">
                                <w:pPr>
                                  <w:jc w:val="right"/>
                                  <w:rPr>
                                    <w:sz w:val="74"/>
                                    <w:szCs w:val="74"/>
                                  </w:rPr>
                                </w:pPr>
                              </w:p>
                              <w:p w14:paraId="10ED7296" w14:textId="77777777" w:rsidR="006C6FF6" w:rsidRDefault="006C6FF6" w:rsidP="00B43595"/>
                              <w:p w14:paraId="0051B06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8E8EC9B" w14:textId="77777777" w:rsidR="006C6FF6" w:rsidRPr="00A3353C" w:rsidRDefault="006C6FF6" w:rsidP="00B43595">
                                <w:pPr>
                                  <w:jc w:val="right"/>
                                  <w:rPr>
                                    <w:sz w:val="74"/>
                                    <w:szCs w:val="74"/>
                                  </w:rPr>
                                </w:pPr>
                              </w:p>
                              <w:p w14:paraId="7AC9CEF2" w14:textId="77777777" w:rsidR="006C6FF6" w:rsidRDefault="006C6FF6" w:rsidP="00B43595">
                                <w:pPr>
                                  <w:jc w:val="right"/>
                                </w:pPr>
                              </w:p>
                              <w:p w14:paraId="2B1523E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51051C7" w14:textId="77777777" w:rsidR="006C6FF6" w:rsidRPr="00A3353C" w:rsidRDefault="006C6FF6" w:rsidP="00B43595">
                                <w:pPr>
                                  <w:jc w:val="right"/>
                                  <w:rPr>
                                    <w:sz w:val="74"/>
                                    <w:szCs w:val="74"/>
                                  </w:rPr>
                                </w:pPr>
                              </w:p>
                              <w:p w14:paraId="3E1E23D9" w14:textId="77777777" w:rsidR="006C6FF6" w:rsidRDefault="006C6FF6" w:rsidP="00B43595"/>
                              <w:p w14:paraId="25520C8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7B788EF" w14:textId="77777777" w:rsidR="006C6FF6" w:rsidRPr="00A3353C" w:rsidRDefault="006C6FF6" w:rsidP="00B43595">
                                <w:pPr>
                                  <w:jc w:val="right"/>
                                  <w:rPr>
                                    <w:sz w:val="74"/>
                                    <w:szCs w:val="74"/>
                                  </w:rPr>
                                </w:pPr>
                              </w:p>
                              <w:p w14:paraId="370D1643" w14:textId="77777777" w:rsidR="006C6FF6" w:rsidRDefault="006C6FF6" w:rsidP="00B43595">
                                <w:pPr>
                                  <w:jc w:val="right"/>
                                </w:pPr>
                              </w:p>
                              <w:p w14:paraId="0C1BCF3A"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21E9911B" w14:textId="77777777" w:rsidR="006C6FF6" w:rsidRDefault="006C6FF6" w:rsidP="00B43595"/>
                              <w:p w14:paraId="187072A8" w14:textId="77777777" w:rsidR="006C6FF6" w:rsidRDefault="006C6FF6" w:rsidP="00B43595"/>
                              <w:p w14:paraId="2CEB533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AE39FE5" w14:textId="77777777" w:rsidR="006C6FF6" w:rsidRPr="00A3353C" w:rsidRDefault="006C6FF6" w:rsidP="00B43595">
                                <w:pPr>
                                  <w:jc w:val="right"/>
                                  <w:rPr>
                                    <w:sz w:val="74"/>
                                    <w:szCs w:val="74"/>
                                  </w:rPr>
                                </w:pPr>
                              </w:p>
                              <w:p w14:paraId="697A0242" w14:textId="77777777" w:rsidR="006C6FF6" w:rsidRDefault="006C6FF6" w:rsidP="00B43595">
                                <w:pPr>
                                  <w:jc w:val="right"/>
                                </w:pPr>
                              </w:p>
                              <w:p w14:paraId="08B597A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98807A3" w14:textId="77777777" w:rsidR="006C6FF6" w:rsidRPr="00A3353C" w:rsidRDefault="006C6FF6" w:rsidP="00B43595">
                                <w:pPr>
                                  <w:jc w:val="right"/>
                                  <w:rPr>
                                    <w:sz w:val="74"/>
                                    <w:szCs w:val="74"/>
                                  </w:rPr>
                                </w:pPr>
                              </w:p>
                              <w:p w14:paraId="3299B881" w14:textId="77777777" w:rsidR="006C6FF6" w:rsidRDefault="006C6FF6" w:rsidP="00B43595"/>
                              <w:p w14:paraId="4E4800DB"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B55C327" w14:textId="77777777" w:rsidR="006C6FF6" w:rsidRPr="00A3353C" w:rsidRDefault="006C6FF6" w:rsidP="00B43595">
                                <w:pPr>
                                  <w:jc w:val="right"/>
                                  <w:rPr>
                                    <w:sz w:val="74"/>
                                    <w:szCs w:val="74"/>
                                  </w:rPr>
                                </w:pPr>
                              </w:p>
                              <w:p w14:paraId="642C70BA" w14:textId="77777777" w:rsidR="006C6FF6" w:rsidRDefault="006C6FF6" w:rsidP="00B43595">
                                <w:pPr>
                                  <w:jc w:val="right"/>
                                </w:pPr>
                              </w:p>
                              <w:p w14:paraId="17ED8D4E"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F5294DF" w14:textId="77777777" w:rsidR="006C6FF6" w:rsidRDefault="006C6FF6" w:rsidP="00B43595"/>
                              <w:p w14:paraId="6E25F6F1" w14:textId="77777777" w:rsidR="006C6FF6" w:rsidRDefault="006C6FF6" w:rsidP="00B43595"/>
                              <w:p w14:paraId="417F63C7"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F23963E" w14:textId="77777777" w:rsidR="006C6FF6" w:rsidRPr="00A3353C" w:rsidRDefault="006C6FF6" w:rsidP="00B43595">
                                <w:pPr>
                                  <w:jc w:val="right"/>
                                  <w:rPr>
                                    <w:sz w:val="74"/>
                                    <w:szCs w:val="74"/>
                                  </w:rPr>
                                </w:pPr>
                              </w:p>
                              <w:p w14:paraId="2347B745" w14:textId="77777777" w:rsidR="006C6FF6" w:rsidRDefault="006C6FF6" w:rsidP="00B43595">
                                <w:pPr>
                                  <w:jc w:val="right"/>
                                </w:pPr>
                              </w:p>
                              <w:p w14:paraId="114E976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F121864" w14:textId="77777777" w:rsidR="006C6FF6" w:rsidRPr="00A3353C" w:rsidRDefault="006C6FF6" w:rsidP="00B43595">
                                <w:pPr>
                                  <w:jc w:val="right"/>
                                  <w:rPr>
                                    <w:sz w:val="74"/>
                                    <w:szCs w:val="74"/>
                                  </w:rPr>
                                </w:pPr>
                              </w:p>
                              <w:p w14:paraId="443E77FD" w14:textId="77777777" w:rsidR="006C6FF6" w:rsidRDefault="006C6FF6" w:rsidP="00B43595"/>
                              <w:p w14:paraId="2B8DFF9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1927C01" w14:textId="77777777" w:rsidR="006C6FF6" w:rsidRPr="00A3353C" w:rsidRDefault="006C6FF6" w:rsidP="00B43595">
                                <w:pPr>
                                  <w:jc w:val="right"/>
                                  <w:rPr>
                                    <w:sz w:val="74"/>
                                    <w:szCs w:val="74"/>
                                  </w:rPr>
                                </w:pPr>
                              </w:p>
                              <w:p w14:paraId="6BABDE6B" w14:textId="77777777" w:rsidR="006C6FF6" w:rsidRDefault="006C6FF6" w:rsidP="00B43595">
                                <w:pPr>
                                  <w:jc w:val="right"/>
                                </w:pPr>
                              </w:p>
                              <w:p w14:paraId="3B80A795"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1A9D61F" w14:textId="77777777" w:rsidR="006C6FF6" w:rsidRPr="00A3353C" w:rsidRDefault="006C6FF6" w:rsidP="00B43595">
                                <w:pPr>
                                  <w:jc w:val="right"/>
                                  <w:rPr>
                                    <w:sz w:val="74"/>
                                    <w:szCs w:val="74"/>
                                  </w:rPr>
                                </w:pPr>
                              </w:p>
                              <w:p w14:paraId="7B8838AD" w14:textId="77777777" w:rsidR="006C6FF6" w:rsidRDefault="006C6FF6" w:rsidP="00B43595"/>
                              <w:p w14:paraId="33F347C0"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71450D1" w14:textId="77777777" w:rsidR="006C6FF6" w:rsidRPr="00A3353C" w:rsidRDefault="006C6FF6" w:rsidP="00B43595">
                                <w:pPr>
                                  <w:jc w:val="right"/>
                                  <w:rPr>
                                    <w:sz w:val="74"/>
                                    <w:szCs w:val="74"/>
                                  </w:rPr>
                                </w:pPr>
                              </w:p>
                              <w:p w14:paraId="016D2105" w14:textId="77777777" w:rsidR="006C6FF6" w:rsidRDefault="006C6FF6" w:rsidP="00B43595">
                                <w:pPr>
                                  <w:jc w:val="right"/>
                                </w:pPr>
                              </w:p>
                              <w:p w14:paraId="52986E0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CC282CD" w14:textId="77777777" w:rsidR="006C6FF6" w:rsidRPr="00A3353C" w:rsidRDefault="006C6FF6" w:rsidP="00B43595">
                                <w:pPr>
                                  <w:jc w:val="right"/>
                                  <w:rPr>
                                    <w:sz w:val="74"/>
                                    <w:szCs w:val="74"/>
                                  </w:rPr>
                                </w:pPr>
                              </w:p>
                              <w:p w14:paraId="0D20B982" w14:textId="77777777" w:rsidR="006C6FF6" w:rsidRDefault="006C6FF6" w:rsidP="00B43595"/>
                              <w:p w14:paraId="3B796B3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C123521" w14:textId="77777777" w:rsidR="006C6FF6" w:rsidRPr="00A3353C" w:rsidRDefault="006C6FF6" w:rsidP="00B43595">
                                <w:pPr>
                                  <w:jc w:val="right"/>
                                  <w:rPr>
                                    <w:sz w:val="74"/>
                                    <w:szCs w:val="74"/>
                                  </w:rPr>
                                </w:pPr>
                              </w:p>
                              <w:p w14:paraId="218D1645" w14:textId="77777777" w:rsidR="006C6FF6" w:rsidRDefault="006C6FF6" w:rsidP="00B43595">
                                <w:pPr>
                                  <w:jc w:val="right"/>
                                </w:pPr>
                              </w:p>
                              <w:p w14:paraId="3C9C2265"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4CE0418D" w14:textId="77777777" w:rsidR="006C6FF6" w:rsidRDefault="006C6FF6" w:rsidP="00B43595"/>
                              <w:p w14:paraId="523F954A" w14:textId="77777777" w:rsidR="006C6FF6" w:rsidRDefault="006C6FF6" w:rsidP="00B43595"/>
                              <w:p w14:paraId="6C4F144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0C9737C" w14:textId="77777777" w:rsidR="006C6FF6" w:rsidRPr="00A3353C" w:rsidRDefault="006C6FF6" w:rsidP="00B43595">
                                <w:pPr>
                                  <w:jc w:val="right"/>
                                  <w:rPr>
                                    <w:sz w:val="74"/>
                                    <w:szCs w:val="74"/>
                                  </w:rPr>
                                </w:pPr>
                              </w:p>
                              <w:p w14:paraId="3B601C69" w14:textId="77777777" w:rsidR="006C6FF6" w:rsidRDefault="006C6FF6" w:rsidP="00B43595">
                                <w:pPr>
                                  <w:jc w:val="right"/>
                                </w:pPr>
                              </w:p>
                              <w:p w14:paraId="712EC31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9FFD048" w14:textId="77777777" w:rsidR="006C6FF6" w:rsidRPr="00A3353C" w:rsidRDefault="006C6FF6" w:rsidP="00B43595">
                                <w:pPr>
                                  <w:jc w:val="right"/>
                                  <w:rPr>
                                    <w:sz w:val="74"/>
                                    <w:szCs w:val="74"/>
                                  </w:rPr>
                                </w:pPr>
                              </w:p>
                              <w:p w14:paraId="55E61C2B" w14:textId="77777777" w:rsidR="006C6FF6" w:rsidRDefault="006C6FF6" w:rsidP="00B43595"/>
                              <w:p w14:paraId="77D3786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6C019DD" w14:textId="77777777" w:rsidR="006C6FF6" w:rsidRPr="00A3353C" w:rsidRDefault="006C6FF6" w:rsidP="00B43595">
                                <w:pPr>
                                  <w:jc w:val="right"/>
                                  <w:rPr>
                                    <w:sz w:val="74"/>
                                    <w:szCs w:val="74"/>
                                  </w:rPr>
                                </w:pPr>
                              </w:p>
                              <w:p w14:paraId="12ACD72E" w14:textId="77777777" w:rsidR="006C6FF6" w:rsidRDefault="006C6FF6" w:rsidP="00B43595">
                                <w:pPr>
                                  <w:jc w:val="right"/>
                                </w:pPr>
                              </w:p>
                              <w:p w14:paraId="0BC7B36A"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73AA9BA" w14:textId="77777777" w:rsidR="006C6FF6" w:rsidRDefault="006C6FF6" w:rsidP="00B43595"/>
                              <w:p w14:paraId="708DEB3B" w14:textId="77777777" w:rsidR="006C6FF6" w:rsidRDefault="006C6FF6" w:rsidP="00B43595"/>
                              <w:p w14:paraId="0F862C26"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9586F12" w14:textId="77777777" w:rsidR="006C6FF6" w:rsidRPr="00A3353C" w:rsidRDefault="006C6FF6" w:rsidP="00B43595">
                                <w:pPr>
                                  <w:jc w:val="right"/>
                                  <w:rPr>
                                    <w:sz w:val="74"/>
                                    <w:szCs w:val="74"/>
                                  </w:rPr>
                                </w:pPr>
                              </w:p>
                              <w:p w14:paraId="40A9C108" w14:textId="77777777" w:rsidR="006C6FF6" w:rsidRDefault="006C6FF6" w:rsidP="00B43595">
                                <w:pPr>
                                  <w:jc w:val="right"/>
                                </w:pPr>
                              </w:p>
                              <w:p w14:paraId="4B5F324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E190751" w14:textId="77777777" w:rsidR="006C6FF6" w:rsidRPr="00A3353C" w:rsidRDefault="006C6FF6" w:rsidP="00B43595">
                                <w:pPr>
                                  <w:jc w:val="right"/>
                                  <w:rPr>
                                    <w:sz w:val="74"/>
                                    <w:szCs w:val="74"/>
                                  </w:rPr>
                                </w:pPr>
                              </w:p>
                              <w:p w14:paraId="413A7E60" w14:textId="77777777" w:rsidR="006C6FF6" w:rsidRDefault="006C6FF6" w:rsidP="00B43595"/>
                              <w:p w14:paraId="7C0EFB7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5D124B2" w14:textId="77777777" w:rsidR="006C6FF6" w:rsidRPr="00A3353C" w:rsidRDefault="006C6FF6" w:rsidP="00B43595">
                                <w:pPr>
                                  <w:jc w:val="right"/>
                                  <w:rPr>
                                    <w:sz w:val="74"/>
                                    <w:szCs w:val="74"/>
                                  </w:rPr>
                                </w:pPr>
                              </w:p>
                              <w:p w14:paraId="2379AA3D" w14:textId="77777777" w:rsidR="006C6FF6" w:rsidRDefault="006C6FF6" w:rsidP="00B43595">
                                <w:pPr>
                                  <w:jc w:val="right"/>
                                </w:pPr>
                              </w:p>
                              <w:p w14:paraId="0D84BD6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861F633" w14:textId="77777777" w:rsidR="006C6FF6" w:rsidRPr="00A3353C" w:rsidRDefault="006C6FF6" w:rsidP="00B43595">
                                <w:pPr>
                                  <w:jc w:val="right"/>
                                  <w:rPr>
                                    <w:sz w:val="74"/>
                                    <w:szCs w:val="74"/>
                                  </w:rPr>
                                </w:pPr>
                              </w:p>
                              <w:p w14:paraId="212ED2B4" w14:textId="77777777" w:rsidR="006C6FF6" w:rsidRDefault="006C6FF6" w:rsidP="00B43595"/>
                              <w:p w14:paraId="1C56048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AF79CC9" w14:textId="77777777" w:rsidR="006C6FF6" w:rsidRPr="00A3353C" w:rsidRDefault="006C6FF6" w:rsidP="00B43595">
                                <w:pPr>
                                  <w:jc w:val="right"/>
                                  <w:rPr>
                                    <w:sz w:val="74"/>
                                    <w:szCs w:val="74"/>
                                  </w:rPr>
                                </w:pPr>
                              </w:p>
                              <w:p w14:paraId="78468F47" w14:textId="77777777" w:rsidR="006C6FF6" w:rsidRDefault="006C6FF6" w:rsidP="00B43595">
                                <w:pPr>
                                  <w:jc w:val="right"/>
                                </w:pPr>
                              </w:p>
                              <w:p w14:paraId="45F382D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9EF4940" w14:textId="77777777" w:rsidR="006C6FF6" w:rsidRPr="00A3353C" w:rsidRDefault="006C6FF6" w:rsidP="00B43595">
                                <w:pPr>
                                  <w:jc w:val="right"/>
                                  <w:rPr>
                                    <w:sz w:val="74"/>
                                    <w:szCs w:val="74"/>
                                  </w:rPr>
                                </w:pPr>
                              </w:p>
                              <w:p w14:paraId="5BD9D93E" w14:textId="77777777" w:rsidR="006C6FF6" w:rsidRDefault="006C6FF6" w:rsidP="00B43595"/>
                              <w:p w14:paraId="4F6FF3D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4E98008" w14:textId="77777777" w:rsidR="006C6FF6" w:rsidRPr="00A3353C" w:rsidRDefault="006C6FF6" w:rsidP="00B43595">
                                <w:pPr>
                                  <w:jc w:val="right"/>
                                  <w:rPr>
                                    <w:sz w:val="74"/>
                                    <w:szCs w:val="74"/>
                                  </w:rPr>
                                </w:pPr>
                              </w:p>
                              <w:p w14:paraId="5CE163FC" w14:textId="77777777" w:rsidR="006C6FF6" w:rsidRDefault="006C6FF6" w:rsidP="00B43595">
                                <w:pPr>
                                  <w:jc w:val="right"/>
                                </w:pPr>
                              </w:p>
                              <w:p w14:paraId="4DC5936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FB50D52" w14:textId="77777777" w:rsidR="006C6FF6" w:rsidRPr="00A3353C" w:rsidRDefault="006C6FF6" w:rsidP="00B43595">
                                <w:pPr>
                                  <w:jc w:val="right"/>
                                  <w:rPr>
                                    <w:sz w:val="74"/>
                                    <w:szCs w:val="74"/>
                                  </w:rPr>
                                </w:pPr>
                              </w:p>
                              <w:p w14:paraId="4FCCC506" w14:textId="77777777" w:rsidR="006C6FF6" w:rsidRDefault="006C6FF6" w:rsidP="00B43595"/>
                              <w:p w14:paraId="7DAF66E5"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D0B58BA" w14:textId="77777777" w:rsidR="006C6FF6" w:rsidRPr="00A3353C" w:rsidRDefault="006C6FF6" w:rsidP="00B43595">
                                <w:pPr>
                                  <w:jc w:val="right"/>
                                  <w:rPr>
                                    <w:sz w:val="74"/>
                                    <w:szCs w:val="74"/>
                                  </w:rPr>
                                </w:pPr>
                              </w:p>
                              <w:p w14:paraId="4757A306" w14:textId="77777777" w:rsidR="006C6FF6" w:rsidRDefault="006C6FF6" w:rsidP="00B43595">
                                <w:pPr>
                                  <w:jc w:val="right"/>
                                </w:pPr>
                              </w:p>
                              <w:p w14:paraId="0815F3A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D30F24F" w14:textId="77777777" w:rsidR="006C6FF6" w:rsidRPr="00A3353C" w:rsidRDefault="006C6FF6" w:rsidP="00B43595">
                                <w:pPr>
                                  <w:jc w:val="right"/>
                                  <w:rPr>
                                    <w:sz w:val="74"/>
                                    <w:szCs w:val="74"/>
                                  </w:rPr>
                                </w:pPr>
                              </w:p>
                              <w:p w14:paraId="69CC93B8" w14:textId="77777777" w:rsidR="006C6FF6" w:rsidRDefault="006C6FF6" w:rsidP="00B43595"/>
                              <w:p w14:paraId="684BDD9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180212D" w14:textId="77777777" w:rsidR="006C6FF6" w:rsidRPr="00A3353C" w:rsidRDefault="006C6FF6" w:rsidP="00B43595">
                                <w:pPr>
                                  <w:jc w:val="right"/>
                                  <w:rPr>
                                    <w:sz w:val="74"/>
                                    <w:szCs w:val="74"/>
                                  </w:rPr>
                                </w:pPr>
                              </w:p>
                              <w:p w14:paraId="6B858DD7" w14:textId="77777777" w:rsidR="006C6FF6" w:rsidRDefault="006C6FF6" w:rsidP="00B43595">
                                <w:pPr>
                                  <w:jc w:val="right"/>
                                </w:pPr>
                              </w:p>
                              <w:p w14:paraId="7D9F70C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8B69646" w14:textId="77777777" w:rsidR="006C6FF6" w:rsidRPr="00A3353C" w:rsidRDefault="006C6FF6" w:rsidP="00B43595">
                                <w:pPr>
                                  <w:jc w:val="right"/>
                                  <w:rPr>
                                    <w:sz w:val="74"/>
                                    <w:szCs w:val="74"/>
                                  </w:rPr>
                                </w:pPr>
                              </w:p>
                              <w:p w14:paraId="3FAFF1BE" w14:textId="77777777" w:rsidR="006C6FF6" w:rsidRDefault="006C6FF6" w:rsidP="00B43595"/>
                              <w:p w14:paraId="5BD9D89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F571F80" w14:textId="77777777" w:rsidR="006C6FF6" w:rsidRPr="00A3353C" w:rsidRDefault="006C6FF6" w:rsidP="00B43595">
                                <w:pPr>
                                  <w:jc w:val="right"/>
                                  <w:rPr>
                                    <w:sz w:val="74"/>
                                    <w:szCs w:val="74"/>
                                  </w:rPr>
                                </w:pPr>
                              </w:p>
                              <w:p w14:paraId="5C605AFF" w14:textId="77777777" w:rsidR="006C6FF6" w:rsidRDefault="006C6FF6" w:rsidP="00B43595">
                                <w:pPr>
                                  <w:jc w:val="right"/>
                                </w:pPr>
                              </w:p>
                              <w:p w14:paraId="778FDF3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5746254" w14:textId="77777777" w:rsidR="006C6FF6" w:rsidRPr="00A3353C" w:rsidRDefault="006C6FF6" w:rsidP="00B43595">
                                <w:pPr>
                                  <w:jc w:val="right"/>
                                  <w:rPr>
                                    <w:sz w:val="74"/>
                                    <w:szCs w:val="74"/>
                                  </w:rPr>
                                </w:pPr>
                              </w:p>
                              <w:p w14:paraId="3CED26D4" w14:textId="77777777" w:rsidR="006C6FF6" w:rsidRDefault="006C6FF6" w:rsidP="00B43595"/>
                              <w:p w14:paraId="70F7659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E010BC6" w14:textId="77777777" w:rsidR="006C6FF6" w:rsidRPr="00A3353C" w:rsidRDefault="006C6FF6" w:rsidP="00B43595">
                                <w:pPr>
                                  <w:jc w:val="right"/>
                                  <w:rPr>
                                    <w:sz w:val="74"/>
                                    <w:szCs w:val="74"/>
                                  </w:rPr>
                                </w:pPr>
                              </w:p>
                              <w:p w14:paraId="692D9480" w14:textId="77777777" w:rsidR="006C6FF6" w:rsidRDefault="006C6FF6" w:rsidP="00B43595">
                                <w:pPr>
                                  <w:jc w:val="right"/>
                                </w:pPr>
                              </w:p>
                              <w:p w14:paraId="14A6F015"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3551996" w14:textId="77777777" w:rsidR="006C6FF6" w:rsidRPr="00A3353C" w:rsidRDefault="006C6FF6" w:rsidP="00B43595">
                                <w:pPr>
                                  <w:jc w:val="right"/>
                                  <w:rPr>
                                    <w:sz w:val="74"/>
                                    <w:szCs w:val="74"/>
                                  </w:rPr>
                                </w:pPr>
                              </w:p>
                              <w:p w14:paraId="52C38607" w14:textId="77777777" w:rsidR="006C6FF6" w:rsidRDefault="006C6FF6" w:rsidP="00B43595"/>
                              <w:p w14:paraId="31F9A205"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0C96DBC" w14:textId="77777777" w:rsidR="006C6FF6" w:rsidRPr="00A3353C" w:rsidRDefault="006C6FF6" w:rsidP="00B43595">
                                <w:pPr>
                                  <w:jc w:val="right"/>
                                  <w:rPr>
                                    <w:sz w:val="74"/>
                                    <w:szCs w:val="74"/>
                                  </w:rPr>
                                </w:pPr>
                              </w:p>
                              <w:p w14:paraId="5A83AFEB" w14:textId="77777777" w:rsidR="006C6FF6" w:rsidRDefault="006C6FF6" w:rsidP="00B43595">
                                <w:pPr>
                                  <w:jc w:val="right"/>
                                </w:pPr>
                              </w:p>
                              <w:p w14:paraId="0900B66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B62FDDC" w14:textId="77777777" w:rsidR="006C6FF6" w:rsidRPr="00A3353C" w:rsidRDefault="006C6FF6" w:rsidP="00B43595">
                                <w:pPr>
                                  <w:jc w:val="right"/>
                                  <w:rPr>
                                    <w:sz w:val="74"/>
                                    <w:szCs w:val="74"/>
                                  </w:rPr>
                                </w:pPr>
                              </w:p>
                              <w:p w14:paraId="1FB1DCB5" w14:textId="77777777" w:rsidR="006C6FF6" w:rsidRDefault="006C6FF6" w:rsidP="00B43595"/>
                              <w:p w14:paraId="056CC1E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8588773" w14:textId="77777777" w:rsidR="006C6FF6" w:rsidRPr="00A3353C" w:rsidRDefault="006C6FF6" w:rsidP="00B43595">
                                <w:pPr>
                                  <w:jc w:val="right"/>
                                  <w:rPr>
                                    <w:sz w:val="74"/>
                                    <w:szCs w:val="74"/>
                                  </w:rPr>
                                </w:pPr>
                              </w:p>
                              <w:p w14:paraId="37512543" w14:textId="77777777" w:rsidR="006C6FF6" w:rsidRDefault="006C6FF6" w:rsidP="00B43595">
                                <w:pPr>
                                  <w:jc w:val="right"/>
                                </w:pPr>
                              </w:p>
                              <w:p w14:paraId="3F0F570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A8B7426" w14:textId="77777777" w:rsidR="006C6FF6" w:rsidRPr="00A3353C" w:rsidRDefault="006C6FF6" w:rsidP="00B43595">
                                <w:pPr>
                                  <w:jc w:val="right"/>
                                  <w:rPr>
                                    <w:sz w:val="74"/>
                                    <w:szCs w:val="74"/>
                                  </w:rPr>
                                </w:pPr>
                              </w:p>
                              <w:p w14:paraId="62F3BB41" w14:textId="77777777" w:rsidR="006C6FF6" w:rsidRDefault="006C6FF6" w:rsidP="00B43595"/>
                              <w:p w14:paraId="3B63AA9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9936379" w14:textId="77777777" w:rsidR="006C6FF6" w:rsidRPr="00A3353C" w:rsidRDefault="006C6FF6" w:rsidP="00B43595">
                                <w:pPr>
                                  <w:jc w:val="right"/>
                                  <w:rPr>
                                    <w:sz w:val="74"/>
                                    <w:szCs w:val="74"/>
                                  </w:rPr>
                                </w:pPr>
                              </w:p>
                              <w:p w14:paraId="265C2141" w14:textId="77777777" w:rsidR="006C6FF6" w:rsidRDefault="006C6FF6" w:rsidP="00B43595">
                                <w:pPr>
                                  <w:jc w:val="right"/>
                                </w:pPr>
                              </w:p>
                              <w:p w14:paraId="37747DA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B061F22" w14:textId="77777777" w:rsidR="006C6FF6" w:rsidRPr="00A3353C" w:rsidRDefault="006C6FF6" w:rsidP="00B43595">
                                <w:pPr>
                                  <w:jc w:val="right"/>
                                  <w:rPr>
                                    <w:sz w:val="74"/>
                                    <w:szCs w:val="74"/>
                                  </w:rPr>
                                </w:pPr>
                              </w:p>
                              <w:p w14:paraId="04E50132" w14:textId="77777777" w:rsidR="006C6FF6" w:rsidRDefault="006C6FF6" w:rsidP="00B43595"/>
                              <w:p w14:paraId="606B843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7BC6D3B" w14:textId="77777777" w:rsidR="006C6FF6" w:rsidRPr="00A3353C" w:rsidRDefault="006C6FF6" w:rsidP="00B43595">
                                <w:pPr>
                                  <w:jc w:val="right"/>
                                  <w:rPr>
                                    <w:sz w:val="74"/>
                                    <w:szCs w:val="74"/>
                                  </w:rPr>
                                </w:pPr>
                              </w:p>
                              <w:p w14:paraId="32B720D7" w14:textId="77777777" w:rsidR="006C6FF6" w:rsidRDefault="006C6FF6" w:rsidP="00B43595">
                                <w:pPr>
                                  <w:jc w:val="right"/>
                                </w:pPr>
                              </w:p>
                              <w:p w14:paraId="3673989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BB2CE4D" w14:textId="77777777" w:rsidR="006C6FF6" w:rsidRPr="00A3353C" w:rsidRDefault="006C6FF6" w:rsidP="00B43595">
                                <w:pPr>
                                  <w:jc w:val="right"/>
                                  <w:rPr>
                                    <w:sz w:val="74"/>
                                    <w:szCs w:val="74"/>
                                  </w:rPr>
                                </w:pPr>
                              </w:p>
                              <w:p w14:paraId="65A11ED6" w14:textId="77777777" w:rsidR="006C6FF6" w:rsidRDefault="006C6FF6" w:rsidP="00B43595"/>
                              <w:p w14:paraId="7128E0CA"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844988C" w14:textId="77777777" w:rsidR="006C6FF6" w:rsidRPr="00A3353C" w:rsidRDefault="006C6FF6" w:rsidP="00B43595">
                                <w:pPr>
                                  <w:jc w:val="right"/>
                                  <w:rPr>
                                    <w:sz w:val="74"/>
                                    <w:szCs w:val="74"/>
                                  </w:rPr>
                                </w:pPr>
                              </w:p>
                              <w:p w14:paraId="0A9D13BF" w14:textId="77777777" w:rsidR="006C6FF6" w:rsidRDefault="006C6FF6" w:rsidP="00B43595">
                                <w:pPr>
                                  <w:jc w:val="right"/>
                                </w:pPr>
                              </w:p>
                              <w:p w14:paraId="470B348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3EB8E24" w14:textId="77777777" w:rsidR="006C6FF6" w:rsidRPr="00A3353C" w:rsidRDefault="006C6FF6" w:rsidP="00B43595">
                                <w:pPr>
                                  <w:jc w:val="right"/>
                                  <w:rPr>
                                    <w:sz w:val="74"/>
                                    <w:szCs w:val="74"/>
                                  </w:rPr>
                                </w:pPr>
                              </w:p>
                              <w:p w14:paraId="4EB8C628" w14:textId="77777777" w:rsidR="006C6FF6" w:rsidRDefault="006C6FF6" w:rsidP="00B43595"/>
                              <w:p w14:paraId="2196C68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04ABBED" w14:textId="77777777" w:rsidR="006C6FF6" w:rsidRPr="00A3353C" w:rsidRDefault="006C6FF6" w:rsidP="00B43595">
                                <w:pPr>
                                  <w:jc w:val="right"/>
                                  <w:rPr>
                                    <w:sz w:val="74"/>
                                    <w:szCs w:val="74"/>
                                  </w:rPr>
                                </w:pPr>
                              </w:p>
                              <w:p w14:paraId="3E18443F" w14:textId="77777777" w:rsidR="006C6FF6" w:rsidRDefault="006C6FF6" w:rsidP="00B43595">
                                <w:pPr>
                                  <w:jc w:val="right"/>
                                </w:pPr>
                              </w:p>
                              <w:p w14:paraId="43FEF3D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6DE29FF" w14:textId="77777777" w:rsidR="006C6FF6" w:rsidRPr="00A3353C" w:rsidRDefault="006C6FF6" w:rsidP="00B43595">
                                <w:pPr>
                                  <w:jc w:val="right"/>
                                  <w:rPr>
                                    <w:sz w:val="74"/>
                                    <w:szCs w:val="74"/>
                                  </w:rPr>
                                </w:pPr>
                              </w:p>
                              <w:p w14:paraId="33FDE4C5" w14:textId="77777777" w:rsidR="006C6FF6" w:rsidRDefault="006C6FF6" w:rsidP="00B43595"/>
                              <w:p w14:paraId="2E3E17D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F251E0C" w14:textId="77777777" w:rsidR="006C6FF6" w:rsidRPr="00A3353C" w:rsidRDefault="006C6FF6" w:rsidP="00B43595">
                                <w:pPr>
                                  <w:jc w:val="right"/>
                                  <w:rPr>
                                    <w:sz w:val="74"/>
                                    <w:szCs w:val="74"/>
                                  </w:rPr>
                                </w:pPr>
                              </w:p>
                              <w:p w14:paraId="6DFE79C3" w14:textId="77777777" w:rsidR="006C6FF6" w:rsidRDefault="006C6FF6" w:rsidP="00B43595">
                                <w:pPr>
                                  <w:jc w:val="right"/>
                                </w:pPr>
                              </w:p>
                              <w:p w14:paraId="56923203"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19586D0" w14:textId="77777777" w:rsidR="006C6FF6" w:rsidRPr="00A3353C" w:rsidRDefault="006C6FF6" w:rsidP="00B43595">
                                <w:pPr>
                                  <w:jc w:val="right"/>
                                  <w:rPr>
                                    <w:sz w:val="74"/>
                                    <w:szCs w:val="74"/>
                                  </w:rPr>
                                </w:pPr>
                              </w:p>
                              <w:p w14:paraId="2061BEB8" w14:textId="77777777" w:rsidR="006C6FF6" w:rsidRDefault="006C6FF6" w:rsidP="00B43595"/>
                              <w:p w14:paraId="60DE548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C5EE93C" w14:textId="77777777" w:rsidR="006C6FF6" w:rsidRPr="00A3353C" w:rsidRDefault="006C6FF6" w:rsidP="00B43595">
                                <w:pPr>
                                  <w:jc w:val="right"/>
                                  <w:rPr>
                                    <w:sz w:val="74"/>
                                    <w:szCs w:val="74"/>
                                  </w:rPr>
                                </w:pPr>
                              </w:p>
                              <w:p w14:paraId="7026833A" w14:textId="77777777" w:rsidR="006C6FF6" w:rsidRDefault="006C6FF6" w:rsidP="00B43595">
                                <w:pPr>
                                  <w:jc w:val="right"/>
                                </w:pPr>
                              </w:p>
                              <w:p w14:paraId="10853F82"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62E22661" w14:textId="77777777" w:rsidR="006C6FF6" w:rsidRDefault="006C6FF6" w:rsidP="00B43595"/>
                              <w:p w14:paraId="18E7545F" w14:textId="77777777" w:rsidR="006C6FF6" w:rsidRDefault="006C6FF6" w:rsidP="00B43595"/>
                              <w:p w14:paraId="7D9C810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80EAC14" w14:textId="77777777" w:rsidR="006C6FF6" w:rsidRPr="00A3353C" w:rsidRDefault="006C6FF6" w:rsidP="00B43595">
                                <w:pPr>
                                  <w:jc w:val="right"/>
                                  <w:rPr>
                                    <w:sz w:val="74"/>
                                    <w:szCs w:val="74"/>
                                  </w:rPr>
                                </w:pPr>
                              </w:p>
                              <w:p w14:paraId="65EC607E" w14:textId="77777777" w:rsidR="006C6FF6" w:rsidRDefault="006C6FF6" w:rsidP="00B43595">
                                <w:pPr>
                                  <w:jc w:val="right"/>
                                </w:pPr>
                              </w:p>
                              <w:p w14:paraId="383EAAE6"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72F0D53" w14:textId="77777777" w:rsidR="006C6FF6" w:rsidRPr="00A3353C" w:rsidRDefault="006C6FF6" w:rsidP="00B43595">
                                <w:pPr>
                                  <w:jc w:val="right"/>
                                  <w:rPr>
                                    <w:sz w:val="74"/>
                                    <w:szCs w:val="74"/>
                                  </w:rPr>
                                </w:pPr>
                              </w:p>
                              <w:p w14:paraId="431F05D7" w14:textId="77777777" w:rsidR="006C6FF6" w:rsidRDefault="006C6FF6" w:rsidP="00B43595"/>
                              <w:p w14:paraId="182FD70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E592425" w14:textId="77777777" w:rsidR="006C6FF6" w:rsidRPr="00A3353C" w:rsidRDefault="006C6FF6" w:rsidP="00B43595">
                                <w:pPr>
                                  <w:jc w:val="right"/>
                                  <w:rPr>
                                    <w:sz w:val="74"/>
                                    <w:szCs w:val="74"/>
                                  </w:rPr>
                                </w:pPr>
                              </w:p>
                              <w:p w14:paraId="3CCCA244" w14:textId="77777777" w:rsidR="006C6FF6" w:rsidRDefault="006C6FF6" w:rsidP="00B43595">
                                <w:pPr>
                                  <w:jc w:val="right"/>
                                </w:pPr>
                              </w:p>
                              <w:p w14:paraId="1179EA3D"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D1BF058" w14:textId="77777777" w:rsidR="006C6FF6" w:rsidRDefault="006C6FF6" w:rsidP="00B43595"/>
                              <w:p w14:paraId="03E00CB4" w14:textId="77777777" w:rsidR="006C6FF6" w:rsidRDefault="006C6FF6" w:rsidP="00B43595"/>
                              <w:p w14:paraId="455419BA"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66BC139" w14:textId="77777777" w:rsidR="006C6FF6" w:rsidRPr="00A3353C" w:rsidRDefault="006C6FF6" w:rsidP="00B43595">
                                <w:pPr>
                                  <w:jc w:val="right"/>
                                  <w:rPr>
                                    <w:sz w:val="74"/>
                                    <w:szCs w:val="74"/>
                                  </w:rPr>
                                </w:pPr>
                              </w:p>
                              <w:p w14:paraId="2EE07A94" w14:textId="77777777" w:rsidR="006C6FF6" w:rsidRDefault="006C6FF6" w:rsidP="00B43595">
                                <w:pPr>
                                  <w:jc w:val="right"/>
                                </w:pPr>
                              </w:p>
                              <w:p w14:paraId="74CB558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79E27F7" w14:textId="77777777" w:rsidR="006C6FF6" w:rsidRPr="00A3353C" w:rsidRDefault="006C6FF6" w:rsidP="00B43595">
                                <w:pPr>
                                  <w:jc w:val="right"/>
                                  <w:rPr>
                                    <w:sz w:val="74"/>
                                    <w:szCs w:val="74"/>
                                  </w:rPr>
                                </w:pPr>
                              </w:p>
                              <w:p w14:paraId="4970007A" w14:textId="77777777" w:rsidR="006C6FF6" w:rsidRDefault="006C6FF6" w:rsidP="00B43595"/>
                              <w:p w14:paraId="68CF28A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E586550" w14:textId="77777777" w:rsidR="006C6FF6" w:rsidRPr="00A3353C" w:rsidRDefault="006C6FF6" w:rsidP="00B43595">
                                <w:pPr>
                                  <w:jc w:val="right"/>
                                  <w:rPr>
                                    <w:sz w:val="74"/>
                                    <w:szCs w:val="74"/>
                                  </w:rPr>
                                </w:pPr>
                              </w:p>
                              <w:p w14:paraId="5033A08D" w14:textId="77777777" w:rsidR="006C6FF6" w:rsidRDefault="006C6FF6" w:rsidP="00B43595">
                                <w:pPr>
                                  <w:jc w:val="right"/>
                                </w:pPr>
                              </w:p>
                              <w:p w14:paraId="67A3300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A76E245" w14:textId="77777777" w:rsidR="006C6FF6" w:rsidRPr="00A3353C" w:rsidRDefault="006C6FF6" w:rsidP="00B43595">
                                <w:pPr>
                                  <w:jc w:val="right"/>
                                  <w:rPr>
                                    <w:sz w:val="74"/>
                                    <w:szCs w:val="74"/>
                                  </w:rPr>
                                </w:pPr>
                              </w:p>
                              <w:p w14:paraId="3DD36DD3" w14:textId="77777777" w:rsidR="006C6FF6" w:rsidRDefault="006C6FF6" w:rsidP="00B43595"/>
                              <w:p w14:paraId="7328FBC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64F45F4" w14:textId="77777777" w:rsidR="006C6FF6" w:rsidRPr="00A3353C" w:rsidRDefault="006C6FF6" w:rsidP="00B43595">
                                <w:pPr>
                                  <w:jc w:val="right"/>
                                  <w:rPr>
                                    <w:sz w:val="74"/>
                                    <w:szCs w:val="74"/>
                                  </w:rPr>
                                </w:pPr>
                              </w:p>
                              <w:p w14:paraId="2A3B5A83" w14:textId="77777777" w:rsidR="006C6FF6" w:rsidRDefault="006C6FF6" w:rsidP="00B43595">
                                <w:pPr>
                                  <w:jc w:val="right"/>
                                </w:pPr>
                              </w:p>
                              <w:p w14:paraId="420C2842"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7714F8E" w14:textId="77777777" w:rsidR="006C6FF6" w:rsidRPr="00A3353C" w:rsidRDefault="006C6FF6" w:rsidP="00B43595">
                                <w:pPr>
                                  <w:jc w:val="right"/>
                                  <w:rPr>
                                    <w:sz w:val="74"/>
                                    <w:szCs w:val="74"/>
                                  </w:rPr>
                                </w:pPr>
                              </w:p>
                              <w:p w14:paraId="0105E3CA" w14:textId="77777777" w:rsidR="006C6FF6" w:rsidRDefault="006C6FF6" w:rsidP="00B43595"/>
                              <w:p w14:paraId="5A0070C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DF29B0B" w14:textId="77777777" w:rsidR="006C6FF6" w:rsidRPr="00A3353C" w:rsidRDefault="006C6FF6" w:rsidP="00B43595">
                                <w:pPr>
                                  <w:jc w:val="right"/>
                                  <w:rPr>
                                    <w:sz w:val="74"/>
                                    <w:szCs w:val="74"/>
                                  </w:rPr>
                                </w:pPr>
                              </w:p>
                              <w:p w14:paraId="3F32CEC3" w14:textId="77777777" w:rsidR="006C6FF6" w:rsidRDefault="006C6FF6" w:rsidP="00B43595">
                                <w:pPr>
                                  <w:jc w:val="right"/>
                                </w:pPr>
                              </w:p>
                              <w:p w14:paraId="1B32D98C"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8D08703" w14:textId="77777777" w:rsidR="006C6FF6" w:rsidRDefault="006C6FF6" w:rsidP="00B43595"/>
                              <w:p w14:paraId="42D82594" w14:textId="77777777" w:rsidR="006C6FF6" w:rsidRDefault="006C6FF6" w:rsidP="00B43595"/>
                              <w:p w14:paraId="79266E0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2585637" w14:textId="77777777" w:rsidR="006C6FF6" w:rsidRPr="00A3353C" w:rsidRDefault="006C6FF6" w:rsidP="00B43595">
                                <w:pPr>
                                  <w:jc w:val="right"/>
                                  <w:rPr>
                                    <w:sz w:val="74"/>
                                    <w:szCs w:val="74"/>
                                  </w:rPr>
                                </w:pPr>
                              </w:p>
                              <w:p w14:paraId="21F05B11" w14:textId="77777777" w:rsidR="006C6FF6" w:rsidRDefault="006C6FF6" w:rsidP="00B43595">
                                <w:pPr>
                                  <w:jc w:val="right"/>
                                </w:pPr>
                              </w:p>
                              <w:p w14:paraId="1CE261E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3D2ED1B" w14:textId="77777777" w:rsidR="006C6FF6" w:rsidRPr="00A3353C" w:rsidRDefault="006C6FF6" w:rsidP="00B43595">
                                <w:pPr>
                                  <w:jc w:val="right"/>
                                  <w:rPr>
                                    <w:sz w:val="74"/>
                                    <w:szCs w:val="74"/>
                                  </w:rPr>
                                </w:pPr>
                              </w:p>
                              <w:p w14:paraId="3DDEE6E5" w14:textId="77777777" w:rsidR="006C6FF6" w:rsidRDefault="006C6FF6" w:rsidP="00B43595"/>
                              <w:p w14:paraId="2B4CC0F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A93EBDF" w14:textId="77777777" w:rsidR="006C6FF6" w:rsidRPr="00A3353C" w:rsidRDefault="006C6FF6" w:rsidP="00B43595">
                                <w:pPr>
                                  <w:jc w:val="right"/>
                                  <w:rPr>
                                    <w:sz w:val="74"/>
                                    <w:szCs w:val="74"/>
                                  </w:rPr>
                                </w:pPr>
                              </w:p>
                              <w:p w14:paraId="57CC9490" w14:textId="77777777" w:rsidR="006C6FF6" w:rsidRDefault="006C6FF6" w:rsidP="00B43595">
                                <w:pPr>
                                  <w:jc w:val="right"/>
                                </w:pPr>
                              </w:p>
                              <w:p w14:paraId="5E6C4E40"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7C02C357" w14:textId="77777777" w:rsidR="006C6FF6" w:rsidRDefault="006C6FF6" w:rsidP="00B43595"/>
                              <w:p w14:paraId="110CD57F" w14:textId="77777777" w:rsidR="006C6FF6" w:rsidRDefault="006C6FF6" w:rsidP="00B43595"/>
                              <w:p w14:paraId="34672A66"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4D26CE8" w14:textId="77777777" w:rsidR="006C6FF6" w:rsidRPr="00A3353C" w:rsidRDefault="006C6FF6" w:rsidP="00B43595">
                                <w:pPr>
                                  <w:jc w:val="right"/>
                                  <w:rPr>
                                    <w:sz w:val="74"/>
                                    <w:szCs w:val="74"/>
                                  </w:rPr>
                                </w:pPr>
                              </w:p>
                              <w:p w14:paraId="47A90906" w14:textId="77777777" w:rsidR="006C6FF6" w:rsidRDefault="006C6FF6" w:rsidP="00B43595">
                                <w:pPr>
                                  <w:jc w:val="right"/>
                                </w:pPr>
                              </w:p>
                              <w:p w14:paraId="3ACC180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2C381A4" w14:textId="77777777" w:rsidR="006C6FF6" w:rsidRPr="00A3353C" w:rsidRDefault="006C6FF6" w:rsidP="00B43595">
                                <w:pPr>
                                  <w:jc w:val="right"/>
                                  <w:rPr>
                                    <w:sz w:val="74"/>
                                    <w:szCs w:val="74"/>
                                  </w:rPr>
                                </w:pPr>
                              </w:p>
                              <w:p w14:paraId="61513F07" w14:textId="77777777" w:rsidR="006C6FF6" w:rsidRDefault="006C6FF6" w:rsidP="00B43595"/>
                              <w:p w14:paraId="04EBD03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59F1A81" w14:textId="77777777" w:rsidR="006C6FF6" w:rsidRPr="00A3353C" w:rsidRDefault="006C6FF6" w:rsidP="00B43595">
                                <w:pPr>
                                  <w:jc w:val="right"/>
                                  <w:rPr>
                                    <w:sz w:val="74"/>
                                    <w:szCs w:val="74"/>
                                  </w:rPr>
                                </w:pPr>
                              </w:p>
                              <w:p w14:paraId="23C8A8DF" w14:textId="77777777" w:rsidR="006C6FF6" w:rsidRDefault="006C6FF6" w:rsidP="00B43595">
                                <w:pPr>
                                  <w:jc w:val="right"/>
                                </w:pPr>
                              </w:p>
                              <w:p w14:paraId="64033CF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B46B448" w14:textId="77777777" w:rsidR="006C6FF6" w:rsidRPr="00A3353C" w:rsidRDefault="006C6FF6" w:rsidP="00B43595">
                                <w:pPr>
                                  <w:jc w:val="right"/>
                                  <w:rPr>
                                    <w:sz w:val="74"/>
                                    <w:szCs w:val="74"/>
                                  </w:rPr>
                                </w:pPr>
                              </w:p>
                              <w:p w14:paraId="127F2538" w14:textId="77777777" w:rsidR="006C6FF6" w:rsidRDefault="006C6FF6" w:rsidP="00B43595"/>
                              <w:p w14:paraId="32C3A0F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6024852" w14:textId="77777777" w:rsidR="006C6FF6" w:rsidRPr="00A3353C" w:rsidRDefault="006C6FF6" w:rsidP="00B43595">
                                <w:pPr>
                                  <w:jc w:val="right"/>
                                  <w:rPr>
                                    <w:sz w:val="74"/>
                                    <w:szCs w:val="74"/>
                                  </w:rPr>
                                </w:pPr>
                              </w:p>
                              <w:p w14:paraId="709D348C" w14:textId="77777777" w:rsidR="006C6FF6" w:rsidRDefault="006C6FF6" w:rsidP="00B43595">
                                <w:pPr>
                                  <w:jc w:val="right"/>
                                </w:pPr>
                              </w:p>
                              <w:p w14:paraId="59F5D8F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792651C" w14:textId="77777777" w:rsidR="006C6FF6" w:rsidRPr="00A3353C" w:rsidRDefault="006C6FF6" w:rsidP="00B43595">
                                <w:pPr>
                                  <w:jc w:val="right"/>
                                  <w:rPr>
                                    <w:sz w:val="74"/>
                                    <w:szCs w:val="74"/>
                                  </w:rPr>
                                </w:pPr>
                              </w:p>
                              <w:p w14:paraId="563DBF08" w14:textId="77777777" w:rsidR="006C6FF6" w:rsidRDefault="006C6FF6" w:rsidP="00B43595"/>
                              <w:p w14:paraId="19D68A4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6835647" w14:textId="77777777" w:rsidR="006C6FF6" w:rsidRPr="00A3353C" w:rsidRDefault="006C6FF6" w:rsidP="00B43595">
                                <w:pPr>
                                  <w:jc w:val="right"/>
                                  <w:rPr>
                                    <w:sz w:val="74"/>
                                    <w:szCs w:val="74"/>
                                  </w:rPr>
                                </w:pPr>
                              </w:p>
                              <w:p w14:paraId="0791BA23" w14:textId="77777777" w:rsidR="006C6FF6" w:rsidRDefault="006C6FF6" w:rsidP="00B43595">
                                <w:pPr>
                                  <w:jc w:val="right"/>
                                </w:pPr>
                              </w:p>
                              <w:p w14:paraId="7C9E8A1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9253341" w14:textId="77777777" w:rsidR="006C6FF6" w:rsidRPr="00A3353C" w:rsidRDefault="006C6FF6" w:rsidP="00B43595">
                                <w:pPr>
                                  <w:jc w:val="right"/>
                                  <w:rPr>
                                    <w:sz w:val="74"/>
                                    <w:szCs w:val="74"/>
                                  </w:rPr>
                                </w:pPr>
                              </w:p>
                              <w:p w14:paraId="532C31C8" w14:textId="77777777" w:rsidR="006C6FF6" w:rsidRDefault="006C6FF6" w:rsidP="00B43595"/>
                              <w:p w14:paraId="617EB872"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576D1BE" w14:textId="77777777" w:rsidR="006C6FF6" w:rsidRPr="00A3353C" w:rsidRDefault="006C6FF6" w:rsidP="00B43595">
                                <w:pPr>
                                  <w:jc w:val="right"/>
                                  <w:rPr>
                                    <w:sz w:val="74"/>
                                    <w:szCs w:val="74"/>
                                  </w:rPr>
                                </w:pPr>
                              </w:p>
                              <w:p w14:paraId="4A59482E" w14:textId="77777777" w:rsidR="006C6FF6" w:rsidRDefault="006C6FF6" w:rsidP="00B43595">
                                <w:pPr>
                                  <w:jc w:val="right"/>
                                </w:pPr>
                              </w:p>
                              <w:p w14:paraId="5E32E49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178C441" w14:textId="77777777" w:rsidR="006C6FF6" w:rsidRPr="00A3353C" w:rsidRDefault="006C6FF6" w:rsidP="00B43595">
                                <w:pPr>
                                  <w:jc w:val="right"/>
                                  <w:rPr>
                                    <w:sz w:val="74"/>
                                    <w:szCs w:val="74"/>
                                  </w:rPr>
                                </w:pPr>
                              </w:p>
                              <w:p w14:paraId="710DE96C" w14:textId="77777777" w:rsidR="006C6FF6" w:rsidRDefault="006C6FF6" w:rsidP="00B43595"/>
                              <w:p w14:paraId="3DC0BF1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66F635E" w14:textId="77777777" w:rsidR="006C6FF6" w:rsidRPr="00A3353C" w:rsidRDefault="006C6FF6" w:rsidP="00B43595">
                                <w:pPr>
                                  <w:jc w:val="right"/>
                                  <w:rPr>
                                    <w:sz w:val="74"/>
                                    <w:szCs w:val="74"/>
                                  </w:rPr>
                                </w:pPr>
                              </w:p>
                              <w:p w14:paraId="1A43E5B7" w14:textId="77777777" w:rsidR="006C6FF6" w:rsidRDefault="006C6FF6" w:rsidP="00B43595">
                                <w:pPr>
                                  <w:jc w:val="right"/>
                                </w:pPr>
                              </w:p>
                              <w:p w14:paraId="39D06BC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BC3AA61" w14:textId="77777777" w:rsidR="006C6FF6" w:rsidRPr="00A3353C" w:rsidRDefault="006C6FF6" w:rsidP="00B43595">
                                <w:pPr>
                                  <w:jc w:val="right"/>
                                  <w:rPr>
                                    <w:sz w:val="74"/>
                                    <w:szCs w:val="74"/>
                                  </w:rPr>
                                </w:pPr>
                              </w:p>
                              <w:p w14:paraId="6C6C1318" w14:textId="77777777" w:rsidR="006C6FF6" w:rsidRDefault="006C6FF6" w:rsidP="00B43595"/>
                              <w:p w14:paraId="092560FB"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A0627F7" w14:textId="77777777" w:rsidR="006C6FF6" w:rsidRPr="00A3353C" w:rsidRDefault="006C6FF6" w:rsidP="00B43595">
                                <w:pPr>
                                  <w:jc w:val="right"/>
                                  <w:rPr>
                                    <w:sz w:val="74"/>
                                    <w:szCs w:val="74"/>
                                  </w:rPr>
                                </w:pPr>
                              </w:p>
                              <w:p w14:paraId="59382411" w14:textId="77777777" w:rsidR="006C6FF6" w:rsidRDefault="006C6FF6" w:rsidP="00B43595">
                                <w:pPr>
                                  <w:jc w:val="right"/>
                                </w:pPr>
                              </w:p>
                              <w:p w14:paraId="59CC8B66"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70C9F20" w14:textId="77777777" w:rsidR="006C6FF6" w:rsidRPr="00A3353C" w:rsidRDefault="006C6FF6" w:rsidP="00B43595">
                                <w:pPr>
                                  <w:jc w:val="right"/>
                                  <w:rPr>
                                    <w:sz w:val="74"/>
                                    <w:szCs w:val="74"/>
                                  </w:rPr>
                                </w:pPr>
                              </w:p>
                              <w:p w14:paraId="5A4144A6" w14:textId="77777777" w:rsidR="006C6FF6" w:rsidRDefault="006C6FF6" w:rsidP="00B43595"/>
                              <w:p w14:paraId="14F36CB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99EB592" w14:textId="77777777" w:rsidR="006C6FF6" w:rsidRPr="00A3353C" w:rsidRDefault="006C6FF6" w:rsidP="00B43595">
                                <w:pPr>
                                  <w:jc w:val="right"/>
                                  <w:rPr>
                                    <w:sz w:val="74"/>
                                    <w:szCs w:val="74"/>
                                  </w:rPr>
                                </w:pPr>
                              </w:p>
                              <w:p w14:paraId="38A87D01" w14:textId="77777777" w:rsidR="006C6FF6" w:rsidRDefault="006C6FF6" w:rsidP="00B43595">
                                <w:pPr>
                                  <w:jc w:val="right"/>
                                </w:pPr>
                              </w:p>
                              <w:p w14:paraId="32D05679"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7D9221E4" w14:textId="77777777" w:rsidR="006C6FF6" w:rsidRDefault="006C6FF6" w:rsidP="00B43595"/>
                              <w:p w14:paraId="6A2B2209" w14:textId="77777777" w:rsidR="006C6FF6" w:rsidRDefault="006C6FF6" w:rsidP="00B43595"/>
                              <w:p w14:paraId="13C5970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E3EABC6" w14:textId="77777777" w:rsidR="006C6FF6" w:rsidRPr="00A3353C" w:rsidRDefault="006C6FF6" w:rsidP="00B43595">
                                <w:pPr>
                                  <w:jc w:val="right"/>
                                  <w:rPr>
                                    <w:sz w:val="74"/>
                                    <w:szCs w:val="74"/>
                                  </w:rPr>
                                </w:pPr>
                              </w:p>
                              <w:p w14:paraId="65509D6C" w14:textId="77777777" w:rsidR="006C6FF6" w:rsidRDefault="006C6FF6" w:rsidP="00B43595">
                                <w:pPr>
                                  <w:jc w:val="right"/>
                                </w:pPr>
                              </w:p>
                              <w:p w14:paraId="60B437E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CD1D343" w14:textId="77777777" w:rsidR="006C6FF6" w:rsidRPr="00A3353C" w:rsidRDefault="006C6FF6" w:rsidP="00B43595">
                                <w:pPr>
                                  <w:jc w:val="right"/>
                                  <w:rPr>
                                    <w:sz w:val="74"/>
                                    <w:szCs w:val="74"/>
                                  </w:rPr>
                                </w:pPr>
                              </w:p>
                              <w:p w14:paraId="18A2A794" w14:textId="77777777" w:rsidR="006C6FF6" w:rsidRDefault="006C6FF6" w:rsidP="00B43595"/>
                              <w:p w14:paraId="3303A48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DCB4E4C" w14:textId="77777777" w:rsidR="006C6FF6" w:rsidRPr="00A3353C" w:rsidRDefault="006C6FF6" w:rsidP="00B43595">
                                <w:pPr>
                                  <w:jc w:val="right"/>
                                  <w:rPr>
                                    <w:sz w:val="74"/>
                                    <w:szCs w:val="74"/>
                                  </w:rPr>
                                </w:pPr>
                              </w:p>
                              <w:p w14:paraId="6B877420" w14:textId="77777777" w:rsidR="006C6FF6" w:rsidRDefault="006C6FF6" w:rsidP="00B43595">
                                <w:pPr>
                                  <w:jc w:val="right"/>
                                </w:pPr>
                              </w:p>
                              <w:p w14:paraId="467EEA82"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DF752DF" w14:textId="77777777" w:rsidR="006C6FF6" w:rsidRDefault="006C6FF6" w:rsidP="00B43595"/>
                              <w:p w14:paraId="64330017" w14:textId="77777777" w:rsidR="006C6FF6" w:rsidRDefault="006C6FF6" w:rsidP="00B43595"/>
                              <w:p w14:paraId="13974C59"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E58AB94" w14:textId="77777777" w:rsidR="006C6FF6" w:rsidRPr="00A3353C" w:rsidRDefault="006C6FF6" w:rsidP="00B43595">
                                <w:pPr>
                                  <w:jc w:val="right"/>
                                  <w:rPr>
                                    <w:sz w:val="74"/>
                                    <w:szCs w:val="74"/>
                                  </w:rPr>
                                </w:pPr>
                              </w:p>
                              <w:p w14:paraId="1ABB1DEA" w14:textId="77777777" w:rsidR="006C6FF6" w:rsidRDefault="006C6FF6" w:rsidP="00B43595">
                                <w:pPr>
                                  <w:jc w:val="right"/>
                                </w:pPr>
                              </w:p>
                              <w:p w14:paraId="177768F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B035041" w14:textId="77777777" w:rsidR="006C6FF6" w:rsidRPr="00A3353C" w:rsidRDefault="006C6FF6" w:rsidP="00B43595">
                                <w:pPr>
                                  <w:jc w:val="right"/>
                                  <w:rPr>
                                    <w:sz w:val="74"/>
                                    <w:szCs w:val="74"/>
                                  </w:rPr>
                                </w:pPr>
                              </w:p>
                              <w:p w14:paraId="292ABD1C" w14:textId="77777777" w:rsidR="006C6FF6" w:rsidRDefault="006C6FF6" w:rsidP="00B43595"/>
                              <w:p w14:paraId="67A5996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6FC355A" w14:textId="77777777" w:rsidR="006C6FF6" w:rsidRPr="00A3353C" w:rsidRDefault="006C6FF6" w:rsidP="00B43595">
                                <w:pPr>
                                  <w:jc w:val="right"/>
                                  <w:rPr>
                                    <w:sz w:val="74"/>
                                    <w:szCs w:val="74"/>
                                  </w:rPr>
                                </w:pPr>
                              </w:p>
                              <w:p w14:paraId="2497AB78" w14:textId="77777777" w:rsidR="006C6FF6" w:rsidRDefault="006C6FF6" w:rsidP="00B43595">
                                <w:pPr>
                                  <w:jc w:val="right"/>
                                </w:pPr>
                              </w:p>
                              <w:p w14:paraId="6999D20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D1BB35B" w14:textId="77777777" w:rsidR="006C6FF6" w:rsidRPr="00A3353C" w:rsidRDefault="006C6FF6" w:rsidP="00B43595">
                                <w:pPr>
                                  <w:jc w:val="right"/>
                                  <w:rPr>
                                    <w:sz w:val="74"/>
                                    <w:szCs w:val="74"/>
                                  </w:rPr>
                                </w:pPr>
                              </w:p>
                              <w:p w14:paraId="3ABC8F36" w14:textId="77777777" w:rsidR="006C6FF6" w:rsidRDefault="006C6FF6" w:rsidP="00B43595"/>
                              <w:p w14:paraId="6ECEECB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35B5FF4" w14:textId="77777777" w:rsidR="006C6FF6" w:rsidRPr="00A3353C" w:rsidRDefault="006C6FF6" w:rsidP="00B43595">
                                <w:pPr>
                                  <w:jc w:val="right"/>
                                  <w:rPr>
                                    <w:sz w:val="74"/>
                                    <w:szCs w:val="74"/>
                                  </w:rPr>
                                </w:pPr>
                              </w:p>
                              <w:p w14:paraId="337CCDB6" w14:textId="77777777" w:rsidR="006C6FF6" w:rsidRDefault="006C6FF6" w:rsidP="00B43595">
                                <w:pPr>
                                  <w:jc w:val="right"/>
                                </w:pPr>
                              </w:p>
                              <w:p w14:paraId="55EC9030"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F646FCE" w14:textId="77777777" w:rsidR="006C6FF6" w:rsidRPr="00A3353C" w:rsidRDefault="006C6FF6" w:rsidP="00B43595">
                                <w:pPr>
                                  <w:jc w:val="right"/>
                                  <w:rPr>
                                    <w:sz w:val="74"/>
                                    <w:szCs w:val="74"/>
                                  </w:rPr>
                                </w:pPr>
                              </w:p>
                              <w:p w14:paraId="7B222107" w14:textId="77777777" w:rsidR="006C6FF6" w:rsidRDefault="006C6FF6" w:rsidP="00B43595"/>
                              <w:p w14:paraId="6759F8A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1A553A0" w14:textId="77777777" w:rsidR="006C6FF6" w:rsidRPr="00A3353C" w:rsidRDefault="006C6FF6" w:rsidP="00B43595">
                                <w:pPr>
                                  <w:jc w:val="right"/>
                                  <w:rPr>
                                    <w:sz w:val="74"/>
                                    <w:szCs w:val="74"/>
                                  </w:rPr>
                                </w:pPr>
                              </w:p>
                              <w:p w14:paraId="3E85C7A3" w14:textId="77777777" w:rsidR="006C6FF6" w:rsidRDefault="006C6FF6" w:rsidP="00B43595">
                                <w:pPr>
                                  <w:jc w:val="right"/>
                                </w:pPr>
                              </w:p>
                              <w:p w14:paraId="2D489FFE"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562EA82B" w14:textId="77777777" w:rsidR="006C6FF6" w:rsidRDefault="006C6FF6" w:rsidP="00B43595"/>
                              <w:p w14:paraId="56F64BBE" w14:textId="77777777" w:rsidR="006C6FF6" w:rsidRDefault="006C6FF6" w:rsidP="00B43595"/>
                              <w:p w14:paraId="41C494DC"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D8F97C9" w14:textId="77777777" w:rsidR="006C6FF6" w:rsidRPr="00A3353C" w:rsidRDefault="006C6FF6" w:rsidP="00B43595">
                                <w:pPr>
                                  <w:jc w:val="right"/>
                                  <w:rPr>
                                    <w:sz w:val="74"/>
                                    <w:szCs w:val="74"/>
                                  </w:rPr>
                                </w:pPr>
                              </w:p>
                              <w:p w14:paraId="78BEC804" w14:textId="77777777" w:rsidR="006C6FF6" w:rsidRDefault="006C6FF6" w:rsidP="00B43595">
                                <w:pPr>
                                  <w:jc w:val="right"/>
                                </w:pPr>
                              </w:p>
                              <w:p w14:paraId="4A0C450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3C0F5E2" w14:textId="77777777" w:rsidR="006C6FF6" w:rsidRPr="00A3353C" w:rsidRDefault="006C6FF6" w:rsidP="00B43595">
                                <w:pPr>
                                  <w:jc w:val="right"/>
                                  <w:rPr>
                                    <w:sz w:val="74"/>
                                    <w:szCs w:val="74"/>
                                  </w:rPr>
                                </w:pPr>
                              </w:p>
                              <w:p w14:paraId="2CA5BEDD" w14:textId="77777777" w:rsidR="006C6FF6" w:rsidRDefault="006C6FF6" w:rsidP="00B43595"/>
                              <w:p w14:paraId="6D97DD0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6065C75" w14:textId="77777777" w:rsidR="006C6FF6" w:rsidRPr="00A3353C" w:rsidRDefault="006C6FF6" w:rsidP="00B43595">
                                <w:pPr>
                                  <w:jc w:val="right"/>
                                  <w:rPr>
                                    <w:sz w:val="74"/>
                                    <w:szCs w:val="74"/>
                                  </w:rPr>
                                </w:pPr>
                              </w:p>
                              <w:p w14:paraId="6D15E053" w14:textId="77777777" w:rsidR="006C6FF6" w:rsidRDefault="006C6FF6" w:rsidP="00B43595">
                                <w:pPr>
                                  <w:jc w:val="right"/>
                                </w:pPr>
                              </w:p>
                              <w:p w14:paraId="7B4BB8AD"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bookmarkEnd w:id="1"/>
                              <w:p w14:paraId="22F8ADAD" w14:textId="77777777" w:rsidR="006C6FF6" w:rsidRDefault="006C6FF6" w:rsidP="00B43595"/>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D6757F1" id="Rectangle 49" o:spid="_x0000_s1027" style="position:absolute;margin-left:84.75pt;margin-top:557.25pt;width:439.5pt;height:79.5pt;z-index:251661312;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" filled="f" stroked="f" strokeweight="1pt">
                    <v:textbox inset="10.8pt,0,10.8pt,0">
                      <w:txbxContent>
                        <w:p w14:paraId="4A29437E" w14:textId="77777777" w:rsidR="006C6FF6" w:rsidRPr="00812F22" w:rsidRDefault="006C6FF6" w:rsidP="00B43595">
                          <w:pPr>
                            <w:pStyle w:val="BodyText1"/>
                            <w:jc w:val="right"/>
                            <w:rPr>
                              <w:b/>
                              <w:color w:val="0E2841" w:themeColor="text2"/>
                              <w:sz w:val="36"/>
                              <w:szCs w:val="36"/>
                            </w:rPr>
                          </w:pPr>
                          <w:bookmarkStart w:id="2" w:name="_Toc178604091"/>
                          <w:r w:rsidRPr="00812F22">
                            <w:rPr>
                              <w:b/>
                              <w:color w:val="0E2841" w:themeColor="text2"/>
                              <w:sz w:val="36"/>
                              <w:szCs w:val="36"/>
                            </w:rPr>
                            <w:t>ՈՒՂԵՐՁ</w:t>
                          </w:r>
                          <w:r w:rsidRPr="00812F22">
                            <w:rPr>
                              <w:b/>
                              <w:color w:val="0E2841" w:themeColor="text2"/>
                              <w:sz w:val="36"/>
                              <w:szCs w:val="36"/>
                              <w:lang w:val="hy-AM"/>
                            </w:rPr>
                            <w:t>-ԲԱՑԱՏՐԱԳԻՐ</w:t>
                          </w:r>
                        </w:p>
                        <w:p w14:paraId="2C0F0367" w14:textId="77777777" w:rsidR="006C6FF6" w:rsidRDefault="006C6FF6" w:rsidP="00B43595"/>
                        <w:p w14:paraId="57025CF6" w14:textId="77777777" w:rsidR="006C6FF6" w:rsidRDefault="006C6FF6" w:rsidP="00B43595"/>
                        <w:p w14:paraId="10B51B5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EE6A782" w14:textId="77777777" w:rsidR="006C6FF6" w:rsidRPr="00A3353C" w:rsidRDefault="006C6FF6" w:rsidP="00B43595">
                          <w:pPr>
                            <w:jc w:val="right"/>
                            <w:rPr>
                              <w:sz w:val="74"/>
                              <w:szCs w:val="74"/>
                            </w:rPr>
                          </w:pPr>
                        </w:p>
                        <w:p w14:paraId="41B4E3F8" w14:textId="77777777" w:rsidR="006C6FF6" w:rsidRDefault="006C6FF6" w:rsidP="00B43595">
                          <w:pPr>
                            <w:jc w:val="right"/>
                          </w:pPr>
                        </w:p>
                        <w:p w14:paraId="539A6E5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6880A39" w14:textId="77777777" w:rsidR="006C6FF6" w:rsidRPr="00A3353C" w:rsidRDefault="006C6FF6" w:rsidP="00B43595">
                          <w:pPr>
                            <w:jc w:val="right"/>
                            <w:rPr>
                              <w:sz w:val="74"/>
                              <w:szCs w:val="74"/>
                            </w:rPr>
                          </w:pPr>
                        </w:p>
                        <w:p w14:paraId="0BFD07E6" w14:textId="77777777" w:rsidR="006C6FF6" w:rsidRDefault="006C6FF6" w:rsidP="00B43595"/>
                        <w:p w14:paraId="0524B83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CBB7ED3" w14:textId="77777777" w:rsidR="006C6FF6" w:rsidRPr="00A3353C" w:rsidRDefault="006C6FF6" w:rsidP="00B43595">
                          <w:pPr>
                            <w:jc w:val="right"/>
                            <w:rPr>
                              <w:sz w:val="74"/>
                              <w:szCs w:val="74"/>
                            </w:rPr>
                          </w:pPr>
                        </w:p>
                        <w:p w14:paraId="6FFD5FFB" w14:textId="77777777" w:rsidR="006C6FF6" w:rsidRDefault="006C6FF6" w:rsidP="00B43595">
                          <w:pPr>
                            <w:jc w:val="right"/>
                          </w:pPr>
                        </w:p>
                        <w:p w14:paraId="66581FC9"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5DC848BF" w14:textId="77777777" w:rsidR="006C6FF6" w:rsidRDefault="006C6FF6" w:rsidP="00B43595"/>
                        <w:p w14:paraId="679BA259" w14:textId="77777777" w:rsidR="006C6FF6" w:rsidRDefault="006C6FF6" w:rsidP="00B43595"/>
                        <w:p w14:paraId="58B01DCD"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77429C5" w14:textId="77777777" w:rsidR="006C6FF6" w:rsidRPr="00A3353C" w:rsidRDefault="006C6FF6" w:rsidP="00B43595">
                          <w:pPr>
                            <w:jc w:val="right"/>
                            <w:rPr>
                              <w:sz w:val="74"/>
                              <w:szCs w:val="74"/>
                            </w:rPr>
                          </w:pPr>
                        </w:p>
                        <w:p w14:paraId="3E7364C6" w14:textId="77777777" w:rsidR="006C6FF6" w:rsidRDefault="006C6FF6" w:rsidP="00B43595">
                          <w:pPr>
                            <w:jc w:val="right"/>
                          </w:pPr>
                        </w:p>
                        <w:p w14:paraId="6BEDE3A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0439B2B" w14:textId="77777777" w:rsidR="006C6FF6" w:rsidRPr="00A3353C" w:rsidRDefault="006C6FF6" w:rsidP="00B43595">
                          <w:pPr>
                            <w:jc w:val="right"/>
                            <w:rPr>
                              <w:sz w:val="74"/>
                              <w:szCs w:val="74"/>
                            </w:rPr>
                          </w:pPr>
                        </w:p>
                        <w:p w14:paraId="5CA49344" w14:textId="77777777" w:rsidR="006C6FF6" w:rsidRDefault="006C6FF6" w:rsidP="00B43595"/>
                        <w:p w14:paraId="30B27EF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ABD3C05" w14:textId="77777777" w:rsidR="006C6FF6" w:rsidRPr="00A3353C" w:rsidRDefault="006C6FF6" w:rsidP="00B43595">
                          <w:pPr>
                            <w:jc w:val="right"/>
                            <w:rPr>
                              <w:sz w:val="74"/>
                              <w:szCs w:val="74"/>
                            </w:rPr>
                          </w:pPr>
                        </w:p>
                        <w:p w14:paraId="58B45C70" w14:textId="77777777" w:rsidR="006C6FF6" w:rsidRDefault="006C6FF6" w:rsidP="00B43595">
                          <w:pPr>
                            <w:jc w:val="right"/>
                          </w:pPr>
                        </w:p>
                        <w:p w14:paraId="1A4B1F9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F08853A" w14:textId="77777777" w:rsidR="006C6FF6" w:rsidRPr="00A3353C" w:rsidRDefault="006C6FF6" w:rsidP="00B43595">
                          <w:pPr>
                            <w:jc w:val="right"/>
                            <w:rPr>
                              <w:sz w:val="74"/>
                              <w:szCs w:val="74"/>
                            </w:rPr>
                          </w:pPr>
                        </w:p>
                        <w:p w14:paraId="14EBEEF2" w14:textId="77777777" w:rsidR="006C6FF6" w:rsidRDefault="006C6FF6" w:rsidP="00B43595"/>
                        <w:p w14:paraId="3A3A6A7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E134C0B" w14:textId="77777777" w:rsidR="006C6FF6" w:rsidRPr="00A3353C" w:rsidRDefault="006C6FF6" w:rsidP="00B43595">
                          <w:pPr>
                            <w:jc w:val="right"/>
                            <w:rPr>
                              <w:sz w:val="74"/>
                              <w:szCs w:val="74"/>
                            </w:rPr>
                          </w:pPr>
                        </w:p>
                        <w:p w14:paraId="755922A7" w14:textId="77777777" w:rsidR="006C6FF6" w:rsidRDefault="006C6FF6" w:rsidP="00B43595">
                          <w:pPr>
                            <w:jc w:val="right"/>
                          </w:pPr>
                        </w:p>
                        <w:p w14:paraId="779346C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80FC9C3" w14:textId="77777777" w:rsidR="006C6FF6" w:rsidRPr="00A3353C" w:rsidRDefault="006C6FF6" w:rsidP="00B43595">
                          <w:pPr>
                            <w:jc w:val="right"/>
                            <w:rPr>
                              <w:sz w:val="74"/>
                              <w:szCs w:val="74"/>
                            </w:rPr>
                          </w:pPr>
                        </w:p>
                        <w:p w14:paraId="40BC2CF5" w14:textId="77777777" w:rsidR="006C6FF6" w:rsidRDefault="006C6FF6" w:rsidP="00B43595"/>
                        <w:p w14:paraId="0E159B2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DEE1370" w14:textId="77777777" w:rsidR="006C6FF6" w:rsidRPr="00A3353C" w:rsidRDefault="006C6FF6" w:rsidP="00B43595">
                          <w:pPr>
                            <w:jc w:val="right"/>
                            <w:rPr>
                              <w:sz w:val="74"/>
                              <w:szCs w:val="74"/>
                            </w:rPr>
                          </w:pPr>
                        </w:p>
                        <w:p w14:paraId="616C9B95" w14:textId="77777777" w:rsidR="006C6FF6" w:rsidRDefault="006C6FF6" w:rsidP="00B43595">
                          <w:pPr>
                            <w:jc w:val="right"/>
                          </w:pPr>
                        </w:p>
                        <w:p w14:paraId="1E99928D"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497E286" w14:textId="77777777" w:rsidR="006C6FF6" w:rsidRDefault="006C6FF6" w:rsidP="00B43595"/>
                        <w:p w14:paraId="51D9E41A" w14:textId="77777777" w:rsidR="006C6FF6" w:rsidRDefault="006C6FF6" w:rsidP="00B43595"/>
                        <w:p w14:paraId="2F10A6D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CDD6770" w14:textId="77777777" w:rsidR="006C6FF6" w:rsidRPr="00A3353C" w:rsidRDefault="006C6FF6" w:rsidP="00B43595">
                          <w:pPr>
                            <w:jc w:val="right"/>
                            <w:rPr>
                              <w:sz w:val="74"/>
                              <w:szCs w:val="74"/>
                            </w:rPr>
                          </w:pPr>
                        </w:p>
                        <w:p w14:paraId="44D60BA7" w14:textId="77777777" w:rsidR="006C6FF6" w:rsidRDefault="006C6FF6" w:rsidP="00B43595">
                          <w:pPr>
                            <w:jc w:val="right"/>
                          </w:pPr>
                        </w:p>
                        <w:p w14:paraId="6289E8F2"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FBA7F9A" w14:textId="77777777" w:rsidR="006C6FF6" w:rsidRPr="00A3353C" w:rsidRDefault="006C6FF6" w:rsidP="00B43595">
                          <w:pPr>
                            <w:jc w:val="right"/>
                            <w:rPr>
                              <w:sz w:val="74"/>
                              <w:szCs w:val="74"/>
                            </w:rPr>
                          </w:pPr>
                        </w:p>
                        <w:p w14:paraId="10BE222C" w14:textId="77777777" w:rsidR="006C6FF6" w:rsidRDefault="006C6FF6" w:rsidP="00B43595"/>
                        <w:p w14:paraId="6931A2B0"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03B1653" w14:textId="77777777" w:rsidR="006C6FF6" w:rsidRPr="00A3353C" w:rsidRDefault="006C6FF6" w:rsidP="00B43595">
                          <w:pPr>
                            <w:jc w:val="right"/>
                            <w:rPr>
                              <w:sz w:val="74"/>
                              <w:szCs w:val="74"/>
                            </w:rPr>
                          </w:pPr>
                        </w:p>
                        <w:p w14:paraId="65D44691" w14:textId="77777777" w:rsidR="006C6FF6" w:rsidRDefault="006C6FF6" w:rsidP="00B43595">
                          <w:pPr>
                            <w:jc w:val="right"/>
                          </w:pPr>
                        </w:p>
                        <w:p w14:paraId="1BA40F68"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7FEFBD61" w14:textId="77777777" w:rsidR="006C6FF6" w:rsidRDefault="006C6FF6" w:rsidP="00B43595"/>
                        <w:p w14:paraId="2B411FB6" w14:textId="77777777" w:rsidR="006C6FF6" w:rsidRDefault="006C6FF6" w:rsidP="00B43595"/>
                        <w:p w14:paraId="7C6A4B20"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4D10BCE" w14:textId="77777777" w:rsidR="006C6FF6" w:rsidRPr="00A3353C" w:rsidRDefault="006C6FF6" w:rsidP="00B43595">
                          <w:pPr>
                            <w:jc w:val="right"/>
                            <w:rPr>
                              <w:sz w:val="74"/>
                              <w:szCs w:val="74"/>
                            </w:rPr>
                          </w:pPr>
                        </w:p>
                        <w:p w14:paraId="32BE9702" w14:textId="77777777" w:rsidR="006C6FF6" w:rsidRDefault="006C6FF6" w:rsidP="00B43595">
                          <w:pPr>
                            <w:jc w:val="right"/>
                          </w:pPr>
                        </w:p>
                        <w:p w14:paraId="54B3F1E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6542461" w14:textId="77777777" w:rsidR="006C6FF6" w:rsidRPr="00A3353C" w:rsidRDefault="006C6FF6" w:rsidP="00B43595">
                          <w:pPr>
                            <w:jc w:val="right"/>
                            <w:rPr>
                              <w:sz w:val="74"/>
                              <w:szCs w:val="74"/>
                            </w:rPr>
                          </w:pPr>
                        </w:p>
                        <w:p w14:paraId="35046193" w14:textId="77777777" w:rsidR="006C6FF6" w:rsidRDefault="006C6FF6" w:rsidP="00B43595"/>
                        <w:p w14:paraId="0420110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D3B18F5" w14:textId="77777777" w:rsidR="006C6FF6" w:rsidRPr="00A3353C" w:rsidRDefault="006C6FF6" w:rsidP="00B43595">
                          <w:pPr>
                            <w:jc w:val="right"/>
                            <w:rPr>
                              <w:sz w:val="74"/>
                              <w:szCs w:val="74"/>
                            </w:rPr>
                          </w:pPr>
                        </w:p>
                        <w:p w14:paraId="3F3944CC" w14:textId="77777777" w:rsidR="006C6FF6" w:rsidRDefault="006C6FF6" w:rsidP="00B43595">
                          <w:pPr>
                            <w:jc w:val="right"/>
                          </w:pPr>
                        </w:p>
                        <w:p w14:paraId="13111F2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2E3E060" w14:textId="77777777" w:rsidR="006C6FF6" w:rsidRPr="00A3353C" w:rsidRDefault="006C6FF6" w:rsidP="00B43595">
                          <w:pPr>
                            <w:jc w:val="right"/>
                            <w:rPr>
                              <w:sz w:val="74"/>
                              <w:szCs w:val="74"/>
                            </w:rPr>
                          </w:pPr>
                        </w:p>
                        <w:p w14:paraId="4B237CDF" w14:textId="77777777" w:rsidR="006C6FF6" w:rsidRDefault="006C6FF6" w:rsidP="00B43595"/>
                        <w:p w14:paraId="2B7A411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C20E807" w14:textId="77777777" w:rsidR="006C6FF6" w:rsidRPr="00A3353C" w:rsidRDefault="006C6FF6" w:rsidP="00B43595">
                          <w:pPr>
                            <w:jc w:val="right"/>
                            <w:rPr>
                              <w:sz w:val="74"/>
                              <w:szCs w:val="74"/>
                            </w:rPr>
                          </w:pPr>
                        </w:p>
                        <w:p w14:paraId="65721CFF" w14:textId="77777777" w:rsidR="006C6FF6" w:rsidRDefault="006C6FF6" w:rsidP="00B43595">
                          <w:pPr>
                            <w:jc w:val="right"/>
                          </w:pPr>
                        </w:p>
                        <w:p w14:paraId="65CF5546"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E075B2F" w14:textId="77777777" w:rsidR="006C6FF6" w:rsidRPr="00A3353C" w:rsidRDefault="006C6FF6" w:rsidP="00B43595">
                          <w:pPr>
                            <w:jc w:val="right"/>
                            <w:rPr>
                              <w:sz w:val="74"/>
                              <w:szCs w:val="74"/>
                            </w:rPr>
                          </w:pPr>
                        </w:p>
                        <w:p w14:paraId="5B420479" w14:textId="77777777" w:rsidR="006C6FF6" w:rsidRDefault="006C6FF6" w:rsidP="00B43595"/>
                        <w:p w14:paraId="0EB26D1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E103B6F" w14:textId="77777777" w:rsidR="006C6FF6" w:rsidRPr="00A3353C" w:rsidRDefault="006C6FF6" w:rsidP="00B43595">
                          <w:pPr>
                            <w:jc w:val="right"/>
                            <w:rPr>
                              <w:sz w:val="74"/>
                              <w:szCs w:val="74"/>
                            </w:rPr>
                          </w:pPr>
                        </w:p>
                        <w:p w14:paraId="7FC50BFA" w14:textId="77777777" w:rsidR="006C6FF6" w:rsidRDefault="006C6FF6" w:rsidP="00B43595">
                          <w:pPr>
                            <w:jc w:val="right"/>
                          </w:pPr>
                        </w:p>
                        <w:p w14:paraId="4569835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BE13EE7" w14:textId="77777777" w:rsidR="006C6FF6" w:rsidRPr="00A3353C" w:rsidRDefault="006C6FF6" w:rsidP="00B43595">
                          <w:pPr>
                            <w:jc w:val="right"/>
                            <w:rPr>
                              <w:sz w:val="74"/>
                              <w:szCs w:val="74"/>
                            </w:rPr>
                          </w:pPr>
                        </w:p>
                        <w:p w14:paraId="0B3725FF" w14:textId="77777777" w:rsidR="006C6FF6" w:rsidRDefault="006C6FF6" w:rsidP="00B43595"/>
                        <w:p w14:paraId="5DB967B3"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CCC237B" w14:textId="77777777" w:rsidR="006C6FF6" w:rsidRPr="00A3353C" w:rsidRDefault="006C6FF6" w:rsidP="00B43595">
                          <w:pPr>
                            <w:jc w:val="right"/>
                            <w:rPr>
                              <w:sz w:val="74"/>
                              <w:szCs w:val="74"/>
                            </w:rPr>
                          </w:pPr>
                        </w:p>
                        <w:p w14:paraId="2E79FD47" w14:textId="77777777" w:rsidR="006C6FF6" w:rsidRDefault="006C6FF6" w:rsidP="00B43595">
                          <w:pPr>
                            <w:jc w:val="right"/>
                          </w:pPr>
                        </w:p>
                        <w:p w14:paraId="18F64D3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BFDB25E" w14:textId="77777777" w:rsidR="006C6FF6" w:rsidRPr="00A3353C" w:rsidRDefault="006C6FF6" w:rsidP="00B43595">
                          <w:pPr>
                            <w:jc w:val="right"/>
                            <w:rPr>
                              <w:sz w:val="74"/>
                              <w:szCs w:val="74"/>
                            </w:rPr>
                          </w:pPr>
                        </w:p>
                        <w:p w14:paraId="0EB08323" w14:textId="77777777" w:rsidR="006C6FF6" w:rsidRDefault="006C6FF6" w:rsidP="00B43595"/>
                        <w:p w14:paraId="24A3980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30C14DE" w14:textId="77777777" w:rsidR="006C6FF6" w:rsidRPr="00A3353C" w:rsidRDefault="006C6FF6" w:rsidP="00B43595">
                          <w:pPr>
                            <w:jc w:val="right"/>
                            <w:rPr>
                              <w:sz w:val="74"/>
                              <w:szCs w:val="74"/>
                            </w:rPr>
                          </w:pPr>
                        </w:p>
                        <w:p w14:paraId="718957B2" w14:textId="77777777" w:rsidR="006C6FF6" w:rsidRDefault="006C6FF6" w:rsidP="00B43595">
                          <w:pPr>
                            <w:jc w:val="right"/>
                          </w:pPr>
                        </w:p>
                        <w:p w14:paraId="3CF639B5"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D1099EA" w14:textId="77777777" w:rsidR="006C6FF6" w:rsidRPr="00A3353C" w:rsidRDefault="006C6FF6" w:rsidP="00B43595">
                          <w:pPr>
                            <w:jc w:val="right"/>
                            <w:rPr>
                              <w:sz w:val="74"/>
                              <w:szCs w:val="74"/>
                            </w:rPr>
                          </w:pPr>
                        </w:p>
                        <w:p w14:paraId="10ED7296" w14:textId="77777777" w:rsidR="006C6FF6" w:rsidRDefault="006C6FF6" w:rsidP="00B43595"/>
                        <w:p w14:paraId="0051B06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8E8EC9B" w14:textId="77777777" w:rsidR="006C6FF6" w:rsidRPr="00A3353C" w:rsidRDefault="006C6FF6" w:rsidP="00B43595">
                          <w:pPr>
                            <w:jc w:val="right"/>
                            <w:rPr>
                              <w:sz w:val="74"/>
                              <w:szCs w:val="74"/>
                            </w:rPr>
                          </w:pPr>
                        </w:p>
                        <w:p w14:paraId="7AC9CEF2" w14:textId="77777777" w:rsidR="006C6FF6" w:rsidRDefault="006C6FF6" w:rsidP="00B43595">
                          <w:pPr>
                            <w:jc w:val="right"/>
                          </w:pPr>
                        </w:p>
                        <w:p w14:paraId="2B1523E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51051C7" w14:textId="77777777" w:rsidR="006C6FF6" w:rsidRPr="00A3353C" w:rsidRDefault="006C6FF6" w:rsidP="00B43595">
                          <w:pPr>
                            <w:jc w:val="right"/>
                            <w:rPr>
                              <w:sz w:val="74"/>
                              <w:szCs w:val="74"/>
                            </w:rPr>
                          </w:pPr>
                        </w:p>
                        <w:p w14:paraId="3E1E23D9" w14:textId="77777777" w:rsidR="006C6FF6" w:rsidRDefault="006C6FF6" w:rsidP="00B43595"/>
                        <w:p w14:paraId="25520C8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7B788EF" w14:textId="77777777" w:rsidR="006C6FF6" w:rsidRPr="00A3353C" w:rsidRDefault="006C6FF6" w:rsidP="00B43595">
                          <w:pPr>
                            <w:jc w:val="right"/>
                            <w:rPr>
                              <w:sz w:val="74"/>
                              <w:szCs w:val="74"/>
                            </w:rPr>
                          </w:pPr>
                        </w:p>
                        <w:p w14:paraId="370D1643" w14:textId="77777777" w:rsidR="006C6FF6" w:rsidRDefault="006C6FF6" w:rsidP="00B43595">
                          <w:pPr>
                            <w:jc w:val="right"/>
                          </w:pPr>
                        </w:p>
                        <w:p w14:paraId="0C1BCF3A"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21E9911B" w14:textId="77777777" w:rsidR="006C6FF6" w:rsidRDefault="006C6FF6" w:rsidP="00B43595"/>
                        <w:p w14:paraId="187072A8" w14:textId="77777777" w:rsidR="006C6FF6" w:rsidRDefault="006C6FF6" w:rsidP="00B43595"/>
                        <w:p w14:paraId="2CEB533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AE39FE5" w14:textId="77777777" w:rsidR="006C6FF6" w:rsidRPr="00A3353C" w:rsidRDefault="006C6FF6" w:rsidP="00B43595">
                          <w:pPr>
                            <w:jc w:val="right"/>
                            <w:rPr>
                              <w:sz w:val="74"/>
                              <w:szCs w:val="74"/>
                            </w:rPr>
                          </w:pPr>
                        </w:p>
                        <w:p w14:paraId="697A0242" w14:textId="77777777" w:rsidR="006C6FF6" w:rsidRDefault="006C6FF6" w:rsidP="00B43595">
                          <w:pPr>
                            <w:jc w:val="right"/>
                          </w:pPr>
                        </w:p>
                        <w:p w14:paraId="08B597A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98807A3" w14:textId="77777777" w:rsidR="006C6FF6" w:rsidRPr="00A3353C" w:rsidRDefault="006C6FF6" w:rsidP="00B43595">
                          <w:pPr>
                            <w:jc w:val="right"/>
                            <w:rPr>
                              <w:sz w:val="74"/>
                              <w:szCs w:val="74"/>
                            </w:rPr>
                          </w:pPr>
                        </w:p>
                        <w:p w14:paraId="3299B881" w14:textId="77777777" w:rsidR="006C6FF6" w:rsidRDefault="006C6FF6" w:rsidP="00B43595"/>
                        <w:p w14:paraId="4E4800DB"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B55C327" w14:textId="77777777" w:rsidR="006C6FF6" w:rsidRPr="00A3353C" w:rsidRDefault="006C6FF6" w:rsidP="00B43595">
                          <w:pPr>
                            <w:jc w:val="right"/>
                            <w:rPr>
                              <w:sz w:val="74"/>
                              <w:szCs w:val="74"/>
                            </w:rPr>
                          </w:pPr>
                        </w:p>
                        <w:p w14:paraId="642C70BA" w14:textId="77777777" w:rsidR="006C6FF6" w:rsidRDefault="006C6FF6" w:rsidP="00B43595">
                          <w:pPr>
                            <w:jc w:val="right"/>
                          </w:pPr>
                        </w:p>
                        <w:p w14:paraId="17ED8D4E"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F5294DF" w14:textId="77777777" w:rsidR="006C6FF6" w:rsidRDefault="006C6FF6" w:rsidP="00B43595"/>
                        <w:p w14:paraId="6E25F6F1" w14:textId="77777777" w:rsidR="006C6FF6" w:rsidRDefault="006C6FF6" w:rsidP="00B43595"/>
                        <w:p w14:paraId="417F63C7"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F23963E" w14:textId="77777777" w:rsidR="006C6FF6" w:rsidRPr="00A3353C" w:rsidRDefault="006C6FF6" w:rsidP="00B43595">
                          <w:pPr>
                            <w:jc w:val="right"/>
                            <w:rPr>
                              <w:sz w:val="74"/>
                              <w:szCs w:val="74"/>
                            </w:rPr>
                          </w:pPr>
                        </w:p>
                        <w:p w14:paraId="2347B745" w14:textId="77777777" w:rsidR="006C6FF6" w:rsidRDefault="006C6FF6" w:rsidP="00B43595">
                          <w:pPr>
                            <w:jc w:val="right"/>
                          </w:pPr>
                        </w:p>
                        <w:p w14:paraId="114E976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F121864" w14:textId="77777777" w:rsidR="006C6FF6" w:rsidRPr="00A3353C" w:rsidRDefault="006C6FF6" w:rsidP="00B43595">
                          <w:pPr>
                            <w:jc w:val="right"/>
                            <w:rPr>
                              <w:sz w:val="74"/>
                              <w:szCs w:val="74"/>
                            </w:rPr>
                          </w:pPr>
                        </w:p>
                        <w:p w14:paraId="443E77FD" w14:textId="77777777" w:rsidR="006C6FF6" w:rsidRDefault="006C6FF6" w:rsidP="00B43595"/>
                        <w:p w14:paraId="2B8DFF9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1927C01" w14:textId="77777777" w:rsidR="006C6FF6" w:rsidRPr="00A3353C" w:rsidRDefault="006C6FF6" w:rsidP="00B43595">
                          <w:pPr>
                            <w:jc w:val="right"/>
                            <w:rPr>
                              <w:sz w:val="74"/>
                              <w:szCs w:val="74"/>
                            </w:rPr>
                          </w:pPr>
                        </w:p>
                        <w:p w14:paraId="6BABDE6B" w14:textId="77777777" w:rsidR="006C6FF6" w:rsidRDefault="006C6FF6" w:rsidP="00B43595">
                          <w:pPr>
                            <w:jc w:val="right"/>
                          </w:pPr>
                        </w:p>
                        <w:p w14:paraId="3B80A795"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1A9D61F" w14:textId="77777777" w:rsidR="006C6FF6" w:rsidRPr="00A3353C" w:rsidRDefault="006C6FF6" w:rsidP="00B43595">
                          <w:pPr>
                            <w:jc w:val="right"/>
                            <w:rPr>
                              <w:sz w:val="74"/>
                              <w:szCs w:val="74"/>
                            </w:rPr>
                          </w:pPr>
                        </w:p>
                        <w:p w14:paraId="7B8838AD" w14:textId="77777777" w:rsidR="006C6FF6" w:rsidRDefault="006C6FF6" w:rsidP="00B43595"/>
                        <w:p w14:paraId="33F347C0"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71450D1" w14:textId="77777777" w:rsidR="006C6FF6" w:rsidRPr="00A3353C" w:rsidRDefault="006C6FF6" w:rsidP="00B43595">
                          <w:pPr>
                            <w:jc w:val="right"/>
                            <w:rPr>
                              <w:sz w:val="74"/>
                              <w:szCs w:val="74"/>
                            </w:rPr>
                          </w:pPr>
                        </w:p>
                        <w:p w14:paraId="016D2105" w14:textId="77777777" w:rsidR="006C6FF6" w:rsidRDefault="006C6FF6" w:rsidP="00B43595">
                          <w:pPr>
                            <w:jc w:val="right"/>
                          </w:pPr>
                        </w:p>
                        <w:p w14:paraId="52986E0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CC282CD" w14:textId="77777777" w:rsidR="006C6FF6" w:rsidRPr="00A3353C" w:rsidRDefault="006C6FF6" w:rsidP="00B43595">
                          <w:pPr>
                            <w:jc w:val="right"/>
                            <w:rPr>
                              <w:sz w:val="74"/>
                              <w:szCs w:val="74"/>
                            </w:rPr>
                          </w:pPr>
                        </w:p>
                        <w:p w14:paraId="0D20B982" w14:textId="77777777" w:rsidR="006C6FF6" w:rsidRDefault="006C6FF6" w:rsidP="00B43595"/>
                        <w:p w14:paraId="3B796B3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C123521" w14:textId="77777777" w:rsidR="006C6FF6" w:rsidRPr="00A3353C" w:rsidRDefault="006C6FF6" w:rsidP="00B43595">
                          <w:pPr>
                            <w:jc w:val="right"/>
                            <w:rPr>
                              <w:sz w:val="74"/>
                              <w:szCs w:val="74"/>
                            </w:rPr>
                          </w:pPr>
                        </w:p>
                        <w:p w14:paraId="218D1645" w14:textId="77777777" w:rsidR="006C6FF6" w:rsidRDefault="006C6FF6" w:rsidP="00B43595">
                          <w:pPr>
                            <w:jc w:val="right"/>
                          </w:pPr>
                        </w:p>
                        <w:p w14:paraId="3C9C2265"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4CE0418D" w14:textId="77777777" w:rsidR="006C6FF6" w:rsidRDefault="006C6FF6" w:rsidP="00B43595"/>
                        <w:p w14:paraId="523F954A" w14:textId="77777777" w:rsidR="006C6FF6" w:rsidRDefault="006C6FF6" w:rsidP="00B43595"/>
                        <w:p w14:paraId="6C4F144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0C9737C" w14:textId="77777777" w:rsidR="006C6FF6" w:rsidRPr="00A3353C" w:rsidRDefault="006C6FF6" w:rsidP="00B43595">
                          <w:pPr>
                            <w:jc w:val="right"/>
                            <w:rPr>
                              <w:sz w:val="74"/>
                              <w:szCs w:val="74"/>
                            </w:rPr>
                          </w:pPr>
                        </w:p>
                        <w:p w14:paraId="3B601C69" w14:textId="77777777" w:rsidR="006C6FF6" w:rsidRDefault="006C6FF6" w:rsidP="00B43595">
                          <w:pPr>
                            <w:jc w:val="right"/>
                          </w:pPr>
                        </w:p>
                        <w:p w14:paraId="712EC31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9FFD048" w14:textId="77777777" w:rsidR="006C6FF6" w:rsidRPr="00A3353C" w:rsidRDefault="006C6FF6" w:rsidP="00B43595">
                          <w:pPr>
                            <w:jc w:val="right"/>
                            <w:rPr>
                              <w:sz w:val="74"/>
                              <w:szCs w:val="74"/>
                            </w:rPr>
                          </w:pPr>
                        </w:p>
                        <w:p w14:paraId="55E61C2B" w14:textId="77777777" w:rsidR="006C6FF6" w:rsidRDefault="006C6FF6" w:rsidP="00B43595"/>
                        <w:p w14:paraId="77D3786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6C019DD" w14:textId="77777777" w:rsidR="006C6FF6" w:rsidRPr="00A3353C" w:rsidRDefault="006C6FF6" w:rsidP="00B43595">
                          <w:pPr>
                            <w:jc w:val="right"/>
                            <w:rPr>
                              <w:sz w:val="74"/>
                              <w:szCs w:val="74"/>
                            </w:rPr>
                          </w:pPr>
                        </w:p>
                        <w:p w14:paraId="12ACD72E" w14:textId="77777777" w:rsidR="006C6FF6" w:rsidRDefault="006C6FF6" w:rsidP="00B43595">
                          <w:pPr>
                            <w:jc w:val="right"/>
                          </w:pPr>
                        </w:p>
                        <w:p w14:paraId="0BC7B36A"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73AA9BA" w14:textId="77777777" w:rsidR="006C6FF6" w:rsidRDefault="006C6FF6" w:rsidP="00B43595"/>
                        <w:p w14:paraId="708DEB3B" w14:textId="77777777" w:rsidR="006C6FF6" w:rsidRDefault="006C6FF6" w:rsidP="00B43595"/>
                        <w:p w14:paraId="0F862C26"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9586F12" w14:textId="77777777" w:rsidR="006C6FF6" w:rsidRPr="00A3353C" w:rsidRDefault="006C6FF6" w:rsidP="00B43595">
                          <w:pPr>
                            <w:jc w:val="right"/>
                            <w:rPr>
                              <w:sz w:val="74"/>
                              <w:szCs w:val="74"/>
                            </w:rPr>
                          </w:pPr>
                        </w:p>
                        <w:p w14:paraId="40A9C108" w14:textId="77777777" w:rsidR="006C6FF6" w:rsidRDefault="006C6FF6" w:rsidP="00B43595">
                          <w:pPr>
                            <w:jc w:val="right"/>
                          </w:pPr>
                        </w:p>
                        <w:p w14:paraId="4B5F324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E190751" w14:textId="77777777" w:rsidR="006C6FF6" w:rsidRPr="00A3353C" w:rsidRDefault="006C6FF6" w:rsidP="00B43595">
                          <w:pPr>
                            <w:jc w:val="right"/>
                            <w:rPr>
                              <w:sz w:val="74"/>
                              <w:szCs w:val="74"/>
                            </w:rPr>
                          </w:pPr>
                        </w:p>
                        <w:p w14:paraId="413A7E60" w14:textId="77777777" w:rsidR="006C6FF6" w:rsidRDefault="006C6FF6" w:rsidP="00B43595"/>
                        <w:p w14:paraId="7C0EFB7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5D124B2" w14:textId="77777777" w:rsidR="006C6FF6" w:rsidRPr="00A3353C" w:rsidRDefault="006C6FF6" w:rsidP="00B43595">
                          <w:pPr>
                            <w:jc w:val="right"/>
                            <w:rPr>
                              <w:sz w:val="74"/>
                              <w:szCs w:val="74"/>
                            </w:rPr>
                          </w:pPr>
                        </w:p>
                        <w:p w14:paraId="2379AA3D" w14:textId="77777777" w:rsidR="006C6FF6" w:rsidRDefault="006C6FF6" w:rsidP="00B43595">
                          <w:pPr>
                            <w:jc w:val="right"/>
                          </w:pPr>
                        </w:p>
                        <w:p w14:paraId="0D84BD6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861F633" w14:textId="77777777" w:rsidR="006C6FF6" w:rsidRPr="00A3353C" w:rsidRDefault="006C6FF6" w:rsidP="00B43595">
                          <w:pPr>
                            <w:jc w:val="right"/>
                            <w:rPr>
                              <w:sz w:val="74"/>
                              <w:szCs w:val="74"/>
                            </w:rPr>
                          </w:pPr>
                        </w:p>
                        <w:p w14:paraId="212ED2B4" w14:textId="77777777" w:rsidR="006C6FF6" w:rsidRDefault="006C6FF6" w:rsidP="00B43595"/>
                        <w:p w14:paraId="1C56048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AF79CC9" w14:textId="77777777" w:rsidR="006C6FF6" w:rsidRPr="00A3353C" w:rsidRDefault="006C6FF6" w:rsidP="00B43595">
                          <w:pPr>
                            <w:jc w:val="right"/>
                            <w:rPr>
                              <w:sz w:val="74"/>
                              <w:szCs w:val="74"/>
                            </w:rPr>
                          </w:pPr>
                        </w:p>
                        <w:p w14:paraId="78468F47" w14:textId="77777777" w:rsidR="006C6FF6" w:rsidRDefault="006C6FF6" w:rsidP="00B43595">
                          <w:pPr>
                            <w:jc w:val="right"/>
                          </w:pPr>
                        </w:p>
                        <w:p w14:paraId="45F382D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9EF4940" w14:textId="77777777" w:rsidR="006C6FF6" w:rsidRPr="00A3353C" w:rsidRDefault="006C6FF6" w:rsidP="00B43595">
                          <w:pPr>
                            <w:jc w:val="right"/>
                            <w:rPr>
                              <w:sz w:val="74"/>
                              <w:szCs w:val="74"/>
                            </w:rPr>
                          </w:pPr>
                        </w:p>
                        <w:p w14:paraId="5BD9D93E" w14:textId="77777777" w:rsidR="006C6FF6" w:rsidRDefault="006C6FF6" w:rsidP="00B43595"/>
                        <w:p w14:paraId="4F6FF3D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4E98008" w14:textId="77777777" w:rsidR="006C6FF6" w:rsidRPr="00A3353C" w:rsidRDefault="006C6FF6" w:rsidP="00B43595">
                          <w:pPr>
                            <w:jc w:val="right"/>
                            <w:rPr>
                              <w:sz w:val="74"/>
                              <w:szCs w:val="74"/>
                            </w:rPr>
                          </w:pPr>
                        </w:p>
                        <w:p w14:paraId="5CE163FC" w14:textId="77777777" w:rsidR="006C6FF6" w:rsidRDefault="006C6FF6" w:rsidP="00B43595">
                          <w:pPr>
                            <w:jc w:val="right"/>
                          </w:pPr>
                        </w:p>
                        <w:p w14:paraId="4DC5936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FB50D52" w14:textId="77777777" w:rsidR="006C6FF6" w:rsidRPr="00A3353C" w:rsidRDefault="006C6FF6" w:rsidP="00B43595">
                          <w:pPr>
                            <w:jc w:val="right"/>
                            <w:rPr>
                              <w:sz w:val="74"/>
                              <w:szCs w:val="74"/>
                            </w:rPr>
                          </w:pPr>
                        </w:p>
                        <w:p w14:paraId="4FCCC506" w14:textId="77777777" w:rsidR="006C6FF6" w:rsidRDefault="006C6FF6" w:rsidP="00B43595"/>
                        <w:p w14:paraId="7DAF66E5"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D0B58BA" w14:textId="77777777" w:rsidR="006C6FF6" w:rsidRPr="00A3353C" w:rsidRDefault="006C6FF6" w:rsidP="00B43595">
                          <w:pPr>
                            <w:jc w:val="right"/>
                            <w:rPr>
                              <w:sz w:val="74"/>
                              <w:szCs w:val="74"/>
                            </w:rPr>
                          </w:pPr>
                        </w:p>
                        <w:p w14:paraId="4757A306" w14:textId="77777777" w:rsidR="006C6FF6" w:rsidRDefault="006C6FF6" w:rsidP="00B43595">
                          <w:pPr>
                            <w:jc w:val="right"/>
                          </w:pPr>
                        </w:p>
                        <w:p w14:paraId="0815F3A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D30F24F" w14:textId="77777777" w:rsidR="006C6FF6" w:rsidRPr="00A3353C" w:rsidRDefault="006C6FF6" w:rsidP="00B43595">
                          <w:pPr>
                            <w:jc w:val="right"/>
                            <w:rPr>
                              <w:sz w:val="74"/>
                              <w:szCs w:val="74"/>
                            </w:rPr>
                          </w:pPr>
                        </w:p>
                        <w:p w14:paraId="69CC93B8" w14:textId="77777777" w:rsidR="006C6FF6" w:rsidRDefault="006C6FF6" w:rsidP="00B43595"/>
                        <w:p w14:paraId="684BDD9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180212D" w14:textId="77777777" w:rsidR="006C6FF6" w:rsidRPr="00A3353C" w:rsidRDefault="006C6FF6" w:rsidP="00B43595">
                          <w:pPr>
                            <w:jc w:val="right"/>
                            <w:rPr>
                              <w:sz w:val="74"/>
                              <w:szCs w:val="74"/>
                            </w:rPr>
                          </w:pPr>
                        </w:p>
                        <w:p w14:paraId="6B858DD7" w14:textId="77777777" w:rsidR="006C6FF6" w:rsidRDefault="006C6FF6" w:rsidP="00B43595">
                          <w:pPr>
                            <w:jc w:val="right"/>
                          </w:pPr>
                        </w:p>
                        <w:p w14:paraId="7D9F70C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8B69646" w14:textId="77777777" w:rsidR="006C6FF6" w:rsidRPr="00A3353C" w:rsidRDefault="006C6FF6" w:rsidP="00B43595">
                          <w:pPr>
                            <w:jc w:val="right"/>
                            <w:rPr>
                              <w:sz w:val="74"/>
                              <w:szCs w:val="74"/>
                            </w:rPr>
                          </w:pPr>
                        </w:p>
                        <w:p w14:paraId="3FAFF1BE" w14:textId="77777777" w:rsidR="006C6FF6" w:rsidRDefault="006C6FF6" w:rsidP="00B43595"/>
                        <w:p w14:paraId="5BD9D89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F571F80" w14:textId="77777777" w:rsidR="006C6FF6" w:rsidRPr="00A3353C" w:rsidRDefault="006C6FF6" w:rsidP="00B43595">
                          <w:pPr>
                            <w:jc w:val="right"/>
                            <w:rPr>
                              <w:sz w:val="74"/>
                              <w:szCs w:val="74"/>
                            </w:rPr>
                          </w:pPr>
                        </w:p>
                        <w:p w14:paraId="5C605AFF" w14:textId="77777777" w:rsidR="006C6FF6" w:rsidRDefault="006C6FF6" w:rsidP="00B43595">
                          <w:pPr>
                            <w:jc w:val="right"/>
                          </w:pPr>
                        </w:p>
                        <w:p w14:paraId="778FDF3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5746254" w14:textId="77777777" w:rsidR="006C6FF6" w:rsidRPr="00A3353C" w:rsidRDefault="006C6FF6" w:rsidP="00B43595">
                          <w:pPr>
                            <w:jc w:val="right"/>
                            <w:rPr>
                              <w:sz w:val="74"/>
                              <w:szCs w:val="74"/>
                            </w:rPr>
                          </w:pPr>
                        </w:p>
                        <w:p w14:paraId="3CED26D4" w14:textId="77777777" w:rsidR="006C6FF6" w:rsidRDefault="006C6FF6" w:rsidP="00B43595"/>
                        <w:p w14:paraId="70F7659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E010BC6" w14:textId="77777777" w:rsidR="006C6FF6" w:rsidRPr="00A3353C" w:rsidRDefault="006C6FF6" w:rsidP="00B43595">
                          <w:pPr>
                            <w:jc w:val="right"/>
                            <w:rPr>
                              <w:sz w:val="74"/>
                              <w:szCs w:val="74"/>
                            </w:rPr>
                          </w:pPr>
                        </w:p>
                        <w:p w14:paraId="692D9480" w14:textId="77777777" w:rsidR="006C6FF6" w:rsidRDefault="006C6FF6" w:rsidP="00B43595">
                          <w:pPr>
                            <w:jc w:val="right"/>
                          </w:pPr>
                        </w:p>
                        <w:p w14:paraId="14A6F015"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3551996" w14:textId="77777777" w:rsidR="006C6FF6" w:rsidRPr="00A3353C" w:rsidRDefault="006C6FF6" w:rsidP="00B43595">
                          <w:pPr>
                            <w:jc w:val="right"/>
                            <w:rPr>
                              <w:sz w:val="74"/>
                              <w:szCs w:val="74"/>
                            </w:rPr>
                          </w:pPr>
                        </w:p>
                        <w:p w14:paraId="52C38607" w14:textId="77777777" w:rsidR="006C6FF6" w:rsidRDefault="006C6FF6" w:rsidP="00B43595"/>
                        <w:p w14:paraId="31F9A205"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0C96DBC" w14:textId="77777777" w:rsidR="006C6FF6" w:rsidRPr="00A3353C" w:rsidRDefault="006C6FF6" w:rsidP="00B43595">
                          <w:pPr>
                            <w:jc w:val="right"/>
                            <w:rPr>
                              <w:sz w:val="74"/>
                              <w:szCs w:val="74"/>
                            </w:rPr>
                          </w:pPr>
                        </w:p>
                        <w:p w14:paraId="5A83AFEB" w14:textId="77777777" w:rsidR="006C6FF6" w:rsidRDefault="006C6FF6" w:rsidP="00B43595">
                          <w:pPr>
                            <w:jc w:val="right"/>
                          </w:pPr>
                        </w:p>
                        <w:p w14:paraId="0900B66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B62FDDC" w14:textId="77777777" w:rsidR="006C6FF6" w:rsidRPr="00A3353C" w:rsidRDefault="006C6FF6" w:rsidP="00B43595">
                          <w:pPr>
                            <w:jc w:val="right"/>
                            <w:rPr>
                              <w:sz w:val="74"/>
                              <w:szCs w:val="74"/>
                            </w:rPr>
                          </w:pPr>
                        </w:p>
                        <w:p w14:paraId="1FB1DCB5" w14:textId="77777777" w:rsidR="006C6FF6" w:rsidRDefault="006C6FF6" w:rsidP="00B43595"/>
                        <w:p w14:paraId="056CC1EE"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8588773" w14:textId="77777777" w:rsidR="006C6FF6" w:rsidRPr="00A3353C" w:rsidRDefault="006C6FF6" w:rsidP="00B43595">
                          <w:pPr>
                            <w:jc w:val="right"/>
                            <w:rPr>
                              <w:sz w:val="74"/>
                              <w:szCs w:val="74"/>
                            </w:rPr>
                          </w:pPr>
                        </w:p>
                        <w:p w14:paraId="37512543" w14:textId="77777777" w:rsidR="006C6FF6" w:rsidRDefault="006C6FF6" w:rsidP="00B43595">
                          <w:pPr>
                            <w:jc w:val="right"/>
                          </w:pPr>
                        </w:p>
                        <w:p w14:paraId="3F0F570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A8B7426" w14:textId="77777777" w:rsidR="006C6FF6" w:rsidRPr="00A3353C" w:rsidRDefault="006C6FF6" w:rsidP="00B43595">
                          <w:pPr>
                            <w:jc w:val="right"/>
                            <w:rPr>
                              <w:sz w:val="74"/>
                              <w:szCs w:val="74"/>
                            </w:rPr>
                          </w:pPr>
                        </w:p>
                        <w:p w14:paraId="62F3BB41" w14:textId="77777777" w:rsidR="006C6FF6" w:rsidRDefault="006C6FF6" w:rsidP="00B43595"/>
                        <w:p w14:paraId="3B63AA9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9936379" w14:textId="77777777" w:rsidR="006C6FF6" w:rsidRPr="00A3353C" w:rsidRDefault="006C6FF6" w:rsidP="00B43595">
                          <w:pPr>
                            <w:jc w:val="right"/>
                            <w:rPr>
                              <w:sz w:val="74"/>
                              <w:szCs w:val="74"/>
                            </w:rPr>
                          </w:pPr>
                        </w:p>
                        <w:p w14:paraId="265C2141" w14:textId="77777777" w:rsidR="006C6FF6" w:rsidRDefault="006C6FF6" w:rsidP="00B43595">
                          <w:pPr>
                            <w:jc w:val="right"/>
                          </w:pPr>
                        </w:p>
                        <w:p w14:paraId="37747DA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B061F22" w14:textId="77777777" w:rsidR="006C6FF6" w:rsidRPr="00A3353C" w:rsidRDefault="006C6FF6" w:rsidP="00B43595">
                          <w:pPr>
                            <w:jc w:val="right"/>
                            <w:rPr>
                              <w:sz w:val="74"/>
                              <w:szCs w:val="74"/>
                            </w:rPr>
                          </w:pPr>
                        </w:p>
                        <w:p w14:paraId="04E50132" w14:textId="77777777" w:rsidR="006C6FF6" w:rsidRDefault="006C6FF6" w:rsidP="00B43595"/>
                        <w:p w14:paraId="606B843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7BC6D3B" w14:textId="77777777" w:rsidR="006C6FF6" w:rsidRPr="00A3353C" w:rsidRDefault="006C6FF6" w:rsidP="00B43595">
                          <w:pPr>
                            <w:jc w:val="right"/>
                            <w:rPr>
                              <w:sz w:val="74"/>
                              <w:szCs w:val="74"/>
                            </w:rPr>
                          </w:pPr>
                        </w:p>
                        <w:p w14:paraId="32B720D7" w14:textId="77777777" w:rsidR="006C6FF6" w:rsidRDefault="006C6FF6" w:rsidP="00B43595">
                          <w:pPr>
                            <w:jc w:val="right"/>
                          </w:pPr>
                        </w:p>
                        <w:p w14:paraId="3673989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BB2CE4D" w14:textId="77777777" w:rsidR="006C6FF6" w:rsidRPr="00A3353C" w:rsidRDefault="006C6FF6" w:rsidP="00B43595">
                          <w:pPr>
                            <w:jc w:val="right"/>
                            <w:rPr>
                              <w:sz w:val="74"/>
                              <w:szCs w:val="74"/>
                            </w:rPr>
                          </w:pPr>
                        </w:p>
                        <w:p w14:paraId="65A11ED6" w14:textId="77777777" w:rsidR="006C6FF6" w:rsidRDefault="006C6FF6" w:rsidP="00B43595"/>
                        <w:p w14:paraId="7128E0CA"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844988C" w14:textId="77777777" w:rsidR="006C6FF6" w:rsidRPr="00A3353C" w:rsidRDefault="006C6FF6" w:rsidP="00B43595">
                          <w:pPr>
                            <w:jc w:val="right"/>
                            <w:rPr>
                              <w:sz w:val="74"/>
                              <w:szCs w:val="74"/>
                            </w:rPr>
                          </w:pPr>
                        </w:p>
                        <w:p w14:paraId="0A9D13BF" w14:textId="77777777" w:rsidR="006C6FF6" w:rsidRDefault="006C6FF6" w:rsidP="00B43595">
                          <w:pPr>
                            <w:jc w:val="right"/>
                          </w:pPr>
                        </w:p>
                        <w:p w14:paraId="470B348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3EB8E24" w14:textId="77777777" w:rsidR="006C6FF6" w:rsidRPr="00A3353C" w:rsidRDefault="006C6FF6" w:rsidP="00B43595">
                          <w:pPr>
                            <w:jc w:val="right"/>
                            <w:rPr>
                              <w:sz w:val="74"/>
                              <w:szCs w:val="74"/>
                            </w:rPr>
                          </w:pPr>
                        </w:p>
                        <w:p w14:paraId="4EB8C628" w14:textId="77777777" w:rsidR="006C6FF6" w:rsidRDefault="006C6FF6" w:rsidP="00B43595"/>
                        <w:p w14:paraId="2196C68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04ABBED" w14:textId="77777777" w:rsidR="006C6FF6" w:rsidRPr="00A3353C" w:rsidRDefault="006C6FF6" w:rsidP="00B43595">
                          <w:pPr>
                            <w:jc w:val="right"/>
                            <w:rPr>
                              <w:sz w:val="74"/>
                              <w:szCs w:val="74"/>
                            </w:rPr>
                          </w:pPr>
                        </w:p>
                        <w:p w14:paraId="3E18443F" w14:textId="77777777" w:rsidR="006C6FF6" w:rsidRDefault="006C6FF6" w:rsidP="00B43595">
                          <w:pPr>
                            <w:jc w:val="right"/>
                          </w:pPr>
                        </w:p>
                        <w:p w14:paraId="43FEF3D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6DE29FF" w14:textId="77777777" w:rsidR="006C6FF6" w:rsidRPr="00A3353C" w:rsidRDefault="006C6FF6" w:rsidP="00B43595">
                          <w:pPr>
                            <w:jc w:val="right"/>
                            <w:rPr>
                              <w:sz w:val="74"/>
                              <w:szCs w:val="74"/>
                            </w:rPr>
                          </w:pPr>
                        </w:p>
                        <w:p w14:paraId="33FDE4C5" w14:textId="77777777" w:rsidR="006C6FF6" w:rsidRDefault="006C6FF6" w:rsidP="00B43595"/>
                        <w:p w14:paraId="2E3E17D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F251E0C" w14:textId="77777777" w:rsidR="006C6FF6" w:rsidRPr="00A3353C" w:rsidRDefault="006C6FF6" w:rsidP="00B43595">
                          <w:pPr>
                            <w:jc w:val="right"/>
                            <w:rPr>
                              <w:sz w:val="74"/>
                              <w:szCs w:val="74"/>
                            </w:rPr>
                          </w:pPr>
                        </w:p>
                        <w:p w14:paraId="6DFE79C3" w14:textId="77777777" w:rsidR="006C6FF6" w:rsidRDefault="006C6FF6" w:rsidP="00B43595">
                          <w:pPr>
                            <w:jc w:val="right"/>
                          </w:pPr>
                        </w:p>
                        <w:p w14:paraId="56923203"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19586D0" w14:textId="77777777" w:rsidR="006C6FF6" w:rsidRPr="00A3353C" w:rsidRDefault="006C6FF6" w:rsidP="00B43595">
                          <w:pPr>
                            <w:jc w:val="right"/>
                            <w:rPr>
                              <w:sz w:val="74"/>
                              <w:szCs w:val="74"/>
                            </w:rPr>
                          </w:pPr>
                        </w:p>
                        <w:p w14:paraId="2061BEB8" w14:textId="77777777" w:rsidR="006C6FF6" w:rsidRDefault="006C6FF6" w:rsidP="00B43595"/>
                        <w:p w14:paraId="60DE548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C5EE93C" w14:textId="77777777" w:rsidR="006C6FF6" w:rsidRPr="00A3353C" w:rsidRDefault="006C6FF6" w:rsidP="00B43595">
                          <w:pPr>
                            <w:jc w:val="right"/>
                            <w:rPr>
                              <w:sz w:val="74"/>
                              <w:szCs w:val="74"/>
                            </w:rPr>
                          </w:pPr>
                        </w:p>
                        <w:p w14:paraId="7026833A" w14:textId="77777777" w:rsidR="006C6FF6" w:rsidRDefault="006C6FF6" w:rsidP="00B43595">
                          <w:pPr>
                            <w:jc w:val="right"/>
                          </w:pPr>
                        </w:p>
                        <w:p w14:paraId="10853F82"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62E22661" w14:textId="77777777" w:rsidR="006C6FF6" w:rsidRDefault="006C6FF6" w:rsidP="00B43595"/>
                        <w:p w14:paraId="18E7545F" w14:textId="77777777" w:rsidR="006C6FF6" w:rsidRDefault="006C6FF6" w:rsidP="00B43595"/>
                        <w:p w14:paraId="7D9C810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80EAC14" w14:textId="77777777" w:rsidR="006C6FF6" w:rsidRPr="00A3353C" w:rsidRDefault="006C6FF6" w:rsidP="00B43595">
                          <w:pPr>
                            <w:jc w:val="right"/>
                            <w:rPr>
                              <w:sz w:val="74"/>
                              <w:szCs w:val="74"/>
                            </w:rPr>
                          </w:pPr>
                        </w:p>
                        <w:p w14:paraId="65EC607E" w14:textId="77777777" w:rsidR="006C6FF6" w:rsidRDefault="006C6FF6" w:rsidP="00B43595">
                          <w:pPr>
                            <w:jc w:val="right"/>
                          </w:pPr>
                        </w:p>
                        <w:p w14:paraId="383EAAE6"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72F0D53" w14:textId="77777777" w:rsidR="006C6FF6" w:rsidRPr="00A3353C" w:rsidRDefault="006C6FF6" w:rsidP="00B43595">
                          <w:pPr>
                            <w:jc w:val="right"/>
                            <w:rPr>
                              <w:sz w:val="74"/>
                              <w:szCs w:val="74"/>
                            </w:rPr>
                          </w:pPr>
                        </w:p>
                        <w:p w14:paraId="431F05D7" w14:textId="77777777" w:rsidR="006C6FF6" w:rsidRDefault="006C6FF6" w:rsidP="00B43595"/>
                        <w:p w14:paraId="182FD70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E592425" w14:textId="77777777" w:rsidR="006C6FF6" w:rsidRPr="00A3353C" w:rsidRDefault="006C6FF6" w:rsidP="00B43595">
                          <w:pPr>
                            <w:jc w:val="right"/>
                            <w:rPr>
                              <w:sz w:val="74"/>
                              <w:szCs w:val="74"/>
                            </w:rPr>
                          </w:pPr>
                        </w:p>
                        <w:p w14:paraId="3CCCA244" w14:textId="77777777" w:rsidR="006C6FF6" w:rsidRDefault="006C6FF6" w:rsidP="00B43595">
                          <w:pPr>
                            <w:jc w:val="right"/>
                          </w:pPr>
                        </w:p>
                        <w:p w14:paraId="1179EA3D"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D1BF058" w14:textId="77777777" w:rsidR="006C6FF6" w:rsidRDefault="006C6FF6" w:rsidP="00B43595"/>
                        <w:p w14:paraId="03E00CB4" w14:textId="77777777" w:rsidR="006C6FF6" w:rsidRDefault="006C6FF6" w:rsidP="00B43595"/>
                        <w:p w14:paraId="455419BA"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66BC139" w14:textId="77777777" w:rsidR="006C6FF6" w:rsidRPr="00A3353C" w:rsidRDefault="006C6FF6" w:rsidP="00B43595">
                          <w:pPr>
                            <w:jc w:val="right"/>
                            <w:rPr>
                              <w:sz w:val="74"/>
                              <w:szCs w:val="74"/>
                            </w:rPr>
                          </w:pPr>
                        </w:p>
                        <w:p w14:paraId="2EE07A94" w14:textId="77777777" w:rsidR="006C6FF6" w:rsidRDefault="006C6FF6" w:rsidP="00B43595">
                          <w:pPr>
                            <w:jc w:val="right"/>
                          </w:pPr>
                        </w:p>
                        <w:p w14:paraId="74CB558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79E27F7" w14:textId="77777777" w:rsidR="006C6FF6" w:rsidRPr="00A3353C" w:rsidRDefault="006C6FF6" w:rsidP="00B43595">
                          <w:pPr>
                            <w:jc w:val="right"/>
                            <w:rPr>
                              <w:sz w:val="74"/>
                              <w:szCs w:val="74"/>
                            </w:rPr>
                          </w:pPr>
                        </w:p>
                        <w:p w14:paraId="4970007A" w14:textId="77777777" w:rsidR="006C6FF6" w:rsidRDefault="006C6FF6" w:rsidP="00B43595"/>
                        <w:p w14:paraId="68CF28A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E586550" w14:textId="77777777" w:rsidR="006C6FF6" w:rsidRPr="00A3353C" w:rsidRDefault="006C6FF6" w:rsidP="00B43595">
                          <w:pPr>
                            <w:jc w:val="right"/>
                            <w:rPr>
                              <w:sz w:val="74"/>
                              <w:szCs w:val="74"/>
                            </w:rPr>
                          </w:pPr>
                        </w:p>
                        <w:p w14:paraId="5033A08D" w14:textId="77777777" w:rsidR="006C6FF6" w:rsidRDefault="006C6FF6" w:rsidP="00B43595">
                          <w:pPr>
                            <w:jc w:val="right"/>
                          </w:pPr>
                        </w:p>
                        <w:p w14:paraId="67A3300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A76E245" w14:textId="77777777" w:rsidR="006C6FF6" w:rsidRPr="00A3353C" w:rsidRDefault="006C6FF6" w:rsidP="00B43595">
                          <w:pPr>
                            <w:jc w:val="right"/>
                            <w:rPr>
                              <w:sz w:val="74"/>
                              <w:szCs w:val="74"/>
                            </w:rPr>
                          </w:pPr>
                        </w:p>
                        <w:p w14:paraId="3DD36DD3" w14:textId="77777777" w:rsidR="006C6FF6" w:rsidRDefault="006C6FF6" w:rsidP="00B43595"/>
                        <w:p w14:paraId="7328FBC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64F45F4" w14:textId="77777777" w:rsidR="006C6FF6" w:rsidRPr="00A3353C" w:rsidRDefault="006C6FF6" w:rsidP="00B43595">
                          <w:pPr>
                            <w:jc w:val="right"/>
                            <w:rPr>
                              <w:sz w:val="74"/>
                              <w:szCs w:val="74"/>
                            </w:rPr>
                          </w:pPr>
                        </w:p>
                        <w:p w14:paraId="2A3B5A83" w14:textId="77777777" w:rsidR="006C6FF6" w:rsidRDefault="006C6FF6" w:rsidP="00B43595">
                          <w:pPr>
                            <w:jc w:val="right"/>
                          </w:pPr>
                        </w:p>
                        <w:p w14:paraId="420C2842"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7714F8E" w14:textId="77777777" w:rsidR="006C6FF6" w:rsidRPr="00A3353C" w:rsidRDefault="006C6FF6" w:rsidP="00B43595">
                          <w:pPr>
                            <w:jc w:val="right"/>
                            <w:rPr>
                              <w:sz w:val="74"/>
                              <w:szCs w:val="74"/>
                            </w:rPr>
                          </w:pPr>
                        </w:p>
                        <w:p w14:paraId="0105E3CA" w14:textId="77777777" w:rsidR="006C6FF6" w:rsidRDefault="006C6FF6" w:rsidP="00B43595"/>
                        <w:p w14:paraId="5A0070C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DF29B0B" w14:textId="77777777" w:rsidR="006C6FF6" w:rsidRPr="00A3353C" w:rsidRDefault="006C6FF6" w:rsidP="00B43595">
                          <w:pPr>
                            <w:jc w:val="right"/>
                            <w:rPr>
                              <w:sz w:val="74"/>
                              <w:szCs w:val="74"/>
                            </w:rPr>
                          </w:pPr>
                        </w:p>
                        <w:p w14:paraId="3F32CEC3" w14:textId="77777777" w:rsidR="006C6FF6" w:rsidRDefault="006C6FF6" w:rsidP="00B43595">
                          <w:pPr>
                            <w:jc w:val="right"/>
                          </w:pPr>
                        </w:p>
                        <w:p w14:paraId="1B32D98C"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8D08703" w14:textId="77777777" w:rsidR="006C6FF6" w:rsidRDefault="006C6FF6" w:rsidP="00B43595"/>
                        <w:p w14:paraId="42D82594" w14:textId="77777777" w:rsidR="006C6FF6" w:rsidRDefault="006C6FF6" w:rsidP="00B43595"/>
                        <w:p w14:paraId="79266E0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2585637" w14:textId="77777777" w:rsidR="006C6FF6" w:rsidRPr="00A3353C" w:rsidRDefault="006C6FF6" w:rsidP="00B43595">
                          <w:pPr>
                            <w:jc w:val="right"/>
                            <w:rPr>
                              <w:sz w:val="74"/>
                              <w:szCs w:val="74"/>
                            </w:rPr>
                          </w:pPr>
                        </w:p>
                        <w:p w14:paraId="21F05B11" w14:textId="77777777" w:rsidR="006C6FF6" w:rsidRDefault="006C6FF6" w:rsidP="00B43595">
                          <w:pPr>
                            <w:jc w:val="right"/>
                          </w:pPr>
                        </w:p>
                        <w:p w14:paraId="1CE261E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3D2ED1B" w14:textId="77777777" w:rsidR="006C6FF6" w:rsidRPr="00A3353C" w:rsidRDefault="006C6FF6" w:rsidP="00B43595">
                          <w:pPr>
                            <w:jc w:val="right"/>
                            <w:rPr>
                              <w:sz w:val="74"/>
                              <w:szCs w:val="74"/>
                            </w:rPr>
                          </w:pPr>
                        </w:p>
                        <w:p w14:paraId="3DDEE6E5" w14:textId="77777777" w:rsidR="006C6FF6" w:rsidRDefault="006C6FF6" w:rsidP="00B43595"/>
                        <w:p w14:paraId="2B4CC0F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A93EBDF" w14:textId="77777777" w:rsidR="006C6FF6" w:rsidRPr="00A3353C" w:rsidRDefault="006C6FF6" w:rsidP="00B43595">
                          <w:pPr>
                            <w:jc w:val="right"/>
                            <w:rPr>
                              <w:sz w:val="74"/>
                              <w:szCs w:val="74"/>
                            </w:rPr>
                          </w:pPr>
                        </w:p>
                        <w:p w14:paraId="57CC9490" w14:textId="77777777" w:rsidR="006C6FF6" w:rsidRDefault="006C6FF6" w:rsidP="00B43595">
                          <w:pPr>
                            <w:jc w:val="right"/>
                          </w:pPr>
                        </w:p>
                        <w:p w14:paraId="5E6C4E40"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7C02C357" w14:textId="77777777" w:rsidR="006C6FF6" w:rsidRDefault="006C6FF6" w:rsidP="00B43595"/>
                        <w:p w14:paraId="110CD57F" w14:textId="77777777" w:rsidR="006C6FF6" w:rsidRDefault="006C6FF6" w:rsidP="00B43595"/>
                        <w:p w14:paraId="34672A66"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4D26CE8" w14:textId="77777777" w:rsidR="006C6FF6" w:rsidRPr="00A3353C" w:rsidRDefault="006C6FF6" w:rsidP="00B43595">
                          <w:pPr>
                            <w:jc w:val="right"/>
                            <w:rPr>
                              <w:sz w:val="74"/>
                              <w:szCs w:val="74"/>
                            </w:rPr>
                          </w:pPr>
                        </w:p>
                        <w:p w14:paraId="47A90906" w14:textId="77777777" w:rsidR="006C6FF6" w:rsidRDefault="006C6FF6" w:rsidP="00B43595">
                          <w:pPr>
                            <w:jc w:val="right"/>
                          </w:pPr>
                        </w:p>
                        <w:p w14:paraId="3ACC180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2C381A4" w14:textId="77777777" w:rsidR="006C6FF6" w:rsidRPr="00A3353C" w:rsidRDefault="006C6FF6" w:rsidP="00B43595">
                          <w:pPr>
                            <w:jc w:val="right"/>
                            <w:rPr>
                              <w:sz w:val="74"/>
                              <w:szCs w:val="74"/>
                            </w:rPr>
                          </w:pPr>
                        </w:p>
                        <w:p w14:paraId="61513F07" w14:textId="77777777" w:rsidR="006C6FF6" w:rsidRDefault="006C6FF6" w:rsidP="00B43595"/>
                        <w:p w14:paraId="04EBD034"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59F1A81" w14:textId="77777777" w:rsidR="006C6FF6" w:rsidRPr="00A3353C" w:rsidRDefault="006C6FF6" w:rsidP="00B43595">
                          <w:pPr>
                            <w:jc w:val="right"/>
                            <w:rPr>
                              <w:sz w:val="74"/>
                              <w:szCs w:val="74"/>
                            </w:rPr>
                          </w:pPr>
                        </w:p>
                        <w:p w14:paraId="23C8A8DF" w14:textId="77777777" w:rsidR="006C6FF6" w:rsidRDefault="006C6FF6" w:rsidP="00B43595">
                          <w:pPr>
                            <w:jc w:val="right"/>
                          </w:pPr>
                        </w:p>
                        <w:p w14:paraId="64033CF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B46B448" w14:textId="77777777" w:rsidR="006C6FF6" w:rsidRPr="00A3353C" w:rsidRDefault="006C6FF6" w:rsidP="00B43595">
                          <w:pPr>
                            <w:jc w:val="right"/>
                            <w:rPr>
                              <w:sz w:val="74"/>
                              <w:szCs w:val="74"/>
                            </w:rPr>
                          </w:pPr>
                        </w:p>
                        <w:p w14:paraId="127F2538" w14:textId="77777777" w:rsidR="006C6FF6" w:rsidRDefault="006C6FF6" w:rsidP="00B43595"/>
                        <w:p w14:paraId="32C3A0F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6024852" w14:textId="77777777" w:rsidR="006C6FF6" w:rsidRPr="00A3353C" w:rsidRDefault="006C6FF6" w:rsidP="00B43595">
                          <w:pPr>
                            <w:jc w:val="right"/>
                            <w:rPr>
                              <w:sz w:val="74"/>
                              <w:szCs w:val="74"/>
                            </w:rPr>
                          </w:pPr>
                        </w:p>
                        <w:p w14:paraId="709D348C" w14:textId="77777777" w:rsidR="006C6FF6" w:rsidRDefault="006C6FF6" w:rsidP="00B43595">
                          <w:pPr>
                            <w:jc w:val="right"/>
                          </w:pPr>
                        </w:p>
                        <w:p w14:paraId="59F5D8F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792651C" w14:textId="77777777" w:rsidR="006C6FF6" w:rsidRPr="00A3353C" w:rsidRDefault="006C6FF6" w:rsidP="00B43595">
                          <w:pPr>
                            <w:jc w:val="right"/>
                            <w:rPr>
                              <w:sz w:val="74"/>
                              <w:szCs w:val="74"/>
                            </w:rPr>
                          </w:pPr>
                        </w:p>
                        <w:p w14:paraId="563DBF08" w14:textId="77777777" w:rsidR="006C6FF6" w:rsidRDefault="006C6FF6" w:rsidP="00B43595"/>
                        <w:p w14:paraId="19D68A46"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6835647" w14:textId="77777777" w:rsidR="006C6FF6" w:rsidRPr="00A3353C" w:rsidRDefault="006C6FF6" w:rsidP="00B43595">
                          <w:pPr>
                            <w:jc w:val="right"/>
                            <w:rPr>
                              <w:sz w:val="74"/>
                              <w:szCs w:val="74"/>
                            </w:rPr>
                          </w:pPr>
                        </w:p>
                        <w:p w14:paraId="0791BA23" w14:textId="77777777" w:rsidR="006C6FF6" w:rsidRDefault="006C6FF6" w:rsidP="00B43595">
                          <w:pPr>
                            <w:jc w:val="right"/>
                          </w:pPr>
                        </w:p>
                        <w:p w14:paraId="7C9E8A1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9253341" w14:textId="77777777" w:rsidR="006C6FF6" w:rsidRPr="00A3353C" w:rsidRDefault="006C6FF6" w:rsidP="00B43595">
                          <w:pPr>
                            <w:jc w:val="right"/>
                            <w:rPr>
                              <w:sz w:val="74"/>
                              <w:szCs w:val="74"/>
                            </w:rPr>
                          </w:pPr>
                        </w:p>
                        <w:p w14:paraId="532C31C8" w14:textId="77777777" w:rsidR="006C6FF6" w:rsidRDefault="006C6FF6" w:rsidP="00B43595"/>
                        <w:p w14:paraId="617EB872"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576D1BE" w14:textId="77777777" w:rsidR="006C6FF6" w:rsidRPr="00A3353C" w:rsidRDefault="006C6FF6" w:rsidP="00B43595">
                          <w:pPr>
                            <w:jc w:val="right"/>
                            <w:rPr>
                              <w:sz w:val="74"/>
                              <w:szCs w:val="74"/>
                            </w:rPr>
                          </w:pPr>
                        </w:p>
                        <w:p w14:paraId="4A59482E" w14:textId="77777777" w:rsidR="006C6FF6" w:rsidRDefault="006C6FF6" w:rsidP="00B43595">
                          <w:pPr>
                            <w:jc w:val="right"/>
                          </w:pPr>
                        </w:p>
                        <w:p w14:paraId="5E32E49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178C441" w14:textId="77777777" w:rsidR="006C6FF6" w:rsidRPr="00A3353C" w:rsidRDefault="006C6FF6" w:rsidP="00B43595">
                          <w:pPr>
                            <w:jc w:val="right"/>
                            <w:rPr>
                              <w:sz w:val="74"/>
                              <w:szCs w:val="74"/>
                            </w:rPr>
                          </w:pPr>
                        </w:p>
                        <w:p w14:paraId="710DE96C" w14:textId="77777777" w:rsidR="006C6FF6" w:rsidRDefault="006C6FF6" w:rsidP="00B43595"/>
                        <w:p w14:paraId="3DC0BF1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66F635E" w14:textId="77777777" w:rsidR="006C6FF6" w:rsidRPr="00A3353C" w:rsidRDefault="006C6FF6" w:rsidP="00B43595">
                          <w:pPr>
                            <w:jc w:val="right"/>
                            <w:rPr>
                              <w:sz w:val="74"/>
                              <w:szCs w:val="74"/>
                            </w:rPr>
                          </w:pPr>
                        </w:p>
                        <w:p w14:paraId="1A43E5B7" w14:textId="77777777" w:rsidR="006C6FF6" w:rsidRDefault="006C6FF6" w:rsidP="00B43595">
                          <w:pPr>
                            <w:jc w:val="right"/>
                          </w:pPr>
                        </w:p>
                        <w:p w14:paraId="39D06BC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BC3AA61" w14:textId="77777777" w:rsidR="006C6FF6" w:rsidRPr="00A3353C" w:rsidRDefault="006C6FF6" w:rsidP="00B43595">
                          <w:pPr>
                            <w:jc w:val="right"/>
                            <w:rPr>
                              <w:sz w:val="74"/>
                              <w:szCs w:val="74"/>
                            </w:rPr>
                          </w:pPr>
                        </w:p>
                        <w:p w14:paraId="6C6C1318" w14:textId="77777777" w:rsidR="006C6FF6" w:rsidRDefault="006C6FF6" w:rsidP="00B43595"/>
                        <w:p w14:paraId="092560FB"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A0627F7" w14:textId="77777777" w:rsidR="006C6FF6" w:rsidRPr="00A3353C" w:rsidRDefault="006C6FF6" w:rsidP="00B43595">
                          <w:pPr>
                            <w:jc w:val="right"/>
                            <w:rPr>
                              <w:sz w:val="74"/>
                              <w:szCs w:val="74"/>
                            </w:rPr>
                          </w:pPr>
                        </w:p>
                        <w:p w14:paraId="59382411" w14:textId="77777777" w:rsidR="006C6FF6" w:rsidRDefault="006C6FF6" w:rsidP="00B43595">
                          <w:pPr>
                            <w:jc w:val="right"/>
                          </w:pPr>
                        </w:p>
                        <w:p w14:paraId="59CC8B66"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70C9F20" w14:textId="77777777" w:rsidR="006C6FF6" w:rsidRPr="00A3353C" w:rsidRDefault="006C6FF6" w:rsidP="00B43595">
                          <w:pPr>
                            <w:jc w:val="right"/>
                            <w:rPr>
                              <w:sz w:val="74"/>
                              <w:szCs w:val="74"/>
                            </w:rPr>
                          </w:pPr>
                        </w:p>
                        <w:p w14:paraId="5A4144A6" w14:textId="77777777" w:rsidR="006C6FF6" w:rsidRDefault="006C6FF6" w:rsidP="00B43595"/>
                        <w:p w14:paraId="14F36CB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99EB592" w14:textId="77777777" w:rsidR="006C6FF6" w:rsidRPr="00A3353C" w:rsidRDefault="006C6FF6" w:rsidP="00B43595">
                          <w:pPr>
                            <w:jc w:val="right"/>
                            <w:rPr>
                              <w:sz w:val="74"/>
                              <w:szCs w:val="74"/>
                            </w:rPr>
                          </w:pPr>
                        </w:p>
                        <w:p w14:paraId="38A87D01" w14:textId="77777777" w:rsidR="006C6FF6" w:rsidRDefault="006C6FF6" w:rsidP="00B43595">
                          <w:pPr>
                            <w:jc w:val="right"/>
                          </w:pPr>
                        </w:p>
                        <w:p w14:paraId="32D05679"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7D9221E4" w14:textId="77777777" w:rsidR="006C6FF6" w:rsidRDefault="006C6FF6" w:rsidP="00B43595"/>
                        <w:p w14:paraId="6A2B2209" w14:textId="77777777" w:rsidR="006C6FF6" w:rsidRDefault="006C6FF6" w:rsidP="00B43595"/>
                        <w:p w14:paraId="13C5970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E3EABC6" w14:textId="77777777" w:rsidR="006C6FF6" w:rsidRPr="00A3353C" w:rsidRDefault="006C6FF6" w:rsidP="00B43595">
                          <w:pPr>
                            <w:jc w:val="right"/>
                            <w:rPr>
                              <w:sz w:val="74"/>
                              <w:szCs w:val="74"/>
                            </w:rPr>
                          </w:pPr>
                        </w:p>
                        <w:p w14:paraId="65509D6C" w14:textId="77777777" w:rsidR="006C6FF6" w:rsidRDefault="006C6FF6" w:rsidP="00B43595">
                          <w:pPr>
                            <w:jc w:val="right"/>
                          </w:pPr>
                        </w:p>
                        <w:p w14:paraId="60B437E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CD1D343" w14:textId="77777777" w:rsidR="006C6FF6" w:rsidRPr="00A3353C" w:rsidRDefault="006C6FF6" w:rsidP="00B43595">
                          <w:pPr>
                            <w:jc w:val="right"/>
                            <w:rPr>
                              <w:sz w:val="74"/>
                              <w:szCs w:val="74"/>
                            </w:rPr>
                          </w:pPr>
                        </w:p>
                        <w:p w14:paraId="18A2A794" w14:textId="77777777" w:rsidR="006C6FF6" w:rsidRDefault="006C6FF6" w:rsidP="00B43595"/>
                        <w:p w14:paraId="3303A48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DCB4E4C" w14:textId="77777777" w:rsidR="006C6FF6" w:rsidRPr="00A3353C" w:rsidRDefault="006C6FF6" w:rsidP="00B43595">
                          <w:pPr>
                            <w:jc w:val="right"/>
                            <w:rPr>
                              <w:sz w:val="74"/>
                              <w:szCs w:val="74"/>
                            </w:rPr>
                          </w:pPr>
                        </w:p>
                        <w:p w14:paraId="6B877420" w14:textId="77777777" w:rsidR="006C6FF6" w:rsidRDefault="006C6FF6" w:rsidP="00B43595">
                          <w:pPr>
                            <w:jc w:val="right"/>
                          </w:pPr>
                        </w:p>
                        <w:p w14:paraId="467EEA82"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0DF752DF" w14:textId="77777777" w:rsidR="006C6FF6" w:rsidRDefault="006C6FF6" w:rsidP="00B43595"/>
                        <w:p w14:paraId="64330017" w14:textId="77777777" w:rsidR="006C6FF6" w:rsidRDefault="006C6FF6" w:rsidP="00B43595"/>
                        <w:p w14:paraId="13974C59"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E58AB94" w14:textId="77777777" w:rsidR="006C6FF6" w:rsidRPr="00A3353C" w:rsidRDefault="006C6FF6" w:rsidP="00B43595">
                          <w:pPr>
                            <w:jc w:val="right"/>
                            <w:rPr>
                              <w:sz w:val="74"/>
                              <w:szCs w:val="74"/>
                            </w:rPr>
                          </w:pPr>
                        </w:p>
                        <w:p w14:paraId="1ABB1DEA" w14:textId="77777777" w:rsidR="006C6FF6" w:rsidRDefault="006C6FF6" w:rsidP="00B43595">
                          <w:pPr>
                            <w:jc w:val="right"/>
                          </w:pPr>
                        </w:p>
                        <w:p w14:paraId="177768FC"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B035041" w14:textId="77777777" w:rsidR="006C6FF6" w:rsidRPr="00A3353C" w:rsidRDefault="006C6FF6" w:rsidP="00B43595">
                          <w:pPr>
                            <w:jc w:val="right"/>
                            <w:rPr>
                              <w:sz w:val="74"/>
                              <w:szCs w:val="74"/>
                            </w:rPr>
                          </w:pPr>
                        </w:p>
                        <w:p w14:paraId="292ABD1C" w14:textId="77777777" w:rsidR="006C6FF6" w:rsidRDefault="006C6FF6" w:rsidP="00B43595"/>
                        <w:p w14:paraId="67A5996F"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6FC355A" w14:textId="77777777" w:rsidR="006C6FF6" w:rsidRPr="00A3353C" w:rsidRDefault="006C6FF6" w:rsidP="00B43595">
                          <w:pPr>
                            <w:jc w:val="right"/>
                            <w:rPr>
                              <w:sz w:val="74"/>
                              <w:szCs w:val="74"/>
                            </w:rPr>
                          </w:pPr>
                        </w:p>
                        <w:p w14:paraId="2497AB78" w14:textId="77777777" w:rsidR="006C6FF6" w:rsidRDefault="006C6FF6" w:rsidP="00B43595">
                          <w:pPr>
                            <w:jc w:val="right"/>
                          </w:pPr>
                        </w:p>
                        <w:p w14:paraId="6999D20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D1BB35B" w14:textId="77777777" w:rsidR="006C6FF6" w:rsidRPr="00A3353C" w:rsidRDefault="006C6FF6" w:rsidP="00B43595">
                          <w:pPr>
                            <w:jc w:val="right"/>
                            <w:rPr>
                              <w:sz w:val="74"/>
                              <w:szCs w:val="74"/>
                            </w:rPr>
                          </w:pPr>
                        </w:p>
                        <w:p w14:paraId="3ABC8F36" w14:textId="77777777" w:rsidR="006C6FF6" w:rsidRDefault="006C6FF6" w:rsidP="00B43595"/>
                        <w:p w14:paraId="6ECEECB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35B5FF4" w14:textId="77777777" w:rsidR="006C6FF6" w:rsidRPr="00A3353C" w:rsidRDefault="006C6FF6" w:rsidP="00B43595">
                          <w:pPr>
                            <w:jc w:val="right"/>
                            <w:rPr>
                              <w:sz w:val="74"/>
                              <w:szCs w:val="74"/>
                            </w:rPr>
                          </w:pPr>
                        </w:p>
                        <w:p w14:paraId="337CCDB6" w14:textId="77777777" w:rsidR="006C6FF6" w:rsidRDefault="006C6FF6" w:rsidP="00B43595">
                          <w:pPr>
                            <w:jc w:val="right"/>
                          </w:pPr>
                        </w:p>
                        <w:p w14:paraId="55EC9030"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F646FCE" w14:textId="77777777" w:rsidR="006C6FF6" w:rsidRPr="00A3353C" w:rsidRDefault="006C6FF6" w:rsidP="00B43595">
                          <w:pPr>
                            <w:jc w:val="right"/>
                            <w:rPr>
                              <w:sz w:val="74"/>
                              <w:szCs w:val="74"/>
                            </w:rPr>
                          </w:pPr>
                        </w:p>
                        <w:p w14:paraId="7B222107" w14:textId="77777777" w:rsidR="006C6FF6" w:rsidRDefault="006C6FF6" w:rsidP="00B43595"/>
                        <w:p w14:paraId="6759F8A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1A553A0" w14:textId="77777777" w:rsidR="006C6FF6" w:rsidRPr="00A3353C" w:rsidRDefault="006C6FF6" w:rsidP="00B43595">
                          <w:pPr>
                            <w:jc w:val="right"/>
                            <w:rPr>
                              <w:sz w:val="74"/>
                              <w:szCs w:val="74"/>
                            </w:rPr>
                          </w:pPr>
                        </w:p>
                        <w:p w14:paraId="3E85C7A3" w14:textId="77777777" w:rsidR="006C6FF6" w:rsidRDefault="006C6FF6" w:rsidP="00B43595">
                          <w:pPr>
                            <w:jc w:val="right"/>
                          </w:pPr>
                        </w:p>
                        <w:p w14:paraId="2D489FFE"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p w14:paraId="562EA82B" w14:textId="77777777" w:rsidR="006C6FF6" w:rsidRDefault="006C6FF6" w:rsidP="00B43595"/>
                        <w:p w14:paraId="56F64BBE" w14:textId="77777777" w:rsidR="006C6FF6" w:rsidRDefault="006C6FF6" w:rsidP="00B43595"/>
                        <w:p w14:paraId="41C494DC"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D8F97C9" w14:textId="77777777" w:rsidR="006C6FF6" w:rsidRPr="00A3353C" w:rsidRDefault="006C6FF6" w:rsidP="00B43595">
                          <w:pPr>
                            <w:jc w:val="right"/>
                            <w:rPr>
                              <w:sz w:val="74"/>
                              <w:szCs w:val="74"/>
                            </w:rPr>
                          </w:pPr>
                        </w:p>
                        <w:p w14:paraId="78BEC804" w14:textId="77777777" w:rsidR="006C6FF6" w:rsidRDefault="006C6FF6" w:rsidP="00B43595">
                          <w:pPr>
                            <w:jc w:val="right"/>
                          </w:pPr>
                        </w:p>
                        <w:p w14:paraId="4A0C450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3C0F5E2" w14:textId="77777777" w:rsidR="006C6FF6" w:rsidRPr="00A3353C" w:rsidRDefault="006C6FF6" w:rsidP="00B43595">
                          <w:pPr>
                            <w:jc w:val="right"/>
                            <w:rPr>
                              <w:sz w:val="74"/>
                              <w:szCs w:val="74"/>
                            </w:rPr>
                          </w:pPr>
                        </w:p>
                        <w:p w14:paraId="2CA5BEDD" w14:textId="77777777" w:rsidR="006C6FF6" w:rsidRDefault="006C6FF6" w:rsidP="00B43595"/>
                        <w:p w14:paraId="6D97DD0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6065C75" w14:textId="77777777" w:rsidR="006C6FF6" w:rsidRPr="00A3353C" w:rsidRDefault="006C6FF6" w:rsidP="00B43595">
                          <w:pPr>
                            <w:jc w:val="right"/>
                            <w:rPr>
                              <w:sz w:val="74"/>
                              <w:szCs w:val="74"/>
                            </w:rPr>
                          </w:pPr>
                        </w:p>
                        <w:p w14:paraId="6D15E053" w14:textId="77777777" w:rsidR="006C6FF6" w:rsidRDefault="006C6FF6" w:rsidP="00B43595">
                          <w:pPr>
                            <w:jc w:val="right"/>
                          </w:pPr>
                        </w:p>
                        <w:p w14:paraId="7B4BB8AD" w14:textId="77777777" w:rsidR="006C6FF6" w:rsidRPr="00812F22" w:rsidRDefault="006C6FF6" w:rsidP="00B43595">
                          <w:pPr>
                            <w:pStyle w:val="BodyText1"/>
                            <w:jc w:val="right"/>
                            <w:rPr>
                              <w:b/>
                              <w:color w:val="0E2841" w:themeColor="text2"/>
                              <w:sz w:val="36"/>
                              <w:szCs w:val="36"/>
                            </w:rPr>
                          </w:pPr>
                          <w:r w:rsidRPr="00682390">
                            <w:rPr>
                              <w:b/>
                              <w:color w:val="0E2841" w:themeColor="text2"/>
                              <w:sz w:val="40"/>
                              <w:szCs w:val="40"/>
                            </w:rPr>
                            <w:t>ԲՅՈՒՋԵՏԱՅԻՆ ՈՒՂԵՐՁ</w:t>
                          </w:r>
                          <w:r w:rsidRPr="00682390">
                            <w:rPr>
                              <w:b/>
                              <w:color w:val="0E2841" w:themeColor="text2"/>
                              <w:sz w:val="70"/>
                              <w:szCs w:val="70"/>
                            </w:rPr>
                            <w:t>2025 ԹՎԱԿԱՆԻ</w:t>
                          </w:r>
                          <w:r w:rsidRPr="00812F22">
                            <w:rPr>
                              <w:b/>
                              <w:color w:val="0E2841" w:themeColor="text2"/>
                              <w:sz w:val="36"/>
                              <w:szCs w:val="36"/>
                            </w:rPr>
                            <w:t>ՈՒՂԵՐՁ</w:t>
                          </w:r>
                          <w:r w:rsidRPr="00812F22">
                            <w:rPr>
                              <w:b/>
                              <w:color w:val="0E2841" w:themeColor="text2"/>
                              <w:sz w:val="36"/>
                              <w:szCs w:val="36"/>
                              <w:lang w:val="hy-AM"/>
                            </w:rPr>
                            <w:t>-ԲԱՑԱՏՐԱԳԻՐ</w:t>
                          </w:r>
                        </w:p>
                        <w:bookmarkEnd w:id="2"/>
                        <w:p w14:paraId="22F8ADAD" w14:textId="77777777" w:rsidR="006C6FF6" w:rsidRDefault="006C6FF6" w:rsidP="00B43595"/>
                      </w:txbxContent>
                    </v:textbox>
                    <w10:wrap anchorx="margin" anchory="margin"/>
                  </v:rect>
                </w:pict>
              </mc:Fallback>
            </mc:AlternateContent>
          </w:r>
          <w:r w:rsidRPr="000232DD">
            <w:rPr>
              <w:noProof/>
              <w:color w:val="auto"/>
            </w:rPr>
            <mc:AlternateContent>
              <mc:Choice Requires="wps">
                <w:drawing>
                  <wp:anchor distT="0" distB="0" distL="114300" distR="114300" simplePos="0" relativeHeight="251666432" behindDoc="0" locked="0" layoutInCell="1" allowOverlap="1" wp14:anchorId="74A1408D" wp14:editId="693644BA">
                    <wp:simplePos x="0" y="0"/>
                    <wp:positionH relativeFrom="margin">
                      <wp:posOffset>-9525</wp:posOffset>
                    </wp:positionH>
                    <wp:positionV relativeFrom="paragraph">
                      <wp:posOffset>3641725</wp:posOffset>
                    </wp:positionV>
                    <wp:extent cx="6572250" cy="914400"/>
                    <wp:effectExtent l="0" t="0" r="0" b="0"/>
                    <wp:wrapNone/>
                    <wp:docPr id="16120836" name="Text Box 16120836"/>
                    <wp:cNvGraphicFramePr/>
                    <a:graphic xmlns:a="http://schemas.openxmlformats.org/drawingml/2006/main">
                      <a:graphicData uri="http://schemas.microsoft.com/office/word/2010/wordprocessingShape">
                        <wps:wsp>
                          <wps:cNvSpPr txBox="1"/>
                          <wps:spPr>
                            <a:xfrm>
                              <a:off x="0" y="0"/>
                              <a:ext cx="6572250" cy="914400"/>
                            </a:xfrm>
                            <a:prstGeom prst="rect">
                              <a:avLst/>
                            </a:prstGeom>
                            <a:noFill/>
                            <a:ln w="6350">
                              <a:noFill/>
                            </a:ln>
                          </wps:spPr>
                          <wps:txbx>
                            <w:txbxContent>
                              <w:p w14:paraId="5486AF10" w14:textId="77777777" w:rsidR="006C6FF6" w:rsidRPr="00812F22" w:rsidRDefault="006C6FF6" w:rsidP="00B43595">
                                <w:pPr>
                                  <w:pStyle w:val="BodyText1"/>
                                  <w:jc w:val="right"/>
                                  <w:rPr>
                                    <w:b/>
                                    <w:color w:val="0E2841" w:themeColor="text2"/>
                                    <w:sz w:val="36"/>
                                    <w:szCs w:val="36"/>
                                  </w:rPr>
                                </w:pPr>
                                <w:bookmarkStart w:id="2" w:name="_Toc178604090"/>
                                <w:r>
                                  <w:rPr>
                                    <w:b/>
                                    <w:color w:val="0E2841" w:themeColor="text2"/>
                                    <w:sz w:val="36"/>
                                    <w:szCs w:val="36"/>
                                  </w:rPr>
                                  <w:t>2027</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DF6E77B" w14:textId="77777777" w:rsidR="006C6FF6" w:rsidRPr="00A3353C" w:rsidRDefault="006C6FF6" w:rsidP="00B43595">
                                <w:pPr>
                                  <w:jc w:val="right"/>
                                  <w:rPr>
                                    <w:sz w:val="74"/>
                                    <w:szCs w:val="74"/>
                                  </w:rPr>
                                </w:pPr>
                              </w:p>
                              <w:p w14:paraId="141B3E64" w14:textId="77777777" w:rsidR="006C6FF6" w:rsidRDefault="006C6FF6" w:rsidP="00B43595">
                                <w:pPr>
                                  <w:jc w:val="right"/>
                                </w:pPr>
                              </w:p>
                              <w:p w14:paraId="74353A9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915E93B" w14:textId="77777777" w:rsidR="006C6FF6" w:rsidRPr="00A3353C" w:rsidRDefault="006C6FF6" w:rsidP="00B43595">
                                <w:pPr>
                                  <w:jc w:val="right"/>
                                  <w:rPr>
                                    <w:sz w:val="74"/>
                                    <w:szCs w:val="74"/>
                                  </w:rPr>
                                </w:pPr>
                              </w:p>
                              <w:p w14:paraId="18A15AC5" w14:textId="77777777" w:rsidR="006C6FF6" w:rsidRDefault="006C6FF6" w:rsidP="00B43595"/>
                              <w:p w14:paraId="0124055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DEDC946" w14:textId="77777777" w:rsidR="006C6FF6" w:rsidRPr="00A3353C" w:rsidRDefault="006C6FF6" w:rsidP="00B43595">
                                <w:pPr>
                                  <w:jc w:val="right"/>
                                  <w:rPr>
                                    <w:sz w:val="74"/>
                                    <w:szCs w:val="74"/>
                                  </w:rPr>
                                </w:pPr>
                              </w:p>
                              <w:p w14:paraId="064F6723" w14:textId="77777777" w:rsidR="006C6FF6" w:rsidRDefault="006C6FF6" w:rsidP="00B43595">
                                <w:pPr>
                                  <w:jc w:val="right"/>
                                </w:pPr>
                              </w:p>
                              <w:p w14:paraId="2F346D74"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957B66A" w14:textId="77777777" w:rsidR="006C6FF6" w:rsidRPr="00A3353C" w:rsidRDefault="006C6FF6" w:rsidP="00B43595">
                                <w:pPr>
                                  <w:jc w:val="right"/>
                                  <w:rPr>
                                    <w:sz w:val="74"/>
                                    <w:szCs w:val="74"/>
                                  </w:rPr>
                                </w:pPr>
                              </w:p>
                              <w:p w14:paraId="04FDA7A0" w14:textId="77777777" w:rsidR="006C6FF6" w:rsidRDefault="006C6FF6" w:rsidP="00B43595"/>
                              <w:p w14:paraId="12145190"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089A9C6" w14:textId="77777777" w:rsidR="006C6FF6" w:rsidRPr="00A3353C" w:rsidRDefault="006C6FF6" w:rsidP="00B43595">
                                <w:pPr>
                                  <w:jc w:val="right"/>
                                  <w:rPr>
                                    <w:sz w:val="74"/>
                                    <w:szCs w:val="74"/>
                                  </w:rPr>
                                </w:pPr>
                              </w:p>
                              <w:p w14:paraId="2C42EE11" w14:textId="77777777" w:rsidR="006C6FF6" w:rsidRDefault="006C6FF6" w:rsidP="00B43595">
                                <w:pPr>
                                  <w:jc w:val="right"/>
                                </w:pPr>
                              </w:p>
                              <w:p w14:paraId="1EB3D38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3C785BC" w14:textId="77777777" w:rsidR="006C6FF6" w:rsidRPr="00A3353C" w:rsidRDefault="006C6FF6" w:rsidP="00B43595">
                                <w:pPr>
                                  <w:jc w:val="right"/>
                                  <w:rPr>
                                    <w:sz w:val="74"/>
                                    <w:szCs w:val="74"/>
                                  </w:rPr>
                                </w:pPr>
                              </w:p>
                              <w:p w14:paraId="4862825F" w14:textId="77777777" w:rsidR="006C6FF6" w:rsidRDefault="006C6FF6" w:rsidP="00B43595"/>
                              <w:p w14:paraId="063040C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4317945" w14:textId="77777777" w:rsidR="006C6FF6" w:rsidRPr="00A3353C" w:rsidRDefault="006C6FF6" w:rsidP="00B43595">
                                <w:pPr>
                                  <w:jc w:val="right"/>
                                  <w:rPr>
                                    <w:sz w:val="74"/>
                                    <w:szCs w:val="74"/>
                                  </w:rPr>
                                </w:pPr>
                              </w:p>
                              <w:p w14:paraId="79060C47" w14:textId="77777777" w:rsidR="006C6FF6" w:rsidRDefault="006C6FF6" w:rsidP="00B43595">
                                <w:pPr>
                                  <w:jc w:val="right"/>
                                </w:pPr>
                              </w:p>
                              <w:p w14:paraId="7811F32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3AB216C" w14:textId="77777777" w:rsidR="006C6FF6" w:rsidRPr="00A3353C" w:rsidRDefault="006C6FF6" w:rsidP="00B43595">
                                <w:pPr>
                                  <w:jc w:val="right"/>
                                  <w:rPr>
                                    <w:sz w:val="74"/>
                                    <w:szCs w:val="74"/>
                                  </w:rPr>
                                </w:pPr>
                              </w:p>
                              <w:p w14:paraId="372E13DC" w14:textId="77777777" w:rsidR="006C6FF6" w:rsidRDefault="006C6FF6" w:rsidP="00B43595"/>
                              <w:p w14:paraId="7DBCC0C6"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D3C74AC" w14:textId="77777777" w:rsidR="006C6FF6" w:rsidRPr="00A3353C" w:rsidRDefault="006C6FF6" w:rsidP="00B43595">
                                <w:pPr>
                                  <w:jc w:val="right"/>
                                  <w:rPr>
                                    <w:sz w:val="74"/>
                                    <w:szCs w:val="74"/>
                                  </w:rPr>
                                </w:pPr>
                              </w:p>
                              <w:p w14:paraId="2354D75B" w14:textId="77777777" w:rsidR="006C6FF6" w:rsidRDefault="006C6FF6" w:rsidP="00B43595">
                                <w:pPr>
                                  <w:jc w:val="right"/>
                                </w:pPr>
                              </w:p>
                              <w:p w14:paraId="08D694F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B1E0946" w14:textId="77777777" w:rsidR="006C6FF6" w:rsidRPr="00A3353C" w:rsidRDefault="006C6FF6" w:rsidP="00B43595">
                                <w:pPr>
                                  <w:jc w:val="right"/>
                                  <w:rPr>
                                    <w:sz w:val="74"/>
                                    <w:szCs w:val="74"/>
                                  </w:rPr>
                                </w:pPr>
                              </w:p>
                              <w:p w14:paraId="3A567CB9" w14:textId="77777777" w:rsidR="006C6FF6" w:rsidRDefault="006C6FF6" w:rsidP="00B43595"/>
                              <w:p w14:paraId="22FBAB30"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BE30C15" w14:textId="77777777" w:rsidR="006C6FF6" w:rsidRPr="00A3353C" w:rsidRDefault="006C6FF6" w:rsidP="00B43595">
                                <w:pPr>
                                  <w:jc w:val="right"/>
                                  <w:rPr>
                                    <w:sz w:val="74"/>
                                    <w:szCs w:val="74"/>
                                  </w:rPr>
                                </w:pPr>
                              </w:p>
                              <w:p w14:paraId="40534B95" w14:textId="77777777" w:rsidR="006C6FF6" w:rsidRDefault="006C6FF6" w:rsidP="00B43595">
                                <w:pPr>
                                  <w:jc w:val="right"/>
                                </w:pPr>
                              </w:p>
                              <w:p w14:paraId="568777A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6074546" w14:textId="77777777" w:rsidR="006C6FF6" w:rsidRPr="00A3353C" w:rsidRDefault="006C6FF6" w:rsidP="00B43595">
                                <w:pPr>
                                  <w:jc w:val="right"/>
                                  <w:rPr>
                                    <w:sz w:val="74"/>
                                    <w:szCs w:val="74"/>
                                  </w:rPr>
                                </w:pPr>
                              </w:p>
                              <w:p w14:paraId="7FF959F4" w14:textId="77777777" w:rsidR="006C6FF6" w:rsidRDefault="006C6FF6" w:rsidP="00B43595"/>
                              <w:p w14:paraId="1BFCE97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0945B02" w14:textId="77777777" w:rsidR="006C6FF6" w:rsidRPr="00A3353C" w:rsidRDefault="006C6FF6" w:rsidP="00B43595">
                                <w:pPr>
                                  <w:jc w:val="right"/>
                                  <w:rPr>
                                    <w:sz w:val="74"/>
                                    <w:szCs w:val="74"/>
                                  </w:rPr>
                                </w:pPr>
                              </w:p>
                              <w:p w14:paraId="66743617" w14:textId="77777777" w:rsidR="006C6FF6" w:rsidRDefault="006C6FF6" w:rsidP="00B43595">
                                <w:pPr>
                                  <w:jc w:val="right"/>
                                </w:pPr>
                              </w:p>
                              <w:p w14:paraId="134BEC72"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2BA8DF4" w14:textId="77777777" w:rsidR="006C6FF6" w:rsidRPr="00A3353C" w:rsidRDefault="006C6FF6" w:rsidP="00B43595">
                                <w:pPr>
                                  <w:jc w:val="right"/>
                                  <w:rPr>
                                    <w:sz w:val="74"/>
                                    <w:szCs w:val="74"/>
                                  </w:rPr>
                                </w:pPr>
                              </w:p>
                              <w:p w14:paraId="29E4C0DA" w14:textId="77777777" w:rsidR="006C6FF6" w:rsidRDefault="006C6FF6" w:rsidP="00B43595"/>
                              <w:p w14:paraId="47C744A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2A1DC97" w14:textId="77777777" w:rsidR="006C6FF6" w:rsidRPr="00A3353C" w:rsidRDefault="006C6FF6" w:rsidP="00B43595">
                                <w:pPr>
                                  <w:jc w:val="right"/>
                                  <w:rPr>
                                    <w:sz w:val="74"/>
                                    <w:szCs w:val="74"/>
                                  </w:rPr>
                                </w:pPr>
                              </w:p>
                              <w:p w14:paraId="5698547C" w14:textId="77777777" w:rsidR="006C6FF6" w:rsidRDefault="006C6FF6" w:rsidP="00B43595">
                                <w:pPr>
                                  <w:jc w:val="right"/>
                                </w:pPr>
                              </w:p>
                              <w:p w14:paraId="2CEE0BC3"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3461533" w14:textId="77777777" w:rsidR="006C6FF6" w:rsidRPr="00A3353C" w:rsidRDefault="006C6FF6" w:rsidP="00B43595">
                                <w:pPr>
                                  <w:jc w:val="right"/>
                                  <w:rPr>
                                    <w:sz w:val="74"/>
                                    <w:szCs w:val="74"/>
                                  </w:rPr>
                                </w:pPr>
                              </w:p>
                              <w:p w14:paraId="72A82BCD" w14:textId="77777777" w:rsidR="006C6FF6" w:rsidRDefault="006C6FF6" w:rsidP="00B43595"/>
                              <w:p w14:paraId="38A5555A"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9C83D88" w14:textId="77777777" w:rsidR="006C6FF6" w:rsidRPr="00A3353C" w:rsidRDefault="006C6FF6" w:rsidP="00B43595">
                                <w:pPr>
                                  <w:jc w:val="right"/>
                                  <w:rPr>
                                    <w:sz w:val="74"/>
                                    <w:szCs w:val="74"/>
                                  </w:rPr>
                                </w:pPr>
                              </w:p>
                              <w:p w14:paraId="51ED4A18" w14:textId="77777777" w:rsidR="006C6FF6" w:rsidRDefault="006C6FF6" w:rsidP="00B43595">
                                <w:pPr>
                                  <w:jc w:val="right"/>
                                </w:pPr>
                              </w:p>
                              <w:p w14:paraId="174063B2"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C3D6980" w14:textId="77777777" w:rsidR="006C6FF6" w:rsidRPr="00A3353C" w:rsidRDefault="006C6FF6" w:rsidP="00B43595">
                                <w:pPr>
                                  <w:jc w:val="right"/>
                                  <w:rPr>
                                    <w:sz w:val="74"/>
                                    <w:szCs w:val="74"/>
                                  </w:rPr>
                                </w:pPr>
                              </w:p>
                              <w:p w14:paraId="7B051210" w14:textId="77777777" w:rsidR="006C6FF6" w:rsidRDefault="006C6FF6" w:rsidP="00B43595"/>
                              <w:p w14:paraId="0C92E35B"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A28D121" w14:textId="77777777" w:rsidR="006C6FF6" w:rsidRPr="00A3353C" w:rsidRDefault="006C6FF6" w:rsidP="00B43595">
                                <w:pPr>
                                  <w:jc w:val="right"/>
                                  <w:rPr>
                                    <w:sz w:val="74"/>
                                    <w:szCs w:val="74"/>
                                  </w:rPr>
                                </w:pPr>
                              </w:p>
                              <w:p w14:paraId="0AEBCC3D" w14:textId="77777777" w:rsidR="006C6FF6" w:rsidRDefault="006C6FF6" w:rsidP="00B43595">
                                <w:pPr>
                                  <w:jc w:val="right"/>
                                </w:pPr>
                              </w:p>
                              <w:p w14:paraId="1306ED5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BCC10C1" w14:textId="77777777" w:rsidR="006C6FF6" w:rsidRPr="00A3353C" w:rsidRDefault="006C6FF6" w:rsidP="00B43595">
                                <w:pPr>
                                  <w:jc w:val="right"/>
                                  <w:rPr>
                                    <w:sz w:val="74"/>
                                    <w:szCs w:val="74"/>
                                  </w:rPr>
                                </w:pPr>
                              </w:p>
                              <w:p w14:paraId="2EAB700A" w14:textId="77777777" w:rsidR="006C6FF6" w:rsidRDefault="006C6FF6" w:rsidP="00B43595"/>
                              <w:p w14:paraId="01F604C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62120C6" w14:textId="77777777" w:rsidR="006C6FF6" w:rsidRPr="00A3353C" w:rsidRDefault="006C6FF6" w:rsidP="00B43595">
                                <w:pPr>
                                  <w:jc w:val="right"/>
                                  <w:rPr>
                                    <w:sz w:val="74"/>
                                    <w:szCs w:val="74"/>
                                  </w:rPr>
                                </w:pPr>
                              </w:p>
                              <w:p w14:paraId="4FF342C5" w14:textId="77777777" w:rsidR="006C6FF6" w:rsidRDefault="006C6FF6" w:rsidP="00B43595">
                                <w:pPr>
                                  <w:jc w:val="right"/>
                                </w:pPr>
                              </w:p>
                              <w:p w14:paraId="42554D3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D7F3188" w14:textId="77777777" w:rsidR="006C6FF6" w:rsidRPr="00A3353C" w:rsidRDefault="006C6FF6" w:rsidP="00B43595">
                                <w:pPr>
                                  <w:jc w:val="right"/>
                                  <w:rPr>
                                    <w:sz w:val="74"/>
                                    <w:szCs w:val="74"/>
                                  </w:rPr>
                                </w:pPr>
                              </w:p>
                              <w:p w14:paraId="739C1B59" w14:textId="77777777" w:rsidR="006C6FF6" w:rsidRDefault="006C6FF6" w:rsidP="00B43595"/>
                              <w:p w14:paraId="46D2299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7920389" w14:textId="77777777" w:rsidR="006C6FF6" w:rsidRPr="00A3353C" w:rsidRDefault="006C6FF6" w:rsidP="00B43595">
                                <w:pPr>
                                  <w:jc w:val="right"/>
                                  <w:rPr>
                                    <w:sz w:val="74"/>
                                    <w:szCs w:val="74"/>
                                  </w:rPr>
                                </w:pPr>
                              </w:p>
                              <w:p w14:paraId="079E6069" w14:textId="77777777" w:rsidR="006C6FF6" w:rsidRDefault="006C6FF6" w:rsidP="00B43595">
                                <w:pPr>
                                  <w:jc w:val="right"/>
                                </w:pPr>
                              </w:p>
                              <w:p w14:paraId="61E5541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5D8D0AD" w14:textId="77777777" w:rsidR="006C6FF6" w:rsidRPr="00A3353C" w:rsidRDefault="006C6FF6" w:rsidP="00B43595">
                                <w:pPr>
                                  <w:jc w:val="right"/>
                                  <w:rPr>
                                    <w:sz w:val="74"/>
                                    <w:szCs w:val="74"/>
                                  </w:rPr>
                                </w:pPr>
                              </w:p>
                              <w:p w14:paraId="59CA4527" w14:textId="77777777" w:rsidR="006C6FF6" w:rsidRDefault="006C6FF6" w:rsidP="00B43595"/>
                              <w:p w14:paraId="3FCBCDDF"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8A5C2A6" w14:textId="77777777" w:rsidR="006C6FF6" w:rsidRPr="00A3353C" w:rsidRDefault="006C6FF6" w:rsidP="00B43595">
                                <w:pPr>
                                  <w:jc w:val="right"/>
                                  <w:rPr>
                                    <w:sz w:val="74"/>
                                    <w:szCs w:val="74"/>
                                  </w:rPr>
                                </w:pPr>
                              </w:p>
                              <w:p w14:paraId="5A291D97" w14:textId="77777777" w:rsidR="006C6FF6" w:rsidRDefault="006C6FF6" w:rsidP="00B43595">
                                <w:pPr>
                                  <w:jc w:val="right"/>
                                </w:pPr>
                              </w:p>
                              <w:p w14:paraId="7661080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37E4DD7" w14:textId="77777777" w:rsidR="006C6FF6" w:rsidRPr="00A3353C" w:rsidRDefault="006C6FF6" w:rsidP="00B43595">
                                <w:pPr>
                                  <w:jc w:val="right"/>
                                  <w:rPr>
                                    <w:sz w:val="74"/>
                                    <w:szCs w:val="74"/>
                                  </w:rPr>
                                </w:pPr>
                              </w:p>
                              <w:p w14:paraId="1F7CDB4B" w14:textId="77777777" w:rsidR="006C6FF6" w:rsidRDefault="006C6FF6" w:rsidP="00B43595"/>
                              <w:p w14:paraId="13F589D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DB5BC6B" w14:textId="77777777" w:rsidR="006C6FF6" w:rsidRPr="00A3353C" w:rsidRDefault="006C6FF6" w:rsidP="00B43595">
                                <w:pPr>
                                  <w:jc w:val="right"/>
                                  <w:rPr>
                                    <w:sz w:val="74"/>
                                    <w:szCs w:val="74"/>
                                  </w:rPr>
                                </w:pPr>
                              </w:p>
                              <w:p w14:paraId="500A415E" w14:textId="77777777" w:rsidR="006C6FF6" w:rsidRDefault="006C6FF6" w:rsidP="00B43595">
                                <w:pPr>
                                  <w:jc w:val="right"/>
                                </w:pPr>
                              </w:p>
                              <w:p w14:paraId="347A8D9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C96968C" w14:textId="77777777" w:rsidR="006C6FF6" w:rsidRPr="00A3353C" w:rsidRDefault="006C6FF6" w:rsidP="00B43595">
                                <w:pPr>
                                  <w:jc w:val="right"/>
                                  <w:rPr>
                                    <w:sz w:val="74"/>
                                    <w:szCs w:val="74"/>
                                  </w:rPr>
                                </w:pPr>
                              </w:p>
                              <w:p w14:paraId="181A57A5" w14:textId="77777777" w:rsidR="006C6FF6" w:rsidRDefault="006C6FF6" w:rsidP="00B43595"/>
                              <w:p w14:paraId="45A1262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241EF33" w14:textId="77777777" w:rsidR="006C6FF6" w:rsidRPr="00A3353C" w:rsidRDefault="006C6FF6" w:rsidP="00B43595">
                                <w:pPr>
                                  <w:jc w:val="right"/>
                                  <w:rPr>
                                    <w:sz w:val="74"/>
                                    <w:szCs w:val="74"/>
                                  </w:rPr>
                                </w:pPr>
                              </w:p>
                              <w:p w14:paraId="46825E7B" w14:textId="77777777" w:rsidR="006C6FF6" w:rsidRDefault="006C6FF6" w:rsidP="00B43595">
                                <w:pPr>
                                  <w:jc w:val="right"/>
                                </w:pPr>
                              </w:p>
                              <w:p w14:paraId="126F5E3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57D388B" w14:textId="77777777" w:rsidR="006C6FF6" w:rsidRPr="00A3353C" w:rsidRDefault="006C6FF6" w:rsidP="00B43595">
                                <w:pPr>
                                  <w:jc w:val="right"/>
                                  <w:rPr>
                                    <w:sz w:val="74"/>
                                    <w:szCs w:val="74"/>
                                  </w:rPr>
                                </w:pPr>
                              </w:p>
                              <w:p w14:paraId="3FEF15EC" w14:textId="77777777" w:rsidR="006C6FF6" w:rsidRDefault="006C6FF6" w:rsidP="00B43595"/>
                              <w:p w14:paraId="5228C80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18E0DA9" w14:textId="77777777" w:rsidR="006C6FF6" w:rsidRPr="00A3353C" w:rsidRDefault="006C6FF6" w:rsidP="00B43595">
                                <w:pPr>
                                  <w:jc w:val="right"/>
                                  <w:rPr>
                                    <w:sz w:val="74"/>
                                    <w:szCs w:val="74"/>
                                  </w:rPr>
                                </w:pPr>
                              </w:p>
                              <w:p w14:paraId="41AEB575" w14:textId="77777777" w:rsidR="006C6FF6" w:rsidRDefault="006C6FF6" w:rsidP="00B43595">
                                <w:pPr>
                                  <w:jc w:val="right"/>
                                </w:pPr>
                              </w:p>
                              <w:p w14:paraId="667411A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DD662A1" w14:textId="77777777" w:rsidR="006C6FF6" w:rsidRPr="00A3353C" w:rsidRDefault="006C6FF6" w:rsidP="00B43595">
                                <w:pPr>
                                  <w:jc w:val="right"/>
                                  <w:rPr>
                                    <w:sz w:val="74"/>
                                    <w:szCs w:val="74"/>
                                  </w:rPr>
                                </w:pPr>
                              </w:p>
                              <w:p w14:paraId="749272FB" w14:textId="77777777" w:rsidR="006C6FF6" w:rsidRDefault="006C6FF6" w:rsidP="00B43595"/>
                              <w:p w14:paraId="315205BD"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2B2F58F" w14:textId="77777777" w:rsidR="006C6FF6" w:rsidRPr="00A3353C" w:rsidRDefault="006C6FF6" w:rsidP="00B43595">
                                <w:pPr>
                                  <w:jc w:val="right"/>
                                  <w:rPr>
                                    <w:sz w:val="74"/>
                                    <w:szCs w:val="74"/>
                                  </w:rPr>
                                </w:pPr>
                              </w:p>
                              <w:p w14:paraId="168336E2" w14:textId="77777777" w:rsidR="006C6FF6" w:rsidRDefault="006C6FF6" w:rsidP="00B43595">
                                <w:pPr>
                                  <w:jc w:val="right"/>
                                </w:pPr>
                              </w:p>
                              <w:p w14:paraId="42DD3DF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C9EF99C" w14:textId="77777777" w:rsidR="006C6FF6" w:rsidRPr="00A3353C" w:rsidRDefault="006C6FF6" w:rsidP="00B43595">
                                <w:pPr>
                                  <w:jc w:val="right"/>
                                  <w:rPr>
                                    <w:sz w:val="74"/>
                                    <w:szCs w:val="74"/>
                                  </w:rPr>
                                </w:pPr>
                              </w:p>
                              <w:p w14:paraId="39DA9716" w14:textId="77777777" w:rsidR="006C6FF6" w:rsidRDefault="006C6FF6" w:rsidP="00B43595"/>
                              <w:p w14:paraId="11E2F06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A2E395F" w14:textId="77777777" w:rsidR="006C6FF6" w:rsidRPr="00A3353C" w:rsidRDefault="006C6FF6" w:rsidP="00B43595">
                                <w:pPr>
                                  <w:jc w:val="right"/>
                                  <w:rPr>
                                    <w:sz w:val="74"/>
                                    <w:szCs w:val="74"/>
                                  </w:rPr>
                                </w:pPr>
                              </w:p>
                              <w:p w14:paraId="6A5BDF0E" w14:textId="77777777" w:rsidR="006C6FF6" w:rsidRDefault="006C6FF6" w:rsidP="00B43595">
                                <w:pPr>
                                  <w:jc w:val="right"/>
                                </w:pPr>
                              </w:p>
                              <w:p w14:paraId="61890B5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18571C8" w14:textId="77777777" w:rsidR="006C6FF6" w:rsidRPr="00A3353C" w:rsidRDefault="006C6FF6" w:rsidP="00B43595">
                                <w:pPr>
                                  <w:jc w:val="right"/>
                                  <w:rPr>
                                    <w:sz w:val="74"/>
                                    <w:szCs w:val="74"/>
                                  </w:rPr>
                                </w:pPr>
                              </w:p>
                              <w:p w14:paraId="576AE9AF" w14:textId="77777777" w:rsidR="006C6FF6" w:rsidRDefault="006C6FF6" w:rsidP="00B43595"/>
                              <w:p w14:paraId="3B93CB3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FE80BB8" w14:textId="77777777" w:rsidR="006C6FF6" w:rsidRPr="00A3353C" w:rsidRDefault="006C6FF6" w:rsidP="00B43595">
                                <w:pPr>
                                  <w:jc w:val="right"/>
                                  <w:rPr>
                                    <w:sz w:val="74"/>
                                    <w:szCs w:val="74"/>
                                  </w:rPr>
                                </w:pPr>
                              </w:p>
                              <w:p w14:paraId="74166CA7" w14:textId="77777777" w:rsidR="006C6FF6" w:rsidRDefault="006C6FF6" w:rsidP="00B43595">
                                <w:pPr>
                                  <w:jc w:val="right"/>
                                </w:pPr>
                              </w:p>
                              <w:p w14:paraId="1B53489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513ACEE" w14:textId="77777777" w:rsidR="006C6FF6" w:rsidRPr="00A3353C" w:rsidRDefault="006C6FF6" w:rsidP="00B43595">
                                <w:pPr>
                                  <w:jc w:val="right"/>
                                  <w:rPr>
                                    <w:sz w:val="74"/>
                                    <w:szCs w:val="74"/>
                                  </w:rPr>
                                </w:pPr>
                              </w:p>
                              <w:p w14:paraId="3EDE0086" w14:textId="77777777" w:rsidR="006C6FF6" w:rsidRDefault="006C6FF6" w:rsidP="00B43595"/>
                              <w:p w14:paraId="65C6FB4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DA1E001" w14:textId="77777777" w:rsidR="006C6FF6" w:rsidRPr="00A3353C" w:rsidRDefault="006C6FF6" w:rsidP="00B43595">
                                <w:pPr>
                                  <w:jc w:val="right"/>
                                  <w:rPr>
                                    <w:sz w:val="74"/>
                                    <w:szCs w:val="74"/>
                                  </w:rPr>
                                </w:pPr>
                              </w:p>
                              <w:p w14:paraId="661B55B6" w14:textId="77777777" w:rsidR="006C6FF6" w:rsidRDefault="006C6FF6" w:rsidP="00B43595">
                                <w:pPr>
                                  <w:jc w:val="right"/>
                                </w:pPr>
                              </w:p>
                              <w:p w14:paraId="41B40EA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3A39103" w14:textId="77777777" w:rsidR="006C6FF6" w:rsidRPr="00A3353C" w:rsidRDefault="006C6FF6" w:rsidP="00B43595">
                                <w:pPr>
                                  <w:jc w:val="right"/>
                                  <w:rPr>
                                    <w:sz w:val="74"/>
                                    <w:szCs w:val="74"/>
                                  </w:rPr>
                                </w:pPr>
                              </w:p>
                              <w:p w14:paraId="24FEE03B" w14:textId="77777777" w:rsidR="006C6FF6" w:rsidRDefault="006C6FF6" w:rsidP="00B43595"/>
                              <w:p w14:paraId="60ECFD7D"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EC59E3D" w14:textId="77777777" w:rsidR="006C6FF6" w:rsidRPr="00A3353C" w:rsidRDefault="006C6FF6" w:rsidP="00B43595">
                                <w:pPr>
                                  <w:jc w:val="right"/>
                                  <w:rPr>
                                    <w:sz w:val="74"/>
                                    <w:szCs w:val="74"/>
                                  </w:rPr>
                                </w:pPr>
                              </w:p>
                              <w:p w14:paraId="7E5497B2" w14:textId="77777777" w:rsidR="006C6FF6" w:rsidRDefault="006C6FF6" w:rsidP="00B43595">
                                <w:pPr>
                                  <w:jc w:val="right"/>
                                </w:pPr>
                              </w:p>
                              <w:p w14:paraId="0E4C8C84"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9B75961" w14:textId="77777777" w:rsidR="006C6FF6" w:rsidRPr="00A3353C" w:rsidRDefault="006C6FF6" w:rsidP="00B43595">
                                <w:pPr>
                                  <w:jc w:val="right"/>
                                  <w:rPr>
                                    <w:sz w:val="74"/>
                                    <w:szCs w:val="74"/>
                                  </w:rPr>
                                </w:pPr>
                              </w:p>
                              <w:p w14:paraId="79ECA544" w14:textId="77777777" w:rsidR="006C6FF6" w:rsidRDefault="006C6FF6" w:rsidP="00B43595"/>
                              <w:p w14:paraId="068D296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07A0618" w14:textId="77777777" w:rsidR="006C6FF6" w:rsidRPr="00A3353C" w:rsidRDefault="006C6FF6" w:rsidP="00B43595">
                                <w:pPr>
                                  <w:jc w:val="right"/>
                                  <w:rPr>
                                    <w:sz w:val="74"/>
                                    <w:szCs w:val="74"/>
                                  </w:rPr>
                                </w:pPr>
                              </w:p>
                              <w:p w14:paraId="1448B0F8" w14:textId="77777777" w:rsidR="006C6FF6" w:rsidRDefault="006C6FF6" w:rsidP="00B43595">
                                <w:pPr>
                                  <w:jc w:val="right"/>
                                </w:pPr>
                              </w:p>
                              <w:p w14:paraId="43B9E373"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D5785F2" w14:textId="77777777" w:rsidR="006C6FF6" w:rsidRPr="00A3353C" w:rsidRDefault="006C6FF6" w:rsidP="00B43595">
                                <w:pPr>
                                  <w:jc w:val="right"/>
                                  <w:rPr>
                                    <w:sz w:val="74"/>
                                    <w:szCs w:val="74"/>
                                  </w:rPr>
                                </w:pPr>
                              </w:p>
                              <w:p w14:paraId="31BA8695" w14:textId="77777777" w:rsidR="006C6FF6" w:rsidRDefault="006C6FF6" w:rsidP="00B43595"/>
                              <w:p w14:paraId="5BC9CAA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77088A3" w14:textId="77777777" w:rsidR="006C6FF6" w:rsidRPr="00A3353C" w:rsidRDefault="006C6FF6" w:rsidP="00B43595">
                                <w:pPr>
                                  <w:jc w:val="right"/>
                                  <w:rPr>
                                    <w:sz w:val="74"/>
                                    <w:szCs w:val="74"/>
                                  </w:rPr>
                                </w:pPr>
                              </w:p>
                              <w:p w14:paraId="6336CDD9" w14:textId="77777777" w:rsidR="006C6FF6" w:rsidRDefault="006C6FF6" w:rsidP="00B43595">
                                <w:pPr>
                                  <w:jc w:val="right"/>
                                </w:pPr>
                              </w:p>
                              <w:p w14:paraId="4883E89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77F55EF" w14:textId="77777777" w:rsidR="006C6FF6" w:rsidRPr="00A3353C" w:rsidRDefault="006C6FF6" w:rsidP="00B43595">
                                <w:pPr>
                                  <w:jc w:val="right"/>
                                  <w:rPr>
                                    <w:sz w:val="74"/>
                                    <w:szCs w:val="74"/>
                                  </w:rPr>
                                </w:pPr>
                              </w:p>
                              <w:p w14:paraId="3B105A36" w14:textId="77777777" w:rsidR="006C6FF6" w:rsidRDefault="006C6FF6" w:rsidP="00B43595"/>
                              <w:p w14:paraId="7D619FC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53BB784" w14:textId="77777777" w:rsidR="006C6FF6" w:rsidRPr="00A3353C" w:rsidRDefault="006C6FF6" w:rsidP="00B43595">
                                <w:pPr>
                                  <w:jc w:val="right"/>
                                  <w:rPr>
                                    <w:sz w:val="74"/>
                                    <w:szCs w:val="74"/>
                                  </w:rPr>
                                </w:pPr>
                              </w:p>
                              <w:p w14:paraId="7EFC002B" w14:textId="77777777" w:rsidR="006C6FF6" w:rsidRDefault="006C6FF6" w:rsidP="00B43595">
                                <w:pPr>
                                  <w:jc w:val="right"/>
                                </w:pPr>
                              </w:p>
                              <w:p w14:paraId="249F5AD3"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06C0508" w14:textId="77777777" w:rsidR="006C6FF6" w:rsidRPr="00A3353C" w:rsidRDefault="006C6FF6" w:rsidP="00B43595">
                                <w:pPr>
                                  <w:jc w:val="right"/>
                                  <w:rPr>
                                    <w:sz w:val="74"/>
                                    <w:szCs w:val="74"/>
                                  </w:rPr>
                                </w:pPr>
                              </w:p>
                              <w:p w14:paraId="1B09B61C" w14:textId="77777777" w:rsidR="006C6FF6" w:rsidRDefault="006C6FF6" w:rsidP="00B43595"/>
                              <w:p w14:paraId="5E9C1E78"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649DAAE" w14:textId="77777777" w:rsidR="006C6FF6" w:rsidRPr="00A3353C" w:rsidRDefault="006C6FF6" w:rsidP="00B43595">
                                <w:pPr>
                                  <w:jc w:val="right"/>
                                  <w:rPr>
                                    <w:sz w:val="74"/>
                                    <w:szCs w:val="74"/>
                                  </w:rPr>
                                </w:pPr>
                              </w:p>
                              <w:p w14:paraId="7A570D10" w14:textId="77777777" w:rsidR="006C6FF6" w:rsidRDefault="006C6FF6" w:rsidP="00B43595">
                                <w:pPr>
                                  <w:jc w:val="right"/>
                                </w:pPr>
                              </w:p>
                              <w:p w14:paraId="789D266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FD84179" w14:textId="77777777" w:rsidR="006C6FF6" w:rsidRPr="00A3353C" w:rsidRDefault="006C6FF6" w:rsidP="00B43595">
                                <w:pPr>
                                  <w:jc w:val="right"/>
                                  <w:rPr>
                                    <w:sz w:val="74"/>
                                    <w:szCs w:val="74"/>
                                  </w:rPr>
                                </w:pPr>
                              </w:p>
                              <w:p w14:paraId="66548E01" w14:textId="77777777" w:rsidR="006C6FF6" w:rsidRDefault="006C6FF6" w:rsidP="00B43595"/>
                              <w:p w14:paraId="54D8AE6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7A790CB" w14:textId="77777777" w:rsidR="006C6FF6" w:rsidRPr="00A3353C" w:rsidRDefault="006C6FF6" w:rsidP="00B43595">
                                <w:pPr>
                                  <w:jc w:val="right"/>
                                  <w:rPr>
                                    <w:sz w:val="74"/>
                                    <w:szCs w:val="74"/>
                                  </w:rPr>
                                </w:pPr>
                              </w:p>
                              <w:p w14:paraId="126A7A64" w14:textId="77777777" w:rsidR="006C6FF6" w:rsidRDefault="006C6FF6" w:rsidP="00B43595">
                                <w:pPr>
                                  <w:jc w:val="right"/>
                                </w:pPr>
                              </w:p>
                              <w:p w14:paraId="19E5FC1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7059757" w14:textId="77777777" w:rsidR="006C6FF6" w:rsidRPr="00A3353C" w:rsidRDefault="006C6FF6" w:rsidP="00B43595">
                                <w:pPr>
                                  <w:jc w:val="right"/>
                                  <w:rPr>
                                    <w:sz w:val="74"/>
                                    <w:szCs w:val="74"/>
                                  </w:rPr>
                                </w:pPr>
                              </w:p>
                              <w:p w14:paraId="1C8B9DEE" w14:textId="77777777" w:rsidR="006C6FF6" w:rsidRDefault="006C6FF6" w:rsidP="00B43595"/>
                              <w:p w14:paraId="3336653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8D5B9D5" w14:textId="77777777" w:rsidR="006C6FF6" w:rsidRPr="00A3353C" w:rsidRDefault="006C6FF6" w:rsidP="00B43595">
                                <w:pPr>
                                  <w:jc w:val="right"/>
                                  <w:rPr>
                                    <w:sz w:val="74"/>
                                    <w:szCs w:val="74"/>
                                  </w:rPr>
                                </w:pPr>
                              </w:p>
                              <w:p w14:paraId="4A470BD3" w14:textId="77777777" w:rsidR="006C6FF6" w:rsidRDefault="006C6FF6" w:rsidP="00B43595">
                                <w:pPr>
                                  <w:jc w:val="right"/>
                                </w:pPr>
                              </w:p>
                              <w:p w14:paraId="229D89A0"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0B58F27" w14:textId="77777777" w:rsidR="006C6FF6" w:rsidRPr="00A3353C" w:rsidRDefault="006C6FF6" w:rsidP="00B43595">
                                <w:pPr>
                                  <w:jc w:val="right"/>
                                  <w:rPr>
                                    <w:sz w:val="74"/>
                                    <w:szCs w:val="74"/>
                                  </w:rPr>
                                </w:pPr>
                              </w:p>
                              <w:p w14:paraId="20417E59" w14:textId="77777777" w:rsidR="006C6FF6" w:rsidRDefault="006C6FF6" w:rsidP="00B43595"/>
                              <w:p w14:paraId="0B98D22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0C225DE" w14:textId="77777777" w:rsidR="006C6FF6" w:rsidRPr="00A3353C" w:rsidRDefault="006C6FF6" w:rsidP="00B43595">
                                <w:pPr>
                                  <w:jc w:val="right"/>
                                  <w:rPr>
                                    <w:sz w:val="74"/>
                                    <w:szCs w:val="74"/>
                                  </w:rPr>
                                </w:pPr>
                              </w:p>
                              <w:p w14:paraId="33335C03" w14:textId="77777777" w:rsidR="006C6FF6" w:rsidRDefault="006C6FF6" w:rsidP="00B43595">
                                <w:pPr>
                                  <w:jc w:val="right"/>
                                </w:pPr>
                              </w:p>
                              <w:p w14:paraId="545DB8E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A8C5FA3" w14:textId="77777777" w:rsidR="006C6FF6" w:rsidRPr="00A3353C" w:rsidRDefault="006C6FF6" w:rsidP="00B43595">
                                <w:pPr>
                                  <w:jc w:val="right"/>
                                  <w:rPr>
                                    <w:sz w:val="74"/>
                                    <w:szCs w:val="74"/>
                                  </w:rPr>
                                </w:pPr>
                              </w:p>
                              <w:p w14:paraId="663DB1DA" w14:textId="77777777" w:rsidR="006C6FF6" w:rsidRDefault="006C6FF6" w:rsidP="00B43595"/>
                              <w:p w14:paraId="67DCD687"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E1EED2F" w14:textId="77777777" w:rsidR="006C6FF6" w:rsidRPr="00A3353C" w:rsidRDefault="006C6FF6" w:rsidP="00B43595">
                                <w:pPr>
                                  <w:jc w:val="right"/>
                                  <w:rPr>
                                    <w:sz w:val="74"/>
                                    <w:szCs w:val="74"/>
                                  </w:rPr>
                                </w:pPr>
                              </w:p>
                              <w:p w14:paraId="237DEC62" w14:textId="77777777" w:rsidR="006C6FF6" w:rsidRDefault="006C6FF6" w:rsidP="00B43595">
                                <w:pPr>
                                  <w:jc w:val="right"/>
                                </w:pPr>
                              </w:p>
                              <w:p w14:paraId="30E229F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F6FE12F" w14:textId="77777777" w:rsidR="006C6FF6" w:rsidRPr="00A3353C" w:rsidRDefault="006C6FF6" w:rsidP="00B43595">
                                <w:pPr>
                                  <w:jc w:val="right"/>
                                  <w:rPr>
                                    <w:sz w:val="74"/>
                                    <w:szCs w:val="74"/>
                                  </w:rPr>
                                </w:pPr>
                              </w:p>
                              <w:p w14:paraId="321EB1B9" w14:textId="77777777" w:rsidR="006C6FF6" w:rsidRDefault="006C6FF6" w:rsidP="00B43595"/>
                              <w:p w14:paraId="5E94E48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1107646" w14:textId="77777777" w:rsidR="006C6FF6" w:rsidRPr="00A3353C" w:rsidRDefault="006C6FF6" w:rsidP="00B43595">
                                <w:pPr>
                                  <w:jc w:val="right"/>
                                  <w:rPr>
                                    <w:sz w:val="74"/>
                                    <w:szCs w:val="74"/>
                                  </w:rPr>
                                </w:pPr>
                              </w:p>
                              <w:p w14:paraId="3F9623BC" w14:textId="77777777" w:rsidR="006C6FF6" w:rsidRDefault="006C6FF6" w:rsidP="00B43595">
                                <w:pPr>
                                  <w:jc w:val="right"/>
                                </w:pPr>
                              </w:p>
                              <w:p w14:paraId="7DE5C7F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33686A2" w14:textId="77777777" w:rsidR="006C6FF6" w:rsidRPr="00A3353C" w:rsidRDefault="006C6FF6" w:rsidP="00B43595">
                                <w:pPr>
                                  <w:jc w:val="right"/>
                                  <w:rPr>
                                    <w:sz w:val="74"/>
                                    <w:szCs w:val="74"/>
                                  </w:rPr>
                                </w:pPr>
                              </w:p>
                              <w:p w14:paraId="0DD7DE94" w14:textId="77777777" w:rsidR="006C6FF6" w:rsidRDefault="006C6FF6" w:rsidP="00B43595"/>
                              <w:p w14:paraId="2D8292A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540138B" w14:textId="77777777" w:rsidR="006C6FF6" w:rsidRPr="00A3353C" w:rsidRDefault="006C6FF6" w:rsidP="00B43595">
                                <w:pPr>
                                  <w:jc w:val="right"/>
                                  <w:rPr>
                                    <w:sz w:val="74"/>
                                    <w:szCs w:val="74"/>
                                  </w:rPr>
                                </w:pPr>
                              </w:p>
                              <w:p w14:paraId="063A61F0" w14:textId="77777777" w:rsidR="006C6FF6" w:rsidRDefault="006C6FF6" w:rsidP="00B43595">
                                <w:pPr>
                                  <w:jc w:val="right"/>
                                </w:pPr>
                              </w:p>
                              <w:p w14:paraId="08CBEEA3"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28E8A68" w14:textId="77777777" w:rsidR="006C6FF6" w:rsidRPr="00A3353C" w:rsidRDefault="006C6FF6" w:rsidP="00B43595">
                                <w:pPr>
                                  <w:jc w:val="right"/>
                                  <w:rPr>
                                    <w:sz w:val="74"/>
                                    <w:szCs w:val="74"/>
                                  </w:rPr>
                                </w:pPr>
                              </w:p>
                              <w:p w14:paraId="01606B30" w14:textId="77777777" w:rsidR="006C6FF6" w:rsidRDefault="006C6FF6" w:rsidP="00B43595"/>
                              <w:p w14:paraId="6AFCB4C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BB013CD" w14:textId="77777777" w:rsidR="006C6FF6" w:rsidRPr="00A3353C" w:rsidRDefault="006C6FF6" w:rsidP="00B43595">
                                <w:pPr>
                                  <w:jc w:val="right"/>
                                  <w:rPr>
                                    <w:sz w:val="74"/>
                                    <w:szCs w:val="74"/>
                                  </w:rPr>
                                </w:pPr>
                              </w:p>
                              <w:p w14:paraId="2CF49F3A" w14:textId="77777777" w:rsidR="006C6FF6" w:rsidRDefault="006C6FF6" w:rsidP="00B43595">
                                <w:pPr>
                                  <w:jc w:val="right"/>
                                </w:pPr>
                              </w:p>
                              <w:p w14:paraId="3F8D425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2025 ԹՎԱԿԱՆԻ</w:t>
                                </w:r>
                                <w:bookmarkEnd w:id="2"/>
                                <w:r w:rsidRPr="00682390">
                                  <w:rPr>
                                    <w:b/>
                                    <w:color w:val="0E2841" w:themeColor="text2"/>
                                    <w:sz w:val="70"/>
                                    <w:szCs w:val="70"/>
                                  </w:rPr>
                                  <w:t xml:space="preserve"> </w:t>
                                </w:r>
                              </w:p>
                              <w:p w14:paraId="2938093C" w14:textId="77777777" w:rsidR="006C6FF6" w:rsidRPr="00A3353C" w:rsidRDefault="006C6FF6" w:rsidP="00B43595">
                                <w:pPr>
                                  <w:jc w:val="right"/>
                                  <w:rPr>
                                    <w:sz w:val="74"/>
                                    <w:szCs w:val="7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A1408D" id="_x0000_t202" coordsize="21600,21600" o:spt="202" path="m,l,21600r21600,l21600,xe">
                    <v:stroke joinstyle="miter"/>
                    <v:path gradientshapeok="t" o:connecttype="rect"/>
                  </v:shapetype>
                  <v:shape id="Text Box 16120836" o:spid="_x0000_s1028" type="#_x0000_t202" style="position:absolute;margin-left:-.75pt;margin-top:286.75pt;width:517.5pt;height:1in;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" filled="f" stroked="f" strokeweight=".5pt">
                    <v:textbox>
                      <w:txbxContent>
                        <w:p w14:paraId="5486AF10" w14:textId="77777777" w:rsidR="006C6FF6" w:rsidRPr="00812F22" w:rsidRDefault="006C6FF6" w:rsidP="00B43595">
                          <w:pPr>
                            <w:pStyle w:val="BodyText1"/>
                            <w:jc w:val="right"/>
                            <w:rPr>
                              <w:b/>
                              <w:color w:val="0E2841" w:themeColor="text2"/>
                              <w:sz w:val="36"/>
                              <w:szCs w:val="36"/>
                            </w:rPr>
                          </w:pPr>
                          <w:bookmarkStart w:id="4" w:name="_Toc178604090"/>
                          <w:r>
                            <w:rPr>
                              <w:b/>
                              <w:color w:val="0E2841" w:themeColor="text2"/>
                              <w:sz w:val="36"/>
                              <w:szCs w:val="36"/>
                            </w:rPr>
                            <w:t>2027</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DF6E77B" w14:textId="77777777" w:rsidR="006C6FF6" w:rsidRPr="00A3353C" w:rsidRDefault="006C6FF6" w:rsidP="00B43595">
                          <w:pPr>
                            <w:jc w:val="right"/>
                            <w:rPr>
                              <w:sz w:val="74"/>
                              <w:szCs w:val="74"/>
                            </w:rPr>
                          </w:pPr>
                        </w:p>
                        <w:p w14:paraId="141B3E64" w14:textId="77777777" w:rsidR="006C6FF6" w:rsidRDefault="006C6FF6" w:rsidP="00B43595">
                          <w:pPr>
                            <w:jc w:val="right"/>
                          </w:pPr>
                        </w:p>
                        <w:p w14:paraId="74353A9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915E93B" w14:textId="77777777" w:rsidR="006C6FF6" w:rsidRPr="00A3353C" w:rsidRDefault="006C6FF6" w:rsidP="00B43595">
                          <w:pPr>
                            <w:jc w:val="right"/>
                            <w:rPr>
                              <w:sz w:val="74"/>
                              <w:szCs w:val="74"/>
                            </w:rPr>
                          </w:pPr>
                        </w:p>
                        <w:p w14:paraId="18A15AC5" w14:textId="77777777" w:rsidR="006C6FF6" w:rsidRDefault="006C6FF6" w:rsidP="00B43595"/>
                        <w:p w14:paraId="0124055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DEDC946" w14:textId="77777777" w:rsidR="006C6FF6" w:rsidRPr="00A3353C" w:rsidRDefault="006C6FF6" w:rsidP="00B43595">
                          <w:pPr>
                            <w:jc w:val="right"/>
                            <w:rPr>
                              <w:sz w:val="74"/>
                              <w:szCs w:val="74"/>
                            </w:rPr>
                          </w:pPr>
                        </w:p>
                        <w:p w14:paraId="064F6723" w14:textId="77777777" w:rsidR="006C6FF6" w:rsidRDefault="006C6FF6" w:rsidP="00B43595">
                          <w:pPr>
                            <w:jc w:val="right"/>
                          </w:pPr>
                        </w:p>
                        <w:p w14:paraId="2F346D74"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957B66A" w14:textId="77777777" w:rsidR="006C6FF6" w:rsidRPr="00A3353C" w:rsidRDefault="006C6FF6" w:rsidP="00B43595">
                          <w:pPr>
                            <w:jc w:val="right"/>
                            <w:rPr>
                              <w:sz w:val="74"/>
                              <w:szCs w:val="74"/>
                            </w:rPr>
                          </w:pPr>
                        </w:p>
                        <w:p w14:paraId="04FDA7A0" w14:textId="77777777" w:rsidR="006C6FF6" w:rsidRDefault="006C6FF6" w:rsidP="00B43595"/>
                        <w:p w14:paraId="12145190"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089A9C6" w14:textId="77777777" w:rsidR="006C6FF6" w:rsidRPr="00A3353C" w:rsidRDefault="006C6FF6" w:rsidP="00B43595">
                          <w:pPr>
                            <w:jc w:val="right"/>
                            <w:rPr>
                              <w:sz w:val="74"/>
                              <w:szCs w:val="74"/>
                            </w:rPr>
                          </w:pPr>
                        </w:p>
                        <w:p w14:paraId="2C42EE11" w14:textId="77777777" w:rsidR="006C6FF6" w:rsidRDefault="006C6FF6" w:rsidP="00B43595">
                          <w:pPr>
                            <w:jc w:val="right"/>
                          </w:pPr>
                        </w:p>
                        <w:p w14:paraId="1EB3D38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3C785BC" w14:textId="77777777" w:rsidR="006C6FF6" w:rsidRPr="00A3353C" w:rsidRDefault="006C6FF6" w:rsidP="00B43595">
                          <w:pPr>
                            <w:jc w:val="right"/>
                            <w:rPr>
                              <w:sz w:val="74"/>
                              <w:szCs w:val="74"/>
                            </w:rPr>
                          </w:pPr>
                        </w:p>
                        <w:p w14:paraId="4862825F" w14:textId="77777777" w:rsidR="006C6FF6" w:rsidRDefault="006C6FF6" w:rsidP="00B43595"/>
                        <w:p w14:paraId="063040C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4317945" w14:textId="77777777" w:rsidR="006C6FF6" w:rsidRPr="00A3353C" w:rsidRDefault="006C6FF6" w:rsidP="00B43595">
                          <w:pPr>
                            <w:jc w:val="right"/>
                            <w:rPr>
                              <w:sz w:val="74"/>
                              <w:szCs w:val="74"/>
                            </w:rPr>
                          </w:pPr>
                        </w:p>
                        <w:p w14:paraId="79060C47" w14:textId="77777777" w:rsidR="006C6FF6" w:rsidRDefault="006C6FF6" w:rsidP="00B43595">
                          <w:pPr>
                            <w:jc w:val="right"/>
                          </w:pPr>
                        </w:p>
                        <w:p w14:paraId="7811F32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3AB216C" w14:textId="77777777" w:rsidR="006C6FF6" w:rsidRPr="00A3353C" w:rsidRDefault="006C6FF6" w:rsidP="00B43595">
                          <w:pPr>
                            <w:jc w:val="right"/>
                            <w:rPr>
                              <w:sz w:val="74"/>
                              <w:szCs w:val="74"/>
                            </w:rPr>
                          </w:pPr>
                        </w:p>
                        <w:p w14:paraId="372E13DC" w14:textId="77777777" w:rsidR="006C6FF6" w:rsidRDefault="006C6FF6" w:rsidP="00B43595"/>
                        <w:p w14:paraId="7DBCC0C6"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D3C74AC" w14:textId="77777777" w:rsidR="006C6FF6" w:rsidRPr="00A3353C" w:rsidRDefault="006C6FF6" w:rsidP="00B43595">
                          <w:pPr>
                            <w:jc w:val="right"/>
                            <w:rPr>
                              <w:sz w:val="74"/>
                              <w:szCs w:val="74"/>
                            </w:rPr>
                          </w:pPr>
                        </w:p>
                        <w:p w14:paraId="2354D75B" w14:textId="77777777" w:rsidR="006C6FF6" w:rsidRDefault="006C6FF6" w:rsidP="00B43595">
                          <w:pPr>
                            <w:jc w:val="right"/>
                          </w:pPr>
                        </w:p>
                        <w:p w14:paraId="08D694F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B1E0946" w14:textId="77777777" w:rsidR="006C6FF6" w:rsidRPr="00A3353C" w:rsidRDefault="006C6FF6" w:rsidP="00B43595">
                          <w:pPr>
                            <w:jc w:val="right"/>
                            <w:rPr>
                              <w:sz w:val="74"/>
                              <w:szCs w:val="74"/>
                            </w:rPr>
                          </w:pPr>
                        </w:p>
                        <w:p w14:paraId="3A567CB9" w14:textId="77777777" w:rsidR="006C6FF6" w:rsidRDefault="006C6FF6" w:rsidP="00B43595"/>
                        <w:p w14:paraId="22FBAB30"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BE30C15" w14:textId="77777777" w:rsidR="006C6FF6" w:rsidRPr="00A3353C" w:rsidRDefault="006C6FF6" w:rsidP="00B43595">
                          <w:pPr>
                            <w:jc w:val="right"/>
                            <w:rPr>
                              <w:sz w:val="74"/>
                              <w:szCs w:val="74"/>
                            </w:rPr>
                          </w:pPr>
                        </w:p>
                        <w:p w14:paraId="40534B95" w14:textId="77777777" w:rsidR="006C6FF6" w:rsidRDefault="006C6FF6" w:rsidP="00B43595">
                          <w:pPr>
                            <w:jc w:val="right"/>
                          </w:pPr>
                        </w:p>
                        <w:p w14:paraId="568777A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6074546" w14:textId="77777777" w:rsidR="006C6FF6" w:rsidRPr="00A3353C" w:rsidRDefault="006C6FF6" w:rsidP="00B43595">
                          <w:pPr>
                            <w:jc w:val="right"/>
                            <w:rPr>
                              <w:sz w:val="74"/>
                              <w:szCs w:val="74"/>
                            </w:rPr>
                          </w:pPr>
                        </w:p>
                        <w:p w14:paraId="7FF959F4" w14:textId="77777777" w:rsidR="006C6FF6" w:rsidRDefault="006C6FF6" w:rsidP="00B43595"/>
                        <w:p w14:paraId="1BFCE97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0945B02" w14:textId="77777777" w:rsidR="006C6FF6" w:rsidRPr="00A3353C" w:rsidRDefault="006C6FF6" w:rsidP="00B43595">
                          <w:pPr>
                            <w:jc w:val="right"/>
                            <w:rPr>
                              <w:sz w:val="74"/>
                              <w:szCs w:val="74"/>
                            </w:rPr>
                          </w:pPr>
                        </w:p>
                        <w:p w14:paraId="66743617" w14:textId="77777777" w:rsidR="006C6FF6" w:rsidRDefault="006C6FF6" w:rsidP="00B43595">
                          <w:pPr>
                            <w:jc w:val="right"/>
                          </w:pPr>
                        </w:p>
                        <w:p w14:paraId="134BEC72"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2BA8DF4" w14:textId="77777777" w:rsidR="006C6FF6" w:rsidRPr="00A3353C" w:rsidRDefault="006C6FF6" w:rsidP="00B43595">
                          <w:pPr>
                            <w:jc w:val="right"/>
                            <w:rPr>
                              <w:sz w:val="74"/>
                              <w:szCs w:val="74"/>
                            </w:rPr>
                          </w:pPr>
                        </w:p>
                        <w:p w14:paraId="29E4C0DA" w14:textId="77777777" w:rsidR="006C6FF6" w:rsidRDefault="006C6FF6" w:rsidP="00B43595"/>
                        <w:p w14:paraId="47C744A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2A1DC97" w14:textId="77777777" w:rsidR="006C6FF6" w:rsidRPr="00A3353C" w:rsidRDefault="006C6FF6" w:rsidP="00B43595">
                          <w:pPr>
                            <w:jc w:val="right"/>
                            <w:rPr>
                              <w:sz w:val="74"/>
                              <w:szCs w:val="74"/>
                            </w:rPr>
                          </w:pPr>
                        </w:p>
                        <w:p w14:paraId="5698547C" w14:textId="77777777" w:rsidR="006C6FF6" w:rsidRDefault="006C6FF6" w:rsidP="00B43595">
                          <w:pPr>
                            <w:jc w:val="right"/>
                          </w:pPr>
                        </w:p>
                        <w:p w14:paraId="2CEE0BC3"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3461533" w14:textId="77777777" w:rsidR="006C6FF6" w:rsidRPr="00A3353C" w:rsidRDefault="006C6FF6" w:rsidP="00B43595">
                          <w:pPr>
                            <w:jc w:val="right"/>
                            <w:rPr>
                              <w:sz w:val="74"/>
                              <w:szCs w:val="74"/>
                            </w:rPr>
                          </w:pPr>
                        </w:p>
                        <w:p w14:paraId="72A82BCD" w14:textId="77777777" w:rsidR="006C6FF6" w:rsidRDefault="006C6FF6" w:rsidP="00B43595"/>
                        <w:p w14:paraId="38A5555A"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9C83D88" w14:textId="77777777" w:rsidR="006C6FF6" w:rsidRPr="00A3353C" w:rsidRDefault="006C6FF6" w:rsidP="00B43595">
                          <w:pPr>
                            <w:jc w:val="right"/>
                            <w:rPr>
                              <w:sz w:val="74"/>
                              <w:szCs w:val="74"/>
                            </w:rPr>
                          </w:pPr>
                        </w:p>
                        <w:p w14:paraId="51ED4A18" w14:textId="77777777" w:rsidR="006C6FF6" w:rsidRDefault="006C6FF6" w:rsidP="00B43595">
                          <w:pPr>
                            <w:jc w:val="right"/>
                          </w:pPr>
                        </w:p>
                        <w:p w14:paraId="174063B2"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C3D6980" w14:textId="77777777" w:rsidR="006C6FF6" w:rsidRPr="00A3353C" w:rsidRDefault="006C6FF6" w:rsidP="00B43595">
                          <w:pPr>
                            <w:jc w:val="right"/>
                            <w:rPr>
                              <w:sz w:val="74"/>
                              <w:szCs w:val="74"/>
                            </w:rPr>
                          </w:pPr>
                        </w:p>
                        <w:p w14:paraId="7B051210" w14:textId="77777777" w:rsidR="006C6FF6" w:rsidRDefault="006C6FF6" w:rsidP="00B43595"/>
                        <w:p w14:paraId="0C92E35B"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A28D121" w14:textId="77777777" w:rsidR="006C6FF6" w:rsidRPr="00A3353C" w:rsidRDefault="006C6FF6" w:rsidP="00B43595">
                          <w:pPr>
                            <w:jc w:val="right"/>
                            <w:rPr>
                              <w:sz w:val="74"/>
                              <w:szCs w:val="74"/>
                            </w:rPr>
                          </w:pPr>
                        </w:p>
                        <w:p w14:paraId="0AEBCC3D" w14:textId="77777777" w:rsidR="006C6FF6" w:rsidRDefault="006C6FF6" w:rsidP="00B43595">
                          <w:pPr>
                            <w:jc w:val="right"/>
                          </w:pPr>
                        </w:p>
                        <w:p w14:paraId="1306ED58"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BCC10C1" w14:textId="77777777" w:rsidR="006C6FF6" w:rsidRPr="00A3353C" w:rsidRDefault="006C6FF6" w:rsidP="00B43595">
                          <w:pPr>
                            <w:jc w:val="right"/>
                            <w:rPr>
                              <w:sz w:val="74"/>
                              <w:szCs w:val="74"/>
                            </w:rPr>
                          </w:pPr>
                        </w:p>
                        <w:p w14:paraId="2EAB700A" w14:textId="77777777" w:rsidR="006C6FF6" w:rsidRDefault="006C6FF6" w:rsidP="00B43595"/>
                        <w:p w14:paraId="01F604C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62120C6" w14:textId="77777777" w:rsidR="006C6FF6" w:rsidRPr="00A3353C" w:rsidRDefault="006C6FF6" w:rsidP="00B43595">
                          <w:pPr>
                            <w:jc w:val="right"/>
                            <w:rPr>
                              <w:sz w:val="74"/>
                              <w:szCs w:val="74"/>
                            </w:rPr>
                          </w:pPr>
                        </w:p>
                        <w:p w14:paraId="4FF342C5" w14:textId="77777777" w:rsidR="006C6FF6" w:rsidRDefault="006C6FF6" w:rsidP="00B43595">
                          <w:pPr>
                            <w:jc w:val="right"/>
                          </w:pPr>
                        </w:p>
                        <w:p w14:paraId="42554D3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D7F3188" w14:textId="77777777" w:rsidR="006C6FF6" w:rsidRPr="00A3353C" w:rsidRDefault="006C6FF6" w:rsidP="00B43595">
                          <w:pPr>
                            <w:jc w:val="right"/>
                            <w:rPr>
                              <w:sz w:val="74"/>
                              <w:szCs w:val="74"/>
                            </w:rPr>
                          </w:pPr>
                        </w:p>
                        <w:p w14:paraId="739C1B59" w14:textId="77777777" w:rsidR="006C6FF6" w:rsidRDefault="006C6FF6" w:rsidP="00B43595"/>
                        <w:p w14:paraId="46D22995"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7920389" w14:textId="77777777" w:rsidR="006C6FF6" w:rsidRPr="00A3353C" w:rsidRDefault="006C6FF6" w:rsidP="00B43595">
                          <w:pPr>
                            <w:jc w:val="right"/>
                            <w:rPr>
                              <w:sz w:val="74"/>
                              <w:szCs w:val="74"/>
                            </w:rPr>
                          </w:pPr>
                        </w:p>
                        <w:p w14:paraId="079E6069" w14:textId="77777777" w:rsidR="006C6FF6" w:rsidRDefault="006C6FF6" w:rsidP="00B43595">
                          <w:pPr>
                            <w:jc w:val="right"/>
                          </w:pPr>
                        </w:p>
                        <w:p w14:paraId="61E5541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5D8D0AD" w14:textId="77777777" w:rsidR="006C6FF6" w:rsidRPr="00A3353C" w:rsidRDefault="006C6FF6" w:rsidP="00B43595">
                          <w:pPr>
                            <w:jc w:val="right"/>
                            <w:rPr>
                              <w:sz w:val="74"/>
                              <w:szCs w:val="74"/>
                            </w:rPr>
                          </w:pPr>
                        </w:p>
                        <w:p w14:paraId="59CA4527" w14:textId="77777777" w:rsidR="006C6FF6" w:rsidRDefault="006C6FF6" w:rsidP="00B43595"/>
                        <w:p w14:paraId="3FCBCDDF"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8A5C2A6" w14:textId="77777777" w:rsidR="006C6FF6" w:rsidRPr="00A3353C" w:rsidRDefault="006C6FF6" w:rsidP="00B43595">
                          <w:pPr>
                            <w:jc w:val="right"/>
                            <w:rPr>
                              <w:sz w:val="74"/>
                              <w:szCs w:val="74"/>
                            </w:rPr>
                          </w:pPr>
                        </w:p>
                        <w:p w14:paraId="5A291D97" w14:textId="77777777" w:rsidR="006C6FF6" w:rsidRDefault="006C6FF6" w:rsidP="00B43595">
                          <w:pPr>
                            <w:jc w:val="right"/>
                          </w:pPr>
                        </w:p>
                        <w:p w14:paraId="7661080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37E4DD7" w14:textId="77777777" w:rsidR="006C6FF6" w:rsidRPr="00A3353C" w:rsidRDefault="006C6FF6" w:rsidP="00B43595">
                          <w:pPr>
                            <w:jc w:val="right"/>
                            <w:rPr>
                              <w:sz w:val="74"/>
                              <w:szCs w:val="74"/>
                            </w:rPr>
                          </w:pPr>
                        </w:p>
                        <w:p w14:paraId="1F7CDB4B" w14:textId="77777777" w:rsidR="006C6FF6" w:rsidRDefault="006C6FF6" w:rsidP="00B43595"/>
                        <w:p w14:paraId="13F589D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DB5BC6B" w14:textId="77777777" w:rsidR="006C6FF6" w:rsidRPr="00A3353C" w:rsidRDefault="006C6FF6" w:rsidP="00B43595">
                          <w:pPr>
                            <w:jc w:val="right"/>
                            <w:rPr>
                              <w:sz w:val="74"/>
                              <w:szCs w:val="74"/>
                            </w:rPr>
                          </w:pPr>
                        </w:p>
                        <w:p w14:paraId="500A415E" w14:textId="77777777" w:rsidR="006C6FF6" w:rsidRDefault="006C6FF6" w:rsidP="00B43595">
                          <w:pPr>
                            <w:jc w:val="right"/>
                          </w:pPr>
                        </w:p>
                        <w:p w14:paraId="347A8D9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C96968C" w14:textId="77777777" w:rsidR="006C6FF6" w:rsidRPr="00A3353C" w:rsidRDefault="006C6FF6" w:rsidP="00B43595">
                          <w:pPr>
                            <w:jc w:val="right"/>
                            <w:rPr>
                              <w:sz w:val="74"/>
                              <w:szCs w:val="74"/>
                            </w:rPr>
                          </w:pPr>
                        </w:p>
                        <w:p w14:paraId="181A57A5" w14:textId="77777777" w:rsidR="006C6FF6" w:rsidRDefault="006C6FF6" w:rsidP="00B43595"/>
                        <w:p w14:paraId="45A1262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5241EF33" w14:textId="77777777" w:rsidR="006C6FF6" w:rsidRPr="00A3353C" w:rsidRDefault="006C6FF6" w:rsidP="00B43595">
                          <w:pPr>
                            <w:jc w:val="right"/>
                            <w:rPr>
                              <w:sz w:val="74"/>
                              <w:szCs w:val="74"/>
                            </w:rPr>
                          </w:pPr>
                        </w:p>
                        <w:p w14:paraId="46825E7B" w14:textId="77777777" w:rsidR="006C6FF6" w:rsidRDefault="006C6FF6" w:rsidP="00B43595">
                          <w:pPr>
                            <w:jc w:val="right"/>
                          </w:pPr>
                        </w:p>
                        <w:p w14:paraId="126F5E3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557D388B" w14:textId="77777777" w:rsidR="006C6FF6" w:rsidRPr="00A3353C" w:rsidRDefault="006C6FF6" w:rsidP="00B43595">
                          <w:pPr>
                            <w:jc w:val="right"/>
                            <w:rPr>
                              <w:sz w:val="74"/>
                              <w:szCs w:val="74"/>
                            </w:rPr>
                          </w:pPr>
                        </w:p>
                        <w:p w14:paraId="3FEF15EC" w14:textId="77777777" w:rsidR="006C6FF6" w:rsidRDefault="006C6FF6" w:rsidP="00B43595"/>
                        <w:p w14:paraId="5228C803"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18E0DA9" w14:textId="77777777" w:rsidR="006C6FF6" w:rsidRPr="00A3353C" w:rsidRDefault="006C6FF6" w:rsidP="00B43595">
                          <w:pPr>
                            <w:jc w:val="right"/>
                            <w:rPr>
                              <w:sz w:val="74"/>
                              <w:szCs w:val="74"/>
                            </w:rPr>
                          </w:pPr>
                        </w:p>
                        <w:p w14:paraId="41AEB575" w14:textId="77777777" w:rsidR="006C6FF6" w:rsidRDefault="006C6FF6" w:rsidP="00B43595">
                          <w:pPr>
                            <w:jc w:val="right"/>
                          </w:pPr>
                        </w:p>
                        <w:p w14:paraId="667411A9"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DD662A1" w14:textId="77777777" w:rsidR="006C6FF6" w:rsidRPr="00A3353C" w:rsidRDefault="006C6FF6" w:rsidP="00B43595">
                          <w:pPr>
                            <w:jc w:val="right"/>
                            <w:rPr>
                              <w:sz w:val="74"/>
                              <w:szCs w:val="74"/>
                            </w:rPr>
                          </w:pPr>
                        </w:p>
                        <w:p w14:paraId="749272FB" w14:textId="77777777" w:rsidR="006C6FF6" w:rsidRDefault="006C6FF6" w:rsidP="00B43595"/>
                        <w:p w14:paraId="315205BD"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32B2F58F" w14:textId="77777777" w:rsidR="006C6FF6" w:rsidRPr="00A3353C" w:rsidRDefault="006C6FF6" w:rsidP="00B43595">
                          <w:pPr>
                            <w:jc w:val="right"/>
                            <w:rPr>
                              <w:sz w:val="74"/>
                              <w:szCs w:val="74"/>
                            </w:rPr>
                          </w:pPr>
                        </w:p>
                        <w:p w14:paraId="168336E2" w14:textId="77777777" w:rsidR="006C6FF6" w:rsidRDefault="006C6FF6" w:rsidP="00B43595">
                          <w:pPr>
                            <w:jc w:val="right"/>
                          </w:pPr>
                        </w:p>
                        <w:p w14:paraId="42DD3DF7"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C9EF99C" w14:textId="77777777" w:rsidR="006C6FF6" w:rsidRPr="00A3353C" w:rsidRDefault="006C6FF6" w:rsidP="00B43595">
                          <w:pPr>
                            <w:jc w:val="right"/>
                            <w:rPr>
                              <w:sz w:val="74"/>
                              <w:szCs w:val="74"/>
                            </w:rPr>
                          </w:pPr>
                        </w:p>
                        <w:p w14:paraId="39DA9716" w14:textId="77777777" w:rsidR="006C6FF6" w:rsidRDefault="006C6FF6" w:rsidP="00B43595"/>
                        <w:p w14:paraId="11E2F06D"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A2E395F" w14:textId="77777777" w:rsidR="006C6FF6" w:rsidRPr="00A3353C" w:rsidRDefault="006C6FF6" w:rsidP="00B43595">
                          <w:pPr>
                            <w:jc w:val="right"/>
                            <w:rPr>
                              <w:sz w:val="74"/>
                              <w:szCs w:val="74"/>
                            </w:rPr>
                          </w:pPr>
                        </w:p>
                        <w:p w14:paraId="6A5BDF0E" w14:textId="77777777" w:rsidR="006C6FF6" w:rsidRDefault="006C6FF6" w:rsidP="00B43595">
                          <w:pPr>
                            <w:jc w:val="right"/>
                          </w:pPr>
                        </w:p>
                        <w:p w14:paraId="61890B5A"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18571C8" w14:textId="77777777" w:rsidR="006C6FF6" w:rsidRPr="00A3353C" w:rsidRDefault="006C6FF6" w:rsidP="00B43595">
                          <w:pPr>
                            <w:jc w:val="right"/>
                            <w:rPr>
                              <w:sz w:val="74"/>
                              <w:szCs w:val="74"/>
                            </w:rPr>
                          </w:pPr>
                        </w:p>
                        <w:p w14:paraId="576AE9AF" w14:textId="77777777" w:rsidR="006C6FF6" w:rsidRDefault="006C6FF6" w:rsidP="00B43595"/>
                        <w:p w14:paraId="3B93CB39"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FE80BB8" w14:textId="77777777" w:rsidR="006C6FF6" w:rsidRPr="00A3353C" w:rsidRDefault="006C6FF6" w:rsidP="00B43595">
                          <w:pPr>
                            <w:jc w:val="right"/>
                            <w:rPr>
                              <w:sz w:val="74"/>
                              <w:szCs w:val="74"/>
                            </w:rPr>
                          </w:pPr>
                        </w:p>
                        <w:p w14:paraId="74166CA7" w14:textId="77777777" w:rsidR="006C6FF6" w:rsidRDefault="006C6FF6" w:rsidP="00B43595">
                          <w:pPr>
                            <w:jc w:val="right"/>
                          </w:pPr>
                        </w:p>
                        <w:p w14:paraId="1B53489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513ACEE" w14:textId="77777777" w:rsidR="006C6FF6" w:rsidRPr="00A3353C" w:rsidRDefault="006C6FF6" w:rsidP="00B43595">
                          <w:pPr>
                            <w:jc w:val="right"/>
                            <w:rPr>
                              <w:sz w:val="74"/>
                              <w:szCs w:val="74"/>
                            </w:rPr>
                          </w:pPr>
                        </w:p>
                        <w:p w14:paraId="3EDE0086" w14:textId="77777777" w:rsidR="006C6FF6" w:rsidRDefault="006C6FF6" w:rsidP="00B43595"/>
                        <w:p w14:paraId="65C6FB41"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DA1E001" w14:textId="77777777" w:rsidR="006C6FF6" w:rsidRPr="00A3353C" w:rsidRDefault="006C6FF6" w:rsidP="00B43595">
                          <w:pPr>
                            <w:jc w:val="right"/>
                            <w:rPr>
                              <w:sz w:val="74"/>
                              <w:szCs w:val="74"/>
                            </w:rPr>
                          </w:pPr>
                        </w:p>
                        <w:p w14:paraId="661B55B6" w14:textId="77777777" w:rsidR="006C6FF6" w:rsidRDefault="006C6FF6" w:rsidP="00B43595">
                          <w:pPr>
                            <w:jc w:val="right"/>
                          </w:pPr>
                        </w:p>
                        <w:p w14:paraId="41B40EA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3A39103" w14:textId="77777777" w:rsidR="006C6FF6" w:rsidRPr="00A3353C" w:rsidRDefault="006C6FF6" w:rsidP="00B43595">
                          <w:pPr>
                            <w:jc w:val="right"/>
                            <w:rPr>
                              <w:sz w:val="74"/>
                              <w:szCs w:val="74"/>
                            </w:rPr>
                          </w:pPr>
                        </w:p>
                        <w:p w14:paraId="24FEE03B" w14:textId="77777777" w:rsidR="006C6FF6" w:rsidRDefault="006C6FF6" w:rsidP="00B43595"/>
                        <w:p w14:paraId="60ECFD7D"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EC59E3D" w14:textId="77777777" w:rsidR="006C6FF6" w:rsidRPr="00A3353C" w:rsidRDefault="006C6FF6" w:rsidP="00B43595">
                          <w:pPr>
                            <w:jc w:val="right"/>
                            <w:rPr>
                              <w:sz w:val="74"/>
                              <w:szCs w:val="74"/>
                            </w:rPr>
                          </w:pPr>
                        </w:p>
                        <w:p w14:paraId="7E5497B2" w14:textId="77777777" w:rsidR="006C6FF6" w:rsidRDefault="006C6FF6" w:rsidP="00B43595">
                          <w:pPr>
                            <w:jc w:val="right"/>
                          </w:pPr>
                        </w:p>
                        <w:p w14:paraId="0E4C8C84"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9B75961" w14:textId="77777777" w:rsidR="006C6FF6" w:rsidRPr="00A3353C" w:rsidRDefault="006C6FF6" w:rsidP="00B43595">
                          <w:pPr>
                            <w:jc w:val="right"/>
                            <w:rPr>
                              <w:sz w:val="74"/>
                              <w:szCs w:val="74"/>
                            </w:rPr>
                          </w:pPr>
                        </w:p>
                        <w:p w14:paraId="79ECA544" w14:textId="77777777" w:rsidR="006C6FF6" w:rsidRDefault="006C6FF6" w:rsidP="00B43595"/>
                        <w:p w14:paraId="068D296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07A0618" w14:textId="77777777" w:rsidR="006C6FF6" w:rsidRPr="00A3353C" w:rsidRDefault="006C6FF6" w:rsidP="00B43595">
                          <w:pPr>
                            <w:jc w:val="right"/>
                            <w:rPr>
                              <w:sz w:val="74"/>
                              <w:szCs w:val="74"/>
                            </w:rPr>
                          </w:pPr>
                        </w:p>
                        <w:p w14:paraId="1448B0F8" w14:textId="77777777" w:rsidR="006C6FF6" w:rsidRDefault="006C6FF6" w:rsidP="00B43595">
                          <w:pPr>
                            <w:jc w:val="right"/>
                          </w:pPr>
                        </w:p>
                        <w:p w14:paraId="43B9E373"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4D5785F2" w14:textId="77777777" w:rsidR="006C6FF6" w:rsidRPr="00A3353C" w:rsidRDefault="006C6FF6" w:rsidP="00B43595">
                          <w:pPr>
                            <w:jc w:val="right"/>
                            <w:rPr>
                              <w:sz w:val="74"/>
                              <w:szCs w:val="74"/>
                            </w:rPr>
                          </w:pPr>
                        </w:p>
                        <w:p w14:paraId="31BA8695" w14:textId="77777777" w:rsidR="006C6FF6" w:rsidRDefault="006C6FF6" w:rsidP="00B43595"/>
                        <w:p w14:paraId="5BC9CAA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677088A3" w14:textId="77777777" w:rsidR="006C6FF6" w:rsidRPr="00A3353C" w:rsidRDefault="006C6FF6" w:rsidP="00B43595">
                          <w:pPr>
                            <w:jc w:val="right"/>
                            <w:rPr>
                              <w:sz w:val="74"/>
                              <w:szCs w:val="74"/>
                            </w:rPr>
                          </w:pPr>
                        </w:p>
                        <w:p w14:paraId="6336CDD9" w14:textId="77777777" w:rsidR="006C6FF6" w:rsidRDefault="006C6FF6" w:rsidP="00B43595">
                          <w:pPr>
                            <w:jc w:val="right"/>
                          </w:pPr>
                        </w:p>
                        <w:p w14:paraId="4883E89B"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077F55EF" w14:textId="77777777" w:rsidR="006C6FF6" w:rsidRPr="00A3353C" w:rsidRDefault="006C6FF6" w:rsidP="00B43595">
                          <w:pPr>
                            <w:jc w:val="right"/>
                            <w:rPr>
                              <w:sz w:val="74"/>
                              <w:szCs w:val="74"/>
                            </w:rPr>
                          </w:pPr>
                        </w:p>
                        <w:p w14:paraId="3B105A36" w14:textId="77777777" w:rsidR="006C6FF6" w:rsidRDefault="006C6FF6" w:rsidP="00B43595"/>
                        <w:p w14:paraId="7D619FC8"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53BB784" w14:textId="77777777" w:rsidR="006C6FF6" w:rsidRPr="00A3353C" w:rsidRDefault="006C6FF6" w:rsidP="00B43595">
                          <w:pPr>
                            <w:jc w:val="right"/>
                            <w:rPr>
                              <w:sz w:val="74"/>
                              <w:szCs w:val="74"/>
                            </w:rPr>
                          </w:pPr>
                        </w:p>
                        <w:p w14:paraId="7EFC002B" w14:textId="77777777" w:rsidR="006C6FF6" w:rsidRDefault="006C6FF6" w:rsidP="00B43595">
                          <w:pPr>
                            <w:jc w:val="right"/>
                          </w:pPr>
                        </w:p>
                        <w:p w14:paraId="249F5AD3"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06C0508" w14:textId="77777777" w:rsidR="006C6FF6" w:rsidRPr="00A3353C" w:rsidRDefault="006C6FF6" w:rsidP="00B43595">
                          <w:pPr>
                            <w:jc w:val="right"/>
                            <w:rPr>
                              <w:sz w:val="74"/>
                              <w:szCs w:val="74"/>
                            </w:rPr>
                          </w:pPr>
                        </w:p>
                        <w:p w14:paraId="1B09B61C" w14:textId="77777777" w:rsidR="006C6FF6" w:rsidRDefault="006C6FF6" w:rsidP="00B43595"/>
                        <w:p w14:paraId="5E9C1E78"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2649DAAE" w14:textId="77777777" w:rsidR="006C6FF6" w:rsidRPr="00A3353C" w:rsidRDefault="006C6FF6" w:rsidP="00B43595">
                          <w:pPr>
                            <w:jc w:val="right"/>
                            <w:rPr>
                              <w:sz w:val="74"/>
                              <w:szCs w:val="74"/>
                            </w:rPr>
                          </w:pPr>
                        </w:p>
                        <w:p w14:paraId="7A570D10" w14:textId="77777777" w:rsidR="006C6FF6" w:rsidRDefault="006C6FF6" w:rsidP="00B43595">
                          <w:pPr>
                            <w:jc w:val="right"/>
                          </w:pPr>
                        </w:p>
                        <w:p w14:paraId="789D266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3FD84179" w14:textId="77777777" w:rsidR="006C6FF6" w:rsidRPr="00A3353C" w:rsidRDefault="006C6FF6" w:rsidP="00B43595">
                          <w:pPr>
                            <w:jc w:val="right"/>
                            <w:rPr>
                              <w:sz w:val="74"/>
                              <w:szCs w:val="74"/>
                            </w:rPr>
                          </w:pPr>
                        </w:p>
                        <w:p w14:paraId="66548E01" w14:textId="77777777" w:rsidR="006C6FF6" w:rsidRDefault="006C6FF6" w:rsidP="00B43595"/>
                        <w:p w14:paraId="54D8AE6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7A790CB" w14:textId="77777777" w:rsidR="006C6FF6" w:rsidRPr="00A3353C" w:rsidRDefault="006C6FF6" w:rsidP="00B43595">
                          <w:pPr>
                            <w:jc w:val="right"/>
                            <w:rPr>
                              <w:sz w:val="74"/>
                              <w:szCs w:val="74"/>
                            </w:rPr>
                          </w:pPr>
                        </w:p>
                        <w:p w14:paraId="126A7A64" w14:textId="77777777" w:rsidR="006C6FF6" w:rsidRDefault="006C6FF6" w:rsidP="00B43595">
                          <w:pPr>
                            <w:jc w:val="right"/>
                          </w:pPr>
                        </w:p>
                        <w:p w14:paraId="19E5FC1D"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7059757" w14:textId="77777777" w:rsidR="006C6FF6" w:rsidRPr="00A3353C" w:rsidRDefault="006C6FF6" w:rsidP="00B43595">
                          <w:pPr>
                            <w:jc w:val="right"/>
                            <w:rPr>
                              <w:sz w:val="74"/>
                              <w:szCs w:val="74"/>
                            </w:rPr>
                          </w:pPr>
                        </w:p>
                        <w:p w14:paraId="1C8B9DEE" w14:textId="77777777" w:rsidR="006C6FF6" w:rsidRDefault="006C6FF6" w:rsidP="00B43595"/>
                        <w:p w14:paraId="3336653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48D5B9D5" w14:textId="77777777" w:rsidR="006C6FF6" w:rsidRPr="00A3353C" w:rsidRDefault="006C6FF6" w:rsidP="00B43595">
                          <w:pPr>
                            <w:jc w:val="right"/>
                            <w:rPr>
                              <w:sz w:val="74"/>
                              <w:szCs w:val="74"/>
                            </w:rPr>
                          </w:pPr>
                        </w:p>
                        <w:p w14:paraId="4A470BD3" w14:textId="77777777" w:rsidR="006C6FF6" w:rsidRDefault="006C6FF6" w:rsidP="00B43595">
                          <w:pPr>
                            <w:jc w:val="right"/>
                          </w:pPr>
                        </w:p>
                        <w:p w14:paraId="229D89A0"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0B58F27" w14:textId="77777777" w:rsidR="006C6FF6" w:rsidRPr="00A3353C" w:rsidRDefault="006C6FF6" w:rsidP="00B43595">
                          <w:pPr>
                            <w:jc w:val="right"/>
                            <w:rPr>
                              <w:sz w:val="74"/>
                              <w:szCs w:val="74"/>
                            </w:rPr>
                          </w:pPr>
                        </w:p>
                        <w:p w14:paraId="20417E59" w14:textId="77777777" w:rsidR="006C6FF6" w:rsidRDefault="006C6FF6" w:rsidP="00B43595"/>
                        <w:p w14:paraId="0B98D22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0C225DE" w14:textId="77777777" w:rsidR="006C6FF6" w:rsidRPr="00A3353C" w:rsidRDefault="006C6FF6" w:rsidP="00B43595">
                          <w:pPr>
                            <w:jc w:val="right"/>
                            <w:rPr>
                              <w:sz w:val="74"/>
                              <w:szCs w:val="74"/>
                            </w:rPr>
                          </w:pPr>
                        </w:p>
                        <w:p w14:paraId="33335C03" w14:textId="77777777" w:rsidR="006C6FF6" w:rsidRDefault="006C6FF6" w:rsidP="00B43595">
                          <w:pPr>
                            <w:jc w:val="right"/>
                          </w:pPr>
                        </w:p>
                        <w:p w14:paraId="545DB8EE"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2A8C5FA3" w14:textId="77777777" w:rsidR="006C6FF6" w:rsidRPr="00A3353C" w:rsidRDefault="006C6FF6" w:rsidP="00B43595">
                          <w:pPr>
                            <w:jc w:val="right"/>
                            <w:rPr>
                              <w:sz w:val="74"/>
                              <w:szCs w:val="74"/>
                            </w:rPr>
                          </w:pPr>
                        </w:p>
                        <w:p w14:paraId="663DB1DA" w14:textId="77777777" w:rsidR="006C6FF6" w:rsidRDefault="006C6FF6" w:rsidP="00B43595"/>
                        <w:p w14:paraId="67DCD687" w14:textId="77777777" w:rsidR="006C6FF6" w:rsidRPr="00812F22" w:rsidRDefault="006C6FF6" w:rsidP="00B43595">
                          <w:pPr>
                            <w:pStyle w:val="BodyText1"/>
                            <w:jc w:val="right"/>
                            <w:rPr>
                              <w:b/>
                              <w:color w:val="0E2841" w:themeColor="text2"/>
                              <w:sz w:val="36"/>
                              <w:szCs w:val="36"/>
                            </w:rPr>
                          </w:pPr>
                          <w:r>
                            <w:rPr>
                              <w:b/>
                              <w:color w:val="0E2841" w:themeColor="text2"/>
                              <w:sz w:val="36"/>
                              <w:szCs w:val="36"/>
                            </w:rPr>
                            <w:t>2026</w:t>
                          </w:r>
                          <w:r w:rsidRPr="00812F22">
                            <w:rPr>
                              <w:b/>
                              <w:color w:val="0E2841" w:themeColor="text2"/>
                              <w:sz w:val="36"/>
                              <w:szCs w:val="36"/>
                            </w:rPr>
                            <w:t xml:space="preserve">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E1EED2F" w14:textId="77777777" w:rsidR="006C6FF6" w:rsidRPr="00A3353C" w:rsidRDefault="006C6FF6" w:rsidP="00B43595">
                          <w:pPr>
                            <w:jc w:val="right"/>
                            <w:rPr>
                              <w:sz w:val="74"/>
                              <w:szCs w:val="74"/>
                            </w:rPr>
                          </w:pPr>
                        </w:p>
                        <w:p w14:paraId="237DEC62" w14:textId="77777777" w:rsidR="006C6FF6" w:rsidRDefault="006C6FF6" w:rsidP="00B43595">
                          <w:pPr>
                            <w:jc w:val="right"/>
                          </w:pPr>
                        </w:p>
                        <w:p w14:paraId="30E229F1"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6F6FE12F" w14:textId="77777777" w:rsidR="006C6FF6" w:rsidRPr="00A3353C" w:rsidRDefault="006C6FF6" w:rsidP="00B43595">
                          <w:pPr>
                            <w:jc w:val="right"/>
                            <w:rPr>
                              <w:sz w:val="74"/>
                              <w:szCs w:val="74"/>
                            </w:rPr>
                          </w:pPr>
                        </w:p>
                        <w:p w14:paraId="321EB1B9" w14:textId="77777777" w:rsidR="006C6FF6" w:rsidRDefault="006C6FF6" w:rsidP="00B43595"/>
                        <w:p w14:paraId="5E94E48A"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11107646" w14:textId="77777777" w:rsidR="006C6FF6" w:rsidRPr="00A3353C" w:rsidRDefault="006C6FF6" w:rsidP="00B43595">
                          <w:pPr>
                            <w:jc w:val="right"/>
                            <w:rPr>
                              <w:sz w:val="74"/>
                              <w:szCs w:val="74"/>
                            </w:rPr>
                          </w:pPr>
                        </w:p>
                        <w:p w14:paraId="3F9623BC" w14:textId="77777777" w:rsidR="006C6FF6" w:rsidRDefault="006C6FF6" w:rsidP="00B43595">
                          <w:pPr>
                            <w:jc w:val="right"/>
                          </w:pPr>
                        </w:p>
                        <w:p w14:paraId="7DE5C7F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733686A2" w14:textId="77777777" w:rsidR="006C6FF6" w:rsidRPr="00A3353C" w:rsidRDefault="006C6FF6" w:rsidP="00B43595">
                          <w:pPr>
                            <w:jc w:val="right"/>
                            <w:rPr>
                              <w:sz w:val="74"/>
                              <w:szCs w:val="74"/>
                            </w:rPr>
                          </w:pPr>
                        </w:p>
                        <w:p w14:paraId="0DD7DE94" w14:textId="77777777" w:rsidR="006C6FF6" w:rsidRDefault="006C6FF6" w:rsidP="00B43595"/>
                        <w:p w14:paraId="2D8292A2"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0540138B" w14:textId="77777777" w:rsidR="006C6FF6" w:rsidRPr="00A3353C" w:rsidRDefault="006C6FF6" w:rsidP="00B43595">
                          <w:pPr>
                            <w:jc w:val="right"/>
                            <w:rPr>
                              <w:sz w:val="74"/>
                              <w:szCs w:val="74"/>
                            </w:rPr>
                          </w:pPr>
                        </w:p>
                        <w:p w14:paraId="063A61F0" w14:textId="77777777" w:rsidR="006C6FF6" w:rsidRDefault="006C6FF6" w:rsidP="00B43595">
                          <w:pPr>
                            <w:jc w:val="right"/>
                          </w:pPr>
                        </w:p>
                        <w:p w14:paraId="08CBEEA3"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 xml:space="preserve">2025 ԹՎԱԿԱՆԻ </w:t>
                          </w:r>
                        </w:p>
                        <w:p w14:paraId="128E8A68" w14:textId="77777777" w:rsidR="006C6FF6" w:rsidRPr="00A3353C" w:rsidRDefault="006C6FF6" w:rsidP="00B43595">
                          <w:pPr>
                            <w:jc w:val="right"/>
                            <w:rPr>
                              <w:sz w:val="74"/>
                              <w:szCs w:val="74"/>
                            </w:rPr>
                          </w:pPr>
                        </w:p>
                        <w:p w14:paraId="01606B30" w14:textId="77777777" w:rsidR="006C6FF6" w:rsidRDefault="006C6FF6" w:rsidP="00B43595"/>
                        <w:p w14:paraId="6AFCB4C7" w14:textId="77777777" w:rsidR="006C6FF6" w:rsidRPr="00812F22" w:rsidRDefault="006C6FF6" w:rsidP="00B43595">
                          <w:pPr>
                            <w:pStyle w:val="BodyText1"/>
                            <w:jc w:val="right"/>
                            <w:rPr>
                              <w:b/>
                              <w:color w:val="0E2841" w:themeColor="text2"/>
                              <w:sz w:val="36"/>
                              <w:szCs w:val="36"/>
                            </w:rPr>
                          </w:pPr>
                          <w:r w:rsidRPr="00812F22">
                            <w:rPr>
                              <w:b/>
                              <w:color w:val="0E2841" w:themeColor="text2"/>
                              <w:sz w:val="36"/>
                              <w:szCs w:val="36"/>
                            </w:rPr>
                            <w:t>ՈՒՂԵՐՁ</w:t>
                          </w:r>
                          <w:r w:rsidRPr="00812F22">
                            <w:rPr>
                              <w:b/>
                              <w:color w:val="0E2841" w:themeColor="text2"/>
                              <w:sz w:val="36"/>
                              <w:szCs w:val="36"/>
                              <w:lang w:val="hy-AM"/>
                            </w:rPr>
                            <w:t>-ԲԱՑԱՏՐԱԳԻՐ</w:t>
                          </w:r>
                          <w:r w:rsidRPr="00812F22">
                            <w:rPr>
                              <w:b/>
                              <w:color w:val="0E2841" w:themeColor="text2"/>
                              <w:sz w:val="36"/>
                              <w:szCs w:val="36"/>
                            </w:rPr>
                            <w:t>2025 ԹՎԱԿԱՆԻ</w:t>
                          </w:r>
                          <w:r>
                            <w:rPr>
                              <w:b/>
                              <w:color w:val="0E2841" w:themeColor="text2"/>
                              <w:sz w:val="36"/>
                              <w:szCs w:val="36"/>
                              <w:lang w:val="hy-AM"/>
                            </w:rPr>
                            <w:t xml:space="preserve"> ՊԵՏԱԿԱՆ ԲՅՈՒՋԵԻ</w:t>
                          </w:r>
                          <w:r w:rsidRPr="00812F22">
                            <w:rPr>
                              <w:b/>
                              <w:color w:val="0E2841" w:themeColor="text2"/>
                              <w:sz w:val="36"/>
                              <w:szCs w:val="36"/>
                            </w:rPr>
                            <w:t xml:space="preserve"> </w:t>
                          </w:r>
                        </w:p>
                        <w:p w14:paraId="7BB013CD" w14:textId="77777777" w:rsidR="006C6FF6" w:rsidRPr="00A3353C" w:rsidRDefault="006C6FF6" w:rsidP="00B43595">
                          <w:pPr>
                            <w:jc w:val="right"/>
                            <w:rPr>
                              <w:sz w:val="74"/>
                              <w:szCs w:val="74"/>
                            </w:rPr>
                          </w:pPr>
                        </w:p>
                        <w:p w14:paraId="2CF49F3A" w14:textId="77777777" w:rsidR="006C6FF6" w:rsidRDefault="006C6FF6" w:rsidP="00B43595">
                          <w:pPr>
                            <w:jc w:val="right"/>
                          </w:pPr>
                        </w:p>
                        <w:p w14:paraId="3F8D425F" w14:textId="77777777" w:rsidR="006C6FF6" w:rsidRPr="00682390" w:rsidRDefault="006C6FF6" w:rsidP="00B43595">
                          <w:pPr>
                            <w:pStyle w:val="BodyText1"/>
                            <w:jc w:val="right"/>
                            <w:rPr>
                              <w:b/>
                              <w:color w:val="0E2841" w:themeColor="text2"/>
                              <w:sz w:val="70"/>
                              <w:szCs w:val="70"/>
                            </w:rPr>
                          </w:pPr>
                          <w:r w:rsidRPr="00682390">
                            <w:rPr>
                              <w:b/>
                              <w:color w:val="0E2841" w:themeColor="text2"/>
                              <w:sz w:val="40"/>
                              <w:szCs w:val="40"/>
                            </w:rPr>
                            <w:t>ԲՅՈՒՋԵՏԱՅԻՆ ՈՒՂԵՐՁ</w:t>
                          </w:r>
                          <w:r w:rsidRPr="00682390">
                            <w:rPr>
                              <w:b/>
                              <w:color w:val="0E2841" w:themeColor="text2"/>
                              <w:sz w:val="70"/>
                              <w:szCs w:val="70"/>
                            </w:rPr>
                            <w:t>2025 ԹՎԱԿԱՆԻ</w:t>
                          </w:r>
                          <w:bookmarkEnd w:id="4"/>
                          <w:r w:rsidRPr="00682390">
                            <w:rPr>
                              <w:b/>
                              <w:color w:val="0E2841" w:themeColor="text2"/>
                              <w:sz w:val="70"/>
                              <w:szCs w:val="70"/>
                            </w:rPr>
                            <w:t xml:space="preserve"> </w:t>
                          </w:r>
                        </w:p>
                        <w:p w14:paraId="2938093C" w14:textId="77777777" w:rsidR="006C6FF6" w:rsidRPr="00A3353C" w:rsidRDefault="006C6FF6" w:rsidP="00B43595">
                          <w:pPr>
                            <w:jc w:val="right"/>
                            <w:rPr>
                              <w:sz w:val="74"/>
                              <w:szCs w:val="74"/>
                            </w:rPr>
                          </w:pPr>
                        </w:p>
                      </w:txbxContent>
                    </v:textbox>
                    <w10:wrap anchorx="margin"/>
                  </v:shape>
                </w:pict>
              </mc:Fallback>
            </mc:AlternateContent>
          </w:r>
          <w:r w:rsidRPr="000232DD">
            <w:rPr>
              <w:noProof/>
              <w:color w:val="auto"/>
            </w:rPr>
            <mc:AlternateContent>
              <mc:Choice Requires="wps">
                <w:drawing>
                  <wp:anchor distT="91440" distB="91440" distL="365760" distR="365760" simplePos="0" relativeHeight="251665408" behindDoc="0" locked="0" layoutInCell="1" allowOverlap="1" wp14:anchorId="61F775CD" wp14:editId="6D6F1854">
                    <wp:simplePos x="0" y="0"/>
                    <wp:positionH relativeFrom="margin">
                      <wp:posOffset>-289290</wp:posOffset>
                    </wp:positionH>
                    <wp:positionV relativeFrom="margin">
                      <wp:posOffset>9079264</wp:posOffset>
                    </wp:positionV>
                    <wp:extent cx="1845129" cy="411682"/>
                    <wp:effectExtent l="0" t="0" r="0" b="7620"/>
                    <wp:wrapNone/>
                    <wp:docPr id="61" name="Rectangle 61"/>
                    <wp:cNvGraphicFramePr/>
                    <a:graphic xmlns:a="http://schemas.openxmlformats.org/drawingml/2006/main">
                      <a:graphicData uri="http://schemas.microsoft.com/office/word/2010/wordprocessingShape">
                        <wps:wsp>
                          <wps:cNvSpPr/>
                          <wps:spPr>
                            <a:xfrm>
                              <a:off x="0" y="0"/>
                              <a:ext cx="1845129" cy="41168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F089ED" w14:textId="77777777" w:rsidR="006C6FF6" w:rsidRPr="00056843" w:rsidRDefault="006C6FF6" w:rsidP="00B43595">
                                <w:pPr>
                                  <w:jc w:val="center"/>
                                  <w:rPr>
                                    <w:color w:val="FFFFFF" w:themeColor="background1"/>
                                    <w:lang w:val="hy-AM"/>
                                  </w:rPr>
                                </w:pPr>
                                <w:r>
                                  <w:rPr>
                                    <w:color w:val="FFFFFF" w:themeColor="background1"/>
                                    <w:lang w:val="hy-AM"/>
                                  </w:rPr>
                                  <w:t>ԵՐԵՎԱՆ 2026</w:t>
                                </w:r>
                              </w:p>
                              <w:p w14:paraId="69E81A18" w14:textId="77777777" w:rsidR="006C6FF6" w:rsidRDefault="006C6FF6" w:rsidP="00B43595"/>
                              <w:p w14:paraId="083DF22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B7E5C36" w14:textId="77777777" w:rsidR="006C6FF6" w:rsidRDefault="006C6FF6" w:rsidP="00B43595"/>
                              <w:p w14:paraId="49A4725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4C41F18" w14:textId="77777777" w:rsidR="006C6FF6" w:rsidRDefault="006C6FF6" w:rsidP="00B43595"/>
                              <w:p w14:paraId="32E9B63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B00DF75" w14:textId="77777777" w:rsidR="006C6FF6" w:rsidRDefault="006C6FF6" w:rsidP="00B43595"/>
                              <w:p w14:paraId="7B89662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1215137" w14:textId="77777777" w:rsidR="006C6FF6" w:rsidRDefault="006C6FF6" w:rsidP="00B43595"/>
                              <w:p w14:paraId="5635A3D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2DB486B" w14:textId="77777777" w:rsidR="006C6FF6" w:rsidRDefault="006C6FF6" w:rsidP="00B43595"/>
                              <w:p w14:paraId="11761E7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B7C97A5" w14:textId="77777777" w:rsidR="006C6FF6" w:rsidRDefault="006C6FF6" w:rsidP="00B43595"/>
                              <w:p w14:paraId="75D286E8"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88E56C3" w14:textId="77777777" w:rsidR="006C6FF6" w:rsidRDefault="006C6FF6" w:rsidP="00B43595"/>
                              <w:p w14:paraId="77A340A4"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CF3D08F" w14:textId="77777777" w:rsidR="006C6FF6" w:rsidRDefault="006C6FF6" w:rsidP="00B43595"/>
                              <w:p w14:paraId="4094D6E4"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904B39C" w14:textId="77777777" w:rsidR="006C6FF6" w:rsidRDefault="006C6FF6" w:rsidP="00B43595"/>
                              <w:p w14:paraId="346B25C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D95801E" w14:textId="77777777" w:rsidR="006C6FF6" w:rsidRDefault="006C6FF6" w:rsidP="00B43595"/>
                              <w:p w14:paraId="3B60A82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620F024" w14:textId="77777777" w:rsidR="006C6FF6" w:rsidRDefault="006C6FF6" w:rsidP="00B43595"/>
                              <w:p w14:paraId="38A9391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F011BE6" w14:textId="77777777" w:rsidR="006C6FF6" w:rsidRDefault="006C6FF6" w:rsidP="00B43595"/>
                              <w:p w14:paraId="789824E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FCC0C9A" w14:textId="77777777" w:rsidR="006C6FF6" w:rsidRDefault="006C6FF6" w:rsidP="00B43595"/>
                              <w:p w14:paraId="520C5EC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F9C518E" w14:textId="77777777" w:rsidR="006C6FF6" w:rsidRDefault="006C6FF6" w:rsidP="00B43595"/>
                              <w:p w14:paraId="6AF191F2"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078D731" w14:textId="77777777" w:rsidR="006C6FF6" w:rsidRDefault="006C6FF6" w:rsidP="00B43595"/>
                              <w:p w14:paraId="46E44A64"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3F06C521" w14:textId="77777777" w:rsidR="006C6FF6" w:rsidRDefault="006C6FF6" w:rsidP="00B43595"/>
                              <w:p w14:paraId="01C564E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CBD74B9" w14:textId="77777777" w:rsidR="006C6FF6" w:rsidRDefault="006C6FF6" w:rsidP="00B43595"/>
                              <w:p w14:paraId="5B339F8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67B98A2" w14:textId="77777777" w:rsidR="006C6FF6" w:rsidRDefault="006C6FF6" w:rsidP="00B43595"/>
                              <w:p w14:paraId="2E9B5BE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921EA6A" w14:textId="77777777" w:rsidR="006C6FF6" w:rsidRDefault="006C6FF6" w:rsidP="00B43595"/>
                              <w:p w14:paraId="452AA62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034B7C8" w14:textId="77777777" w:rsidR="006C6FF6" w:rsidRDefault="006C6FF6" w:rsidP="00B43595"/>
                              <w:p w14:paraId="517B1B11"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ACA49D7" w14:textId="77777777" w:rsidR="006C6FF6" w:rsidRDefault="006C6FF6" w:rsidP="00B43595"/>
                              <w:p w14:paraId="3D7FC82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A2F1E9E" w14:textId="77777777" w:rsidR="006C6FF6" w:rsidRDefault="006C6FF6" w:rsidP="00B43595"/>
                              <w:p w14:paraId="2CB67D0D"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FE8138B" w14:textId="77777777" w:rsidR="006C6FF6" w:rsidRDefault="006C6FF6" w:rsidP="00B43595"/>
                              <w:p w14:paraId="3542A1B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8422093" w14:textId="77777777" w:rsidR="006C6FF6" w:rsidRDefault="006C6FF6" w:rsidP="00B43595"/>
                              <w:p w14:paraId="7BE88B5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33707BD" w14:textId="77777777" w:rsidR="006C6FF6" w:rsidRDefault="006C6FF6" w:rsidP="00B43595"/>
                              <w:p w14:paraId="1130A3D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20B5D0F" w14:textId="77777777" w:rsidR="006C6FF6" w:rsidRDefault="006C6FF6" w:rsidP="00B43595"/>
                              <w:p w14:paraId="58FDC10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9E2BBFA" w14:textId="77777777" w:rsidR="006C6FF6" w:rsidRDefault="006C6FF6" w:rsidP="00B43595"/>
                              <w:p w14:paraId="2A523386"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E8F5D05" w14:textId="77777777" w:rsidR="006C6FF6" w:rsidRDefault="006C6FF6" w:rsidP="00B43595"/>
                              <w:p w14:paraId="4CF04B4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984C10E" w14:textId="77777777" w:rsidR="006C6FF6" w:rsidRDefault="006C6FF6" w:rsidP="00B43595"/>
                              <w:p w14:paraId="34EEFCE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F68A99E" w14:textId="77777777" w:rsidR="006C6FF6" w:rsidRDefault="006C6FF6" w:rsidP="00B43595"/>
                              <w:p w14:paraId="7D3FF6B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9E91FBB" w14:textId="77777777" w:rsidR="006C6FF6" w:rsidRDefault="006C6FF6" w:rsidP="00B43595"/>
                              <w:p w14:paraId="1F72FA9D"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19051CEC" w14:textId="77777777" w:rsidR="006C6FF6" w:rsidRDefault="006C6FF6" w:rsidP="00B43595"/>
                              <w:p w14:paraId="743352F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001ACC8" w14:textId="77777777" w:rsidR="006C6FF6" w:rsidRDefault="006C6FF6" w:rsidP="00B43595"/>
                              <w:p w14:paraId="0B4E6E91"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AF47888" w14:textId="77777777" w:rsidR="006C6FF6" w:rsidRDefault="006C6FF6" w:rsidP="00B43595"/>
                              <w:p w14:paraId="6FC0DAA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4917CC1" w14:textId="77777777" w:rsidR="006C6FF6" w:rsidRDefault="006C6FF6" w:rsidP="00B43595"/>
                              <w:p w14:paraId="6C6BDF96"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16D77C8" w14:textId="77777777" w:rsidR="006C6FF6" w:rsidRDefault="006C6FF6" w:rsidP="00B43595"/>
                              <w:p w14:paraId="5F98D18D"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4ABFA46" w14:textId="77777777" w:rsidR="006C6FF6" w:rsidRDefault="006C6FF6" w:rsidP="00B43595"/>
                              <w:p w14:paraId="54AD0B8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D9FE116" w14:textId="77777777" w:rsidR="006C6FF6" w:rsidRDefault="006C6FF6" w:rsidP="00B43595"/>
                              <w:p w14:paraId="498AAE7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8539173" w14:textId="77777777" w:rsidR="006C6FF6" w:rsidRDefault="006C6FF6" w:rsidP="00B43595"/>
                              <w:p w14:paraId="68FFC58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74A1407" w14:textId="77777777" w:rsidR="006C6FF6" w:rsidRDefault="006C6FF6" w:rsidP="00B43595"/>
                              <w:p w14:paraId="2FEF22A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411B099" w14:textId="77777777" w:rsidR="006C6FF6" w:rsidRDefault="006C6FF6" w:rsidP="00B43595"/>
                              <w:p w14:paraId="35B0931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2075AA1" w14:textId="77777777" w:rsidR="006C6FF6" w:rsidRDefault="006C6FF6" w:rsidP="00B43595"/>
                              <w:p w14:paraId="7F2CAFB2"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05D3E5D" w14:textId="77777777" w:rsidR="006C6FF6" w:rsidRDefault="006C6FF6" w:rsidP="00B43595"/>
                              <w:p w14:paraId="442E7BFB"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6573250" w14:textId="77777777" w:rsidR="006C6FF6" w:rsidRDefault="006C6FF6" w:rsidP="00B43595"/>
                              <w:p w14:paraId="1A31F0A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8E9ABA8" w14:textId="77777777" w:rsidR="006C6FF6" w:rsidRDefault="006C6FF6" w:rsidP="00B43595"/>
                              <w:p w14:paraId="076B0AF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090BC1D" w14:textId="77777777" w:rsidR="006C6FF6" w:rsidRDefault="006C6FF6" w:rsidP="00B43595"/>
                              <w:p w14:paraId="3B8D6D3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BA3B82A" w14:textId="77777777" w:rsidR="006C6FF6" w:rsidRDefault="006C6FF6" w:rsidP="00B43595"/>
                              <w:p w14:paraId="12DCED4A"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4087F50B" w14:textId="77777777" w:rsidR="006C6FF6" w:rsidRDefault="006C6FF6" w:rsidP="00B43595"/>
                              <w:p w14:paraId="3AD0739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9EE9A4D" w14:textId="77777777" w:rsidR="006C6FF6" w:rsidRDefault="006C6FF6" w:rsidP="00B43595"/>
                              <w:p w14:paraId="01A27C41"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1857BE4" w14:textId="77777777" w:rsidR="006C6FF6" w:rsidRDefault="006C6FF6" w:rsidP="00B43595"/>
                              <w:p w14:paraId="08EEAF1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7C02C25" w14:textId="77777777" w:rsidR="006C6FF6" w:rsidRDefault="006C6FF6" w:rsidP="00B43595"/>
                              <w:p w14:paraId="326A6E0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80B82D8" w14:textId="77777777" w:rsidR="006C6FF6" w:rsidRDefault="006C6FF6" w:rsidP="00B43595"/>
                              <w:p w14:paraId="2CA767D2"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D46A47A" w14:textId="77777777" w:rsidR="006C6FF6" w:rsidRDefault="006C6FF6" w:rsidP="00B43595"/>
                              <w:p w14:paraId="0A20B736"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42152C2" w14:textId="77777777" w:rsidR="006C6FF6" w:rsidRDefault="006C6FF6" w:rsidP="00B43595"/>
                              <w:p w14:paraId="2D70A28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518353D" w14:textId="77777777" w:rsidR="006C6FF6" w:rsidRDefault="006C6FF6" w:rsidP="00B43595"/>
                              <w:p w14:paraId="1CBF4C5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1E05DA6" w14:textId="77777777" w:rsidR="006C6FF6" w:rsidRDefault="006C6FF6" w:rsidP="00B43595"/>
                              <w:p w14:paraId="4775A46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7313AC5" w14:textId="77777777" w:rsidR="006C6FF6" w:rsidRDefault="006C6FF6" w:rsidP="00B43595"/>
                              <w:p w14:paraId="06A85D41"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40E373F" w14:textId="77777777" w:rsidR="006C6FF6" w:rsidRDefault="006C6FF6" w:rsidP="00B43595"/>
                              <w:p w14:paraId="306A1AF1"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1986C16" w14:textId="77777777" w:rsidR="006C6FF6" w:rsidRDefault="006C6FF6" w:rsidP="00B43595"/>
                              <w:p w14:paraId="7F776E5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3D1049B" w14:textId="77777777" w:rsidR="006C6FF6" w:rsidRDefault="006C6FF6" w:rsidP="00B43595"/>
                              <w:p w14:paraId="24AA71A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9D79246" w14:textId="77777777" w:rsidR="006C6FF6" w:rsidRDefault="006C6FF6" w:rsidP="00B43595"/>
                              <w:p w14:paraId="1E13698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9C39783" w14:textId="77777777" w:rsidR="006C6FF6" w:rsidRDefault="006C6FF6" w:rsidP="00B43595"/>
                              <w:p w14:paraId="0F985D0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3358040" w14:textId="77777777" w:rsidR="006C6FF6" w:rsidRDefault="006C6FF6" w:rsidP="00B43595"/>
                              <w:p w14:paraId="1686059F"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2E926D98" w14:textId="77777777" w:rsidR="006C6FF6" w:rsidRDefault="006C6FF6" w:rsidP="00B43595"/>
                              <w:p w14:paraId="428328F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CC7C09C" w14:textId="77777777" w:rsidR="006C6FF6" w:rsidRDefault="006C6FF6" w:rsidP="00B43595"/>
                              <w:p w14:paraId="5634E694"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67EA7AA" w14:textId="77777777" w:rsidR="006C6FF6" w:rsidRDefault="006C6FF6" w:rsidP="00B43595"/>
                              <w:p w14:paraId="03F2EDD1"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99A223A" w14:textId="77777777" w:rsidR="006C6FF6" w:rsidRDefault="006C6FF6" w:rsidP="00B43595"/>
                              <w:p w14:paraId="491FC07E"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2288F2B" w14:textId="77777777" w:rsidR="006C6FF6" w:rsidRDefault="006C6FF6" w:rsidP="00B43595"/>
                              <w:p w14:paraId="490945F4"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3CD799C" w14:textId="77777777" w:rsidR="006C6FF6" w:rsidRDefault="006C6FF6" w:rsidP="00B43595"/>
                              <w:p w14:paraId="7CBF1296"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938F82E" w14:textId="77777777" w:rsidR="006C6FF6" w:rsidRDefault="006C6FF6" w:rsidP="00B43595"/>
                              <w:p w14:paraId="2995E7E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6EF92E3" w14:textId="77777777" w:rsidR="006C6FF6" w:rsidRDefault="006C6FF6" w:rsidP="00B43595"/>
                              <w:p w14:paraId="5FE3113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5184379" w14:textId="77777777" w:rsidR="006C6FF6" w:rsidRDefault="006C6FF6" w:rsidP="00B43595"/>
                              <w:p w14:paraId="2EE1404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26C2DBA" w14:textId="77777777" w:rsidR="006C6FF6" w:rsidRDefault="006C6FF6" w:rsidP="00B43595"/>
                              <w:p w14:paraId="5B23000D"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8C5D780" w14:textId="77777777" w:rsidR="006C6FF6" w:rsidRDefault="006C6FF6" w:rsidP="00B43595"/>
                              <w:p w14:paraId="08E92F1B"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4C0DDF8" w14:textId="77777777" w:rsidR="006C6FF6" w:rsidRDefault="006C6FF6" w:rsidP="00B43595"/>
                              <w:p w14:paraId="2610780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0D91448" w14:textId="77777777" w:rsidR="006C6FF6" w:rsidRDefault="006C6FF6" w:rsidP="00B43595"/>
                              <w:p w14:paraId="02EBFE6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28B6CA4" w14:textId="77777777" w:rsidR="006C6FF6" w:rsidRDefault="006C6FF6" w:rsidP="00B43595"/>
                              <w:p w14:paraId="29D3A46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756BF36" w14:textId="77777777" w:rsidR="006C6FF6" w:rsidRDefault="006C6FF6" w:rsidP="00B43595"/>
                              <w:p w14:paraId="15F2528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C54218B" w14:textId="77777777" w:rsidR="006C6FF6" w:rsidRDefault="006C6FF6" w:rsidP="00B43595"/>
                              <w:p w14:paraId="12977C95"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5893249D" w14:textId="77777777" w:rsidR="006C6FF6" w:rsidRDefault="006C6FF6" w:rsidP="00B43595"/>
                              <w:p w14:paraId="1FF075A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6DD45C0" w14:textId="77777777" w:rsidR="006C6FF6" w:rsidRDefault="006C6FF6" w:rsidP="00B43595"/>
                              <w:p w14:paraId="51C9D3A8"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6C9A601" w14:textId="77777777" w:rsidR="006C6FF6" w:rsidRDefault="006C6FF6" w:rsidP="00B43595"/>
                              <w:p w14:paraId="40F2434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90B4572" w14:textId="77777777" w:rsidR="006C6FF6" w:rsidRDefault="006C6FF6" w:rsidP="00B43595"/>
                              <w:p w14:paraId="3073F3AB"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B57A502" w14:textId="77777777" w:rsidR="006C6FF6" w:rsidRDefault="006C6FF6" w:rsidP="00B43595"/>
                              <w:p w14:paraId="1C623F48"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02262E2" w14:textId="77777777" w:rsidR="006C6FF6" w:rsidRDefault="006C6FF6" w:rsidP="00B43595"/>
                              <w:p w14:paraId="423834A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1486ECB" w14:textId="77777777" w:rsidR="006C6FF6" w:rsidRDefault="006C6FF6" w:rsidP="00B43595"/>
                              <w:p w14:paraId="52CF233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F878532" w14:textId="77777777" w:rsidR="006C6FF6" w:rsidRDefault="006C6FF6" w:rsidP="00B43595"/>
                              <w:p w14:paraId="3D0DB0A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13E8FEB" w14:textId="77777777" w:rsidR="006C6FF6" w:rsidRDefault="006C6FF6" w:rsidP="00B43595"/>
                              <w:p w14:paraId="68240C6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9FBAF31" w14:textId="77777777" w:rsidR="006C6FF6" w:rsidRDefault="006C6FF6" w:rsidP="00B43595"/>
                              <w:p w14:paraId="577CCF5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A2BA6C1" w14:textId="77777777" w:rsidR="006C6FF6" w:rsidRDefault="006C6FF6" w:rsidP="00B43595"/>
                              <w:p w14:paraId="27A92C02"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009FFCD" w14:textId="77777777" w:rsidR="006C6FF6" w:rsidRDefault="006C6FF6" w:rsidP="00B43595"/>
                              <w:p w14:paraId="3AA7225B"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8DDD074" w14:textId="77777777" w:rsidR="006C6FF6" w:rsidRDefault="006C6FF6" w:rsidP="00B43595"/>
                              <w:p w14:paraId="3092D25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B9C82DE" w14:textId="77777777" w:rsidR="006C6FF6" w:rsidRDefault="006C6FF6" w:rsidP="00B43595"/>
                              <w:p w14:paraId="0E552CA8"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49EF0BC" w14:textId="77777777" w:rsidR="006C6FF6" w:rsidRDefault="006C6FF6" w:rsidP="00B43595"/>
                              <w:p w14:paraId="108655F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C9D576D" w14:textId="77777777" w:rsidR="006C6FF6" w:rsidRDefault="006C6FF6" w:rsidP="00B43595"/>
                              <w:p w14:paraId="0B2FB0E4"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3FA1C876" w14:textId="77777777" w:rsidR="006C6FF6" w:rsidRDefault="006C6FF6" w:rsidP="00B43595"/>
                              <w:p w14:paraId="3C94221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9ECDAA6" w14:textId="77777777" w:rsidR="006C6FF6" w:rsidRDefault="006C6FF6" w:rsidP="00B43595"/>
                              <w:p w14:paraId="2E8CC34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92D7F98" w14:textId="77777777" w:rsidR="006C6FF6" w:rsidRDefault="006C6FF6" w:rsidP="00B43595"/>
                              <w:p w14:paraId="1184D884"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07301D1" w14:textId="77777777" w:rsidR="006C6FF6" w:rsidRDefault="006C6FF6" w:rsidP="00B43595"/>
                              <w:p w14:paraId="47197BCD"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7AF4F40" w14:textId="77777777" w:rsidR="006C6FF6" w:rsidRDefault="006C6FF6" w:rsidP="00B43595"/>
                              <w:p w14:paraId="5B8013AE"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B7FD459" w14:textId="77777777" w:rsidR="006C6FF6" w:rsidRDefault="006C6FF6" w:rsidP="00B43595"/>
                              <w:p w14:paraId="520247E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C8C4BA5" w14:textId="77777777" w:rsidR="006C6FF6" w:rsidRDefault="006C6FF6" w:rsidP="00B43595"/>
                              <w:p w14:paraId="6D3EC8A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CA505CA" w14:textId="77777777" w:rsidR="006C6FF6" w:rsidRDefault="006C6FF6" w:rsidP="00B43595"/>
                              <w:p w14:paraId="01DBDCB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AB02E00" w14:textId="77777777" w:rsidR="006C6FF6" w:rsidRDefault="006C6FF6" w:rsidP="00B43595"/>
                              <w:p w14:paraId="03E1B31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49F1700" w14:textId="77777777" w:rsidR="006C6FF6" w:rsidRDefault="006C6FF6" w:rsidP="00B43595"/>
                              <w:p w14:paraId="6642189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0B63E89" w14:textId="77777777" w:rsidR="006C6FF6" w:rsidRDefault="006C6FF6" w:rsidP="00B43595"/>
                              <w:p w14:paraId="3A89D3E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4931F5B" w14:textId="77777777" w:rsidR="006C6FF6" w:rsidRDefault="006C6FF6" w:rsidP="00B43595"/>
                              <w:p w14:paraId="2B26C91E"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9FE3C53" w14:textId="77777777" w:rsidR="006C6FF6" w:rsidRDefault="006C6FF6" w:rsidP="00B43595"/>
                              <w:p w14:paraId="795CE702"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C173407" w14:textId="77777777" w:rsidR="006C6FF6" w:rsidRDefault="006C6FF6" w:rsidP="00B43595"/>
                              <w:p w14:paraId="2133FDE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2A18A5F" w14:textId="77777777" w:rsidR="006C6FF6" w:rsidRDefault="006C6FF6" w:rsidP="00B43595"/>
                              <w:p w14:paraId="6A46427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470B4E9" w14:textId="77777777" w:rsidR="006C6FF6" w:rsidRDefault="006C6FF6" w:rsidP="00B43595"/>
                              <w:p w14:paraId="12D914C8"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2CFEF0BC" w14:textId="77777777" w:rsidR="006C6FF6" w:rsidRDefault="006C6FF6" w:rsidP="00B43595"/>
                              <w:p w14:paraId="4B6618FD"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6D980B2" w14:textId="77777777" w:rsidR="006C6FF6" w:rsidRDefault="006C6FF6" w:rsidP="00B43595"/>
                              <w:p w14:paraId="012AFDE4"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95AC368" w14:textId="77777777" w:rsidR="006C6FF6" w:rsidRDefault="006C6FF6" w:rsidP="00B43595"/>
                              <w:p w14:paraId="5A0753B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6242843" w14:textId="77777777" w:rsidR="006C6FF6" w:rsidRDefault="006C6FF6" w:rsidP="00B43595"/>
                              <w:p w14:paraId="142991C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9CAF177" w14:textId="77777777" w:rsidR="006C6FF6" w:rsidRDefault="006C6FF6" w:rsidP="00B43595"/>
                              <w:p w14:paraId="199E181B"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10F8E49" w14:textId="77777777" w:rsidR="006C6FF6" w:rsidRDefault="006C6FF6" w:rsidP="00B43595"/>
                              <w:p w14:paraId="2CD2757D"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0F216A0" w14:textId="77777777" w:rsidR="006C6FF6" w:rsidRDefault="006C6FF6" w:rsidP="00B43595"/>
                              <w:p w14:paraId="025AC648"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F755693" w14:textId="77777777" w:rsidR="006C6FF6" w:rsidRDefault="006C6FF6" w:rsidP="00B43595"/>
                              <w:p w14:paraId="03873BD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61084CB" w14:textId="77777777" w:rsidR="006C6FF6" w:rsidRDefault="006C6FF6" w:rsidP="00B43595"/>
                              <w:p w14:paraId="72C3551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AA3F1DA" w14:textId="77777777" w:rsidR="006C6FF6" w:rsidRDefault="006C6FF6" w:rsidP="00B43595"/>
                              <w:p w14:paraId="0E820F5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E933999" w14:textId="77777777" w:rsidR="006C6FF6" w:rsidRDefault="006C6FF6" w:rsidP="00B43595"/>
                              <w:p w14:paraId="611576E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F7E567B" w14:textId="77777777" w:rsidR="006C6FF6" w:rsidRDefault="006C6FF6" w:rsidP="00B43595"/>
                              <w:p w14:paraId="7CC85DC2"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DC1DAB5" w14:textId="77777777" w:rsidR="006C6FF6" w:rsidRDefault="006C6FF6" w:rsidP="00B43595"/>
                              <w:p w14:paraId="00F015B8"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57DDDA8" w14:textId="77777777" w:rsidR="006C6FF6" w:rsidRDefault="006C6FF6" w:rsidP="00B43595"/>
                              <w:p w14:paraId="18AD3726"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82965DD" w14:textId="77777777" w:rsidR="006C6FF6" w:rsidRDefault="006C6FF6" w:rsidP="00B43595"/>
                              <w:p w14:paraId="7735A231" w14:textId="77777777" w:rsidR="006C6FF6" w:rsidRPr="00056843" w:rsidRDefault="006C6FF6" w:rsidP="00B43595">
                                <w:pPr>
                                  <w:jc w:val="center"/>
                                  <w:rPr>
                                    <w:color w:val="FFFFFF" w:themeColor="background1"/>
                                    <w:lang w:val="hy-AM"/>
                                  </w:rPr>
                                </w:pPr>
                                <w:r>
                                  <w:rPr>
                                    <w:color w:val="FFFFFF" w:themeColor="background1"/>
                                    <w:lang w:val="hy-AM"/>
                                  </w:rPr>
                                  <w:t>ԵՐԵՎԱՆ 2024</w:t>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1F775CD" id="Rectangle 61" o:spid="_x0000_s1029" style="position:absolute;margin-left:-22.8pt;margin-top:714.9pt;width:145.3pt;height:32.4pt;z-index:251665408;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" filled="f" stroked="f" strokeweight="1pt">
                    <v:textbox inset="10.8pt,0,10.8pt,0">
                      <w:txbxContent>
                        <w:p w14:paraId="1FF089ED" w14:textId="77777777" w:rsidR="006C6FF6" w:rsidRPr="00056843" w:rsidRDefault="006C6FF6" w:rsidP="00B43595">
                          <w:pPr>
                            <w:jc w:val="center"/>
                            <w:rPr>
                              <w:color w:val="FFFFFF" w:themeColor="background1"/>
                              <w:lang w:val="hy-AM"/>
                            </w:rPr>
                          </w:pPr>
                          <w:r>
                            <w:rPr>
                              <w:color w:val="FFFFFF" w:themeColor="background1"/>
                              <w:lang w:val="hy-AM"/>
                            </w:rPr>
                            <w:t>ԵՐԵՎԱՆ 2026</w:t>
                          </w:r>
                        </w:p>
                        <w:p w14:paraId="69E81A18" w14:textId="77777777" w:rsidR="006C6FF6" w:rsidRDefault="006C6FF6" w:rsidP="00B43595"/>
                        <w:p w14:paraId="083DF22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B7E5C36" w14:textId="77777777" w:rsidR="006C6FF6" w:rsidRDefault="006C6FF6" w:rsidP="00B43595"/>
                        <w:p w14:paraId="49A4725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4C41F18" w14:textId="77777777" w:rsidR="006C6FF6" w:rsidRDefault="006C6FF6" w:rsidP="00B43595"/>
                        <w:p w14:paraId="32E9B63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B00DF75" w14:textId="77777777" w:rsidR="006C6FF6" w:rsidRDefault="006C6FF6" w:rsidP="00B43595"/>
                        <w:p w14:paraId="7B89662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1215137" w14:textId="77777777" w:rsidR="006C6FF6" w:rsidRDefault="006C6FF6" w:rsidP="00B43595"/>
                        <w:p w14:paraId="5635A3D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2DB486B" w14:textId="77777777" w:rsidR="006C6FF6" w:rsidRDefault="006C6FF6" w:rsidP="00B43595"/>
                        <w:p w14:paraId="11761E7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B7C97A5" w14:textId="77777777" w:rsidR="006C6FF6" w:rsidRDefault="006C6FF6" w:rsidP="00B43595"/>
                        <w:p w14:paraId="75D286E8"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88E56C3" w14:textId="77777777" w:rsidR="006C6FF6" w:rsidRDefault="006C6FF6" w:rsidP="00B43595"/>
                        <w:p w14:paraId="77A340A4"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CF3D08F" w14:textId="77777777" w:rsidR="006C6FF6" w:rsidRDefault="006C6FF6" w:rsidP="00B43595"/>
                        <w:p w14:paraId="4094D6E4"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904B39C" w14:textId="77777777" w:rsidR="006C6FF6" w:rsidRDefault="006C6FF6" w:rsidP="00B43595"/>
                        <w:p w14:paraId="346B25C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D95801E" w14:textId="77777777" w:rsidR="006C6FF6" w:rsidRDefault="006C6FF6" w:rsidP="00B43595"/>
                        <w:p w14:paraId="3B60A82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620F024" w14:textId="77777777" w:rsidR="006C6FF6" w:rsidRDefault="006C6FF6" w:rsidP="00B43595"/>
                        <w:p w14:paraId="38A9391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F011BE6" w14:textId="77777777" w:rsidR="006C6FF6" w:rsidRDefault="006C6FF6" w:rsidP="00B43595"/>
                        <w:p w14:paraId="789824E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FCC0C9A" w14:textId="77777777" w:rsidR="006C6FF6" w:rsidRDefault="006C6FF6" w:rsidP="00B43595"/>
                        <w:p w14:paraId="520C5EC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F9C518E" w14:textId="77777777" w:rsidR="006C6FF6" w:rsidRDefault="006C6FF6" w:rsidP="00B43595"/>
                        <w:p w14:paraId="6AF191F2"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078D731" w14:textId="77777777" w:rsidR="006C6FF6" w:rsidRDefault="006C6FF6" w:rsidP="00B43595"/>
                        <w:p w14:paraId="46E44A64"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3F06C521" w14:textId="77777777" w:rsidR="006C6FF6" w:rsidRDefault="006C6FF6" w:rsidP="00B43595"/>
                        <w:p w14:paraId="01C564E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CBD74B9" w14:textId="77777777" w:rsidR="006C6FF6" w:rsidRDefault="006C6FF6" w:rsidP="00B43595"/>
                        <w:p w14:paraId="5B339F8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67B98A2" w14:textId="77777777" w:rsidR="006C6FF6" w:rsidRDefault="006C6FF6" w:rsidP="00B43595"/>
                        <w:p w14:paraId="2E9B5BE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921EA6A" w14:textId="77777777" w:rsidR="006C6FF6" w:rsidRDefault="006C6FF6" w:rsidP="00B43595"/>
                        <w:p w14:paraId="452AA62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034B7C8" w14:textId="77777777" w:rsidR="006C6FF6" w:rsidRDefault="006C6FF6" w:rsidP="00B43595"/>
                        <w:p w14:paraId="517B1B11"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ACA49D7" w14:textId="77777777" w:rsidR="006C6FF6" w:rsidRDefault="006C6FF6" w:rsidP="00B43595"/>
                        <w:p w14:paraId="3D7FC82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A2F1E9E" w14:textId="77777777" w:rsidR="006C6FF6" w:rsidRDefault="006C6FF6" w:rsidP="00B43595"/>
                        <w:p w14:paraId="2CB67D0D"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FE8138B" w14:textId="77777777" w:rsidR="006C6FF6" w:rsidRDefault="006C6FF6" w:rsidP="00B43595"/>
                        <w:p w14:paraId="3542A1B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8422093" w14:textId="77777777" w:rsidR="006C6FF6" w:rsidRDefault="006C6FF6" w:rsidP="00B43595"/>
                        <w:p w14:paraId="7BE88B5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33707BD" w14:textId="77777777" w:rsidR="006C6FF6" w:rsidRDefault="006C6FF6" w:rsidP="00B43595"/>
                        <w:p w14:paraId="1130A3D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20B5D0F" w14:textId="77777777" w:rsidR="006C6FF6" w:rsidRDefault="006C6FF6" w:rsidP="00B43595"/>
                        <w:p w14:paraId="58FDC10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9E2BBFA" w14:textId="77777777" w:rsidR="006C6FF6" w:rsidRDefault="006C6FF6" w:rsidP="00B43595"/>
                        <w:p w14:paraId="2A523386"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E8F5D05" w14:textId="77777777" w:rsidR="006C6FF6" w:rsidRDefault="006C6FF6" w:rsidP="00B43595"/>
                        <w:p w14:paraId="4CF04B4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984C10E" w14:textId="77777777" w:rsidR="006C6FF6" w:rsidRDefault="006C6FF6" w:rsidP="00B43595"/>
                        <w:p w14:paraId="34EEFCE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F68A99E" w14:textId="77777777" w:rsidR="006C6FF6" w:rsidRDefault="006C6FF6" w:rsidP="00B43595"/>
                        <w:p w14:paraId="7D3FF6B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9E91FBB" w14:textId="77777777" w:rsidR="006C6FF6" w:rsidRDefault="006C6FF6" w:rsidP="00B43595"/>
                        <w:p w14:paraId="1F72FA9D"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19051CEC" w14:textId="77777777" w:rsidR="006C6FF6" w:rsidRDefault="006C6FF6" w:rsidP="00B43595"/>
                        <w:p w14:paraId="743352F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001ACC8" w14:textId="77777777" w:rsidR="006C6FF6" w:rsidRDefault="006C6FF6" w:rsidP="00B43595"/>
                        <w:p w14:paraId="0B4E6E91"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AF47888" w14:textId="77777777" w:rsidR="006C6FF6" w:rsidRDefault="006C6FF6" w:rsidP="00B43595"/>
                        <w:p w14:paraId="6FC0DAA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4917CC1" w14:textId="77777777" w:rsidR="006C6FF6" w:rsidRDefault="006C6FF6" w:rsidP="00B43595"/>
                        <w:p w14:paraId="6C6BDF96"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16D77C8" w14:textId="77777777" w:rsidR="006C6FF6" w:rsidRDefault="006C6FF6" w:rsidP="00B43595"/>
                        <w:p w14:paraId="5F98D18D"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4ABFA46" w14:textId="77777777" w:rsidR="006C6FF6" w:rsidRDefault="006C6FF6" w:rsidP="00B43595"/>
                        <w:p w14:paraId="54AD0B8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D9FE116" w14:textId="77777777" w:rsidR="006C6FF6" w:rsidRDefault="006C6FF6" w:rsidP="00B43595"/>
                        <w:p w14:paraId="498AAE7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8539173" w14:textId="77777777" w:rsidR="006C6FF6" w:rsidRDefault="006C6FF6" w:rsidP="00B43595"/>
                        <w:p w14:paraId="68FFC58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74A1407" w14:textId="77777777" w:rsidR="006C6FF6" w:rsidRDefault="006C6FF6" w:rsidP="00B43595"/>
                        <w:p w14:paraId="2FEF22A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411B099" w14:textId="77777777" w:rsidR="006C6FF6" w:rsidRDefault="006C6FF6" w:rsidP="00B43595"/>
                        <w:p w14:paraId="35B0931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2075AA1" w14:textId="77777777" w:rsidR="006C6FF6" w:rsidRDefault="006C6FF6" w:rsidP="00B43595"/>
                        <w:p w14:paraId="7F2CAFB2"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05D3E5D" w14:textId="77777777" w:rsidR="006C6FF6" w:rsidRDefault="006C6FF6" w:rsidP="00B43595"/>
                        <w:p w14:paraId="442E7BFB"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6573250" w14:textId="77777777" w:rsidR="006C6FF6" w:rsidRDefault="006C6FF6" w:rsidP="00B43595"/>
                        <w:p w14:paraId="1A31F0A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8E9ABA8" w14:textId="77777777" w:rsidR="006C6FF6" w:rsidRDefault="006C6FF6" w:rsidP="00B43595"/>
                        <w:p w14:paraId="076B0AF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090BC1D" w14:textId="77777777" w:rsidR="006C6FF6" w:rsidRDefault="006C6FF6" w:rsidP="00B43595"/>
                        <w:p w14:paraId="3B8D6D3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BA3B82A" w14:textId="77777777" w:rsidR="006C6FF6" w:rsidRDefault="006C6FF6" w:rsidP="00B43595"/>
                        <w:p w14:paraId="12DCED4A"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4087F50B" w14:textId="77777777" w:rsidR="006C6FF6" w:rsidRDefault="006C6FF6" w:rsidP="00B43595"/>
                        <w:p w14:paraId="3AD0739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9EE9A4D" w14:textId="77777777" w:rsidR="006C6FF6" w:rsidRDefault="006C6FF6" w:rsidP="00B43595"/>
                        <w:p w14:paraId="01A27C41"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1857BE4" w14:textId="77777777" w:rsidR="006C6FF6" w:rsidRDefault="006C6FF6" w:rsidP="00B43595"/>
                        <w:p w14:paraId="08EEAF1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7C02C25" w14:textId="77777777" w:rsidR="006C6FF6" w:rsidRDefault="006C6FF6" w:rsidP="00B43595"/>
                        <w:p w14:paraId="326A6E0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80B82D8" w14:textId="77777777" w:rsidR="006C6FF6" w:rsidRDefault="006C6FF6" w:rsidP="00B43595"/>
                        <w:p w14:paraId="2CA767D2"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D46A47A" w14:textId="77777777" w:rsidR="006C6FF6" w:rsidRDefault="006C6FF6" w:rsidP="00B43595"/>
                        <w:p w14:paraId="0A20B736"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42152C2" w14:textId="77777777" w:rsidR="006C6FF6" w:rsidRDefault="006C6FF6" w:rsidP="00B43595"/>
                        <w:p w14:paraId="2D70A28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518353D" w14:textId="77777777" w:rsidR="006C6FF6" w:rsidRDefault="006C6FF6" w:rsidP="00B43595"/>
                        <w:p w14:paraId="1CBF4C5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1E05DA6" w14:textId="77777777" w:rsidR="006C6FF6" w:rsidRDefault="006C6FF6" w:rsidP="00B43595"/>
                        <w:p w14:paraId="4775A46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7313AC5" w14:textId="77777777" w:rsidR="006C6FF6" w:rsidRDefault="006C6FF6" w:rsidP="00B43595"/>
                        <w:p w14:paraId="06A85D41"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40E373F" w14:textId="77777777" w:rsidR="006C6FF6" w:rsidRDefault="006C6FF6" w:rsidP="00B43595"/>
                        <w:p w14:paraId="306A1AF1"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1986C16" w14:textId="77777777" w:rsidR="006C6FF6" w:rsidRDefault="006C6FF6" w:rsidP="00B43595"/>
                        <w:p w14:paraId="7F776E5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3D1049B" w14:textId="77777777" w:rsidR="006C6FF6" w:rsidRDefault="006C6FF6" w:rsidP="00B43595"/>
                        <w:p w14:paraId="24AA71A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9D79246" w14:textId="77777777" w:rsidR="006C6FF6" w:rsidRDefault="006C6FF6" w:rsidP="00B43595"/>
                        <w:p w14:paraId="1E13698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9C39783" w14:textId="77777777" w:rsidR="006C6FF6" w:rsidRDefault="006C6FF6" w:rsidP="00B43595"/>
                        <w:p w14:paraId="0F985D0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3358040" w14:textId="77777777" w:rsidR="006C6FF6" w:rsidRDefault="006C6FF6" w:rsidP="00B43595"/>
                        <w:p w14:paraId="1686059F"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2E926D98" w14:textId="77777777" w:rsidR="006C6FF6" w:rsidRDefault="006C6FF6" w:rsidP="00B43595"/>
                        <w:p w14:paraId="428328F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CC7C09C" w14:textId="77777777" w:rsidR="006C6FF6" w:rsidRDefault="006C6FF6" w:rsidP="00B43595"/>
                        <w:p w14:paraId="5634E694"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67EA7AA" w14:textId="77777777" w:rsidR="006C6FF6" w:rsidRDefault="006C6FF6" w:rsidP="00B43595"/>
                        <w:p w14:paraId="03F2EDD1"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99A223A" w14:textId="77777777" w:rsidR="006C6FF6" w:rsidRDefault="006C6FF6" w:rsidP="00B43595"/>
                        <w:p w14:paraId="491FC07E"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2288F2B" w14:textId="77777777" w:rsidR="006C6FF6" w:rsidRDefault="006C6FF6" w:rsidP="00B43595"/>
                        <w:p w14:paraId="490945F4"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3CD799C" w14:textId="77777777" w:rsidR="006C6FF6" w:rsidRDefault="006C6FF6" w:rsidP="00B43595"/>
                        <w:p w14:paraId="7CBF1296"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938F82E" w14:textId="77777777" w:rsidR="006C6FF6" w:rsidRDefault="006C6FF6" w:rsidP="00B43595"/>
                        <w:p w14:paraId="2995E7E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6EF92E3" w14:textId="77777777" w:rsidR="006C6FF6" w:rsidRDefault="006C6FF6" w:rsidP="00B43595"/>
                        <w:p w14:paraId="5FE3113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5184379" w14:textId="77777777" w:rsidR="006C6FF6" w:rsidRDefault="006C6FF6" w:rsidP="00B43595"/>
                        <w:p w14:paraId="2EE1404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26C2DBA" w14:textId="77777777" w:rsidR="006C6FF6" w:rsidRDefault="006C6FF6" w:rsidP="00B43595"/>
                        <w:p w14:paraId="5B23000D"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8C5D780" w14:textId="77777777" w:rsidR="006C6FF6" w:rsidRDefault="006C6FF6" w:rsidP="00B43595"/>
                        <w:p w14:paraId="08E92F1B"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4C0DDF8" w14:textId="77777777" w:rsidR="006C6FF6" w:rsidRDefault="006C6FF6" w:rsidP="00B43595"/>
                        <w:p w14:paraId="2610780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0D91448" w14:textId="77777777" w:rsidR="006C6FF6" w:rsidRDefault="006C6FF6" w:rsidP="00B43595"/>
                        <w:p w14:paraId="02EBFE6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28B6CA4" w14:textId="77777777" w:rsidR="006C6FF6" w:rsidRDefault="006C6FF6" w:rsidP="00B43595"/>
                        <w:p w14:paraId="29D3A46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756BF36" w14:textId="77777777" w:rsidR="006C6FF6" w:rsidRDefault="006C6FF6" w:rsidP="00B43595"/>
                        <w:p w14:paraId="15F2528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C54218B" w14:textId="77777777" w:rsidR="006C6FF6" w:rsidRDefault="006C6FF6" w:rsidP="00B43595"/>
                        <w:p w14:paraId="12977C95"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5893249D" w14:textId="77777777" w:rsidR="006C6FF6" w:rsidRDefault="006C6FF6" w:rsidP="00B43595"/>
                        <w:p w14:paraId="1FF075A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6DD45C0" w14:textId="77777777" w:rsidR="006C6FF6" w:rsidRDefault="006C6FF6" w:rsidP="00B43595"/>
                        <w:p w14:paraId="51C9D3A8"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6C9A601" w14:textId="77777777" w:rsidR="006C6FF6" w:rsidRDefault="006C6FF6" w:rsidP="00B43595"/>
                        <w:p w14:paraId="40F24343"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90B4572" w14:textId="77777777" w:rsidR="006C6FF6" w:rsidRDefault="006C6FF6" w:rsidP="00B43595"/>
                        <w:p w14:paraId="3073F3AB"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B57A502" w14:textId="77777777" w:rsidR="006C6FF6" w:rsidRDefault="006C6FF6" w:rsidP="00B43595"/>
                        <w:p w14:paraId="1C623F48"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02262E2" w14:textId="77777777" w:rsidR="006C6FF6" w:rsidRDefault="006C6FF6" w:rsidP="00B43595"/>
                        <w:p w14:paraId="423834A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1486ECB" w14:textId="77777777" w:rsidR="006C6FF6" w:rsidRDefault="006C6FF6" w:rsidP="00B43595"/>
                        <w:p w14:paraId="52CF233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F878532" w14:textId="77777777" w:rsidR="006C6FF6" w:rsidRDefault="006C6FF6" w:rsidP="00B43595"/>
                        <w:p w14:paraId="3D0DB0A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13E8FEB" w14:textId="77777777" w:rsidR="006C6FF6" w:rsidRDefault="006C6FF6" w:rsidP="00B43595"/>
                        <w:p w14:paraId="68240C6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9FBAF31" w14:textId="77777777" w:rsidR="006C6FF6" w:rsidRDefault="006C6FF6" w:rsidP="00B43595"/>
                        <w:p w14:paraId="577CCF5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A2BA6C1" w14:textId="77777777" w:rsidR="006C6FF6" w:rsidRDefault="006C6FF6" w:rsidP="00B43595"/>
                        <w:p w14:paraId="27A92C02"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009FFCD" w14:textId="77777777" w:rsidR="006C6FF6" w:rsidRDefault="006C6FF6" w:rsidP="00B43595"/>
                        <w:p w14:paraId="3AA7225B"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8DDD074" w14:textId="77777777" w:rsidR="006C6FF6" w:rsidRDefault="006C6FF6" w:rsidP="00B43595"/>
                        <w:p w14:paraId="3092D25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B9C82DE" w14:textId="77777777" w:rsidR="006C6FF6" w:rsidRDefault="006C6FF6" w:rsidP="00B43595"/>
                        <w:p w14:paraId="0E552CA8"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49EF0BC" w14:textId="77777777" w:rsidR="006C6FF6" w:rsidRDefault="006C6FF6" w:rsidP="00B43595"/>
                        <w:p w14:paraId="108655F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C9D576D" w14:textId="77777777" w:rsidR="006C6FF6" w:rsidRDefault="006C6FF6" w:rsidP="00B43595"/>
                        <w:p w14:paraId="0B2FB0E4"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3FA1C876" w14:textId="77777777" w:rsidR="006C6FF6" w:rsidRDefault="006C6FF6" w:rsidP="00B43595"/>
                        <w:p w14:paraId="3C942219"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9ECDAA6" w14:textId="77777777" w:rsidR="006C6FF6" w:rsidRDefault="006C6FF6" w:rsidP="00B43595"/>
                        <w:p w14:paraId="2E8CC34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92D7F98" w14:textId="77777777" w:rsidR="006C6FF6" w:rsidRDefault="006C6FF6" w:rsidP="00B43595"/>
                        <w:p w14:paraId="1184D884"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07301D1" w14:textId="77777777" w:rsidR="006C6FF6" w:rsidRDefault="006C6FF6" w:rsidP="00B43595"/>
                        <w:p w14:paraId="47197BCD"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7AF4F40" w14:textId="77777777" w:rsidR="006C6FF6" w:rsidRDefault="006C6FF6" w:rsidP="00B43595"/>
                        <w:p w14:paraId="5B8013AE"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B7FD459" w14:textId="77777777" w:rsidR="006C6FF6" w:rsidRDefault="006C6FF6" w:rsidP="00B43595"/>
                        <w:p w14:paraId="520247E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3C8C4BA5" w14:textId="77777777" w:rsidR="006C6FF6" w:rsidRDefault="006C6FF6" w:rsidP="00B43595"/>
                        <w:p w14:paraId="6D3EC8AA"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CA505CA" w14:textId="77777777" w:rsidR="006C6FF6" w:rsidRDefault="006C6FF6" w:rsidP="00B43595"/>
                        <w:p w14:paraId="01DBDCB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AB02E00" w14:textId="77777777" w:rsidR="006C6FF6" w:rsidRDefault="006C6FF6" w:rsidP="00B43595"/>
                        <w:p w14:paraId="03E1B31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49F1700" w14:textId="77777777" w:rsidR="006C6FF6" w:rsidRDefault="006C6FF6" w:rsidP="00B43595"/>
                        <w:p w14:paraId="6642189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0B63E89" w14:textId="77777777" w:rsidR="006C6FF6" w:rsidRDefault="006C6FF6" w:rsidP="00B43595"/>
                        <w:p w14:paraId="3A89D3E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54931F5B" w14:textId="77777777" w:rsidR="006C6FF6" w:rsidRDefault="006C6FF6" w:rsidP="00B43595"/>
                        <w:p w14:paraId="2B26C91E"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9FE3C53" w14:textId="77777777" w:rsidR="006C6FF6" w:rsidRDefault="006C6FF6" w:rsidP="00B43595"/>
                        <w:p w14:paraId="795CE702"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C173407" w14:textId="77777777" w:rsidR="006C6FF6" w:rsidRDefault="006C6FF6" w:rsidP="00B43595"/>
                        <w:p w14:paraId="2133FDE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2A18A5F" w14:textId="77777777" w:rsidR="006C6FF6" w:rsidRDefault="006C6FF6" w:rsidP="00B43595"/>
                        <w:p w14:paraId="6A46427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470B4E9" w14:textId="77777777" w:rsidR="006C6FF6" w:rsidRDefault="006C6FF6" w:rsidP="00B43595"/>
                        <w:p w14:paraId="12D914C8" w14:textId="77777777" w:rsidR="006C6FF6" w:rsidRPr="00056843" w:rsidRDefault="006C6FF6" w:rsidP="00B43595">
                          <w:pPr>
                            <w:jc w:val="center"/>
                            <w:rPr>
                              <w:color w:val="FFFFFF" w:themeColor="background1"/>
                              <w:lang w:val="hy-AM"/>
                            </w:rPr>
                          </w:pPr>
                          <w:r>
                            <w:rPr>
                              <w:color w:val="FFFFFF" w:themeColor="background1"/>
                              <w:lang w:val="hy-AM"/>
                            </w:rPr>
                            <w:t>ԵՐԵՎԱՆ 2025</w:t>
                          </w:r>
                        </w:p>
                        <w:p w14:paraId="2CFEF0BC" w14:textId="77777777" w:rsidR="006C6FF6" w:rsidRDefault="006C6FF6" w:rsidP="00B43595"/>
                        <w:p w14:paraId="4B6618FD"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6D980B2" w14:textId="77777777" w:rsidR="006C6FF6" w:rsidRDefault="006C6FF6" w:rsidP="00B43595"/>
                        <w:p w14:paraId="012AFDE4"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95AC368" w14:textId="77777777" w:rsidR="006C6FF6" w:rsidRDefault="006C6FF6" w:rsidP="00B43595"/>
                        <w:p w14:paraId="5A0753B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6242843" w14:textId="77777777" w:rsidR="006C6FF6" w:rsidRDefault="006C6FF6" w:rsidP="00B43595"/>
                        <w:p w14:paraId="142991CC"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9CAF177" w14:textId="77777777" w:rsidR="006C6FF6" w:rsidRDefault="006C6FF6" w:rsidP="00B43595"/>
                        <w:p w14:paraId="199E181B"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10F8E49" w14:textId="77777777" w:rsidR="006C6FF6" w:rsidRDefault="006C6FF6" w:rsidP="00B43595"/>
                        <w:p w14:paraId="2CD2757D"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0F216A0" w14:textId="77777777" w:rsidR="006C6FF6" w:rsidRDefault="006C6FF6" w:rsidP="00B43595"/>
                        <w:p w14:paraId="025AC648"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6F755693" w14:textId="77777777" w:rsidR="006C6FF6" w:rsidRDefault="006C6FF6" w:rsidP="00B43595"/>
                        <w:p w14:paraId="03873BDF"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761084CB" w14:textId="77777777" w:rsidR="006C6FF6" w:rsidRDefault="006C6FF6" w:rsidP="00B43595"/>
                        <w:p w14:paraId="72C35515"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AA3F1DA" w14:textId="77777777" w:rsidR="006C6FF6" w:rsidRDefault="006C6FF6" w:rsidP="00B43595"/>
                        <w:p w14:paraId="0E820F57"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E933999" w14:textId="77777777" w:rsidR="006C6FF6" w:rsidRDefault="006C6FF6" w:rsidP="00B43595"/>
                        <w:p w14:paraId="611576E0"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0F7E567B" w14:textId="77777777" w:rsidR="006C6FF6" w:rsidRDefault="006C6FF6" w:rsidP="00B43595"/>
                        <w:p w14:paraId="7CC85DC2"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2DC1DAB5" w14:textId="77777777" w:rsidR="006C6FF6" w:rsidRDefault="006C6FF6" w:rsidP="00B43595"/>
                        <w:p w14:paraId="00F015B8"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157DDDA8" w14:textId="77777777" w:rsidR="006C6FF6" w:rsidRDefault="006C6FF6" w:rsidP="00B43595"/>
                        <w:p w14:paraId="18AD3726" w14:textId="77777777" w:rsidR="006C6FF6" w:rsidRPr="00056843" w:rsidRDefault="006C6FF6" w:rsidP="00B43595">
                          <w:pPr>
                            <w:jc w:val="center"/>
                            <w:rPr>
                              <w:color w:val="FFFFFF" w:themeColor="background1"/>
                              <w:lang w:val="hy-AM"/>
                            </w:rPr>
                          </w:pPr>
                          <w:r>
                            <w:rPr>
                              <w:color w:val="FFFFFF" w:themeColor="background1"/>
                              <w:lang w:val="hy-AM"/>
                            </w:rPr>
                            <w:t>ԵՐԵՎԱՆ 2024</w:t>
                          </w:r>
                        </w:p>
                        <w:p w14:paraId="482965DD" w14:textId="77777777" w:rsidR="006C6FF6" w:rsidRDefault="006C6FF6" w:rsidP="00B43595"/>
                        <w:p w14:paraId="7735A231" w14:textId="77777777" w:rsidR="006C6FF6" w:rsidRPr="00056843" w:rsidRDefault="006C6FF6" w:rsidP="00B43595">
                          <w:pPr>
                            <w:jc w:val="center"/>
                            <w:rPr>
                              <w:color w:val="FFFFFF" w:themeColor="background1"/>
                              <w:lang w:val="hy-AM"/>
                            </w:rPr>
                          </w:pPr>
                          <w:r>
                            <w:rPr>
                              <w:color w:val="FFFFFF" w:themeColor="background1"/>
                              <w:lang w:val="hy-AM"/>
                            </w:rPr>
                            <w:t>ԵՐԵՎԱՆ 2024</w:t>
                          </w:r>
                        </w:p>
                      </w:txbxContent>
                    </v:textbox>
                    <w10:wrap anchorx="margin" anchory="margin"/>
                  </v:rect>
                </w:pict>
              </mc:Fallback>
            </mc:AlternateContent>
          </w:r>
          <w:r w:rsidRPr="000232DD">
            <w:rPr>
              <w:noProof/>
              <w:color w:val="auto"/>
            </w:rPr>
            <mc:AlternateContent>
              <mc:Choice Requires="wps">
                <w:drawing>
                  <wp:anchor distT="0" distB="0" distL="114300" distR="114300" simplePos="0" relativeHeight="251663360" behindDoc="0" locked="0" layoutInCell="1" allowOverlap="1" wp14:anchorId="5A054D11" wp14:editId="186A7D70">
                    <wp:simplePos x="0" y="0"/>
                    <wp:positionH relativeFrom="margin">
                      <wp:posOffset>-146050</wp:posOffset>
                    </wp:positionH>
                    <wp:positionV relativeFrom="paragraph">
                      <wp:posOffset>7948930</wp:posOffset>
                    </wp:positionV>
                    <wp:extent cx="1399540" cy="395605"/>
                    <wp:effectExtent l="0" t="0" r="0" b="4445"/>
                    <wp:wrapNone/>
                    <wp:docPr id="46" name="Text Box 46"/>
                    <wp:cNvGraphicFramePr/>
                    <a:graphic xmlns:a="http://schemas.openxmlformats.org/drawingml/2006/main">
                      <a:graphicData uri="http://schemas.microsoft.com/office/word/2010/wordprocessingShape">
                        <wps:wsp>
                          <wps:cNvSpPr txBox="1"/>
                          <wps:spPr>
                            <a:xfrm>
                              <a:off x="0" y="0"/>
                              <a:ext cx="1405890" cy="395605"/>
                            </a:xfrm>
                            <a:prstGeom prst="rect">
                              <a:avLst/>
                            </a:prstGeom>
                            <a:noFill/>
                            <a:ln w="6350">
                              <a:noFill/>
                            </a:ln>
                          </wps:spPr>
                          <wps:txbx>
                            <w:txbxContent>
                              <w:p w14:paraId="0343240D" w14:textId="77777777" w:rsidR="006C6FF6" w:rsidRDefault="006C6FF6" w:rsidP="00B43595">
                                <w:pPr>
                                  <w:rPr>
                                    <w:b/>
                                    <w:color w:val="FFFFFF" w:themeColor="background1"/>
                                    <w:sz w:val="30"/>
                                    <w:szCs w:val="30"/>
                                  </w:rPr>
                                </w:pPr>
                                <w:r>
                                  <w:rPr>
                                    <w:b/>
                                    <w:color w:val="FFFFFF" w:themeColor="background1"/>
                                    <w:sz w:val="30"/>
                                    <w:szCs w:val="30"/>
                                  </w:rPr>
                                  <w:t>Yerevan 2024</w:t>
                                </w:r>
                              </w:p>
                              <w:p w14:paraId="41CAC36A" w14:textId="77777777" w:rsidR="006C6FF6" w:rsidRDefault="006C6FF6" w:rsidP="00B43595"/>
                              <w:p w14:paraId="1AB7984C"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05A5D79"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5C0B7D5" w14:textId="77777777" w:rsidR="006C6FF6" w:rsidRPr="00682390" w:rsidRDefault="006C6FF6" w:rsidP="00B43595">
                                <w:pPr>
                                  <w:rPr>
                                    <w:lang w:val="hy-AM"/>
                                  </w:rPr>
                                </w:pPr>
                              </w:p>
                              <w:p w14:paraId="7D594E27"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6181E09"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46452074" w14:textId="77777777" w:rsidR="006C6FF6" w:rsidRPr="00682390" w:rsidRDefault="006C6FF6" w:rsidP="00B43595">
                                <w:pPr>
                                  <w:rPr>
                                    <w:lang w:val="hy-AM"/>
                                  </w:rPr>
                                </w:pPr>
                              </w:p>
                              <w:p w14:paraId="64FACC2B"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4777926"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766F4D04" w14:textId="77777777" w:rsidR="006C6FF6" w:rsidRPr="00454DBB" w:rsidRDefault="006C6FF6" w:rsidP="00B43595">
                                <w:pPr>
                                  <w:rPr>
                                    <w:lang w:val="hy-AM"/>
                                  </w:rPr>
                                </w:pPr>
                              </w:p>
                              <w:p w14:paraId="26EA84B8"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0DF260D6" w14:textId="77777777" w:rsidR="006C6FF6" w:rsidRPr="00454DBB" w:rsidRDefault="006C6FF6" w:rsidP="00B43595">
                                <w:pPr>
                                  <w:rPr>
                                    <w:lang w:val="hy-AM"/>
                                  </w:rPr>
                                </w:pPr>
                              </w:p>
                              <w:p w14:paraId="2679AAF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4A17D0F"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247776C" w14:textId="77777777" w:rsidR="006C6FF6" w:rsidRPr="00682390" w:rsidRDefault="006C6FF6" w:rsidP="00B43595">
                                <w:pPr>
                                  <w:rPr>
                                    <w:lang w:val="hy-AM"/>
                                  </w:rPr>
                                </w:pPr>
                              </w:p>
                              <w:p w14:paraId="6ABD554E"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C7E80D3"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C2129A6" w14:textId="77777777" w:rsidR="006C6FF6" w:rsidRPr="00682390" w:rsidRDefault="006C6FF6" w:rsidP="00B43595">
                                <w:pPr>
                                  <w:rPr>
                                    <w:lang w:val="hy-AM"/>
                                  </w:rPr>
                                </w:pPr>
                              </w:p>
                              <w:p w14:paraId="3F4776AF"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3A0E5F3" w14:textId="77777777" w:rsidR="006C6FF6" w:rsidRPr="003A5AE3"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3EA274F8" w14:textId="77777777" w:rsidR="006C6FF6" w:rsidRPr="003A5AE3" w:rsidRDefault="006C6FF6" w:rsidP="00B43595">
                                <w:pPr>
                                  <w:rPr>
                                    <w:lang w:val="hy-AM"/>
                                  </w:rPr>
                                </w:pPr>
                              </w:p>
                              <w:p w14:paraId="796E11D3"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0EAED3A7" w14:textId="77777777" w:rsidR="006C6FF6" w:rsidRPr="003A5AE3" w:rsidRDefault="006C6FF6" w:rsidP="00B43595">
                                <w:pPr>
                                  <w:rPr>
                                    <w:lang w:val="hy-AM"/>
                                  </w:rPr>
                                </w:pPr>
                              </w:p>
                              <w:p w14:paraId="63FA54DB"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5962F53"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DA24DDB" w14:textId="77777777" w:rsidR="006C6FF6" w:rsidRPr="00682390" w:rsidRDefault="006C6FF6" w:rsidP="00B43595">
                                <w:pPr>
                                  <w:rPr>
                                    <w:lang w:val="hy-AM"/>
                                  </w:rPr>
                                </w:pPr>
                              </w:p>
                              <w:p w14:paraId="1691A812"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CE98863"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622339A" w14:textId="77777777" w:rsidR="006C6FF6" w:rsidRPr="00682390" w:rsidRDefault="006C6FF6" w:rsidP="00B43595">
                                <w:pPr>
                                  <w:rPr>
                                    <w:lang w:val="hy-AM"/>
                                  </w:rPr>
                                </w:pPr>
                              </w:p>
                              <w:p w14:paraId="79227BA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AEF88CB"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125FB1C9" w14:textId="77777777" w:rsidR="006C6FF6" w:rsidRPr="00454DBB" w:rsidRDefault="006C6FF6" w:rsidP="00B43595">
                                <w:pPr>
                                  <w:rPr>
                                    <w:lang w:val="hy-AM"/>
                                  </w:rPr>
                                </w:pPr>
                              </w:p>
                              <w:p w14:paraId="7C341DEB"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766CBF85" w14:textId="77777777" w:rsidR="006C6FF6" w:rsidRPr="00454DBB" w:rsidRDefault="006C6FF6" w:rsidP="00B43595">
                                <w:pPr>
                                  <w:rPr>
                                    <w:lang w:val="hy-AM"/>
                                  </w:rPr>
                                </w:pPr>
                              </w:p>
                              <w:p w14:paraId="44FC5AF6"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03A5CC5"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A05BD64" w14:textId="77777777" w:rsidR="006C6FF6" w:rsidRPr="00682390" w:rsidRDefault="006C6FF6" w:rsidP="00B43595">
                                <w:pPr>
                                  <w:rPr>
                                    <w:lang w:val="hy-AM"/>
                                  </w:rPr>
                                </w:pPr>
                              </w:p>
                              <w:p w14:paraId="493F9EA3"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8B5B00E"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D2FBE95" w14:textId="77777777" w:rsidR="006C6FF6" w:rsidRPr="00682390" w:rsidRDefault="006C6FF6" w:rsidP="00B43595">
                                <w:pPr>
                                  <w:rPr>
                                    <w:lang w:val="hy-AM"/>
                                  </w:rPr>
                                </w:pPr>
                              </w:p>
                              <w:p w14:paraId="0BAF4E7F"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F6314FC" w14:textId="77777777" w:rsidR="006C6FF6" w:rsidRPr="00202938"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202938">
                                  <w:rPr>
                                    <w:b/>
                                    <w:color w:val="FFFFFF" w:themeColor="background1"/>
                                    <w:sz w:val="30"/>
                                    <w:szCs w:val="30"/>
                                    <w:lang w:val="hy-AM"/>
                                  </w:rPr>
                                  <w:t>Yerevan 2024</w:t>
                                </w:r>
                              </w:p>
                              <w:p w14:paraId="7728DFE2" w14:textId="77777777" w:rsidR="006C6FF6" w:rsidRPr="00202938" w:rsidRDefault="006C6FF6" w:rsidP="00B43595">
                                <w:pPr>
                                  <w:rPr>
                                    <w:lang w:val="hy-AM"/>
                                  </w:rPr>
                                </w:pPr>
                              </w:p>
                              <w:p w14:paraId="7621E738" w14:textId="77777777" w:rsidR="006C6FF6" w:rsidRPr="00202938"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202938">
                                  <w:rPr>
                                    <w:b/>
                                    <w:color w:val="FFFFFF" w:themeColor="background1"/>
                                    <w:sz w:val="30"/>
                                    <w:szCs w:val="30"/>
                                    <w:lang w:val="hy-AM"/>
                                  </w:rPr>
                                  <w:t>Yerevan 2024</w:t>
                                </w:r>
                              </w:p>
                              <w:p w14:paraId="0DB054F2" w14:textId="77777777" w:rsidR="006C6FF6" w:rsidRPr="00202938" w:rsidRDefault="006C6FF6" w:rsidP="00B43595">
                                <w:pPr>
                                  <w:rPr>
                                    <w:lang w:val="hy-AM"/>
                                  </w:rPr>
                                </w:pPr>
                              </w:p>
                              <w:p w14:paraId="40B7764C"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94205CB"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4E521D3" w14:textId="77777777" w:rsidR="006C6FF6" w:rsidRPr="00682390" w:rsidRDefault="006C6FF6" w:rsidP="00B43595">
                                <w:pPr>
                                  <w:rPr>
                                    <w:lang w:val="hy-AM"/>
                                  </w:rPr>
                                </w:pPr>
                              </w:p>
                              <w:p w14:paraId="754F76C3"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48C1240"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CA4DB06" w14:textId="77777777" w:rsidR="006C6FF6" w:rsidRPr="00682390" w:rsidRDefault="006C6FF6" w:rsidP="00B43595">
                                <w:pPr>
                                  <w:rPr>
                                    <w:lang w:val="hy-AM"/>
                                  </w:rPr>
                                </w:pPr>
                              </w:p>
                              <w:p w14:paraId="2B732A61"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C2DA3BA"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7DEF0443" w14:textId="77777777" w:rsidR="006C6FF6" w:rsidRPr="00454DBB" w:rsidRDefault="006C6FF6" w:rsidP="00B43595">
                                <w:pPr>
                                  <w:rPr>
                                    <w:lang w:val="hy-AM"/>
                                  </w:rPr>
                                </w:pPr>
                              </w:p>
                              <w:p w14:paraId="55837B8B"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3027716B" w14:textId="77777777" w:rsidR="006C6FF6" w:rsidRPr="00454DBB" w:rsidRDefault="006C6FF6" w:rsidP="00B43595">
                                <w:pPr>
                                  <w:rPr>
                                    <w:lang w:val="hy-AM"/>
                                  </w:rPr>
                                </w:pPr>
                              </w:p>
                              <w:p w14:paraId="7436DB40"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7862E18"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1A334B2" w14:textId="77777777" w:rsidR="006C6FF6" w:rsidRPr="00682390" w:rsidRDefault="006C6FF6" w:rsidP="00B43595">
                                <w:pPr>
                                  <w:rPr>
                                    <w:lang w:val="hy-AM"/>
                                  </w:rPr>
                                </w:pPr>
                              </w:p>
                              <w:p w14:paraId="1D2972BF"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A23DA62"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C7DC901" w14:textId="77777777" w:rsidR="006C6FF6" w:rsidRPr="00682390" w:rsidRDefault="006C6FF6" w:rsidP="00B43595">
                                <w:pPr>
                                  <w:rPr>
                                    <w:lang w:val="hy-AM"/>
                                  </w:rPr>
                                </w:pPr>
                              </w:p>
                              <w:p w14:paraId="7094F850"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E0703CF" w14:textId="77777777" w:rsidR="006C6FF6" w:rsidRPr="003A5AE3"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0E29E1A9" w14:textId="77777777" w:rsidR="006C6FF6" w:rsidRPr="003A5AE3" w:rsidRDefault="006C6FF6" w:rsidP="00B43595">
                                <w:pPr>
                                  <w:rPr>
                                    <w:lang w:val="hy-AM"/>
                                  </w:rPr>
                                </w:pPr>
                              </w:p>
                              <w:p w14:paraId="77C2D27A"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08119A78" w14:textId="77777777" w:rsidR="006C6FF6" w:rsidRPr="003A5AE3" w:rsidRDefault="006C6FF6" w:rsidP="00B43595">
                                <w:pPr>
                                  <w:rPr>
                                    <w:lang w:val="hy-AM"/>
                                  </w:rPr>
                                </w:pPr>
                              </w:p>
                              <w:p w14:paraId="265FA2B8"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DF23E5E"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14F679B" w14:textId="77777777" w:rsidR="006C6FF6" w:rsidRPr="00682390" w:rsidRDefault="006C6FF6" w:rsidP="00B43595">
                                <w:pPr>
                                  <w:rPr>
                                    <w:lang w:val="hy-AM"/>
                                  </w:rPr>
                                </w:pPr>
                              </w:p>
                              <w:p w14:paraId="2E46556A"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B478E82"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3330A9C" w14:textId="77777777" w:rsidR="006C6FF6" w:rsidRPr="00682390" w:rsidRDefault="006C6FF6" w:rsidP="00B43595">
                                <w:pPr>
                                  <w:rPr>
                                    <w:lang w:val="hy-AM"/>
                                  </w:rPr>
                                </w:pPr>
                              </w:p>
                              <w:p w14:paraId="382AE667"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0D5CE30"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0554004D" w14:textId="77777777" w:rsidR="006C6FF6" w:rsidRPr="00454DBB" w:rsidRDefault="006C6FF6" w:rsidP="00B43595">
                                <w:pPr>
                                  <w:rPr>
                                    <w:lang w:val="hy-AM"/>
                                  </w:rPr>
                                </w:pPr>
                              </w:p>
                              <w:p w14:paraId="029C3CEE"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3EDA175B" w14:textId="77777777" w:rsidR="006C6FF6" w:rsidRPr="00454DBB" w:rsidRDefault="006C6FF6" w:rsidP="00B43595">
                                <w:pPr>
                                  <w:rPr>
                                    <w:lang w:val="hy-AM"/>
                                  </w:rPr>
                                </w:pPr>
                              </w:p>
                              <w:p w14:paraId="4FBECDEF"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5EF2C6E"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388534D" w14:textId="77777777" w:rsidR="006C6FF6" w:rsidRPr="00682390" w:rsidRDefault="006C6FF6" w:rsidP="00B43595">
                                <w:pPr>
                                  <w:rPr>
                                    <w:lang w:val="hy-AM"/>
                                  </w:rPr>
                                </w:pPr>
                              </w:p>
                              <w:p w14:paraId="3FF0748F"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6B465A6"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1AC40A9" w14:textId="77777777" w:rsidR="006C6FF6" w:rsidRPr="00682390" w:rsidRDefault="006C6FF6" w:rsidP="00B43595">
                                <w:pPr>
                                  <w:rPr>
                                    <w:lang w:val="hy-AM"/>
                                  </w:rPr>
                                </w:pPr>
                              </w:p>
                              <w:p w14:paraId="58396571"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CF575EC" w14:textId="77777777" w:rsidR="006C6FF6" w:rsidRPr="00A72B0A"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A72B0A">
                                  <w:rPr>
                                    <w:b/>
                                    <w:color w:val="FFFFFF" w:themeColor="background1"/>
                                    <w:sz w:val="30"/>
                                    <w:szCs w:val="30"/>
                                    <w:lang w:val="hy-AM"/>
                                  </w:rPr>
                                  <w:t>Yerevan 2024</w:t>
                                </w:r>
                              </w:p>
                              <w:p w14:paraId="5FB9985A" w14:textId="77777777" w:rsidR="006C6FF6" w:rsidRPr="00A72B0A" w:rsidRDefault="006C6FF6" w:rsidP="00B43595">
                                <w:pPr>
                                  <w:rPr>
                                    <w:lang w:val="hy-AM"/>
                                  </w:rPr>
                                </w:pPr>
                              </w:p>
                              <w:p w14:paraId="6E16A8AF" w14:textId="77777777" w:rsidR="006C6FF6" w:rsidRPr="00A72B0A" w:rsidRDefault="006C6FF6" w:rsidP="00B43595">
                                <w:pPr>
                                  <w:rPr>
                                    <w:b/>
                                    <w:color w:val="FFFFFF" w:themeColor="background1"/>
                                    <w:sz w:val="30"/>
                                    <w:szCs w:val="30"/>
                                    <w:lang w:val="hy-AM"/>
                                  </w:rPr>
                                </w:pPr>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ՀԻՄՆԱԿԱՆ ՈՒՂՂՈՒԹՅՈՒՆՆԵՐԻ ՄԱՍԻՆ</w:t>
                                </w:r>
                                <w:r w:rsidRPr="00A72B0A">
                                  <w:rPr>
                                    <w:b/>
                                    <w:color w:val="FFFFFF" w:themeColor="background1"/>
                                    <w:sz w:val="30"/>
                                    <w:szCs w:val="30"/>
                                    <w:lang w:val="hy-AM"/>
                                  </w:rPr>
                                  <w:t>Yerevan 2024</w:t>
                                </w:r>
                              </w:p>
                              <w:p w14:paraId="7652224E" w14:textId="77777777" w:rsidR="006C6FF6" w:rsidRPr="00A72B0A" w:rsidRDefault="006C6FF6" w:rsidP="00B43595">
                                <w:pPr>
                                  <w:rPr>
                                    <w:lang w:val="hy-AM"/>
                                  </w:rPr>
                                </w:pPr>
                              </w:p>
                              <w:p w14:paraId="47FAF75B"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1F042FE"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946B115" w14:textId="77777777" w:rsidR="006C6FF6" w:rsidRPr="00682390" w:rsidRDefault="006C6FF6" w:rsidP="00B43595">
                                <w:pPr>
                                  <w:rPr>
                                    <w:lang w:val="hy-AM"/>
                                  </w:rPr>
                                </w:pPr>
                              </w:p>
                              <w:p w14:paraId="28047648"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E3A781B"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41E7661" w14:textId="77777777" w:rsidR="006C6FF6" w:rsidRPr="00682390" w:rsidRDefault="006C6FF6" w:rsidP="00B43595">
                                <w:pPr>
                                  <w:rPr>
                                    <w:lang w:val="hy-AM"/>
                                  </w:rPr>
                                </w:pPr>
                              </w:p>
                              <w:p w14:paraId="0FB04786"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8B4A2D0"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44D6FC2D" w14:textId="77777777" w:rsidR="006C6FF6" w:rsidRPr="00454DBB" w:rsidRDefault="006C6FF6" w:rsidP="00B43595">
                                <w:pPr>
                                  <w:rPr>
                                    <w:lang w:val="hy-AM"/>
                                  </w:rPr>
                                </w:pPr>
                              </w:p>
                              <w:p w14:paraId="06951282"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1FF3B5A2" w14:textId="77777777" w:rsidR="006C6FF6" w:rsidRPr="00454DBB" w:rsidRDefault="006C6FF6" w:rsidP="00B43595">
                                <w:pPr>
                                  <w:rPr>
                                    <w:lang w:val="hy-AM"/>
                                  </w:rPr>
                                </w:pPr>
                              </w:p>
                              <w:p w14:paraId="638BC85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49280B0"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35F9ECE" w14:textId="77777777" w:rsidR="006C6FF6" w:rsidRPr="00682390" w:rsidRDefault="006C6FF6" w:rsidP="00B43595">
                                <w:pPr>
                                  <w:rPr>
                                    <w:lang w:val="hy-AM"/>
                                  </w:rPr>
                                </w:pPr>
                              </w:p>
                              <w:p w14:paraId="065C0787"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3996C7C"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FE38B7D" w14:textId="77777777" w:rsidR="006C6FF6" w:rsidRPr="00682390" w:rsidRDefault="006C6FF6" w:rsidP="00B43595">
                                <w:pPr>
                                  <w:rPr>
                                    <w:lang w:val="hy-AM"/>
                                  </w:rPr>
                                </w:pPr>
                              </w:p>
                              <w:p w14:paraId="576B2E53"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5DCFFFE" w14:textId="77777777" w:rsidR="006C6FF6" w:rsidRPr="003A5AE3"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4A5584F2" w14:textId="77777777" w:rsidR="006C6FF6" w:rsidRPr="003A5AE3" w:rsidRDefault="006C6FF6" w:rsidP="00B43595">
                                <w:pPr>
                                  <w:rPr>
                                    <w:lang w:val="hy-AM"/>
                                  </w:rPr>
                                </w:pPr>
                              </w:p>
                              <w:p w14:paraId="4DDA114E"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41D6AB90" w14:textId="77777777" w:rsidR="006C6FF6" w:rsidRPr="003A5AE3" w:rsidRDefault="006C6FF6" w:rsidP="00B43595">
                                <w:pPr>
                                  <w:rPr>
                                    <w:lang w:val="hy-AM"/>
                                  </w:rPr>
                                </w:pPr>
                              </w:p>
                              <w:p w14:paraId="63807F10"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3977B27"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55C680C" w14:textId="77777777" w:rsidR="006C6FF6" w:rsidRPr="00682390" w:rsidRDefault="006C6FF6" w:rsidP="00B43595">
                                <w:pPr>
                                  <w:rPr>
                                    <w:lang w:val="hy-AM"/>
                                  </w:rPr>
                                </w:pPr>
                              </w:p>
                              <w:p w14:paraId="75108F3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754132B"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F7023C7" w14:textId="77777777" w:rsidR="006C6FF6" w:rsidRPr="00682390" w:rsidRDefault="006C6FF6" w:rsidP="00B43595">
                                <w:pPr>
                                  <w:rPr>
                                    <w:lang w:val="hy-AM"/>
                                  </w:rPr>
                                </w:pPr>
                              </w:p>
                              <w:p w14:paraId="5C1943E3"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04E36F4"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639F0029" w14:textId="77777777" w:rsidR="006C6FF6" w:rsidRPr="00454DBB" w:rsidRDefault="006C6FF6" w:rsidP="00B43595">
                                <w:pPr>
                                  <w:rPr>
                                    <w:lang w:val="hy-AM"/>
                                  </w:rPr>
                                </w:pPr>
                              </w:p>
                              <w:p w14:paraId="65D616B5"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61321A95" w14:textId="77777777" w:rsidR="006C6FF6" w:rsidRPr="00454DBB" w:rsidRDefault="006C6FF6" w:rsidP="00B43595">
                                <w:pPr>
                                  <w:rPr>
                                    <w:lang w:val="hy-AM"/>
                                  </w:rPr>
                                </w:pPr>
                              </w:p>
                              <w:p w14:paraId="5A32B77E"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6B65628"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C142042" w14:textId="77777777" w:rsidR="006C6FF6" w:rsidRPr="00682390" w:rsidRDefault="006C6FF6" w:rsidP="00B43595">
                                <w:pPr>
                                  <w:rPr>
                                    <w:lang w:val="hy-AM"/>
                                  </w:rPr>
                                </w:pPr>
                              </w:p>
                              <w:p w14:paraId="2B267B1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E4DDA2D"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BB7FDF7" w14:textId="77777777" w:rsidR="006C6FF6" w:rsidRPr="00682390" w:rsidRDefault="006C6FF6" w:rsidP="00B43595">
                                <w:pPr>
                                  <w:rPr>
                                    <w:lang w:val="hy-AM"/>
                                  </w:rPr>
                                </w:pPr>
                              </w:p>
                              <w:p w14:paraId="2C96ABE6"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B4D4EC1" w14:textId="77777777" w:rsidR="006C6FF6" w:rsidRPr="00202938"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202938">
                                  <w:rPr>
                                    <w:b/>
                                    <w:color w:val="FFFFFF" w:themeColor="background1"/>
                                    <w:sz w:val="30"/>
                                    <w:szCs w:val="30"/>
                                    <w:lang w:val="hy-AM"/>
                                  </w:rPr>
                                  <w:t>Yerevan 2024</w:t>
                                </w:r>
                              </w:p>
                              <w:p w14:paraId="4FD2FE6E" w14:textId="77777777" w:rsidR="006C6FF6" w:rsidRPr="00202938" w:rsidRDefault="006C6FF6" w:rsidP="00B43595">
                                <w:pPr>
                                  <w:rPr>
                                    <w:lang w:val="hy-AM"/>
                                  </w:rPr>
                                </w:pPr>
                              </w:p>
                              <w:p w14:paraId="6C77A444" w14:textId="77777777" w:rsidR="006C6FF6" w:rsidRPr="00202938"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202938">
                                  <w:rPr>
                                    <w:b/>
                                    <w:color w:val="FFFFFF" w:themeColor="background1"/>
                                    <w:sz w:val="30"/>
                                    <w:szCs w:val="30"/>
                                    <w:lang w:val="hy-AM"/>
                                  </w:rPr>
                                  <w:t>Yerevan 2024</w:t>
                                </w:r>
                              </w:p>
                              <w:p w14:paraId="44E5AA88" w14:textId="77777777" w:rsidR="006C6FF6" w:rsidRPr="00202938" w:rsidRDefault="006C6FF6" w:rsidP="00B43595">
                                <w:pPr>
                                  <w:rPr>
                                    <w:lang w:val="hy-AM"/>
                                  </w:rPr>
                                </w:pPr>
                              </w:p>
                              <w:p w14:paraId="39CBF78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0E4B563"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410F76A6" w14:textId="77777777" w:rsidR="006C6FF6" w:rsidRPr="00682390" w:rsidRDefault="006C6FF6" w:rsidP="00B43595">
                                <w:pPr>
                                  <w:rPr>
                                    <w:lang w:val="hy-AM"/>
                                  </w:rPr>
                                </w:pPr>
                              </w:p>
                              <w:p w14:paraId="0947966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A627817"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4EA5CF70" w14:textId="77777777" w:rsidR="006C6FF6" w:rsidRPr="00682390" w:rsidRDefault="006C6FF6" w:rsidP="00B43595">
                                <w:pPr>
                                  <w:rPr>
                                    <w:lang w:val="hy-AM"/>
                                  </w:rPr>
                                </w:pPr>
                              </w:p>
                              <w:p w14:paraId="4A13E7A9"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8AB0E6A"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5554F869" w14:textId="77777777" w:rsidR="006C6FF6" w:rsidRPr="00454DBB" w:rsidRDefault="006C6FF6" w:rsidP="00B43595">
                                <w:pPr>
                                  <w:rPr>
                                    <w:lang w:val="hy-AM"/>
                                  </w:rPr>
                                </w:pPr>
                              </w:p>
                              <w:p w14:paraId="37CAB062"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75DD6A14" w14:textId="77777777" w:rsidR="006C6FF6" w:rsidRPr="00454DBB" w:rsidRDefault="006C6FF6" w:rsidP="00B43595">
                                <w:pPr>
                                  <w:rPr>
                                    <w:lang w:val="hy-AM"/>
                                  </w:rPr>
                                </w:pPr>
                              </w:p>
                              <w:p w14:paraId="4A3B703C"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54D8815"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A6A891C" w14:textId="77777777" w:rsidR="006C6FF6" w:rsidRPr="00682390" w:rsidRDefault="006C6FF6" w:rsidP="00B43595">
                                <w:pPr>
                                  <w:rPr>
                                    <w:lang w:val="hy-AM"/>
                                  </w:rPr>
                                </w:pPr>
                              </w:p>
                              <w:p w14:paraId="141ADE3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5CB1B00"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BD7ABFD" w14:textId="77777777" w:rsidR="006C6FF6" w:rsidRPr="00682390" w:rsidRDefault="006C6FF6" w:rsidP="00B43595">
                                <w:pPr>
                                  <w:rPr>
                                    <w:lang w:val="hy-AM"/>
                                  </w:rPr>
                                </w:pPr>
                              </w:p>
                              <w:p w14:paraId="5BEDCC58"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CC53817" w14:textId="77777777" w:rsidR="006C6FF6" w:rsidRPr="003A5AE3"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4505A851" w14:textId="77777777" w:rsidR="006C6FF6" w:rsidRPr="003A5AE3" w:rsidRDefault="006C6FF6" w:rsidP="00B43595">
                                <w:pPr>
                                  <w:rPr>
                                    <w:lang w:val="hy-AM"/>
                                  </w:rPr>
                                </w:pPr>
                              </w:p>
                              <w:p w14:paraId="0516FCBA"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5DEA221E" w14:textId="77777777" w:rsidR="006C6FF6" w:rsidRPr="003A5AE3" w:rsidRDefault="006C6FF6" w:rsidP="00B43595">
                                <w:pPr>
                                  <w:rPr>
                                    <w:lang w:val="hy-AM"/>
                                  </w:rPr>
                                </w:pPr>
                              </w:p>
                              <w:p w14:paraId="7A2BBBBA"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ACDBECF"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421E0F4C" w14:textId="77777777" w:rsidR="006C6FF6" w:rsidRPr="00682390" w:rsidRDefault="006C6FF6" w:rsidP="00B43595">
                                <w:pPr>
                                  <w:rPr>
                                    <w:lang w:val="hy-AM"/>
                                  </w:rPr>
                                </w:pPr>
                              </w:p>
                              <w:p w14:paraId="163DB971"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8FFEDEE"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D57A10B" w14:textId="77777777" w:rsidR="006C6FF6" w:rsidRPr="00682390" w:rsidRDefault="006C6FF6" w:rsidP="00B43595">
                                <w:pPr>
                                  <w:rPr>
                                    <w:lang w:val="hy-AM"/>
                                  </w:rPr>
                                </w:pPr>
                              </w:p>
                              <w:p w14:paraId="55CA1E2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5F495DD"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5326203E" w14:textId="77777777" w:rsidR="006C6FF6" w:rsidRPr="00454DBB" w:rsidRDefault="006C6FF6" w:rsidP="00B43595">
                                <w:pPr>
                                  <w:rPr>
                                    <w:lang w:val="hy-AM"/>
                                  </w:rPr>
                                </w:pPr>
                              </w:p>
                              <w:p w14:paraId="78AFC602"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0A4C329E" w14:textId="77777777" w:rsidR="006C6FF6" w:rsidRPr="00454DBB" w:rsidRDefault="006C6FF6" w:rsidP="00B43595">
                                <w:pPr>
                                  <w:rPr>
                                    <w:lang w:val="hy-AM"/>
                                  </w:rPr>
                                </w:pPr>
                              </w:p>
                              <w:p w14:paraId="283E7C7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03A9DE2"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3C78BBD" w14:textId="77777777" w:rsidR="006C6FF6" w:rsidRPr="00682390" w:rsidRDefault="006C6FF6" w:rsidP="00B43595">
                                <w:pPr>
                                  <w:rPr>
                                    <w:lang w:val="hy-AM"/>
                                  </w:rPr>
                                </w:pPr>
                              </w:p>
                              <w:p w14:paraId="7948CB0B"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8A2571C"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6F4BF97" w14:textId="77777777" w:rsidR="006C6FF6" w:rsidRPr="00682390" w:rsidRDefault="006C6FF6" w:rsidP="00B43595">
                                <w:pPr>
                                  <w:rPr>
                                    <w:lang w:val="hy-AM"/>
                                  </w:rPr>
                                </w:pPr>
                              </w:p>
                              <w:p w14:paraId="7666C56A"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FB0713C" w14:textId="77777777" w:rsidR="006C6FF6" w:rsidRPr="00A506F2"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A506F2">
                                  <w:rPr>
                                    <w:b/>
                                    <w:color w:val="FFFFFF" w:themeColor="background1"/>
                                    <w:sz w:val="30"/>
                                    <w:szCs w:val="30"/>
                                    <w:lang w:val="hy-AM"/>
                                  </w:rPr>
                                  <w:t>Yerevan 2024</w:t>
                                </w:r>
                              </w:p>
                              <w:p w14:paraId="0EF50336" w14:textId="77777777" w:rsidR="006C6FF6" w:rsidRPr="00A506F2" w:rsidRDefault="006C6FF6" w:rsidP="00B43595">
                                <w:pPr>
                                  <w:rPr>
                                    <w:lang w:val="hy-AM"/>
                                  </w:rPr>
                                </w:pPr>
                              </w:p>
                              <w:p w14:paraId="6888DE1F" w14:textId="77777777" w:rsidR="006C6FF6" w:rsidRPr="00A506F2" w:rsidRDefault="006C6FF6" w:rsidP="00B43595">
                                <w:pPr>
                                  <w:rPr>
                                    <w:b/>
                                    <w:color w:val="FFFFFF" w:themeColor="background1"/>
                                    <w:sz w:val="30"/>
                                    <w:szCs w:val="30"/>
                                    <w:lang w:val="hy-AM"/>
                                  </w:rPr>
                                </w:pPr>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ՀԻՄՆԱԿԱՆ ՈՒՂՂՈՒԹՅՈՒՆՆԵՐԻ ՄԱՍԻՆ</w:t>
                                </w:r>
                                <w:r w:rsidRPr="00A506F2">
                                  <w:rPr>
                                    <w:b/>
                                    <w:color w:val="FFFFFF" w:themeColor="background1"/>
                                    <w:sz w:val="30"/>
                                    <w:szCs w:val="30"/>
                                    <w:lang w:val="hy-AM"/>
                                  </w:rPr>
                                  <w:t>Yerevan 2024</w:t>
                                </w:r>
                              </w:p>
                              <w:p w14:paraId="65BE2B3E" w14:textId="77777777" w:rsidR="006C6FF6" w:rsidRPr="00A506F2" w:rsidRDefault="006C6FF6" w:rsidP="00B43595">
                                <w:pPr>
                                  <w:rPr>
                                    <w:lang w:val="hy-AM"/>
                                  </w:rPr>
                                </w:pPr>
                              </w:p>
                              <w:p w14:paraId="4B8DDD83"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C77CB53"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ABFF5BC" w14:textId="77777777" w:rsidR="006C6FF6" w:rsidRPr="00682390" w:rsidRDefault="006C6FF6" w:rsidP="00B43595">
                                <w:pPr>
                                  <w:rPr>
                                    <w:lang w:val="hy-AM"/>
                                  </w:rPr>
                                </w:pPr>
                              </w:p>
                              <w:p w14:paraId="71430B2E"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410D467"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4B15474" w14:textId="77777777" w:rsidR="006C6FF6" w:rsidRPr="00682390" w:rsidRDefault="006C6FF6" w:rsidP="00B43595">
                                <w:pPr>
                                  <w:rPr>
                                    <w:lang w:val="hy-AM"/>
                                  </w:rPr>
                                </w:pPr>
                              </w:p>
                              <w:p w14:paraId="2201A23C"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3B9A533"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7403615A" w14:textId="77777777" w:rsidR="006C6FF6" w:rsidRPr="00454DBB" w:rsidRDefault="006C6FF6" w:rsidP="00B43595">
                                <w:pPr>
                                  <w:rPr>
                                    <w:lang w:val="hy-AM"/>
                                  </w:rPr>
                                </w:pPr>
                              </w:p>
                              <w:p w14:paraId="40BAB301"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55720A33" w14:textId="77777777" w:rsidR="006C6FF6" w:rsidRPr="00454DBB" w:rsidRDefault="006C6FF6" w:rsidP="00B43595">
                                <w:pPr>
                                  <w:rPr>
                                    <w:lang w:val="hy-AM"/>
                                  </w:rPr>
                                </w:pPr>
                              </w:p>
                              <w:p w14:paraId="12FE226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A7A2454"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AD087B9" w14:textId="77777777" w:rsidR="006C6FF6" w:rsidRPr="00682390" w:rsidRDefault="006C6FF6" w:rsidP="00B43595">
                                <w:pPr>
                                  <w:rPr>
                                    <w:lang w:val="hy-AM"/>
                                  </w:rPr>
                                </w:pPr>
                              </w:p>
                              <w:p w14:paraId="2CF3C2EA"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E89447B"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1314E260" w14:textId="77777777" w:rsidR="006C6FF6" w:rsidRPr="00682390" w:rsidRDefault="006C6FF6" w:rsidP="00B43595">
                                <w:pPr>
                                  <w:rPr>
                                    <w:lang w:val="hy-AM"/>
                                  </w:rPr>
                                </w:pPr>
                              </w:p>
                              <w:p w14:paraId="233D3F7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FB9643D" w14:textId="77777777" w:rsidR="006C6FF6" w:rsidRPr="003A5AE3"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06478375" w14:textId="77777777" w:rsidR="006C6FF6" w:rsidRPr="003A5AE3" w:rsidRDefault="006C6FF6" w:rsidP="00B43595">
                                <w:pPr>
                                  <w:rPr>
                                    <w:lang w:val="hy-AM"/>
                                  </w:rPr>
                                </w:pPr>
                              </w:p>
                              <w:p w14:paraId="008AC665"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66E9CE95" w14:textId="77777777" w:rsidR="006C6FF6" w:rsidRPr="003A5AE3" w:rsidRDefault="006C6FF6" w:rsidP="00B43595">
                                <w:pPr>
                                  <w:rPr>
                                    <w:lang w:val="hy-AM"/>
                                  </w:rPr>
                                </w:pPr>
                              </w:p>
                              <w:p w14:paraId="32A70552"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C83DBE7"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99800D6" w14:textId="77777777" w:rsidR="006C6FF6" w:rsidRPr="00682390" w:rsidRDefault="006C6FF6" w:rsidP="00B43595">
                                <w:pPr>
                                  <w:rPr>
                                    <w:lang w:val="hy-AM"/>
                                  </w:rPr>
                                </w:pPr>
                              </w:p>
                              <w:p w14:paraId="5764FC5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83267E8"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0C90D3E" w14:textId="77777777" w:rsidR="006C6FF6" w:rsidRPr="00682390" w:rsidRDefault="006C6FF6" w:rsidP="00B43595">
                                <w:pPr>
                                  <w:rPr>
                                    <w:lang w:val="hy-AM"/>
                                  </w:rPr>
                                </w:pPr>
                              </w:p>
                              <w:p w14:paraId="5C0DD4D2"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9AA5934"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372CDC5C" w14:textId="77777777" w:rsidR="006C6FF6" w:rsidRPr="00454DBB" w:rsidRDefault="006C6FF6" w:rsidP="00B43595">
                                <w:pPr>
                                  <w:rPr>
                                    <w:lang w:val="hy-AM"/>
                                  </w:rPr>
                                </w:pPr>
                              </w:p>
                              <w:p w14:paraId="4F0E7F4D"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7A368A8E" w14:textId="77777777" w:rsidR="006C6FF6" w:rsidRPr="00454DBB" w:rsidRDefault="006C6FF6" w:rsidP="00B43595">
                                <w:pPr>
                                  <w:rPr>
                                    <w:lang w:val="hy-AM"/>
                                  </w:rPr>
                                </w:pPr>
                              </w:p>
                              <w:p w14:paraId="196E64C5"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B1CA4B8"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4E807CD" w14:textId="77777777" w:rsidR="006C6FF6" w:rsidRPr="00682390" w:rsidRDefault="006C6FF6" w:rsidP="00B43595">
                                <w:pPr>
                                  <w:rPr>
                                    <w:lang w:val="hy-AM"/>
                                  </w:rPr>
                                </w:pPr>
                              </w:p>
                              <w:p w14:paraId="64801EF5"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23094E4"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3CCCBA48" w14:textId="77777777" w:rsidR="006C6FF6" w:rsidRPr="00682390" w:rsidRDefault="006C6FF6" w:rsidP="00B43595">
                                <w:pPr>
                                  <w:rPr>
                                    <w:lang w:val="hy-AM"/>
                                  </w:rPr>
                                </w:pPr>
                              </w:p>
                              <w:p w14:paraId="151332A0"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C89EF21" w14:textId="77777777" w:rsidR="006C6FF6" w:rsidRPr="00202938"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202938">
                                  <w:rPr>
                                    <w:b/>
                                    <w:color w:val="FFFFFF" w:themeColor="background1"/>
                                    <w:sz w:val="30"/>
                                    <w:szCs w:val="30"/>
                                    <w:lang w:val="hy-AM"/>
                                  </w:rPr>
                                  <w:t>Yerevan 2024</w:t>
                                </w:r>
                              </w:p>
                              <w:p w14:paraId="72A79802" w14:textId="77777777" w:rsidR="006C6FF6" w:rsidRPr="00202938" w:rsidRDefault="006C6FF6" w:rsidP="00B43595">
                                <w:pPr>
                                  <w:rPr>
                                    <w:lang w:val="hy-AM"/>
                                  </w:rPr>
                                </w:pPr>
                              </w:p>
                              <w:p w14:paraId="227F6875" w14:textId="77777777" w:rsidR="006C6FF6" w:rsidRPr="00202938"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202938">
                                  <w:rPr>
                                    <w:b/>
                                    <w:color w:val="FFFFFF" w:themeColor="background1"/>
                                    <w:sz w:val="30"/>
                                    <w:szCs w:val="30"/>
                                    <w:lang w:val="hy-AM"/>
                                  </w:rPr>
                                  <w:t>Yerevan 2024</w:t>
                                </w:r>
                              </w:p>
                              <w:p w14:paraId="0CD7215B" w14:textId="77777777" w:rsidR="006C6FF6" w:rsidRPr="00202938" w:rsidRDefault="006C6FF6" w:rsidP="00B43595">
                                <w:pPr>
                                  <w:rPr>
                                    <w:lang w:val="hy-AM"/>
                                  </w:rPr>
                                </w:pPr>
                              </w:p>
                              <w:p w14:paraId="34275329"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3AE2116"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A3836FD" w14:textId="77777777" w:rsidR="006C6FF6" w:rsidRPr="00682390" w:rsidRDefault="006C6FF6" w:rsidP="00B43595">
                                <w:pPr>
                                  <w:rPr>
                                    <w:lang w:val="hy-AM"/>
                                  </w:rPr>
                                </w:pPr>
                              </w:p>
                              <w:p w14:paraId="49A25443"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3876BB3"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D3B984E" w14:textId="77777777" w:rsidR="006C6FF6" w:rsidRPr="00682390" w:rsidRDefault="006C6FF6" w:rsidP="00B43595">
                                <w:pPr>
                                  <w:rPr>
                                    <w:lang w:val="hy-AM"/>
                                  </w:rPr>
                                </w:pPr>
                              </w:p>
                              <w:p w14:paraId="624EBFE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225CDE7"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7F58D27C" w14:textId="77777777" w:rsidR="006C6FF6" w:rsidRPr="00454DBB" w:rsidRDefault="006C6FF6" w:rsidP="00B43595">
                                <w:pPr>
                                  <w:rPr>
                                    <w:lang w:val="hy-AM"/>
                                  </w:rPr>
                                </w:pPr>
                              </w:p>
                              <w:p w14:paraId="0D8FC867"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6007CA71" w14:textId="77777777" w:rsidR="006C6FF6" w:rsidRPr="00454DBB" w:rsidRDefault="006C6FF6" w:rsidP="00B43595">
                                <w:pPr>
                                  <w:rPr>
                                    <w:lang w:val="hy-AM"/>
                                  </w:rPr>
                                </w:pPr>
                              </w:p>
                              <w:p w14:paraId="25EE45A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0F27055"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FCC38DC" w14:textId="77777777" w:rsidR="006C6FF6" w:rsidRPr="00682390" w:rsidRDefault="006C6FF6" w:rsidP="00B43595">
                                <w:pPr>
                                  <w:rPr>
                                    <w:lang w:val="hy-AM"/>
                                  </w:rPr>
                                </w:pPr>
                              </w:p>
                              <w:p w14:paraId="48AE0A71"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7D36592"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3EC67AE" w14:textId="77777777" w:rsidR="006C6FF6" w:rsidRPr="00682390" w:rsidRDefault="006C6FF6" w:rsidP="00B43595">
                                <w:pPr>
                                  <w:rPr>
                                    <w:lang w:val="hy-AM"/>
                                  </w:rPr>
                                </w:pPr>
                              </w:p>
                              <w:p w14:paraId="7F526FA6"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89233A9" w14:textId="77777777" w:rsidR="006C6FF6" w:rsidRPr="003A5AE3"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3BD493B7" w14:textId="77777777" w:rsidR="006C6FF6" w:rsidRPr="003A5AE3" w:rsidRDefault="006C6FF6" w:rsidP="00B43595">
                                <w:pPr>
                                  <w:rPr>
                                    <w:lang w:val="hy-AM"/>
                                  </w:rPr>
                                </w:pPr>
                              </w:p>
                              <w:p w14:paraId="6533AB98"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0A4AD770" w14:textId="77777777" w:rsidR="006C6FF6" w:rsidRPr="003A5AE3" w:rsidRDefault="006C6FF6" w:rsidP="00B43595">
                                <w:pPr>
                                  <w:rPr>
                                    <w:lang w:val="hy-AM"/>
                                  </w:rPr>
                                </w:pPr>
                              </w:p>
                              <w:p w14:paraId="7437A8C5"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652798A"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50D733A" w14:textId="77777777" w:rsidR="006C6FF6" w:rsidRPr="00682390" w:rsidRDefault="006C6FF6" w:rsidP="00B43595">
                                <w:pPr>
                                  <w:rPr>
                                    <w:lang w:val="hy-AM"/>
                                  </w:rPr>
                                </w:pPr>
                              </w:p>
                              <w:p w14:paraId="200A7EF2"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DB4BB97"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98D7A1B" w14:textId="77777777" w:rsidR="006C6FF6" w:rsidRPr="00682390" w:rsidRDefault="006C6FF6" w:rsidP="00B43595">
                                <w:pPr>
                                  <w:rPr>
                                    <w:lang w:val="hy-AM"/>
                                  </w:rPr>
                                </w:pPr>
                              </w:p>
                              <w:p w14:paraId="3392270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8EF89B1"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6881F87B" w14:textId="77777777" w:rsidR="006C6FF6" w:rsidRPr="00454DBB" w:rsidRDefault="006C6FF6" w:rsidP="00B43595">
                                <w:pPr>
                                  <w:rPr>
                                    <w:lang w:val="hy-AM"/>
                                  </w:rPr>
                                </w:pPr>
                              </w:p>
                              <w:p w14:paraId="5D2674D4"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275CC34E" w14:textId="77777777" w:rsidR="006C6FF6" w:rsidRPr="00454DBB" w:rsidRDefault="006C6FF6" w:rsidP="00B43595">
                                <w:pPr>
                                  <w:rPr>
                                    <w:lang w:val="hy-AM"/>
                                  </w:rPr>
                                </w:pPr>
                              </w:p>
                              <w:p w14:paraId="2CBD5C75"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790B52A"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5830319" w14:textId="77777777" w:rsidR="006C6FF6" w:rsidRPr="00682390" w:rsidRDefault="006C6FF6" w:rsidP="00B43595">
                                <w:pPr>
                                  <w:rPr>
                                    <w:lang w:val="hy-AM"/>
                                  </w:rPr>
                                </w:pPr>
                              </w:p>
                              <w:p w14:paraId="0E1A8CDC"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B9A7EEF"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1045457" w14:textId="77777777" w:rsidR="006C6FF6" w:rsidRPr="00682390" w:rsidRDefault="006C6FF6" w:rsidP="00B43595">
                                <w:pPr>
                                  <w:rPr>
                                    <w:lang w:val="hy-AM"/>
                                  </w:rPr>
                                </w:pPr>
                              </w:p>
                              <w:p w14:paraId="7E246C50"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65C29AE" w14:textId="77777777" w:rsidR="006C6FF6" w:rsidRPr="00A72B0A"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A72B0A">
                                  <w:rPr>
                                    <w:b/>
                                    <w:color w:val="FFFFFF" w:themeColor="background1"/>
                                    <w:sz w:val="30"/>
                                    <w:szCs w:val="30"/>
                                    <w:lang w:val="hy-AM"/>
                                  </w:rPr>
                                  <w:t>Yerevan 2024</w:t>
                                </w:r>
                              </w:p>
                              <w:p w14:paraId="28B7D25A" w14:textId="77777777" w:rsidR="006C6FF6" w:rsidRPr="00A72B0A" w:rsidRDefault="006C6FF6" w:rsidP="00B43595">
                                <w:pPr>
                                  <w:rPr>
                                    <w:lang w:val="hy-AM"/>
                                  </w:rPr>
                                </w:pPr>
                              </w:p>
                              <w:p w14:paraId="2F0D8DE1" w14:textId="77777777" w:rsidR="006C6FF6" w:rsidRPr="00A72B0A" w:rsidRDefault="006C6FF6" w:rsidP="00B43595">
                                <w:pPr>
                                  <w:rPr>
                                    <w:b/>
                                    <w:color w:val="FFFFFF" w:themeColor="background1"/>
                                    <w:sz w:val="30"/>
                                    <w:szCs w:val="30"/>
                                    <w:lang w:val="hy-AM"/>
                                  </w:rPr>
                                </w:pPr>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ՀԻՄՆԱԿԱՆ ՈՒՂՂՈՒԹՅՈՒՆՆԵՐԻ ՄԱՍԻՆ</w:t>
                                </w:r>
                                <w:r w:rsidRPr="00A72B0A">
                                  <w:rPr>
                                    <w:b/>
                                    <w:color w:val="FFFFFF" w:themeColor="background1"/>
                                    <w:sz w:val="30"/>
                                    <w:szCs w:val="30"/>
                                    <w:lang w:val="hy-AM"/>
                                  </w:rPr>
                                  <w:t>Yerevan 2024</w:t>
                                </w:r>
                              </w:p>
                              <w:p w14:paraId="3608B9A5" w14:textId="77777777" w:rsidR="006C6FF6" w:rsidRPr="00A72B0A" w:rsidRDefault="006C6FF6" w:rsidP="00B43595">
                                <w:pPr>
                                  <w:rPr>
                                    <w:lang w:val="hy-AM"/>
                                  </w:rPr>
                                </w:pPr>
                              </w:p>
                              <w:p w14:paraId="07C6BEAB"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E8D63C9"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413A02AA" w14:textId="77777777" w:rsidR="006C6FF6" w:rsidRPr="00682390" w:rsidRDefault="006C6FF6" w:rsidP="00B43595">
                                <w:pPr>
                                  <w:rPr>
                                    <w:lang w:val="hy-AM"/>
                                  </w:rPr>
                                </w:pPr>
                              </w:p>
                              <w:p w14:paraId="69851C48"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29ADEE8"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A664192" w14:textId="77777777" w:rsidR="006C6FF6" w:rsidRPr="00682390" w:rsidRDefault="006C6FF6" w:rsidP="00B43595">
                                <w:pPr>
                                  <w:rPr>
                                    <w:lang w:val="hy-AM"/>
                                  </w:rPr>
                                </w:pPr>
                              </w:p>
                              <w:p w14:paraId="3FEE6F55"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931DBEF"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48CF2150" w14:textId="77777777" w:rsidR="006C6FF6" w:rsidRPr="00454DBB" w:rsidRDefault="006C6FF6" w:rsidP="00B43595">
                                <w:pPr>
                                  <w:rPr>
                                    <w:lang w:val="hy-AM"/>
                                  </w:rPr>
                                </w:pPr>
                              </w:p>
                              <w:p w14:paraId="4D3DCA76"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568CE6E2" w14:textId="77777777" w:rsidR="006C6FF6" w:rsidRPr="00454DBB" w:rsidRDefault="006C6FF6" w:rsidP="00B43595">
                                <w:pPr>
                                  <w:rPr>
                                    <w:lang w:val="hy-AM"/>
                                  </w:rPr>
                                </w:pPr>
                              </w:p>
                              <w:p w14:paraId="76825A05"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1C45D91"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5463EF1" w14:textId="77777777" w:rsidR="006C6FF6" w:rsidRPr="00682390" w:rsidRDefault="006C6FF6" w:rsidP="00B43595">
                                <w:pPr>
                                  <w:rPr>
                                    <w:lang w:val="hy-AM"/>
                                  </w:rPr>
                                </w:pPr>
                              </w:p>
                              <w:p w14:paraId="52E9976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661C120"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4F3AD4BF" w14:textId="77777777" w:rsidR="006C6FF6" w:rsidRPr="00682390" w:rsidRDefault="006C6FF6" w:rsidP="00B43595">
                                <w:pPr>
                                  <w:rPr>
                                    <w:lang w:val="hy-AM"/>
                                  </w:rPr>
                                </w:pPr>
                              </w:p>
                              <w:p w14:paraId="1F008159"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16F04A0" w14:textId="77777777" w:rsidR="006C6FF6" w:rsidRPr="003A5AE3"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4B117166" w14:textId="77777777" w:rsidR="006C6FF6" w:rsidRPr="003A5AE3" w:rsidRDefault="006C6FF6" w:rsidP="00B43595">
                                <w:pPr>
                                  <w:rPr>
                                    <w:lang w:val="hy-AM"/>
                                  </w:rPr>
                                </w:pPr>
                              </w:p>
                              <w:p w14:paraId="773838E2"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42EB2658" w14:textId="77777777" w:rsidR="006C6FF6" w:rsidRPr="003A5AE3" w:rsidRDefault="006C6FF6" w:rsidP="00B43595">
                                <w:pPr>
                                  <w:rPr>
                                    <w:lang w:val="hy-AM"/>
                                  </w:rPr>
                                </w:pPr>
                              </w:p>
                              <w:p w14:paraId="522ADBB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13B6B25"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F8A53B7" w14:textId="77777777" w:rsidR="006C6FF6" w:rsidRPr="00682390" w:rsidRDefault="006C6FF6" w:rsidP="00B43595">
                                <w:pPr>
                                  <w:rPr>
                                    <w:lang w:val="hy-AM"/>
                                  </w:rPr>
                                </w:pPr>
                              </w:p>
                              <w:p w14:paraId="28BA7530"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42E86E2"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7F95AC6" w14:textId="77777777" w:rsidR="006C6FF6" w:rsidRPr="00682390" w:rsidRDefault="006C6FF6" w:rsidP="00B43595">
                                <w:pPr>
                                  <w:rPr>
                                    <w:lang w:val="hy-AM"/>
                                  </w:rPr>
                                </w:pPr>
                              </w:p>
                              <w:p w14:paraId="141C537F"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DBBE264"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4BE8D318" w14:textId="77777777" w:rsidR="006C6FF6" w:rsidRPr="00454DBB" w:rsidRDefault="006C6FF6" w:rsidP="00B43595">
                                <w:pPr>
                                  <w:rPr>
                                    <w:lang w:val="hy-AM"/>
                                  </w:rPr>
                                </w:pPr>
                              </w:p>
                              <w:p w14:paraId="3DF72579"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4D65600F" w14:textId="77777777" w:rsidR="006C6FF6" w:rsidRPr="00454DBB" w:rsidRDefault="006C6FF6" w:rsidP="00B43595">
                                <w:pPr>
                                  <w:rPr>
                                    <w:lang w:val="hy-AM"/>
                                  </w:rPr>
                                </w:pPr>
                              </w:p>
                              <w:p w14:paraId="4522F5C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93B43A1"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19E791E" w14:textId="77777777" w:rsidR="006C6FF6" w:rsidRPr="00682390" w:rsidRDefault="006C6FF6" w:rsidP="00B43595">
                                <w:pPr>
                                  <w:rPr>
                                    <w:lang w:val="hy-AM"/>
                                  </w:rPr>
                                </w:pPr>
                              </w:p>
                              <w:p w14:paraId="5799308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AE70FC5"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D54CDE8" w14:textId="77777777" w:rsidR="006C6FF6" w:rsidRPr="00682390" w:rsidRDefault="006C6FF6" w:rsidP="00B43595">
                                <w:pPr>
                                  <w:rPr>
                                    <w:lang w:val="hy-AM"/>
                                  </w:rPr>
                                </w:pPr>
                              </w:p>
                              <w:p w14:paraId="396C3937"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7DBB73E" w14:textId="77777777" w:rsidR="006C6FF6" w:rsidRPr="00202938"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202938">
                                  <w:rPr>
                                    <w:b/>
                                    <w:color w:val="FFFFFF" w:themeColor="background1"/>
                                    <w:sz w:val="30"/>
                                    <w:szCs w:val="30"/>
                                    <w:lang w:val="hy-AM"/>
                                  </w:rPr>
                                  <w:t>Yerevan 2024</w:t>
                                </w:r>
                              </w:p>
                              <w:p w14:paraId="13118B36" w14:textId="77777777" w:rsidR="006C6FF6" w:rsidRPr="00202938" w:rsidRDefault="006C6FF6" w:rsidP="00B43595">
                                <w:pPr>
                                  <w:rPr>
                                    <w:lang w:val="hy-AM"/>
                                  </w:rPr>
                                </w:pPr>
                              </w:p>
                              <w:p w14:paraId="2316473F" w14:textId="77777777" w:rsidR="006C6FF6" w:rsidRPr="00202938"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202938">
                                  <w:rPr>
                                    <w:b/>
                                    <w:color w:val="FFFFFF" w:themeColor="background1"/>
                                    <w:sz w:val="30"/>
                                    <w:szCs w:val="30"/>
                                    <w:lang w:val="hy-AM"/>
                                  </w:rPr>
                                  <w:t>Yerevan 2024</w:t>
                                </w:r>
                              </w:p>
                              <w:p w14:paraId="28B8114F" w14:textId="77777777" w:rsidR="006C6FF6" w:rsidRPr="00202938" w:rsidRDefault="006C6FF6" w:rsidP="00B43595">
                                <w:pPr>
                                  <w:rPr>
                                    <w:lang w:val="hy-AM"/>
                                  </w:rPr>
                                </w:pPr>
                              </w:p>
                              <w:p w14:paraId="387CB9E0" w14:textId="77777777" w:rsidR="006C6FF6" w:rsidRPr="00A3353C" w:rsidRDefault="006C6FF6" w:rsidP="00B43595">
                                <w:pPr>
                                  <w:pStyle w:val="TOC1"/>
                                  <w:rPr>
                                    <w:rFonts w:asciiTheme="minorHAnsi" w:hAnsiTheme="minorHAnsi"/>
                                    <w:color w:val="FFFFFF" w:themeColor="background1"/>
                                    <w:szCs w:val="40"/>
                                    <w:lang w:val="hy-AM"/>
                                  </w:rPr>
                                </w:pPr>
                                <w:bookmarkStart w:id="3" w:name="_Toc209625730"/>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3"/>
                                <w:r w:rsidRPr="00A3353C">
                                  <w:rPr>
                                    <w:rFonts w:asciiTheme="minorHAnsi" w:hAnsiTheme="minorHAnsi"/>
                                    <w:color w:val="FFFFFF" w:themeColor="background1"/>
                                    <w:szCs w:val="40"/>
                                    <w:lang w:val="hy-AM"/>
                                  </w:rPr>
                                  <w:t xml:space="preserve"> </w:t>
                                </w:r>
                              </w:p>
                              <w:p w14:paraId="23F3865E"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0767C45" w14:textId="77777777" w:rsidR="006C6FF6" w:rsidRPr="00682390" w:rsidRDefault="006C6FF6" w:rsidP="00B43595">
                                <w:pPr>
                                  <w:rPr>
                                    <w:lang w:val="hy-AM"/>
                                  </w:rPr>
                                </w:pPr>
                              </w:p>
                              <w:p w14:paraId="6C8A3EC7" w14:textId="77777777" w:rsidR="006C6FF6" w:rsidRPr="00A3353C" w:rsidRDefault="006C6FF6" w:rsidP="00B43595">
                                <w:pPr>
                                  <w:pStyle w:val="TOC1"/>
                                  <w:rPr>
                                    <w:rFonts w:asciiTheme="minorHAnsi" w:hAnsiTheme="minorHAnsi"/>
                                    <w:color w:val="FFFFFF" w:themeColor="background1"/>
                                    <w:szCs w:val="40"/>
                                    <w:lang w:val="hy-AM"/>
                                  </w:rPr>
                                </w:pPr>
                                <w:bookmarkStart w:id="4" w:name="_Toc209625731"/>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4"/>
                                <w:r w:rsidRPr="00A3353C">
                                  <w:rPr>
                                    <w:rFonts w:asciiTheme="minorHAnsi" w:hAnsiTheme="minorHAnsi"/>
                                    <w:color w:val="FFFFFF" w:themeColor="background1"/>
                                    <w:szCs w:val="40"/>
                                    <w:lang w:val="hy-AM"/>
                                  </w:rPr>
                                  <w:t xml:space="preserve"> </w:t>
                                </w:r>
                              </w:p>
                              <w:p w14:paraId="0E973EB9"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5B4DFE5F" w14:textId="77777777" w:rsidR="006C6FF6" w:rsidRPr="00682390" w:rsidRDefault="006C6FF6" w:rsidP="00B43595">
                                <w:pPr>
                                  <w:rPr>
                                    <w:lang w:val="hy-AM"/>
                                  </w:rPr>
                                </w:pPr>
                              </w:p>
                              <w:p w14:paraId="5A246112" w14:textId="77777777" w:rsidR="006C6FF6" w:rsidRPr="00A3353C" w:rsidRDefault="006C6FF6" w:rsidP="00B43595">
                                <w:pPr>
                                  <w:pStyle w:val="TOC1"/>
                                  <w:rPr>
                                    <w:rFonts w:asciiTheme="minorHAnsi" w:hAnsiTheme="minorHAnsi"/>
                                    <w:color w:val="FFFFFF" w:themeColor="background1"/>
                                    <w:szCs w:val="40"/>
                                    <w:lang w:val="hy-AM"/>
                                  </w:rPr>
                                </w:pPr>
                                <w:bookmarkStart w:id="5" w:name="_Toc209625732"/>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5"/>
                                <w:r w:rsidRPr="00A3353C">
                                  <w:rPr>
                                    <w:rFonts w:asciiTheme="minorHAnsi" w:hAnsiTheme="minorHAnsi"/>
                                    <w:color w:val="FFFFFF" w:themeColor="background1"/>
                                    <w:szCs w:val="40"/>
                                    <w:lang w:val="hy-AM"/>
                                  </w:rPr>
                                  <w:t xml:space="preserve"> </w:t>
                                </w:r>
                              </w:p>
                              <w:p w14:paraId="40ACD238"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410990A6" w14:textId="77777777" w:rsidR="006C6FF6" w:rsidRPr="00454DBB" w:rsidRDefault="006C6FF6" w:rsidP="00B43595">
                                <w:pPr>
                                  <w:rPr>
                                    <w:lang w:val="hy-AM"/>
                                  </w:rPr>
                                </w:pPr>
                              </w:p>
                              <w:p w14:paraId="26FF1622"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2300EA6C" w14:textId="77777777" w:rsidR="006C6FF6" w:rsidRPr="00454DBB" w:rsidRDefault="006C6FF6" w:rsidP="00B43595">
                                <w:pPr>
                                  <w:rPr>
                                    <w:lang w:val="hy-AM"/>
                                  </w:rPr>
                                </w:pPr>
                              </w:p>
                              <w:p w14:paraId="752E036E" w14:textId="77777777" w:rsidR="006C6FF6" w:rsidRPr="00A3353C" w:rsidRDefault="006C6FF6" w:rsidP="00B43595">
                                <w:pPr>
                                  <w:pStyle w:val="TOC1"/>
                                  <w:rPr>
                                    <w:rFonts w:asciiTheme="minorHAnsi" w:hAnsiTheme="minorHAnsi"/>
                                    <w:color w:val="FFFFFF" w:themeColor="background1"/>
                                    <w:szCs w:val="40"/>
                                    <w:lang w:val="hy-AM"/>
                                  </w:rPr>
                                </w:pPr>
                                <w:bookmarkStart w:id="6" w:name="_Toc209625733"/>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6"/>
                                <w:r w:rsidRPr="00A3353C">
                                  <w:rPr>
                                    <w:rFonts w:asciiTheme="minorHAnsi" w:hAnsiTheme="minorHAnsi"/>
                                    <w:color w:val="FFFFFF" w:themeColor="background1"/>
                                    <w:szCs w:val="40"/>
                                    <w:lang w:val="hy-AM"/>
                                  </w:rPr>
                                  <w:t xml:space="preserve"> </w:t>
                                </w:r>
                              </w:p>
                              <w:p w14:paraId="014676C5"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074714F3" w14:textId="77777777" w:rsidR="006C6FF6" w:rsidRPr="00682390" w:rsidRDefault="006C6FF6" w:rsidP="00B43595">
                                <w:pPr>
                                  <w:rPr>
                                    <w:lang w:val="hy-AM"/>
                                  </w:rPr>
                                </w:pPr>
                              </w:p>
                              <w:p w14:paraId="4CFB564A" w14:textId="77777777" w:rsidR="006C6FF6" w:rsidRPr="00A3353C" w:rsidRDefault="006C6FF6" w:rsidP="00B43595">
                                <w:pPr>
                                  <w:pStyle w:val="TOC1"/>
                                  <w:rPr>
                                    <w:rFonts w:asciiTheme="minorHAnsi" w:hAnsiTheme="minorHAnsi"/>
                                    <w:color w:val="FFFFFF" w:themeColor="background1"/>
                                    <w:szCs w:val="40"/>
                                    <w:lang w:val="hy-AM"/>
                                  </w:rPr>
                                </w:pPr>
                                <w:bookmarkStart w:id="7" w:name="_Toc209625734"/>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7"/>
                                <w:r w:rsidRPr="00A3353C">
                                  <w:rPr>
                                    <w:rFonts w:asciiTheme="minorHAnsi" w:hAnsiTheme="minorHAnsi"/>
                                    <w:color w:val="FFFFFF" w:themeColor="background1"/>
                                    <w:szCs w:val="40"/>
                                    <w:lang w:val="hy-AM"/>
                                  </w:rPr>
                                  <w:t xml:space="preserve"> </w:t>
                                </w:r>
                              </w:p>
                              <w:p w14:paraId="612A3A12"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2C02BD53" w14:textId="77777777" w:rsidR="006C6FF6" w:rsidRPr="00682390" w:rsidRDefault="006C6FF6" w:rsidP="00B43595">
                                <w:pPr>
                                  <w:rPr>
                                    <w:lang w:val="hy-AM"/>
                                  </w:rPr>
                                </w:pPr>
                              </w:p>
                              <w:p w14:paraId="0025EB81" w14:textId="77777777" w:rsidR="006C6FF6" w:rsidRPr="00A3353C" w:rsidRDefault="006C6FF6" w:rsidP="00B43595">
                                <w:pPr>
                                  <w:pStyle w:val="TOC1"/>
                                  <w:rPr>
                                    <w:rFonts w:asciiTheme="minorHAnsi" w:hAnsiTheme="minorHAnsi"/>
                                    <w:color w:val="FFFFFF" w:themeColor="background1"/>
                                    <w:szCs w:val="40"/>
                                    <w:lang w:val="hy-AM"/>
                                  </w:rPr>
                                </w:pPr>
                                <w:bookmarkStart w:id="8" w:name="_Toc209625735"/>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8"/>
                                <w:r w:rsidRPr="00A3353C">
                                  <w:rPr>
                                    <w:rFonts w:asciiTheme="minorHAnsi" w:hAnsiTheme="minorHAnsi"/>
                                    <w:color w:val="FFFFFF" w:themeColor="background1"/>
                                    <w:szCs w:val="40"/>
                                    <w:lang w:val="hy-AM"/>
                                  </w:rPr>
                                  <w:t xml:space="preserve"> </w:t>
                                </w:r>
                              </w:p>
                              <w:p w14:paraId="49C858E1" w14:textId="77777777" w:rsidR="006C6FF6" w:rsidRPr="003A5AE3"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3A5AE3">
                                  <w:rPr>
                                    <w:b/>
                                    <w:color w:val="FFFFFF" w:themeColor="background1"/>
                                    <w:sz w:val="30"/>
                                    <w:szCs w:val="30"/>
                                    <w:lang w:val="hy-AM"/>
                                  </w:rPr>
                                  <w:t>Yerevan 2024</w:t>
                                </w:r>
                              </w:p>
                              <w:p w14:paraId="26067F3E" w14:textId="77777777" w:rsidR="006C6FF6" w:rsidRPr="003A5AE3" w:rsidRDefault="006C6FF6" w:rsidP="00B43595">
                                <w:pPr>
                                  <w:rPr>
                                    <w:lang w:val="hy-AM"/>
                                  </w:rPr>
                                </w:pPr>
                              </w:p>
                              <w:p w14:paraId="624C24AB"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3A5AE3">
                                  <w:rPr>
                                    <w:b/>
                                    <w:color w:val="FFFFFF" w:themeColor="background1"/>
                                    <w:sz w:val="30"/>
                                    <w:szCs w:val="30"/>
                                    <w:lang w:val="hy-AM"/>
                                  </w:rPr>
                                  <w:t>Yerevan 2024</w:t>
                                </w:r>
                              </w:p>
                              <w:p w14:paraId="1E27A856" w14:textId="77777777" w:rsidR="006C6FF6" w:rsidRPr="003A5AE3" w:rsidRDefault="006C6FF6" w:rsidP="00B43595">
                                <w:pPr>
                                  <w:rPr>
                                    <w:lang w:val="hy-AM"/>
                                  </w:rPr>
                                </w:pPr>
                              </w:p>
                              <w:p w14:paraId="7271BA83" w14:textId="77777777" w:rsidR="006C6FF6" w:rsidRPr="00A3353C" w:rsidRDefault="006C6FF6" w:rsidP="00B43595">
                                <w:pPr>
                                  <w:pStyle w:val="TOC1"/>
                                  <w:rPr>
                                    <w:rFonts w:asciiTheme="minorHAnsi" w:hAnsiTheme="minorHAnsi"/>
                                    <w:color w:val="FFFFFF" w:themeColor="background1"/>
                                    <w:szCs w:val="40"/>
                                    <w:lang w:val="hy-AM"/>
                                  </w:rPr>
                                </w:pPr>
                                <w:bookmarkStart w:id="9" w:name="_Toc183785462"/>
                                <w:bookmarkStart w:id="10" w:name="_Toc183787208"/>
                                <w:bookmarkStart w:id="11" w:name="_Toc183801038"/>
                                <w:bookmarkStart w:id="12" w:name="_Toc209625736"/>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9"/>
                                <w:bookmarkEnd w:id="10"/>
                                <w:bookmarkEnd w:id="11"/>
                                <w:bookmarkEnd w:id="12"/>
                                <w:r w:rsidRPr="00A3353C">
                                  <w:rPr>
                                    <w:rFonts w:asciiTheme="minorHAnsi" w:hAnsiTheme="minorHAnsi"/>
                                    <w:color w:val="FFFFFF" w:themeColor="background1"/>
                                    <w:szCs w:val="40"/>
                                    <w:lang w:val="hy-AM"/>
                                  </w:rPr>
                                  <w:t xml:space="preserve"> </w:t>
                                </w:r>
                              </w:p>
                              <w:p w14:paraId="100D3A8A"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68B78DA" w14:textId="77777777" w:rsidR="006C6FF6" w:rsidRPr="00682390" w:rsidRDefault="006C6FF6" w:rsidP="00B43595">
                                <w:pPr>
                                  <w:rPr>
                                    <w:lang w:val="hy-AM"/>
                                  </w:rPr>
                                </w:pPr>
                              </w:p>
                              <w:p w14:paraId="0FA8304B" w14:textId="77777777" w:rsidR="006C6FF6" w:rsidRPr="00A3353C" w:rsidRDefault="006C6FF6" w:rsidP="00B43595">
                                <w:pPr>
                                  <w:pStyle w:val="TOC1"/>
                                  <w:rPr>
                                    <w:rFonts w:asciiTheme="minorHAnsi" w:hAnsiTheme="minorHAnsi"/>
                                    <w:color w:val="FFFFFF" w:themeColor="background1"/>
                                    <w:szCs w:val="40"/>
                                    <w:lang w:val="hy-AM"/>
                                  </w:rPr>
                                </w:pPr>
                                <w:bookmarkStart w:id="13" w:name="_Toc183785463"/>
                                <w:bookmarkStart w:id="14" w:name="_Toc183787209"/>
                                <w:bookmarkStart w:id="15" w:name="_Toc183801039"/>
                                <w:bookmarkStart w:id="16" w:name="_Toc209625737"/>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13"/>
                                <w:bookmarkEnd w:id="14"/>
                                <w:bookmarkEnd w:id="15"/>
                                <w:bookmarkEnd w:id="16"/>
                                <w:r w:rsidRPr="00A3353C">
                                  <w:rPr>
                                    <w:rFonts w:asciiTheme="minorHAnsi" w:hAnsiTheme="minorHAnsi"/>
                                    <w:color w:val="FFFFFF" w:themeColor="background1"/>
                                    <w:szCs w:val="40"/>
                                    <w:lang w:val="hy-AM"/>
                                  </w:rPr>
                                  <w:t xml:space="preserve"> </w:t>
                                </w:r>
                              </w:p>
                              <w:p w14:paraId="425172B4"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49AA4BD7" w14:textId="77777777" w:rsidR="006C6FF6" w:rsidRPr="00682390" w:rsidRDefault="006C6FF6" w:rsidP="00B43595">
                                <w:pPr>
                                  <w:rPr>
                                    <w:lang w:val="hy-AM"/>
                                  </w:rPr>
                                </w:pPr>
                              </w:p>
                              <w:p w14:paraId="252C58E4" w14:textId="77777777" w:rsidR="006C6FF6" w:rsidRPr="00A3353C" w:rsidRDefault="006C6FF6" w:rsidP="00B43595">
                                <w:pPr>
                                  <w:pStyle w:val="TOC1"/>
                                  <w:rPr>
                                    <w:rFonts w:asciiTheme="minorHAnsi" w:hAnsiTheme="minorHAnsi"/>
                                    <w:color w:val="FFFFFF" w:themeColor="background1"/>
                                    <w:szCs w:val="40"/>
                                    <w:lang w:val="hy-AM"/>
                                  </w:rPr>
                                </w:pPr>
                                <w:bookmarkStart w:id="17" w:name="_Toc183785464"/>
                                <w:bookmarkStart w:id="18" w:name="_Toc183787210"/>
                                <w:bookmarkStart w:id="19" w:name="_Toc183801040"/>
                                <w:bookmarkStart w:id="20" w:name="_Toc209625738"/>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17"/>
                                <w:bookmarkEnd w:id="18"/>
                                <w:bookmarkEnd w:id="19"/>
                                <w:bookmarkEnd w:id="20"/>
                                <w:r w:rsidRPr="00A3353C">
                                  <w:rPr>
                                    <w:rFonts w:asciiTheme="minorHAnsi" w:hAnsiTheme="minorHAnsi"/>
                                    <w:color w:val="FFFFFF" w:themeColor="background1"/>
                                    <w:szCs w:val="40"/>
                                    <w:lang w:val="hy-AM"/>
                                  </w:rPr>
                                  <w:t xml:space="preserve"> </w:t>
                                </w:r>
                              </w:p>
                              <w:p w14:paraId="315AD7E1" w14:textId="77777777" w:rsidR="006C6FF6" w:rsidRPr="00454DBB"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454DBB">
                                  <w:rPr>
                                    <w:b/>
                                    <w:color w:val="FFFFFF" w:themeColor="background1"/>
                                    <w:sz w:val="30"/>
                                    <w:szCs w:val="30"/>
                                    <w:lang w:val="hy-AM"/>
                                  </w:rPr>
                                  <w:t>Yerevan 2024</w:t>
                                </w:r>
                              </w:p>
                              <w:p w14:paraId="05189D4C" w14:textId="77777777" w:rsidR="006C6FF6" w:rsidRPr="00454DBB" w:rsidRDefault="006C6FF6" w:rsidP="00B43595">
                                <w:pPr>
                                  <w:rPr>
                                    <w:lang w:val="hy-AM"/>
                                  </w:rPr>
                                </w:pPr>
                              </w:p>
                              <w:p w14:paraId="1C5715D3"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ՀԻՄՆԱԿԱՆ ՈՒՂՂՈՒԹՅՈՒՆՆԵՐԻ ՄԱՍԻՆ</w:t>
                                </w:r>
                                <w:r w:rsidRPr="00454DBB">
                                  <w:rPr>
                                    <w:b/>
                                    <w:color w:val="FFFFFF" w:themeColor="background1"/>
                                    <w:sz w:val="30"/>
                                    <w:szCs w:val="30"/>
                                    <w:lang w:val="hy-AM"/>
                                  </w:rPr>
                                  <w:t>Yerevan 2024</w:t>
                                </w:r>
                              </w:p>
                              <w:p w14:paraId="53ECEF61" w14:textId="77777777" w:rsidR="006C6FF6" w:rsidRPr="00454DBB" w:rsidRDefault="006C6FF6" w:rsidP="00B43595">
                                <w:pPr>
                                  <w:rPr>
                                    <w:lang w:val="hy-AM"/>
                                  </w:rPr>
                                </w:pPr>
                              </w:p>
                              <w:p w14:paraId="43A85120" w14:textId="77777777" w:rsidR="006C6FF6" w:rsidRPr="00A3353C" w:rsidRDefault="006C6FF6" w:rsidP="00B43595">
                                <w:pPr>
                                  <w:pStyle w:val="TOC1"/>
                                  <w:rPr>
                                    <w:rFonts w:asciiTheme="minorHAnsi" w:hAnsiTheme="minorHAnsi"/>
                                    <w:color w:val="FFFFFF" w:themeColor="background1"/>
                                    <w:szCs w:val="40"/>
                                    <w:lang w:val="hy-AM"/>
                                  </w:rPr>
                                </w:pPr>
                                <w:bookmarkStart w:id="21" w:name="_Toc178611126"/>
                                <w:bookmarkStart w:id="22" w:name="_Toc178611266"/>
                                <w:bookmarkStart w:id="23" w:name="_Toc178611474"/>
                                <w:bookmarkStart w:id="24" w:name="_Toc178612058"/>
                                <w:bookmarkStart w:id="25" w:name="_Toc183785465"/>
                                <w:bookmarkStart w:id="26" w:name="_Toc183787211"/>
                                <w:bookmarkStart w:id="27" w:name="_Toc183801041"/>
                                <w:bookmarkStart w:id="28" w:name="_Toc209625739"/>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21"/>
                                <w:bookmarkEnd w:id="22"/>
                                <w:bookmarkEnd w:id="23"/>
                                <w:bookmarkEnd w:id="24"/>
                                <w:bookmarkEnd w:id="25"/>
                                <w:bookmarkEnd w:id="26"/>
                                <w:bookmarkEnd w:id="27"/>
                                <w:bookmarkEnd w:id="28"/>
                                <w:r w:rsidRPr="00A3353C">
                                  <w:rPr>
                                    <w:rFonts w:asciiTheme="minorHAnsi" w:hAnsiTheme="minorHAnsi"/>
                                    <w:color w:val="FFFFFF" w:themeColor="background1"/>
                                    <w:szCs w:val="40"/>
                                    <w:lang w:val="hy-AM"/>
                                  </w:rPr>
                                  <w:t xml:space="preserve"> </w:t>
                                </w:r>
                              </w:p>
                              <w:p w14:paraId="2B3D2041"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630B191B" w14:textId="77777777" w:rsidR="006C6FF6" w:rsidRPr="00682390" w:rsidRDefault="006C6FF6" w:rsidP="00B43595">
                                <w:pPr>
                                  <w:rPr>
                                    <w:lang w:val="hy-AM"/>
                                  </w:rPr>
                                </w:pPr>
                              </w:p>
                              <w:p w14:paraId="3BCF0331" w14:textId="77777777" w:rsidR="006C6FF6" w:rsidRPr="00A3353C" w:rsidRDefault="006C6FF6" w:rsidP="00B43595">
                                <w:pPr>
                                  <w:pStyle w:val="TOC1"/>
                                  <w:rPr>
                                    <w:rFonts w:asciiTheme="minorHAnsi" w:hAnsiTheme="minorHAnsi"/>
                                    <w:color w:val="FFFFFF" w:themeColor="background1"/>
                                    <w:szCs w:val="40"/>
                                    <w:lang w:val="hy-AM"/>
                                  </w:rPr>
                                </w:pPr>
                                <w:bookmarkStart w:id="29" w:name="_Toc178611127"/>
                                <w:bookmarkStart w:id="30" w:name="_Toc178611267"/>
                                <w:bookmarkStart w:id="31" w:name="_Toc178611475"/>
                                <w:bookmarkStart w:id="32" w:name="_Toc178612059"/>
                                <w:bookmarkStart w:id="33" w:name="_Toc183785466"/>
                                <w:bookmarkStart w:id="34" w:name="_Toc183787212"/>
                                <w:bookmarkStart w:id="35" w:name="_Toc183801042"/>
                                <w:bookmarkStart w:id="36" w:name="_Toc209625740"/>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29"/>
                                <w:bookmarkEnd w:id="30"/>
                                <w:bookmarkEnd w:id="31"/>
                                <w:bookmarkEnd w:id="32"/>
                                <w:bookmarkEnd w:id="33"/>
                                <w:bookmarkEnd w:id="34"/>
                                <w:bookmarkEnd w:id="35"/>
                                <w:bookmarkEnd w:id="36"/>
                                <w:r w:rsidRPr="00A3353C">
                                  <w:rPr>
                                    <w:rFonts w:asciiTheme="minorHAnsi" w:hAnsiTheme="minorHAnsi"/>
                                    <w:color w:val="FFFFFF" w:themeColor="background1"/>
                                    <w:szCs w:val="40"/>
                                    <w:lang w:val="hy-AM"/>
                                  </w:rPr>
                                  <w:t xml:space="preserve"> </w:t>
                                </w:r>
                              </w:p>
                              <w:p w14:paraId="0FBA353D" w14:textId="77777777" w:rsidR="006C6FF6" w:rsidRPr="00682390" w:rsidRDefault="006C6FF6" w:rsidP="00B43595">
                                <w:pPr>
                                  <w:rPr>
                                    <w:b/>
                                    <w:color w:val="FFFFFF" w:themeColor="background1"/>
                                    <w:sz w:val="30"/>
                                    <w:szCs w:val="30"/>
                                    <w:lang w:val="hy-AM"/>
                                  </w:rPr>
                                </w:pPr>
                                <w:r w:rsidRPr="00A3353C">
                                  <w:rPr>
                                    <w:sz w:val="44"/>
                                    <w:szCs w:val="44"/>
                                    <w:lang w:val="hy-AM"/>
                                  </w:rPr>
                                  <w:t>ՀԻՄՆԱԿԱՆ ՈՒՂՂՈՒԹՅՈՒՆՆԵՐԻ ՄԱՍԻՆ</w:t>
                                </w:r>
                                <w:r w:rsidRPr="00682390">
                                  <w:rPr>
                                    <w:b/>
                                    <w:color w:val="FFFFFF" w:themeColor="background1"/>
                                    <w:sz w:val="30"/>
                                    <w:szCs w:val="30"/>
                                    <w:lang w:val="hy-AM"/>
                                  </w:rPr>
                                  <w:t>Yerevan 2024</w:t>
                                </w:r>
                              </w:p>
                              <w:p w14:paraId="75990EBE" w14:textId="77777777" w:rsidR="006C6FF6" w:rsidRPr="00682390" w:rsidRDefault="006C6FF6" w:rsidP="00B43595">
                                <w:pPr>
                                  <w:rPr>
                                    <w:lang w:val="hy-AM"/>
                                  </w:rPr>
                                </w:pPr>
                              </w:p>
                              <w:p w14:paraId="0BD787F6" w14:textId="77777777" w:rsidR="006C6FF6" w:rsidRPr="00A3353C" w:rsidRDefault="006C6FF6" w:rsidP="00B43595">
                                <w:pPr>
                                  <w:pStyle w:val="TOC1"/>
                                  <w:rPr>
                                    <w:rFonts w:asciiTheme="minorHAnsi" w:hAnsiTheme="minorHAnsi"/>
                                    <w:color w:val="FFFFFF" w:themeColor="background1"/>
                                    <w:szCs w:val="40"/>
                                    <w:lang w:val="hy-AM"/>
                                  </w:rPr>
                                </w:pPr>
                                <w:bookmarkStart w:id="37" w:name="_Toc178611128"/>
                                <w:bookmarkStart w:id="38" w:name="_Toc178611268"/>
                                <w:bookmarkStart w:id="39" w:name="_Toc178611476"/>
                                <w:bookmarkStart w:id="40" w:name="_Toc178612060"/>
                                <w:bookmarkStart w:id="41" w:name="_Toc183785467"/>
                                <w:bookmarkStart w:id="42" w:name="_Toc183787213"/>
                                <w:bookmarkStart w:id="43" w:name="_Toc183801043"/>
                                <w:bookmarkStart w:id="44" w:name="_Toc209625741"/>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37"/>
                                <w:bookmarkEnd w:id="38"/>
                                <w:bookmarkEnd w:id="39"/>
                                <w:bookmarkEnd w:id="40"/>
                                <w:bookmarkEnd w:id="41"/>
                                <w:bookmarkEnd w:id="42"/>
                                <w:bookmarkEnd w:id="43"/>
                                <w:bookmarkEnd w:id="44"/>
                                <w:r w:rsidRPr="00A3353C">
                                  <w:rPr>
                                    <w:rFonts w:asciiTheme="minorHAnsi" w:hAnsiTheme="minorHAnsi"/>
                                    <w:color w:val="FFFFFF" w:themeColor="background1"/>
                                    <w:szCs w:val="40"/>
                                    <w:lang w:val="hy-AM"/>
                                  </w:rPr>
                                  <w:t xml:space="preserve"> </w:t>
                                </w:r>
                              </w:p>
                              <w:p w14:paraId="6687A26F" w14:textId="77777777" w:rsidR="006C6FF6" w:rsidRDefault="006C6FF6" w:rsidP="00B43595">
                                <w:pPr>
                                  <w:rPr>
                                    <w:b/>
                                    <w:color w:val="FFFFFF" w:themeColor="background1"/>
                                    <w:sz w:val="30"/>
                                    <w:szCs w:val="30"/>
                                  </w:rPr>
                                </w:pPr>
                                <w:r w:rsidRPr="00A3353C">
                                  <w:rPr>
                                    <w:sz w:val="44"/>
                                    <w:szCs w:val="44"/>
                                    <w:lang w:val="hy-AM"/>
                                  </w:rPr>
                                  <w:t>ՀԻՄՆԱԿԱՆ ՈՒՂՂՈՒԹՅՈՒՆՆԵՐԻ ՄԱՍԻՆ</w:t>
                                </w:r>
                                <w:r>
                                  <w:rPr>
                                    <w:b/>
                                    <w:color w:val="FFFFFF" w:themeColor="background1"/>
                                    <w:sz w:val="30"/>
                                    <w:szCs w:val="30"/>
                                  </w:rPr>
                                  <w:t>Yerevan 2024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054D11" id="Text Box 46" o:spid="_x0000_s1030" type="#_x0000_t202" style="position:absolute;margin-left:-11.5pt;margin-top:625.9pt;width:110.2pt;height:31.15pt;z-index:251663360;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" filled="f" stroked="f" strokeweight=".5pt">
                    <v:textbox>
                      <w:txbxContent>
                        <w:p w14:paraId="0343240D" w14:textId="77777777" w:rsidR="006C6FF6" w:rsidRDefault="006C6FF6" w:rsidP="00B43595">
                          <w:pPr>
                            <w:rPr>
                              <w:b/>
                              <w:color w:val="FFFFFF" w:themeColor="background1"/>
                              <w:sz w:val="30"/>
                              <w:szCs w:val="30"/>
                            </w:rPr>
                          </w:pPr>
                          <w:r>
                            <w:rPr>
                              <w:b/>
                              <w:color w:val="FFFFFF" w:themeColor="background1"/>
                              <w:sz w:val="30"/>
                              <w:szCs w:val="30"/>
                            </w:rPr>
                            <w:t>Yerevan 2024</w:t>
                          </w:r>
                        </w:p>
                        <w:p w14:paraId="41CAC36A" w14:textId="77777777" w:rsidR="006C6FF6" w:rsidRDefault="006C6FF6" w:rsidP="00B43595"/>
                        <w:p w14:paraId="1AB7984C"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05A5D79"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75C0B7D5" w14:textId="77777777" w:rsidR="006C6FF6" w:rsidRPr="00682390" w:rsidRDefault="006C6FF6" w:rsidP="00B43595">
                          <w:pPr>
                            <w:rPr>
                              <w:lang w:val="hy-AM"/>
                            </w:rPr>
                          </w:pPr>
                        </w:p>
                        <w:p w14:paraId="7D594E27"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6181E09"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46452074" w14:textId="77777777" w:rsidR="006C6FF6" w:rsidRPr="00682390" w:rsidRDefault="006C6FF6" w:rsidP="00B43595">
                          <w:pPr>
                            <w:rPr>
                              <w:lang w:val="hy-AM"/>
                            </w:rPr>
                          </w:pPr>
                        </w:p>
                        <w:p w14:paraId="64FACC2B"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4777926"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766F4D04" w14:textId="77777777" w:rsidR="006C6FF6" w:rsidRPr="00454DBB" w:rsidRDefault="006C6FF6" w:rsidP="00B43595">
                          <w:pPr>
                            <w:rPr>
                              <w:lang w:val="hy-AM"/>
                            </w:rPr>
                          </w:pPr>
                        </w:p>
                        <w:p w14:paraId="26EA84B8"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0DF260D6" w14:textId="77777777" w:rsidR="006C6FF6" w:rsidRPr="00454DBB" w:rsidRDefault="006C6FF6" w:rsidP="00B43595">
                          <w:pPr>
                            <w:rPr>
                              <w:lang w:val="hy-AM"/>
                            </w:rPr>
                          </w:pPr>
                        </w:p>
                        <w:p w14:paraId="2679AAF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4A17D0F"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6247776C" w14:textId="77777777" w:rsidR="006C6FF6" w:rsidRPr="00682390" w:rsidRDefault="006C6FF6" w:rsidP="00B43595">
                          <w:pPr>
                            <w:rPr>
                              <w:lang w:val="hy-AM"/>
                            </w:rPr>
                          </w:pPr>
                        </w:p>
                        <w:p w14:paraId="6ABD554E"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C7E80D3"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1C2129A6" w14:textId="77777777" w:rsidR="006C6FF6" w:rsidRPr="00682390" w:rsidRDefault="006C6FF6" w:rsidP="00B43595">
                          <w:pPr>
                            <w:rPr>
                              <w:lang w:val="hy-AM"/>
                            </w:rPr>
                          </w:pPr>
                        </w:p>
                        <w:p w14:paraId="3F4776AF"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3A0E5F3" w14:textId="77777777" w:rsidR="006C6FF6" w:rsidRPr="003A5AE3"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3EA274F8" w14:textId="77777777" w:rsidR="006C6FF6" w:rsidRPr="003A5AE3" w:rsidRDefault="006C6FF6" w:rsidP="00B43595">
                          <w:pPr>
                            <w:rPr>
                              <w:lang w:val="hy-AM"/>
                            </w:rPr>
                          </w:pPr>
                        </w:p>
                        <w:p w14:paraId="796E11D3"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0EAED3A7" w14:textId="77777777" w:rsidR="006C6FF6" w:rsidRPr="003A5AE3" w:rsidRDefault="006C6FF6" w:rsidP="00B43595">
                          <w:pPr>
                            <w:rPr>
                              <w:lang w:val="hy-AM"/>
                            </w:rPr>
                          </w:pPr>
                        </w:p>
                        <w:p w14:paraId="63FA54DB"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5962F53"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3DA24DDB" w14:textId="77777777" w:rsidR="006C6FF6" w:rsidRPr="00682390" w:rsidRDefault="006C6FF6" w:rsidP="00B43595">
                          <w:pPr>
                            <w:rPr>
                              <w:lang w:val="hy-AM"/>
                            </w:rPr>
                          </w:pPr>
                        </w:p>
                        <w:p w14:paraId="1691A812"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CE98863"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5622339A" w14:textId="77777777" w:rsidR="006C6FF6" w:rsidRPr="00682390" w:rsidRDefault="006C6FF6" w:rsidP="00B43595">
                          <w:pPr>
                            <w:rPr>
                              <w:lang w:val="hy-AM"/>
                            </w:rPr>
                          </w:pPr>
                        </w:p>
                        <w:p w14:paraId="79227BA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AEF88CB"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125FB1C9" w14:textId="77777777" w:rsidR="006C6FF6" w:rsidRPr="00454DBB" w:rsidRDefault="006C6FF6" w:rsidP="00B43595">
                          <w:pPr>
                            <w:rPr>
                              <w:lang w:val="hy-AM"/>
                            </w:rPr>
                          </w:pPr>
                        </w:p>
                        <w:p w14:paraId="7C341DEB"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766CBF85" w14:textId="77777777" w:rsidR="006C6FF6" w:rsidRPr="00454DBB" w:rsidRDefault="006C6FF6" w:rsidP="00B43595">
                          <w:pPr>
                            <w:rPr>
                              <w:lang w:val="hy-AM"/>
                            </w:rPr>
                          </w:pPr>
                        </w:p>
                        <w:p w14:paraId="44FC5AF6"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03A5CC5"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7A05BD64" w14:textId="77777777" w:rsidR="006C6FF6" w:rsidRPr="00682390" w:rsidRDefault="006C6FF6" w:rsidP="00B43595">
                          <w:pPr>
                            <w:rPr>
                              <w:lang w:val="hy-AM"/>
                            </w:rPr>
                          </w:pPr>
                        </w:p>
                        <w:p w14:paraId="493F9EA3"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8B5B00E"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5D2FBE95" w14:textId="77777777" w:rsidR="006C6FF6" w:rsidRPr="00682390" w:rsidRDefault="006C6FF6" w:rsidP="00B43595">
                          <w:pPr>
                            <w:rPr>
                              <w:lang w:val="hy-AM"/>
                            </w:rPr>
                          </w:pPr>
                        </w:p>
                        <w:p w14:paraId="0BAF4E7F"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F6314FC" w14:textId="77777777" w:rsidR="006C6FF6" w:rsidRPr="00202938"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202938">
                            <w:rPr>
                              <w:b/>
                              <w:color w:val="FFFFFF" w:themeColor="background1"/>
                              <w:sz w:val="30"/>
                              <w:szCs w:val="30"/>
                              <w:lang w:val="hy-AM"/>
                            </w:rPr>
                            <w:t>Yerevan</w:t>
                          </w:r>
                          <w:proofErr w:type="spellEnd"/>
                          <w:r w:rsidRPr="00202938">
                            <w:rPr>
                              <w:b/>
                              <w:color w:val="FFFFFF" w:themeColor="background1"/>
                              <w:sz w:val="30"/>
                              <w:szCs w:val="30"/>
                              <w:lang w:val="hy-AM"/>
                            </w:rPr>
                            <w:t xml:space="preserve"> 2024</w:t>
                          </w:r>
                        </w:p>
                        <w:p w14:paraId="7728DFE2" w14:textId="77777777" w:rsidR="006C6FF6" w:rsidRPr="00202938" w:rsidRDefault="006C6FF6" w:rsidP="00B43595">
                          <w:pPr>
                            <w:rPr>
                              <w:lang w:val="hy-AM"/>
                            </w:rPr>
                          </w:pPr>
                        </w:p>
                        <w:p w14:paraId="7621E738" w14:textId="77777777" w:rsidR="006C6FF6" w:rsidRPr="00202938"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202938">
                            <w:rPr>
                              <w:b/>
                              <w:color w:val="FFFFFF" w:themeColor="background1"/>
                              <w:sz w:val="30"/>
                              <w:szCs w:val="30"/>
                              <w:lang w:val="hy-AM"/>
                            </w:rPr>
                            <w:t>Yerevan</w:t>
                          </w:r>
                          <w:proofErr w:type="spellEnd"/>
                          <w:r w:rsidRPr="00202938">
                            <w:rPr>
                              <w:b/>
                              <w:color w:val="FFFFFF" w:themeColor="background1"/>
                              <w:sz w:val="30"/>
                              <w:szCs w:val="30"/>
                              <w:lang w:val="hy-AM"/>
                            </w:rPr>
                            <w:t xml:space="preserve"> 2024</w:t>
                          </w:r>
                        </w:p>
                        <w:p w14:paraId="0DB054F2" w14:textId="77777777" w:rsidR="006C6FF6" w:rsidRPr="00202938" w:rsidRDefault="006C6FF6" w:rsidP="00B43595">
                          <w:pPr>
                            <w:rPr>
                              <w:lang w:val="hy-AM"/>
                            </w:rPr>
                          </w:pPr>
                        </w:p>
                        <w:p w14:paraId="40B7764C"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94205CB"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54E521D3" w14:textId="77777777" w:rsidR="006C6FF6" w:rsidRPr="00682390" w:rsidRDefault="006C6FF6" w:rsidP="00B43595">
                          <w:pPr>
                            <w:rPr>
                              <w:lang w:val="hy-AM"/>
                            </w:rPr>
                          </w:pPr>
                        </w:p>
                        <w:p w14:paraId="754F76C3"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48C1240"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0CA4DB06" w14:textId="77777777" w:rsidR="006C6FF6" w:rsidRPr="00682390" w:rsidRDefault="006C6FF6" w:rsidP="00B43595">
                          <w:pPr>
                            <w:rPr>
                              <w:lang w:val="hy-AM"/>
                            </w:rPr>
                          </w:pPr>
                        </w:p>
                        <w:p w14:paraId="2B732A61"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C2DA3BA"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7DEF0443" w14:textId="77777777" w:rsidR="006C6FF6" w:rsidRPr="00454DBB" w:rsidRDefault="006C6FF6" w:rsidP="00B43595">
                          <w:pPr>
                            <w:rPr>
                              <w:lang w:val="hy-AM"/>
                            </w:rPr>
                          </w:pPr>
                        </w:p>
                        <w:p w14:paraId="55837B8B"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3027716B" w14:textId="77777777" w:rsidR="006C6FF6" w:rsidRPr="00454DBB" w:rsidRDefault="006C6FF6" w:rsidP="00B43595">
                          <w:pPr>
                            <w:rPr>
                              <w:lang w:val="hy-AM"/>
                            </w:rPr>
                          </w:pPr>
                        </w:p>
                        <w:p w14:paraId="7436DB40"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7862E18"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71A334B2" w14:textId="77777777" w:rsidR="006C6FF6" w:rsidRPr="00682390" w:rsidRDefault="006C6FF6" w:rsidP="00B43595">
                          <w:pPr>
                            <w:rPr>
                              <w:lang w:val="hy-AM"/>
                            </w:rPr>
                          </w:pPr>
                        </w:p>
                        <w:p w14:paraId="1D2972BF"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A23DA62"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2C7DC901" w14:textId="77777777" w:rsidR="006C6FF6" w:rsidRPr="00682390" w:rsidRDefault="006C6FF6" w:rsidP="00B43595">
                          <w:pPr>
                            <w:rPr>
                              <w:lang w:val="hy-AM"/>
                            </w:rPr>
                          </w:pPr>
                        </w:p>
                        <w:p w14:paraId="7094F850"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E0703CF" w14:textId="77777777" w:rsidR="006C6FF6" w:rsidRPr="003A5AE3"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0E29E1A9" w14:textId="77777777" w:rsidR="006C6FF6" w:rsidRPr="003A5AE3" w:rsidRDefault="006C6FF6" w:rsidP="00B43595">
                          <w:pPr>
                            <w:rPr>
                              <w:lang w:val="hy-AM"/>
                            </w:rPr>
                          </w:pPr>
                        </w:p>
                        <w:p w14:paraId="77C2D27A"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08119A78" w14:textId="77777777" w:rsidR="006C6FF6" w:rsidRPr="003A5AE3" w:rsidRDefault="006C6FF6" w:rsidP="00B43595">
                          <w:pPr>
                            <w:rPr>
                              <w:lang w:val="hy-AM"/>
                            </w:rPr>
                          </w:pPr>
                        </w:p>
                        <w:p w14:paraId="265FA2B8"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DF23E5E"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114F679B" w14:textId="77777777" w:rsidR="006C6FF6" w:rsidRPr="00682390" w:rsidRDefault="006C6FF6" w:rsidP="00B43595">
                          <w:pPr>
                            <w:rPr>
                              <w:lang w:val="hy-AM"/>
                            </w:rPr>
                          </w:pPr>
                        </w:p>
                        <w:p w14:paraId="2E46556A"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B478E82"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63330A9C" w14:textId="77777777" w:rsidR="006C6FF6" w:rsidRPr="00682390" w:rsidRDefault="006C6FF6" w:rsidP="00B43595">
                          <w:pPr>
                            <w:rPr>
                              <w:lang w:val="hy-AM"/>
                            </w:rPr>
                          </w:pPr>
                        </w:p>
                        <w:p w14:paraId="382AE667"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0D5CE30"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0554004D" w14:textId="77777777" w:rsidR="006C6FF6" w:rsidRPr="00454DBB" w:rsidRDefault="006C6FF6" w:rsidP="00B43595">
                          <w:pPr>
                            <w:rPr>
                              <w:lang w:val="hy-AM"/>
                            </w:rPr>
                          </w:pPr>
                        </w:p>
                        <w:p w14:paraId="029C3CEE"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3EDA175B" w14:textId="77777777" w:rsidR="006C6FF6" w:rsidRPr="00454DBB" w:rsidRDefault="006C6FF6" w:rsidP="00B43595">
                          <w:pPr>
                            <w:rPr>
                              <w:lang w:val="hy-AM"/>
                            </w:rPr>
                          </w:pPr>
                        </w:p>
                        <w:p w14:paraId="4FBECDEF"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5EF2C6E"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2388534D" w14:textId="77777777" w:rsidR="006C6FF6" w:rsidRPr="00682390" w:rsidRDefault="006C6FF6" w:rsidP="00B43595">
                          <w:pPr>
                            <w:rPr>
                              <w:lang w:val="hy-AM"/>
                            </w:rPr>
                          </w:pPr>
                        </w:p>
                        <w:p w14:paraId="3FF0748F"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6B465A6"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51AC40A9" w14:textId="77777777" w:rsidR="006C6FF6" w:rsidRPr="00682390" w:rsidRDefault="006C6FF6" w:rsidP="00B43595">
                          <w:pPr>
                            <w:rPr>
                              <w:lang w:val="hy-AM"/>
                            </w:rPr>
                          </w:pPr>
                        </w:p>
                        <w:p w14:paraId="58396571"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CF575EC" w14:textId="77777777" w:rsidR="006C6FF6" w:rsidRPr="00A72B0A"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A72B0A">
                            <w:rPr>
                              <w:b/>
                              <w:color w:val="FFFFFF" w:themeColor="background1"/>
                              <w:sz w:val="30"/>
                              <w:szCs w:val="30"/>
                              <w:lang w:val="hy-AM"/>
                            </w:rPr>
                            <w:t>Yerevan</w:t>
                          </w:r>
                          <w:proofErr w:type="spellEnd"/>
                          <w:r w:rsidRPr="00A72B0A">
                            <w:rPr>
                              <w:b/>
                              <w:color w:val="FFFFFF" w:themeColor="background1"/>
                              <w:sz w:val="30"/>
                              <w:szCs w:val="30"/>
                              <w:lang w:val="hy-AM"/>
                            </w:rPr>
                            <w:t xml:space="preserve"> 2024</w:t>
                          </w:r>
                        </w:p>
                        <w:p w14:paraId="5FB9985A" w14:textId="77777777" w:rsidR="006C6FF6" w:rsidRPr="00A72B0A" w:rsidRDefault="006C6FF6" w:rsidP="00B43595">
                          <w:pPr>
                            <w:rPr>
                              <w:lang w:val="hy-AM"/>
                            </w:rPr>
                          </w:pPr>
                        </w:p>
                        <w:p w14:paraId="6E16A8AF" w14:textId="77777777" w:rsidR="006C6FF6" w:rsidRPr="00A72B0A" w:rsidRDefault="006C6FF6" w:rsidP="00B43595">
                          <w:pPr>
                            <w:rPr>
                              <w:b/>
                              <w:color w:val="FFFFFF" w:themeColor="background1"/>
                              <w:sz w:val="30"/>
                              <w:szCs w:val="30"/>
                              <w:lang w:val="hy-AM"/>
                            </w:rPr>
                          </w:pPr>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 xml:space="preserve">ՀԻՄՆԱԿԱՆ ՈՒՂՂՈՒԹՅՈՒՆՆԵՐԻ </w:t>
                          </w:r>
                          <w:proofErr w:type="spellStart"/>
                          <w:r w:rsidRPr="003A4CA5">
                            <w:rPr>
                              <w:color w:val="auto"/>
                              <w:lang w:val="hy-AM"/>
                            </w:rPr>
                            <w:t>ՄԱՍԻՆ</w:t>
                          </w:r>
                          <w:r w:rsidRPr="00A72B0A">
                            <w:rPr>
                              <w:b/>
                              <w:color w:val="FFFFFF" w:themeColor="background1"/>
                              <w:sz w:val="30"/>
                              <w:szCs w:val="30"/>
                              <w:lang w:val="hy-AM"/>
                            </w:rPr>
                            <w:t>Yerevan</w:t>
                          </w:r>
                          <w:proofErr w:type="spellEnd"/>
                          <w:r w:rsidRPr="00A72B0A">
                            <w:rPr>
                              <w:b/>
                              <w:color w:val="FFFFFF" w:themeColor="background1"/>
                              <w:sz w:val="30"/>
                              <w:szCs w:val="30"/>
                              <w:lang w:val="hy-AM"/>
                            </w:rPr>
                            <w:t xml:space="preserve"> 2024</w:t>
                          </w:r>
                        </w:p>
                        <w:p w14:paraId="7652224E" w14:textId="77777777" w:rsidR="006C6FF6" w:rsidRPr="00A72B0A" w:rsidRDefault="006C6FF6" w:rsidP="00B43595">
                          <w:pPr>
                            <w:rPr>
                              <w:lang w:val="hy-AM"/>
                            </w:rPr>
                          </w:pPr>
                        </w:p>
                        <w:p w14:paraId="47FAF75B"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1F042FE"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7946B115" w14:textId="77777777" w:rsidR="006C6FF6" w:rsidRPr="00682390" w:rsidRDefault="006C6FF6" w:rsidP="00B43595">
                          <w:pPr>
                            <w:rPr>
                              <w:lang w:val="hy-AM"/>
                            </w:rPr>
                          </w:pPr>
                        </w:p>
                        <w:p w14:paraId="28047648"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E3A781B"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341E7661" w14:textId="77777777" w:rsidR="006C6FF6" w:rsidRPr="00682390" w:rsidRDefault="006C6FF6" w:rsidP="00B43595">
                          <w:pPr>
                            <w:rPr>
                              <w:lang w:val="hy-AM"/>
                            </w:rPr>
                          </w:pPr>
                        </w:p>
                        <w:p w14:paraId="0FB04786"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8B4A2D0"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44D6FC2D" w14:textId="77777777" w:rsidR="006C6FF6" w:rsidRPr="00454DBB" w:rsidRDefault="006C6FF6" w:rsidP="00B43595">
                          <w:pPr>
                            <w:rPr>
                              <w:lang w:val="hy-AM"/>
                            </w:rPr>
                          </w:pPr>
                        </w:p>
                        <w:p w14:paraId="06951282"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1FF3B5A2" w14:textId="77777777" w:rsidR="006C6FF6" w:rsidRPr="00454DBB" w:rsidRDefault="006C6FF6" w:rsidP="00B43595">
                          <w:pPr>
                            <w:rPr>
                              <w:lang w:val="hy-AM"/>
                            </w:rPr>
                          </w:pPr>
                        </w:p>
                        <w:p w14:paraId="638BC85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49280B0"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035F9ECE" w14:textId="77777777" w:rsidR="006C6FF6" w:rsidRPr="00682390" w:rsidRDefault="006C6FF6" w:rsidP="00B43595">
                          <w:pPr>
                            <w:rPr>
                              <w:lang w:val="hy-AM"/>
                            </w:rPr>
                          </w:pPr>
                        </w:p>
                        <w:p w14:paraId="065C0787"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3996C7C"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7FE38B7D" w14:textId="77777777" w:rsidR="006C6FF6" w:rsidRPr="00682390" w:rsidRDefault="006C6FF6" w:rsidP="00B43595">
                          <w:pPr>
                            <w:rPr>
                              <w:lang w:val="hy-AM"/>
                            </w:rPr>
                          </w:pPr>
                        </w:p>
                        <w:p w14:paraId="576B2E53"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5DCFFFE" w14:textId="77777777" w:rsidR="006C6FF6" w:rsidRPr="003A5AE3"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4A5584F2" w14:textId="77777777" w:rsidR="006C6FF6" w:rsidRPr="003A5AE3" w:rsidRDefault="006C6FF6" w:rsidP="00B43595">
                          <w:pPr>
                            <w:rPr>
                              <w:lang w:val="hy-AM"/>
                            </w:rPr>
                          </w:pPr>
                        </w:p>
                        <w:p w14:paraId="4DDA114E"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41D6AB90" w14:textId="77777777" w:rsidR="006C6FF6" w:rsidRPr="003A5AE3" w:rsidRDefault="006C6FF6" w:rsidP="00B43595">
                          <w:pPr>
                            <w:rPr>
                              <w:lang w:val="hy-AM"/>
                            </w:rPr>
                          </w:pPr>
                        </w:p>
                        <w:p w14:paraId="63807F10"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3977B27"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755C680C" w14:textId="77777777" w:rsidR="006C6FF6" w:rsidRPr="00682390" w:rsidRDefault="006C6FF6" w:rsidP="00B43595">
                          <w:pPr>
                            <w:rPr>
                              <w:lang w:val="hy-AM"/>
                            </w:rPr>
                          </w:pPr>
                        </w:p>
                        <w:p w14:paraId="75108F3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754132B"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0F7023C7" w14:textId="77777777" w:rsidR="006C6FF6" w:rsidRPr="00682390" w:rsidRDefault="006C6FF6" w:rsidP="00B43595">
                          <w:pPr>
                            <w:rPr>
                              <w:lang w:val="hy-AM"/>
                            </w:rPr>
                          </w:pPr>
                        </w:p>
                        <w:p w14:paraId="5C1943E3"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04E36F4"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639F0029" w14:textId="77777777" w:rsidR="006C6FF6" w:rsidRPr="00454DBB" w:rsidRDefault="006C6FF6" w:rsidP="00B43595">
                          <w:pPr>
                            <w:rPr>
                              <w:lang w:val="hy-AM"/>
                            </w:rPr>
                          </w:pPr>
                        </w:p>
                        <w:p w14:paraId="65D616B5"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61321A95" w14:textId="77777777" w:rsidR="006C6FF6" w:rsidRPr="00454DBB" w:rsidRDefault="006C6FF6" w:rsidP="00B43595">
                          <w:pPr>
                            <w:rPr>
                              <w:lang w:val="hy-AM"/>
                            </w:rPr>
                          </w:pPr>
                        </w:p>
                        <w:p w14:paraId="5A32B77E"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6B65628"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7C142042" w14:textId="77777777" w:rsidR="006C6FF6" w:rsidRPr="00682390" w:rsidRDefault="006C6FF6" w:rsidP="00B43595">
                          <w:pPr>
                            <w:rPr>
                              <w:lang w:val="hy-AM"/>
                            </w:rPr>
                          </w:pPr>
                        </w:p>
                        <w:p w14:paraId="2B267B1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E4DDA2D"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0BB7FDF7" w14:textId="77777777" w:rsidR="006C6FF6" w:rsidRPr="00682390" w:rsidRDefault="006C6FF6" w:rsidP="00B43595">
                          <w:pPr>
                            <w:rPr>
                              <w:lang w:val="hy-AM"/>
                            </w:rPr>
                          </w:pPr>
                        </w:p>
                        <w:p w14:paraId="2C96ABE6"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B4D4EC1" w14:textId="77777777" w:rsidR="006C6FF6" w:rsidRPr="00202938"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202938">
                            <w:rPr>
                              <w:b/>
                              <w:color w:val="FFFFFF" w:themeColor="background1"/>
                              <w:sz w:val="30"/>
                              <w:szCs w:val="30"/>
                              <w:lang w:val="hy-AM"/>
                            </w:rPr>
                            <w:t>Yerevan</w:t>
                          </w:r>
                          <w:proofErr w:type="spellEnd"/>
                          <w:r w:rsidRPr="00202938">
                            <w:rPr>
                              <w:b/>
                              <w:color w:val="FFFFFF" w:themeColor="background1"/>
                              <w:sz w:val="30"/>
                              <w:szCs w:val="30"/>
                              <w:lang w:val="hy-AM"/>
                            </w:rPr>
                            <w:t xml:space="preserve"> 2024</w:t>
                          </w:r>
                        </w:p>
                        <w:p w14:paraId="4FD2FE6E" w14:textId="77777777" w:rsidR="006C6FF6" w:rsidRPr="00202938" w:rsidRDefault="006C6FF6" w:rsidP="00B43595">
                          <w:pPr>
                            <w:rPr>
                              <w:lang w:val="hy-AM"/>
                            </w:rPr>
                          </w:pPr>
                        </w:p>
                        <w:p w14:paraId="6C77A444" w14:textId="77777777" w:rsidR="006C6FF6" w:rsidRPr="00202938"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202938">
                            <w:rPr>
                              <w:b/>
                              <w:color w:val="FFFFFF" w:themeColor="background1"/>
                              <w:sz w:val="30"/>
                              <w:szCs w:val="30"/>
                              <w:lang w:val="hy-AM"/>
                            </w:rPr>
                            <w:t>Yerevan</w:t>
                          </w:r>
                          <w:proofErr w:type="spellEnd"/>
                          <w:r w:rsidRPr="00202938">
                            <w:rPr>
                              <w:b/>
                              <w:color w:val="FFFFFF" w:themeColor="background1"/>
                              <w:sz w:val="30"/>
                              <w:szCs w:val="30"/>
                              <w:lang w:val="hy-AM"/>
                            </w:rPr>
                            <w:t xml:space="preserve"> 2024</w:t>
                          </w:r>
                        </w:p>
                        <w:p w14:paraId="44E5AA88" w14:textId="77777777" w:rsidR="006C6FF6" w:rsidRPr="00202938" w:rsidRDefault="006C6FF6" w:rsidP="00B43595">
                          <w:pPr>
                            <w:rPr>
                              <w:lang w:val="hy-AM"/>
                            </w:rPr>
                          </w:pPr>
                        </w:p>
                        <w:p w14:paraId="39CBF78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0E4B563"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410F76A6" w14:textId="77777777" w:rsidR="006C6FF6" w:rsidRPr="00682390" w:rsidRDefault="006C6FF6" w:rsidP="00B43595">
                          <w:pPr>
                            <w:rPr>
                              <w:lang w:val="hy-AM"/>
                            </w:rPr>
                          </w:pPr>
                        </w:p>
                        <w:p w14:paraId="0947966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A627817"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4EA5CF70" w14:textId="77777777" w:rsidR="006C6FF6" w:rsidRPr="00682390" w:rsidRDefault="006C6FF6" w:rsidP="00B43595">
                          <w:pPr>
                            <w:rPr>
                              <w:lang w:val="hy-AM"/>
                            </w:rPr>
                          </w:pPr>
                        </w:p>
                        <w:p w14:paraId="4A13E7A9"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8AB0E6A"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5554F869" w14:textId="77777777" w:rsidR="006C6FF6" w:rsidRPr="00454DBB" w:rsidRDefault="006C6FF6" w:rsidP="00B43595">
                          <w:pPr>
                            <w:rPr>
                              <w:lang w:val="hy-AM"/>
                            </w:rPr>
                          </w:pPr>
                        </w:p>
                        <w:p w14:paraId="37CAB062"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75DD6A14" w14:textId="77777777" w:rsidR="006C6FF6" w:rsidRPr="00454DBB" w:rsidRDefault="006C6FF6" w:rsidP="00B43595">
                          <w:pPr>
                            <w:rPr>
                              <w:lang w:val="hy-AM"/>
                            </w:rPr>
                          </w:pPr>
                        </w:p>
                        <w:p w14:paraId="4A3B703C"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54D8815"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6A6A891C" w14:textId="77777777" w:rsidR="006C6FF6" w:rsidRPr="00682390" w:rsidRDefault="006C6FF6" w:rsidP="00B43595">
                          <w:pPr>
                            <w:rPr>
                              <w:lang w:val="hy-AM"/>
                            </w:rPr>
                          </w:pPr>
                        </w:p>
                        <w:p w14:paraId="141ADE3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5CB1B00"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3BD7ABFD" w14:textId="77777777" w:rsidR="006C6FF6" w:rsidRPr="00682390" w:rsidRDefault="006C6FF6" w:rsidP="00B43595">
                          <w:pPr>
                            <w:rPr>
                              <w:lang w:val="hy-AM"/>
                            </w:rPr>
                          </w:pPr>
                        </w:p>
                        <w:p w14:paraId="5BEDCC58"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CC53817" w14:textId="77777777" w:rsidR="006C6FF6" w:rsidRPr="003A5AE3"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4505A851" w14:textId="77777777" w:rsidR="006C6FF6" w:rsidRPr="003A5AE3" w:rsidRDefault="006C6FF6" w:rsidP="00B43595">
                          <w:pPr>
                            <w:rPr>
                              <w:lang w:val="hy-AM"/>
                            </w:rPr>
                          </w:pPr>
                        </w:p>
                        <w:p w14:paraId="0516FCBA"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5DEA221E" w14:textId="77777777" w:rsidR="006C6FF6" w:rsidRPr="003A5AE3" w:rsidRDefault="006C6FF6" w:rsidP="00B43595">
                          <w:pPr>
                            <w:rPr>
                              <w:lang w:val="hy-AM"/>
                            </w:rPr>
                          </w:pPr>
                        </w:p>
                        <w:p w14:paraId="7A2BBBBA"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ACDBECF"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421E0F4C" w14:textId="77777777" w:rsidR="006C6FF6" w:rsidRPr="00682390" w:rsidRDefault="006C6FF6" w:rsidP="00B43595">
                          <w:pPr>
                            <w:rPr>
                              <w:lang w:val="hy-AM"/>
                            </w:rPr>
                          </w:pPr>
                        </w:p>
                        <w:p w14:paraId="163DB971"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8FFEDEE"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6D57A10B" w14:textId="77777777" w:rsidR="006C6FF6" w:rsidRPr="00682390" w:rsidRDefault="006C6FF6" w:rsidP="00B43595">
                          <w:pPr>
                            <w:rPr>
                              <w:lang w:val="hy-AM"/>
                            </w:rPr>
                          </w:pPr>
                        </w:p>
                        <w:p w14:paraId="55CA1E2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5F495DD"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5326203E" w14:textId="77777777" w:rsidR="006C6FF6" w:rsidRPr="00454DBB" w:rsidRDefault="006C6FF6" w:rsidP="00B43595">
                          <w:pPr>
                            <w:rPr>
                              <w:lang w:val="hy-AM"/>
                            </w:rPr>
                          </w:pPr>
                        </w:p>
                        <w:p w14:paraId="78AFC602"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0A4C329E" w14:textId="77777777" w:rsidR="006C6FF6" w:rsidRPr="00454DBB" w:rsidRDefault="006C6FF6" w:rsidP="00B43595">
                          <w:pPr>
                            <w:rPr>
                              <w:lang w:val="hy-AM"/>
                            </w:rPr>
                          </w:pPr>
                        </w:p>
                        <w:p w14:paraId="283E7C7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03A9DE2"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63C78BBD" w14:textId="77777777" w:rsidR="006C6FF6" w:rsidRPr="00682390" w:rsidRDefault="006C6FF6" w:rsidP="00B43595">
                          <w:pPr>
                            <w:rPr>
                              <w:lang w:val="hy-AM"/>
                            </w:rPr>
                          </w:pPr>
                        </w:p>
                        <w:p w14:paraId="7948CB0B"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8A2571C"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06F4BF97" w14:textId="77777777" w:rsidR="006C6FF6" w:rsidRPr="00682390" w:rsidRDefault="006C6FF6" w:rsidP="00B43595">
                          <w:pPr>
                            <w:rPr>
                              <w:lang w:val="hy-AM"/>
                            </w:rPr>
                          </w:pPr>
                        </w:p>
                        <w:p w14:paraId="7666C56A"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FB0713C" w14:textId="77777777" w:rsidR="006C6FF6" w:rsidRPr="00A506F2"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A506F2">
                            <w:rPr>
                              <w:b/>
                              <w:color w:val="FFFFFF" w:themeColor="background1"/>
                              <w:sz w:val="30"/>
                              <w:szCs w:val="30"/>
                              <w:lang w:val="hy-AM"/>
                            </w:rPr>
                            <w:t>Yerevan</w:t>
                          </w:r>
                          <w:proofErr w:type="spellEnd"/>
                          <w:r w:rsidRPr="00A506F2">
                            <w:rPr>
                              <w:b/>
                              <w:color w:val="FFFFFF" w:themeColor="background1"/>
                              <w:sz w:val="30"/>
                              <w:szCs w:val="30"/>
                              <w:lang w:val="hy-AM"/>
                            </w:rPr>
                            <w:t xml:space="preserve"> 2024</w:t>
                          </w:r>
                        </w:p>
                        <w:p w14:paraId="0EF50336" w14:textId="77777777" w:rsidR="006C6FF6" w:rsidRPr="00A506F2" w:rsidRDefault="006C6FF6" w:rsidP="00B43595">
                          <w:pPr>
                            <w:rPr>
                              <w:lang w:val="hy-AM"/>
                            </w:rPr>
                          </w:pPr>
                        </w:p>
                        <w:p w14:paraId="6888DE1F" w14:textId="77777777" w:rsidR="006C6FF6" w:rsidRPr="00A506F2" w:rsidRDefault="006C6FF6" w:rsidP="00B43595">
                          <w:pPr>
                            <w:rPr>
                              <w:b/>
                              <w:color w:val="FFFFFF" w:themeColor="background1"/>
                              <w:sz w:val="30"/>
                              <w:szCs w:val="30"/>
                              <w:lang w:val="hy-AM"/>
                            </w:rPr>
                          </w:pPr>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 xml:space="preserve">ՀԻՄՆԱԿԱՆ ՈՒՂՂՈՒԹՅՈՒՆՆԵՐԻ </w:t>
                          </w:r>
                          <w:proofErr w:type="spellStart"/>
                          <w:r w:rsidRPr="003A4CA5">
                            <w:rPr>
                              <w:color w:val="auto"/>
                              <w:lang w:val="hy-AM"/>
                            </w:rPr>
                            <w:t>ՄԱՍԻՆ</w:t>
                          </w:r>
                          <w:r w:rsidRPr="00A506F2">
                            <w:rPr>
                              <w:b/>
                              <w:color w:val="FFFFFF" w:themeColor="background1"/>
                              <w:sz w:val="30"/>
                              <w:szCs w:val="30"/>
                              <w:lang w:val="hy-AM"/>
                            </w:rPr>
                            <w:t>Yerevan</w:t>
                          </w:r>
                          <w:proofErr w:type="spellEnd"/>
                          <w:r w:rsidRPr="00A506F2">
                            <w:rPr>
                              <w:b/>
                              <w:color w:val="FFFFFF" w:themeColor="background1"/>
                              <w:sz w:val="30"/>
                              <w:szCs w:val="30"/>
                              <w:lang w:val="hy-AM"/>
                            </w:rPr>
                            <w:t xml:space="preserve"> 2024</w:t>
                          </w:r>
                        </w:p>
                        <w:p w14:paraId="65BE2B3E" w14:textId="77777777" w:rsidR="006C6FF6" w:rsidRPr="00A506F2" w:rsidRDefault="006C6FF6" w:rsidP="00B43595">
                          <w:pPr>
                            <w:rPr>
                              <w:lang w:val="hy-AM"/>
                            </w:rPr>
                          </w:pPr>
                        </w:p>
                        <w:p w14:paraId="4B8DDD83"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C77CB53"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3ABFF5BC" w14:textId="77777777" w:rsidR="006C6FF6" w:rsidRPr="00682390" w:rsidRDefault="006C6FF6" w:rsidP="00B43595">
                          <w:pPr>
                            <w:rPr>
                              <w:lang w:val="hy-AM"/>
                            </w:rPr>
                          </w:pPr>
                        </w:p>
                        <w:p w14:paraId="71430B2E"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410D467"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04B15474" w14:textId="77777777" w:rsidR="006C6FF6" w:rsidRPr="00682390" w:rsidRDefault="006C6FF6" w:rsidP="00B43595">
                          <w:pPr>
                            <w:rPr>
                              <w:lang w:val="hy-AM"/>
                            </w:rPr>
                          </w:pPr>
                        </w:p>
                        <w:p w14:paraId="2201A23C"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3B9A533"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7403615A" w14:textId="77777777" w:rsidR="006C6FF6" w:rsidRPr="00454DBB" w:rsidRDefault="006C6FF6" w:rsidP="00B43595">
                          <w:pPr>
                            <w:rPr>
                              <w:lang w:val="hy-AM"/>
                            </w:rPr>
                          </w:pPr>
                        </w:p>
                        <w:p w14:paraId="40BAB301"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55720A33" w14:textId="77777777" w:rsidR="006C6FF6" w:rsidRPr="00454DBB" w:rsidRDefault="006C6FF6" w:rsidP="00B43595">
                          <w:pPr>
                            <w:rPr>
                              <w:lang w:val="hy-AM"/>
                            </w:rPr>
                          </w:pPr>
                        </w:p>
                        <w:p w14:paraId="12FE226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A7A2454"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7AD087B9" w14:textId="77777777" w:rsidR="006C6FF6" w:rsidRPr="00682390" w:rsidRDefault="006C6FF6" w:rsidP="00B43595">
                          <w:pPr>
                            <w:rPr>
                              <w:lang w:val="hy-AM"/>
                            </w:rPr>
                          </w:pPr>
                        </w:p>
                        <w:p w14:paraId="2CF3C2EA"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E89447B"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1314E260" w14:textId="77777777" w:rsidR="006C6FF6" w:rsidRPr="00682390" w:rsidRDefault="006C6FF6" w:rsidP="00B43595">
                          <w:pPr>
                            <w:rPr>
                              <w:lang w:val="hy-AM"/>
                            </w:rPr>
                          </w:pPr>
                        </w:p>
                        <w:p w14:paraId="233D3F7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FB9643D" w14:textId="77777777" w:rsidR="006C6FF6" w:rsidRPr="003A5AE3"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06478375" w14:textId="77777777" w:rsidR="006C6FF6" w:rsidRPr="003A5AE3" w:rsidRDefault="006C6FF6" w:rsidP="00B43595">
                          <w:pPr>
                            <w:rPr>
                              <w:lang w:val="hy-AM"/>
                            </w:rPr>
                          </w:pPr>
                        </w:p>
                        <w:p w14:paraId="008AC665"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66E9CE95" w14:textId="77777777" w:rsidR="006C6FF6" w:rsidRPr="003A5AE3" w:rsidRDefault="006C6FF6" w:rsidP="00B43595">
                          <w:pPr>
                            <w:rPr>
                              <w:lang w:val="hy-AM"/>
                            </w:rPr>
                          </w:pPr>
                        </w:p>
                        <w:p w14:paraId="32A70552"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C83DBE7"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799800D6" w14:textId="77777777" w:rsidR="006C6FF6" w:rsidRPr="00682390" w:rsidRDefault="006C6FF6" w:rsidP="00B43595">
                          <w:pPr>
                            <w:rPr>
                              <w:lang w:val="hy-AM"/>
                            </w:rPr>
                          </w:pPr>
                        </w:p>
                        <w:p w14:paraId="5764FC5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83267E8"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20C90D3E" w14:textId="77777777" w:rsidR="006C6FF6" w:rsidRPr="00682390" w:rsidRDefault="006C6FF6" w:rsidP="00B43595">
                          <w:pPr>
                            <w:rPr>
                              <w:lang w:val="hy-AM"/>
                            </w:rPr>
                          </w:pPr>
                        </w:p>
                        <w:p w14:paraId="5C0DD4D2"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9AA5934"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372CDC5C" w14:textId="77777777" w:rsidR="006C6FF6" w:rsidRPr="00454DBB" w:rsidRDefault="006C6FF6" w:rsidP="00B43595">
                          <w:pPr>
                            <w:rPr>
                              <w:lang w:val="hy-AM"/>
                            </w:rPr>
                          </w:pPr>
                        </w:p>
                        <w:p w14:paraId="4F0E7F4D"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7A368A8E" w14:textId="77777777" w:rsidR="006C6FF6" w:rsidRPr="00454DBB" w:rsidRDefault="006C6FF6" w:rsidP="00B43595">
                          <w:pPr>
                            <w:rPr>
                              <w:lang w:val="hy-AM"/>
                            </w:rPr>
                          </w:pPr>
                        </w:p>
                        <w:p w14:paraId="196E64C5"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B1CA4B8"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54E807CD" w14:textId="77777777" w:rsidR="006C6FF6" w:rsidRPr="00682390" w:rsidRDefault="006C6FF6" w:rsidP="00B43595">
                          <w:pPr>
                            <w:rPr>
                              <w:lang w:val="hy-AM"/>
                            </w:rPr>
                          </w:pPr>
                        </w:p>
                        <w:p w14:paraId="64801EF5"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23094E4"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3CCCBA48" w14:textId="77777777" w:rsidR="006C6FF6" w:rsidRPr="00682390" w:rsidRDefault="006C6FF6" w:rsidP="00B43595">
                          <w:pPr>
                            <w:rPr>
                              <w:lang w:val="hy-AM"/>
                            </w:rPr>
                          </w:pPr>
                        </w:p>
                        <w:p w14:paraId="151332A0"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C89EF21" w14:textId="77777777" w:rsidR="006C6FF6" w:rsidRPr="00202938"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202938">
                            <w:rPr>
                              <w:b/>
                              <w:color w:val="FFFFFF" w:themeColor="background1"/>
                              <w:sz w:val="30"/>
                              <w:szCs w:val="30"/>
                              <w:lang w:val="hy-AM"/>
                            </w:rPr>
                            <w:t>Yerevan</w:t>
                          </w:r>
                          <w:proofErr w:type="spellEnd"/>
                          <w:r w:rsidRPr="00202938">
                            <w:rPr>
                              <w:b/>
                              <w:color w:val="FFFFFF" w:themeColor="background1"/>
                              <w:sz w:val="30"/>
                              <w:szCs w:val="30"/>
                              <w:lang w:val="hy-AM"/>
                            </w:rPr>
                            <w:t xml:space="preserve"> 2024</w:t>
                          </w:r>
                        </w:p>
                        <w:p w14:paraId="72A79802" w14:textId="77777777" w:rsidR="006C6FF6" w:rsidRPr="00202938" w:rsidRDefault="006C6FF6" w:rsidP="00B43595">
                          <w:pPr>
                            <w:rPr>
                              <w:lang w:val="hy-AM"/>
                            </w:rPr>
                          </w:pPr>
                        </w:p>
                        <w:p w14:paraId="227F6875" w14:textId="77777777" w:rsidR="006C6FF6" w:rsidRPr="00202938"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202938">
                            <w:rPr>
                              <w:b/>
                              <w:color w:val="FFFFFF" w:themeColor="background1"/>
                              <w:sz w:val="30"/>
                              <w:szCs w:val="30"/>
                              <w:lang w:val="hy-AM"/>
                            </w:rPr>
                            <w:t>Yerevan</w:t>
                          </w:r>
                          <w:proofErr w:type="spellEnd"/>
                          <w:r w:rsidRPr="00202938">
                            <w:rPr>
                              <w:b/>
                              <w:color w:val="FFFFFF" w:themeColor="background1"/>
                              <w:sz w:val="30"/>
                              <w:szCs w:val="30"/>
                              <w:lang w:val="hy-AM"/>
                            </w:rPr>
                            <w:t xml:space="preserve"> 2024</w:t>
                          </w:r>
                        </w:p>
                        <w:p w14:paraId="0CD7215B" w14:textId="77777777" w:rsidR="006C6FF6" w:rsidRPr="00202938" w:rsidRDefault="006C6FF6" w:rsidP="00B43595">
                          <w:pPr>
                            <w:rPr>
                              <w:lang w:val="hy-AM"/>
                            </w:rPr>
                          </w:pPr>
                        </w:p>
                        <w:p w14:paraId="34275329"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3AE2116"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2A3836FD" w14:textId="77777777" w:rsidR="006C6FF6" w:rsidRPr="00682390" w:rsidRDefault="006C6FF6" w:rsidP="00B43595">
                          <w:pPr>
                            <w:rPr>
                              <w:lang w:val="hy-AM"/>
                            </w:rPr>
                          </w:pPr>
                        </w:p>
                        <w:p w14:paraId="49A25443"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3876BB3"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2D3B984E" w14:textId="77777777" w:rsidR="006C6FF6" w:rsidRPr="00682390" w:rsidRDefault="006C6FF6" w:rsidP="00B43595">
                          <w:pPr>
                            <w:rPr>
                              <w:lang w:val="hy-AM"/>
                            </w:rPr>
                          </w:pPr>
                        </w:p>
                        <w:p w14:paraId="624EBFED"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225CDE7"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7F58D27C" w14:textId="77777777" w:rsidR="006C6FF6" w:rsidRPr="00454DBB" w:rsidRDefault="006C6FF6" w:rsidP="00B43595">
                          <w:pPr>
                            <w:rPr>
                              <w:lang w:val="hy-AM"/>
                            </w:rPr>
                          </w:pPr>
                        </w:p>
                        <w:p w14:paraId="0D8FC867"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6007CA71" w14:textId="77777777" w:rsidR="006C6FF6" w:rsidRPr="00454DBB" w:rsidRDefault="006C6FF6" w:rsidP="00B43595">
                          <w:pPr>
                            <w:rPr>
                              <w:lang w:val="hy-AM"/>
                            </w:rPr>
                          </w:pPr>
                        </w:p>
                        <w:p w14:paraId="25EE45A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0F27055"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2FCC38DC" w14:textId="77777777" w:rsidR="006C6FF6" w:rsidRPr="00682390" w:rsidRDefault="006C6FF6" w:rsidP="00B43595">
                          <w:pPr>
                            <w:rPr>
                              <w:lang w:val="hy-AM"/>
                            </w:rPr>
                          </w:pPr>
                        </w:p>
                        <w:p w14:paraId="48AE0A71"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7D36592"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63EC67AE" w14:textId="77777777" w:rsidR="006C6FF6" w:rsidRPr="00682390" w:rsidRDefault="006C6FF6" w:rsidP="00B43595">
                          <w:pPr>
                            <w:rPr>
                              <w:lang w:val="hy-AM"/>
                            </w:rPr>
                          </w:pPr>
                        </w:p>
                        <w:p w14:paraId="7F526FA6"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89233A9" w14:textId="77777777" w:rsidR="006C6FF6" w:rsidRPr="003A5AE3"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3BD493B7" w14:textId="77777777" w:rsidR="006C6FF6" w:rsidRPr="003A5AE3" w:rsidRDefault="006C6FF6" w:rsidP="00B43595">
                          <w:pPr>
                            <w:rPr>
                              <w:lang w:val="hy-AM"/>
                            </w:rPr>
                          </w:pPr>
                        </w:p>
                        <w:p w14:paraId="6533AB98"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0A4AD770" w14:textId="77777777" w:rsidR="006C6FF6" w:rsidRPr="003A5AE3" w:rsidRDefault="006C6FF6" w:rsidP="00B43595">
                          <w:pPr>
                            <w:rPr>
                              <w:lang w:val="hy-AM"/>
                            </w:rPr>
                          </w:pPr>
                        </w:p>
                        <w:p w14:paraId="7437A8C5"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652798A"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750D733A" w14:textId="77777777" w:rsidR="006C6FF6" w:rsidRPr="00682390" w:rsidRDefault="006C6FF6" w:rsidP="00B43595">
                          <w:pPr>
                            <w:rPr>
                              <w:lang w:val="hy-AM"/>
                            </w:rPr>
                          </w:pPr>
                        </w:p>
                        <w:p w14:paraId="200A7EF2"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4DB4BB97"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298D7A1B" w14:textId="77777777" w:rsidR="006C6FF6" w:rsidRPr="00682390" w:rsidRDefault="006C6FF6" w:rsidP="00B43595">
                          <w:pPr>
                            <w:rPr>
                              <w:lang w:val="hy-AM"/>
                            </w:rPr>
                          </w:pPr>
                        </w:p>
                        <w:p w14:paraId="3392270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8EF89B1"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6881F87B" w14:textId="77777777" w:rsidR="006C6FF6" w:rsidRPr="00454DBB" w:rsidRDefault="006C6FF6" w:rsidP="00B43595">
                          <w:pPr>
                            <w:rPr>
                              <w:lang w:val="hy-AM"/>
                            </w:rPr>
                          </w:pPr>
                        </w:p>
                        <w:p w14:paraId="5D2674D4"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275CC34E" w14:textId="77777777" w:rsidR="006C6FF6" w:rsidRPr="00454DBB" w:rsidRDefault="006C6FF6" w:rsidP="00B43595">
                          <w:pPr>
                            <w:rPr>
                              <w:lang w:val="hy-AM"/>
                            </w:rPr>
                          </w:pPr>
                        </w:p>
                        <w:p w14:paraId="2CBD5C75"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790B52A"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05830319" w14:textId="77777777" w:rsidR="006C6FF6" w:rsidRPr="00682390" w:rsidRDefault="006C6FF6" w:rsidP="00B43595">
                          <w:pPr>
                            <w:rPr>
                              <w:lang w:val="hy-AM"/>
                            </w:rPr>
                          </w:pPr>
                        </w:p>
                        <w:p w14:paraId="0E1A8CDC"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B9A7EEF"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61045457" w14:textId="77777777" w:rsidR="006C6FF6" w:rsidRPr="00682390" w:rsidRDefault="006C6FF6" w:rsidP="00B43595">
                          <w:pPr>
                            <w:rPr>
                              <w:lang w:val="hy-AM"/>
                            </w:rPr>
                          </w:pPr>
                        </w:p>
                        <w:p w14:paraId="7E246C50"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65C29AE" w14:textId="77777777" w:rsidR="006C6FF6" w:rsidRPr="00A72B0A"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A72B0A">
                            <w:rPr>
                              <w:b/>
                              <w:color w:val="FFFFFF" w:themeColor="background1"/>
                              <w:sz w:val="30"/>
                              <w:szCs w:val="30"/>
                              <w:lang w:val="hy-AM"/>
                            </w:rPr>
                            <w:t>Yerevan</w:t>
                          </w:r>
                          <w:proofErr w:type="spellEnd"/>
                          <w:r w:rsidRPr="00A72B0A">
                            <w:rPr>
                              <w:b/>
                              <w:color w:val="FFFFFF" w:themeColor="background1"/>
                              <w:sz w:val="30"/>
                              <w:szCs w:val="30"/>
                              <w:lang w:val="hy-AM"/>
                            </w:rPr>
                            <w:t xml:space="preserve"> 2024</w:t>
                          </w:r>
                        </w:p>
                        <w:p w14:paraId="28B7D25A" w14:textId="77777777" w:rsidR="006C6FF6" w:rsidRPr="00A72B0A" w:rsidRDefault="006C6FF6" w:rsidP="00B43595">
                          <w:pPr>
                            <w:rPr>
                              <w:lang w:val="hy-AM"/>
                            </w:rPr>
                          </w:pPr>
                        </w:p>
                        <w:p w14:paraId="2F0D8DE1" w14:textId="77777777" w:rsidR="006C6FF6" w:rsidRPr="00A72B0A" w:rsidRDefault="006C6FF6" w:rsidP="00B43595">
                          <w:pPr>
                            <w:rPr>
                              <w:b/>
                              <w:color w:val="FFFFFF" w:themeColor="background1"/>
                              <w:sz w:val="30"/>
                              <w:szCs w:val="30"/>
                              <w:lang w:val="hy-AM"/>
                            </w:rPr>
                          </w:pPr>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 xml:space="preserve">ՀԻՄՆԱԿԱՆ ՈՒՂՂՈՒԹՅՈՒՆՆԵՐԻ </w:t>
                          </w:r>
                          <w:proofErr w:type="spellStart"/>
                          <w:r w:rsidRPr="003A4CA5">
                            <w:rPr>
                              <w:color w:val="auto"/>
                              <w:lang w:val="hy-AM"/>
                            </w:rPr>
                            <w:t>ՄԱՍԻՆ</w:t>
                          </w:r>
                          <w:r w:rsidRPr="00A72B0A">
                            <w:rPr>
                              <w:b/>
                              <w:color w:val="FFFFFF" w:themeColor="background1"/>
                              <w:sz w:val="30"/>
                              <w:szCs w:val="30"/>
                              <w:lang w:val="hy-AM"/>
                            </w:rPr>
                            <w:t>Yerevan</w:t>
                          </w:r>
                          <w:proofErr w:type="spellEnd"/>
                          <w:r w:rsidRPr="00A72B0A">
                            <w:rPr>
                              <w:b/>
                              <w:color w:val="FFFFFF" w:themeColor="background1"/>
                              <w:sz w:val="30"/>
                              <w:szCs w:val="30"/>
                              <w:lang w:val="hy-AM"/>
                            </w:rPr>
                            <w:t xml:space="preserve"> 2024</w:t>
                          </w:r>
                        </w:p>
                        <w:p w14:paraId="3608B9A5" w14:textId="77777777" w:rsidR="006C6FF6" w:rsidRPr="00A72B0A" w:rsidRDefault="006C6FF6" w:rsidP="00B43595">
                          <w:pPr>
                            <w:rPr>
                              <w:lang w:val="hy-AM"/>
                            </w:rPr>
                          </w:pPr>
                        </w:p>
                        <w:p w14:paraId="07C6BEAB"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E8D63C9"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413A02AA" w14:textId="77777777" w:rsidR="006C6FF6" w:rsidRPr="00682390" w:rsidRDefault="006C6FF6" w:rsidP="00B43595">
                          <w:pPr>
                            <w:rPr>
                              <w:lang w:val="hy-AM"/>
                            </w:rPr>
                          </w:pPr>
                        </w:p>
                        <w:p w14:paraId="69851C48"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29ADEE8"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7A664192" w14:textId="77777777" w:rsidR="006C6FF6" w:rsidRPr="00682390" w:rsidRDefault="006C6FF6" w:rsidP="00B43595">
                          <w:pPr>
                            <w:rPr>
                              <w:lang w:val="hy-AM"/>
                            </w:rPr>
                          </w:pPr>
                        </w:p>
                        <w:p w14:paraId="3FEE6F55"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3931DBEF"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48CF2150" w14:textId="77777777" w:rsidR="006C6FF6" w:rsidRPr="00454DBB" w:rsidRDefault="006C6FF6" w:rsidP="00B43595">
                          <w:pPr>
                            <w:rPr>
                              <w:lang w:val="hy-AM"/>
                            </w:rPr>
                          </w:pPr>
                        </w:p>
                        <w:p w14:paraId="4D3DCA76"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568CE6E2" w14:textId="77777777" w:rsidR="006C6FF6" w:rsidRPr="00454DBB" w:rsidRDefault="006C6FF6" w:rsidP="00B43595">
                          <w:pPr>
                            <w:rPr>
                              <w:lang w:val="hy-AM"/>
                            </w:rPr>
                          </w:pPr>
                        </w:p>
                        <w:p w14:paraId="76825A05"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1C45D91"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65463EF1" w14:textId="77777777" w:rsidR="006C6FF6" w:rsidRPr="00682390" w:rsidRDefault="006C6FF6" w:rsidP="00B43595">
                          <w:pPr>
                            <w:rPr>
                              <w:lang w:val="hy-AM"/>
                            </w:rPr>
                          </w:pPr>
                        </w:p>
                        <w:p w14:paraId="52E9976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661C120"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4F3AD4BF" w14:textId="77777777" w:rsidR="006C6FF6" w:rsidRPr="00682390" w:rsidRDefault="006C6FF6" w:rsidP="00B43595">
                          <w:pPr>
                            <w:rPr>
                              <w:lang w:val="hy-AM"/>
                            </w:rPr>
                          </w:pPr>
                        </w:p>
                        <w:p w14:paraId="1F008159"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716F04A0" w14:textId="77777777" w:rsidR="006C6FF6" w:rsidRPr="003A5AE3"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4B117166" w14:textId="77777777" w:rsidR="006C6FF6" w:rsidRPr="003A5AE3" w:rsidRDefault="006C6FF6" w:rsidP="00B43595">
                          <w:pPr>
                            <w:rPr>
                              <w:lang w:val="hy-AM"/>
                            </w:rPr>
                          </w:pPr>
                        </w:p>
                        <w:p w14:paraId="773838E2"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42EB2658" w14:textId="77777777" w:rsidR="006C6FF6" w:rsidRPr="003A5AE3" w:rsidRDefault="006C6FF6" w:rsidP="00B43595">
                          <w:pPr>
                            <w:rPr>
                              <w:lang w:val="hy-AM"/>
                            </w:rPr>
                          </w:pPr>
                        </w:p>
                        <w:p w14:paraId="522ADBB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513B6B25"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6F8A53B7" w14:textId="77777777" w:rsidR="006C6FF6" w:rsidRPr="00682390" w:rsidRDefault="006C6FF6" w:rsidP="00B43595">
                          <w:pPr>
                            <w:rPr>
                              <w:lang w:val="hy-AM"/>
                            </w:rPr>
                          </w:pPr>
                        </w:p>
                        <w:p w14:paraId="28BA7530"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42E86E2"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57F95AC6" w14:textId="77777777" w:rsidR="006C6FF6" w:rsidRPr="00682390" w:rsidRDefault="006C6FF6" w:rsidP="00B43595">
                          <w:pPr>
                            <w:rPr>
                              <w:lang w:val="hy-AM"/>
                            </w:rPr>
                          </w:pPr>
                        </w:p>
                        <w:p w14:paraId="141C537F"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1DBBE264"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4BE8D318" w14:textId="77777777" w:rsidR="006C6FF6" w:rsidRPr="00454DBB" w:rsidRDefault="006C6FF6" w:rsidP="00B43595">
                          <w:pPr>
                            <w:rPr>
                              <w:lang w:val="hy-AM"/>
                            </w:rPr>
                          </w:pPr>
                        </w:p>
                        <w:p w14:paraId="3DF72579"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4D65600F" w14:textId="77777777" w:rsidR="006C6FF6" w:rsidRPr="00454DBB" w:rsidRDefault="006C6FF6" w:rsidP="00B43595">
                          <w:pPr>
                            <w:rPr>
                              <w:lang w:val="hy-AM"/>
                            </w:rPr>
                          </w:pPr>
                        </w:p>
                        <w:p w14:paraId="4522F5C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693B43A1"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219E791E" w14:textId="77777777" w:rsidR="006C6FF6" w:rsidRPr="00682390" w:rsidRDefault="006C6FF6" w:rsidP="00B43595">
                          <w:pPr>
                            <w:rPr>
                              <w:lang w:val="hy-AM"/>
                            </w:rPr>
                          </w:pPr>
                        </w:p>
                        <w:p w14:paraId="57993084"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2AE70FC5"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7D54CDE8" w14:textId="77777777" w:rsidR="006C6FF6" w:rsidRPr="00682390" w:rsidRDefault="006C6FF6" w:rsidP="00B43595">
                          <w:pPr>
                            <w:rPr>
                              <w:lang w:val="hy-AM"/>
                            </w:rPr>
                          </w:pPr>
                        </w:p>
                        <w:p w14:paraId="396C3937" w14:textId="77777777" w:rsidR="006C6FF6" w:rsidRPr="00A3353C" w:rsidRDefault="006C6FF6" w:rsidP="00B43595">
                          <w:pPr>
                            <w:pStyle w:val="TOC1"/>
                            <w:rPr>
                              <w:rFonts w:asciiTheme="minorHAnsi" w:hAnsiTheme="minorHAnsi"/>
                              <w:color w:val="FFFFFF" w:themeColor="background1"/>
                              <w:szCs w:val="40"/>
                              <w:lang w:val="hy-AM"/>
                            </w:rPr>
                          </w:pPr>
                          <w:r w:rsidRPr="00A3353C">
                            <w:rPr>
                              <w:rFonts w:asciiTheme="minorHAnsi" w:hAnsiTheme="minorHAnsi"/>
                              <w:color w:val="FFFFFF" w:themeColor="background1"/>
                              <w:szCs w:val="40"/>
                              <w:lang w:val="hy-AM"/>
                            </w:rPr>
                            <w:t xml:space="preserve">ՄԱՍ I: ՍՈՑԻԱԼ-ՏՆՏԵՍԱԿԱՆ ԶԱՐԳԱՑՄԱՆ ԵՎ ՀԱՐԿԱԲՅՈՒՋԵՏԱՅԻՆ ՔԱՂԱՔԱԿԱՆՈՒԹՅԱՆ </w:t>
                          </w:r>
                        </w:p>
                        <w:p w14:paraId="07DBB73E" w14:textId="77777777" w:rsidR="006C6FF6" w:rsidRPr="00202938"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202938">
                            <w:rPr>
                              <w:b/>
                              <w:color w:val="FFFFFF" w:themeColor="background1"/>
                              <w:sz w:val="30"/>
                              <w:szCs w:val="30"/>
                              <w:lang w:val="hy-AM"/>
                            </w:rPr>
                            <w:t>Yerevan</w:t>
                          </w:r>
                          <w:proofErr w:type="spellEnd"/>
                          <w:r w:rsidRPr="00202938">
                            <w:rPr>
                              <w:b/>
                              <w:color w:val="FFFFFF" w:themeColor="background1"/>
                              <w:sz w:val="30"/>
                              <w:szCs w:val="30"/>
                              <w:lang w:val="hy-AM"/>
                            </w:rPr>
                            <w:t xml:space="preserve"> 2024</w:t>
                          </w:r>
                        </w:p>
                        <w:p w14:paraId="13118B36" w14:textId="77777777" w:rsidR="006C6FF6" w:rsidRPr="00202938" w:rsidRDefault="006C6FF6" w:rsidP="00B43595">
                          <w:pPr>
                            <w:rPr>
                              <w:lang w:val="hy-AM"/>
                            </w:rPr>
                          </w:pPr>
                        </w:p>
                        <w:p w14:paraId="2316473F" w14:textId="77777777" w:rsidR="006C6FF6" w:rsidRPr="00202938"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w:t>
                          </w:r>
                          <w:r w:rsidRPr="00487DE5">
                            <w:rPr>
                              <w:color w:val="FFFFFF" w:themeColor="background1"/>
                              <w:sz w:val="40"/>
                              <w:szCs w:val="40"/>
                              <w:lang w:val="hy-AM"/>
                            </w:rPr>
                            <w:t>ՈՏՆՏԵՍԱ</w:t>
                          </w:r>
                          <w:r w:rsidRPr="003A4CA5">
                            <w:rPr>
                              <w:color w:val="FFFFFF" w:themeColor="background1"/>
                              <w:sz w:val="40"/>
                              <w:szCs w:val="40"/>
                              <w:lang w:val="hy-AM"/>
                            </w:rPr>
                            <w:t>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202938">
                            <w:rPr>
                              <w:b/>
                              <w:color w:val="FFFFFF" w:themeColor="background1"/>
                              <w:sz w:val="30"/>
                              <w:szCs w:val="30"/>
                              <w:lang w:val="hy-AM"/>
                            </w:rPr>
                            <w:t>Yerevan</w:t>
                          </w:r>
                          <w:proofErr w:type="spellEnd"/>
                          <w:r w:rsidRPr="00202938">
                            <w:rPr>
                              <w:b/>
                              <w:color w:val="FFFFFF" w:themeColor="background1"/>
                              <w:sz w:val="30"/>
                              <w:szCs w:val="30"/>
                              <w:lang w:val="hy-AM"/>
                            </w:rPr>
                            <w:t xml:space="preserve"> 2024</w:t>
                          </w:r>
                        </w:p>
                        <w:p w14:paraId="28B8114F" w14:textId="77777777" w:rsidR="006C6FF6" w:rsidRPr="00202938" w:rsidRDefault="006C6FF6" w:rsidP="00B43595">
                          <w:pPr>
                            <w:rPr>
                              <w:lang w:val="hy-AM"/>
                            </w:rPr>
                          </w:pPr>
                        </w:p>
                        <w:p w14:paraId="387CB9E0" w14:textId="77777777" w:rsidR="006C6FF6" w:rsidRPr="00A3353C" w:rsidRDefault="006C6FF6" w:rsidP="00B43595">
                          <w:pPr>
                            <w:pStyle w:val="TOC1"/>
                            <w:rPr>
                              <w:rFonts w:asciiTheme="minorHAnsi" w:hAnsiTheme="minorHAnsi"/>
                              <w:color w:val="FFFFFF" w:themeColor="background1"/>
                              <w:szCs w:val="40"/>
                              <w:lang w:val="hy-AM"/>
                            </w:rPr>
                          </w:pPr>
                          <w:bookmarkStart w:id="47" w:name="_Toc209625730"/>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47"/>
                          <w:r w:rsidRPr="00A3353C">
                            <w:rPr>
                              <w:rFonts w:asciiTheme="minorHAnsi" w:hAnsiTheme="minorHAnsi"/>
                              <w:color w:val="FFFFFF" w:themeColor="background1"/>
                              <w:szCs w:val="40"/>
                              <w:lang w:val="hy-AM"/>
                            </w:rPr>
                            <w:t xml:space="preserve"> </w:t>
                          </w:r>
                        </w:p>
                        <w:p w14:paraId="23F3865E"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50767C45" w14:textId="77777777" w:rsidR="006C6FF6" w:rsidRPr="00682390" w:rsidRDefault="006C6FF6" w:rsidP="00B43595">
                          <w:pPr>
                            <w:rPr>
                              <w:lang w:val="hy-AM"/>
                            </w:rPr>
                          </w:pPr>
                        </w:p>
                        <w:p w14:paraId="6C8A3EC7" w14:textId="77777777" w:rsidR="006C6FF6" w:rsidRPr="00A3353C" w:rsidRDefault="006C6FF6" w:rsidP="00B43595">
                          <w:pPr>
                            <w:pStyle w:val="TOC1"/>
                            <w:rPr>
                              <w:rFonts w:asciiTheme="minorHAnsi" w:hAnsiTheme="minorHAnsi"/>
                              <w:color w:val="FFFFFF" w:themeColor="background1"/>
                              <w:szCs w:val="40"/>
                              <w:lang w:val="hy-AM"/>
                            </w:rPr>
                          </w:pPr>
                          <w:bookmarkStart w:id="48" w:name="_Toc209625731"/>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48"/>
                          <w:r w:rsidRPr="00A3353C">
                            <w:rPr>
                              <w:rFonts w:asciiTheme="minorHAnsi" w:hAnsiTheme="minorHAnsi"/>
                              <w:color w:val="FFFFFF" w:themeColor="background1"/>
                              <w:szCs w:val="40"/>
                              <w:lang w:val="hy-AM"/>
                            </w:rPr>
                            <w:t xml:space="preserve"> </w:t>
                          </w:r>
                        </w:p>
                        <w:p w14:paraId="0E973EB9"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5B4DFE5F" w14:textId="77777777" w:rsidR="006C6FF6" w:rsidRPr="00682390" w:rsidRDefault="006C6FF6" w:rsidP="00B43595">
                          <w:pPr>
                            <w:rPr>
                              <w:lang w:val="hy-AM"/>
                            </w:rPr>
                          </w:pPr>
                        </w:p>
                        <w:p w14:paraId="5A246112" w14:textId="77777777" w:rsidR="006C6FF6" w:rsidRPr="00A3353C" w:rsidRDefault="006C6FF6" w:rsidP="00B43595">
                          <w:pPr>
                            <w:pStyle w:val="TOC1"/>
                            <w:rPr>
                              <w:rFonts w:asciiTheme="minorHAnsi" w:hAnsiTheme="minorHAnsi"/>
                              <w:color w:val="FFFFFF" w:themeColor="background1"/>
                              <w:szCs w:val="40"/>
                              <w:lang w:val="hy-AM"/>
                            </w:rPr>
                          </w:pPr>
                          <w:bookmarkStart w:id="49" w:name="_Toc209625732"/>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49"/>
                          <w:r w:rsidRPr="00A3353C">
                            <w:rPr>
                              <w:rFonts w:asciiTheme="minorHAnsi" w:hAnsiTheme="minorHAnsi"/>
                              <w:color w:val="FFFFFF" w:themeColor="background1"/>
                              <w:szCs w:val="40"/>
                              <w:lang w:val="hy-AM"/>
                            </w:rPr>
                            <w:t xml:space="preserve"> </w:t>
                          </w:r>
                        </w:p>
                        <w:p w14:paraId="40ACD238"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410990A6" w14:textId="77777777" w:rsidR="006C6FF6" w:rsidRPr="00454DBB" w:rsidRDefault="006C6FF6" w:rsidP="00B43595">
                          <w:pPr>
                            <w:rPr>
                              <w:lang w:val="hy-AM"/>
                            </w:rPr>
                          </w:pPr>
                        </w:p>
                        <w:p w14:paraId="26FF1622"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2300EA6C" w14:textId="77777777" w:rsidR="006C6FF6" w:rsidRPr="00454DBB" w:rsidRDefault="006C6FF6" w:rsidP="00B43595">
                          <w:pPr>
                            <w:rPr>
                              <w:lang w:val="hy-AM"/>
                            </w:rPr>
                          </w:pPr>
                        </w:p>
                        <w:p w14:paraId="752E036E" w14:textId="77777777" w:rsidR="006C6FF6" w:rsidRPr="00A3353C" w:rsidRDefault="006C6FF6" w:rsidP="00B43595">
                          <w:pPr>
                            <w:pStyle w:val="TOC1"/>
                            <w:rPr>
                              <w:rFonts w:asciiTheme="minorHAnsi" w:hAnsiTheme="minorHAnsi"/>
                              <w:color w:val="FFFFFF" w:themeColor="background1"/>
                              <w:szCs w:val="40"/>
                              <w:lang w:val="hy-AM"/>
                            </w:rPr>
                          </w:pPr>
                          <w:bookmarkStart w:id="50" w:name="_Toc209625733"/>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50"/>
                          <w:r w:rsidRPr="00A3353C">
                            <w:rPr>
                              <w:rFonts w:asciiTheme="minorHAnsi" w:hAnsiTheme="minorHAnsi"/>
                              <w:color w:val="FFFFFF" w:themeColor="background1"/>
                              <w:szCs w:val="40"/>
                              <w:lang w:val="hy-AM"/>
                            </w:rPr>
                            <w:t xml:space="preserve"> </w:t>
                          </w:r>
                        </w:p>
                        <w:p w14:paraId="014676C5"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074714F3" w14:textId="77777777" w:rsidR="006C6FF6" w:rsidRPr="00682390" w:rsidRDefault="006C6FF6" w:rsidP="00B43595">
                          <w:pPr>
                            <w:rPr>
                              <w:lang w:val="hy-AM"/>
                            </w:rPr>
                          </w:pPr>
                        </w:p>
                        <w:p w14:paraId="4CFB564A" w14:textId="77777777" w:rsidR="006C6FF6" w:rsidRPr="00A3353C" w:rsidRDefault="006C6FF6" w:rsidP="00B43595">
                          <w:pPr>
                            <w:pStyle w:val="TOC1"/>
                            <w:rPr>
                              <w:rFonts w:asciiTheme="minorHAnsi" w:hAnsiTheme="minorHAnsi"/>
                              <w:color w:val="FFFFFF" w:themeColor="background1"/>
                              <w:szCs w:val="40"/>
                              <w:lang w:val="hy-AM"/>
                            </w:rPr>
                          </w:pPr>
                          <w:bookmarkStart w:id="51" w:name="_Toc209625734"/>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51"/>
                          <w:r w:rsidRPr="00A3353C">
                            <w:rPr>
                              <w:rFonts w:asciiTheme="minorHAnsi" w:hAnsiTheme="minorHAnsi"/>
                              <w:color w:val="FFFFFF" w:themeColor="background1"/>
                              <w:szCs w:val="40"/>
                              <w:lang w:val="hy-AM"/>
                            </w:rPr>
                            <w:t xml:space="preserve"> </w:t>
                          </w:r>
                        </w:p>
                        <w:p w14:paraId="612A3A12"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2C02BD53" w14:textId="77777777" w:rsidR="006C6FF6" w:rsidRPr="00682390" w:rsidRDefault="006C6FF6" w:rsidP="00B43595">
                          <w:pPr>
                            <w:rPr>
                              <w:lang w:val="hy-AM"/>
                            </w:rPr>
                          </w:pPr>
                        </w:p>
                        <w:p w14:paraId="0025EB81" w14:textId="77777777" w:rsidR="006C6FF6" w:rsidRPr="00A3353C" w:rsidRDefault="006C6FF6" w:rsidP="00B43595">
                          <w:pPr>
                            <w:pStyle w:val="TOC1"/>
                            <w:rPr>
                              <w:rFonts w:asciiTheme="minorHAnsi" w:hAnsiTheme="minorHAnsi"/>
                              <w:color w:val="FFFFFF" w:themeColor="background1"/>
                              <w:szCs w:val="40"/>
                              <w:lang w:val="hy-AM"/>
                            </w:rPr>
                          </w:pPr>
                          <w:bookmarkStart w:id="52" w:name="_Toc209625735"/>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52"/>
                          <w:r w:rsidRPr="00A3353C">
                            <w:rPr>
                              <w:rFonts w:asciiTheme="minorHAnsi" w:hAnsiTheme="minorHAnsi"/>
                              <w:color w:val="FFFFFF" w:themeColor="background1"/>
                              <w:szCs w:val="40"/>
                              <w:lang w:val="hy-AM"/>
                            </w:rPr>
                            <w:t xml:space="preserve"> </w:t>
                          </w:r>
                        </w:p>
                        <w:p w14:paraId="49C858E1" w14:textId="77777777" w:rsidR="006C6FF6" w:rsidRPr="003A5AE3"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26067F3E" w14:textId="77777777" w:rsidR="006C6FF6" w:rsidRPr="003A5AE3" w:rsidRDefault="006C6FF6" w:rsidP="00B43595">
                          <w:pPr>
                            <w:rPr>
                              <w:lang w:val="hy-AM"/>
                            </w:rPr>
                          </w:pPr>
                        </w:p>
                        <w:p w14:paraId="624C24AB" w14:textId="77777777" w:rsidR="006C6FF6" w:rsidRPr="003A5AE3"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3A5AE3">
                            <w:rPr>
                              <w:b/>
                              <w:color w:val="FFFFFF" w:themeColor="background1"/>
                              <w:sz w:val="30"/>
                              <w:szCs w:val="30"/>
                              <w:lang w:val="hy-AM"/>
                            </w:rPr>
                            <w:t>Yerevan</w:t>
                          </w:r>
                          <w:proofErr w:type="spellEnd"/>
                          <w:r w:rsidRPr="003A5AE3">
                            <w:rPr>
                              <w:b/>
                              <w:color w:val="FFFFFF" w:themeColor="background1"/>
                              <w:sz w:val="30"/>
                              <w:szCs w:val="30"/>
                              <w:lang w:val="hy-AM"/>
                            </w:rPr>
                            <w:t xml:space="preserve"> 2024</w:t>
                          </w:r>
                        </w:p>
                        <w:p w14:paraId="1E27A856" w14:textId="77777777" w:rsidR="006C6FF6" w:rsidRPr="003A5AE3" w:rsidRDefault="006C6FF6" w:rsidP="00B43595">
                          <w:pPr>
                            <w:rPr>
                              <w:lang w:val="hy-AM"/>
                            </w:rPr>
                          </w:pPr>
                        </w:p>
                        <w:p w14:paraId="7271BA83" w14:textId="77777777" w:rsidR="006C6FF6" w:rsidRPr="00A3353C" w:rsidRDefault="006C6FF6" w:rsidP="00B43595">
                          <w:pPr>
                            <w:pStyle w:val="TOC1"/>
                            <w:rPr>
                              <w:rFonts w:asciiTheme="minorHAnsi" w:hAnsiTheme="minorHAnsi"/>
                              <w:color w:val="FFFFFF" w:themeColor="background1"/>
                              <w:szCs w:val="40"/>
                              <w:lang w:val="hy-AM"/>
                            </w:rPr>
                          </w:pPr>
                          <w:bookmarkStart w:id="53" w:name="_Toc183785462"/>
                          <w:bookmarkStart w:id="54" w:name="_Toc183787208"/>
                          <w:bookmarkStart w:id="55" w:name="_Toc183801038"/>
                          <w:bookmarkStart w:id="56" w:name="_Toc209625736"/>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53"/>
                          <w:bookmarkEnd w:id="54"/>
                          <w:bookmarkEnd w:id="55"/>
                          <w:bookmarkEnd w:id="56"/>
                          <w:r w:rsidRPr="00A3353C">
                            <w:rPr>
                              <w:rFonts w:asciiTheme="minorHAnsi" w:hAnsiTheme="minorHAnsi"/>
                              <w:color w:val="FFFFFF" w:themeColor="background1"/>
                              <w:szCs w:val="40"/>
                              <w:lang w:val="hy-AM"/>
                            </w:rPr>
                            <w:t xml:space="preserve"> </w:t>
                          </w:r>
                        </w:p>
                        <w:p w14:paraId="100D3A8A"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668B78DA" w14:textId="77777777" w:rsidR="006C6FF6" w:rsidRPr="00682390" w:rsidRDefault="006C6FF6" w:rsidP="00B43595">
                          <w:pPr>
                            <w:rPr>
                              <w:lang w:val="hy-AM"/>
                            </w:rPr>
                          </w:pPr>
                        </w:p>
                        <w:p w14:paraId="0FA8304B" w14:textId="77777777" w:rsidR="006C6FF6" w:rsidRPr="00A3353C" w:rsidRDefault="006C6FF6" w:rsidP="00B43595">
                          <w:pPr>
                            <w:pStyle w:val="TOC1"/>
                            <w:rPr>
                              <w:rFonts w:asciiTheme="minorHAnsi" w:hAnsiTheme="minorHAnsi"/>
                              <w:color w:val="FFFFFF" w:themeColor="background1"/>
                              <w:szCs w:val="40"/>
                              <w:lang w:val="hy-AM"/>
                            </w:rPr>
                          </w:pPr>
                          <w:bookmarkStart w:id="57" w:name="_Toc183785463"/>
                          <w:bookmarkStart w:id="58" w:name="_Toc183787209"/>
                          <w:bookmarkStart w:id="59" w:name="_Toc183801039"/>
                          <w:bookmarkStart w:id="60" w:name="_Toc209625737"/>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57"/>
                          <w:bookmarkEnd w:id="58"/>
                          <w:bookmarkEnd w:id="59"/>
                          <w:bookmarkEnd w:id="60"/>
                          <w:r w:rsidRPr="00A3353C">
                            <w:rPr>
                              <w:rFonts w:asciiTheme="minorHAnsi" w:hAnsiTheme="minorHAnsi"/>
                              <w:color w:val="FFFFFF" w:themeColor="background1"/>
                              <w:szCs w:val="40"/>
                              <w:lang w:val="hy-AM"/>
                            </w:rPr>
                            <w:t xml:space="preserve"> </w:t>
                          </w:r>
                        </w:p>
                        <w:p w14:paraId="425172B4"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49AA4BD7" w14:textId="77777777" w:rsidR="006C6FF6" w:rsidRPr="00682390" w:rsidRDefault="006C6FF6" w:rsidP="00B43595">
                          <w:pPr>
                            <w:rPr>
                              <w:lang w:val="hy-AM"/>
                            </w:rPr>
                          </w:pPr>
                        </w:p>
                        <w:p w14:paraId="252C58E4" w14:textId="77777777" w:rsidR="006C6FF6" w:rsidRPr="00A3353C" w:rsidRDefault="006C6FF6" w:rsidP="00B43595">
                          <w:pPr>
                            <w:pStyle w:val="TOC1"/>
                            <w:rPr>
                              <w:rFonts w:asciiTheme="minorHAnsi" w:hAnsiTheme="minorHAnsi"/>
                              <w:color w:val="FFFFFF" w:themeColor="background1"/>
                              <w:szCs w:val="40"/>
                              <w:lang w:val="hy-AM"/>
                            </w:rPr>
                          </w:pPr>
                          <w:bookmarkStart w:id="61" w:name="_Toc183785464"/>
                          <w:bookmarkStart w:id="62" w:name="_Toc183787210"/>
                          <w:bookmarkStart w:id="63" w:name="_Toc183801040"/>
                          <w:bookmarkStart w:id="64" w:name="_Toc209625738"/>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61"/>
                          <w:bookmarkEnd w:id="62"/>
                          <w:bookmarkEnd w:id="63"/>
                          <w:bookmarkEnd w:id="64"/>
                          <w:r w:rsidRPr="00A3353C">
                            <w:rPr>
                              <w:rFonts w:asciiTheme="minorHAnsi" w:hAnsiTheme="minorHAnsi"/>
                              <w:color w:val="FFFFFF" w:themeColor="background1"/>
                              <w:szCs w:val="40"/>
                              <w:lang w:val="hy-AM"/>
                            </w:rPr>
                            <w:t xml:space="preserve"> </w:t>
                          </w:r>
                        </w:p>
                        <w:p w14:paraId="315AD7E1" w14:textId="77777777" w:rsidR="006C6FF6" w:rsidRPr="00454DBB"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05189D4C" w14:textId="77777777" w:rsidR="006C6FF6" w:rsidRPr="00454DBB" w:rsidRDefault="006C6FF6" w:rsidP="00B43595">
                          <w:pPr>
                            <w:rPr>
                              <w:lang w:val="hy-AM"/>
                            </w:rPr>
                          </w:pPr>
                        </w:p>
                        <w:p w14:paraId="1C5715D3" w14:textId="77777777" w:rsidR="006C6FF6" w:rsidRPr="00454DBB" w:rsidRDefault="006C6FF6" w:rsidP="00B43595">
                          <w:pPr>
                            <w:rPr>
                              <w:b/>
                              <w:color w:val="FFFFFF" w:themeColor="background1"/>
                              <w:sz w:val="30"/>
                              <w:szCs w:val="30"/>
                              <w:lang w:val="hy-AM"/>
                            </w:rPr>
                          </w:pPr>
                          <w:r w:rsidRPr="003A4CA5">
                            <w:rPr>
                              <w:color w:val="FFFFFF" w:themeColor="background1"/>
                              <w:sz w:val="40"/>
                              <w:szCs w:val="40"/>
                              <w:lang w:val="hy-AM"/>
                            </w:rPr>
                            <w:t>ՄԱՍ I: ՍՈՑԻԱԼ-ՏՆՏԵՍԱԿԱՆ ԶԱՐԳԱՑՄԱՆ, ՄԱԿՐՈՏՆՏԵՍԱԿԱՆ ԶԱՐԳԱՑՄԱՆ ԵՎ ՀԱՐԿԱԲՅՈՒՋԵՏԱՅԻՆ ՔԱՂԱՔԱԿԱՆՈՒԹՅԱՆ</w:t>
                          </w:r>
                          <w:r>
                            <w:rPr>
                              <w:color w:val="FFFFFF" w:themeColor="background1"/>
                              <w:sz w:val="40"/>
                              <w:szCs w:val="40"/>
                              <w:lang w:val="hy-AM"/>
                            </w:rPr>
                            <w:t xml:space="preserve"> </w:t>
                          </w:r>
                          <w:r w:rsidRPr="003A4CA5">
                            <w:rPr>
                              <w:color w:val="auto"/>
                              <w:sz w:val="40"/>
                              <w:szCs w:val="40"/>
                              <w:lang w:val="hy-AM"/>
                            </w:rPr>
                            <w:t xml:space="preserve">ՀԻՄՆԱԿԱՆ ՈՒՂՂՈՒԹՅՈՒՆՆԵՐԻ </w:t>
                          </w:r>
                          <w:proofErr w:type="spellStart"/>
                          <w:r w:rsidRPr="003A4CA5">
                            <w:rPr>
                              <w:color w:val="auto"/>
                              <w:sz w:val="40"/>
                              <w:szCs w:val="40"/>
                              <w:lang w:val="hy-AM"/>
                            </w:rPr>
                            <w:t>ՄԱՍԻՆ</w:t>
                          </w:r>
                          <w:r w:rsidRPr="00454DBB">
                            <w:rPr>
                              <w:b/>
                              <w:color w:val="FFFFFF" w:themeColor="background1"/>
                              <w:sz w:val="30"/>
                              <w:szCs w:val="30"/>
                              <w:lang w:val="hy-AM"/>
                            </w:rPr>
                            <w:t>Yerevan</w:t>
                          </w:r>
                          <w:proofErr w:type="spellEnd"/>
                          <w:r w:rsidRPr="00454DBB">
                            <w:rPr>
                              <w:b/>
                              <w:color w:val="FFFFFF" w:themeColor="background1"/>
                              <w:sz w:val="30"/>
                              <w:szCs w:val="30"/>
                              <w:lang w:val="hy-AM"/>
                            </w:rPr>
                            <w:t xml:space="preserve"> 2024</w:t>
                          </w:r>
                        </w:p>
                        <w:p w14:paraId="53ECEF61" w14:textId="77777777" w:rsidR="006C6FF6" w:rsidRPr="00454DBB" w:rsidRDefault="006C6FF6" w:rsidP="00B43595">
                          <w:pPr>
                            <w:rPr>
                              <w:lang w:val="hy-AM"/>
                            </w:rPr>
                          </w:pPr>
                        </w:p>
                        <w:p w14:paraId="43A85120" w14:textId="77777777" w:rsidR="006C6FF6" w:rsidRPr="00A3353C" w:rsidRDefault="006C6FF6" w:rsidP="00B43595">
                          <w:pPr>
                            <w:pStyle w:val="TOC1"/>
                            <w:rPr>
                              <w:rFonts w:asciiTheme="minorHAnsi" w:hAnsiTheme="minorHAnsi"/>
                              <w:color w:val="FFFFFF" w:themeColor="background1"/>
                              <w:szCs w:val="40"/>
                              <w:lang w:val="hy-AM"/>
                            </w:rPr>
                          </w:pPr>
                          <w:bookmarkStart w:id="65" w:name="_Toc178611126"/>
                          <w:bookmarkStart w:id="66" w:name="_Toc178611266"/>
                          <w:bookmarkStart w:id="67" w:name="_Toc178611474"/>
                          <w:bookmarkStart w:id="68" w:name="_Toc178612058"/>
                          <w:bookmarkStart w:id="69" w:name="_Toc183785465"/>
                          <w:bookmarkStart w:id="70" w:name="_Toc183787211"/>
                          <w:bookmarkStart w:id="71" w:name="_Toc183801041"/>
                          <w:bookmarkStart w:id="72" w:name="_Toc209625739"/>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65"/>
                          <w:bookmarkEnd w:id="66"/>
                          <w:bookmarkEnd w:id="67"/>
                          <w:bookmarkEnd w:id="68"/>
                          <w:bookmarkEnd w:id="69"/>
                          <w:bookmarkEnd w:id="70"/>
                          <w:bookmarkEnd w:id="71"/>
                          <w:bookmarkEnd w:id="72"/>
                          <w:r w:rsidRPr="00A3353C">
                            <w:rPr>
                              <w:rFonts w:asciiTheme="minorHAnsi" w:hAnsiTheme="minorHAnsi"/>
                              <w:color w:val="FFFFFF" w:themeColor="background1"/>
                              <w:szCs w:val="40"/>
                              <w:lang w:val="hy-AM"/>
                            </w:rPr>
                            <w:t xml:space="preserve"> </w:t>
                          </w:r>
                        </w:p>
                        <w:p w14:paraId="2B3D2041"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630B191B" w14:textId="77777777" w:rsidR="006C6FF6" w:rsidRPr="00682390" w:rsidRDefault="006C6FF6" w:rsidP="00B43595">
                          <w:pPr>
                            <w:rPr>
                              <w:lang w:val="hy-AM"/>
                            </w:rPr>
                          </w:pPr>
                        </w:p>
                        <w:p w14:paraId="3BCF0331" w14:textId="77777777" w:rsidR="006C6FF6" w:rsidRPr="00A3353C" w:rsidRDefault="006C6FF6" w:rsidP="00B43595">
                          <w:pPr>
                            <w:pStyle w:val="TOC1"/>
                            <w:rPr>
                              <w:rFonts w:asciiTheme="minorHAnsi" w:hAnsiTheme="minorHAnsi"/>
                              <w:color w:val="FFFFFF" w:themeColor="background1"/>
                              <w:szCs w:val="40"/>
                              <w:lang w:val="hy-AM"/>
                            </w:rPr>
                          </w:pPr>
                          <w:bookmarkStart w:id="73" w:name="_Toc178611127"/>
                          <w:bookmarkStart w:id="74" w:name="_Toc178611267"/>
                          <w:bookmarkStart w:id="75" w:name="_Toc178611475"/>
                          <w:bookmarkStart w:id="76" w:name="_Toc178612059"/>
                          <w:bookmarkStart w:id="77" w:name="_Toc183785466"/>
                          <w:bookmarkStart w:id="78" w:name="_Toc183787212"/>
                          <w:bookmarkStart w:id="79" w:name="_Toc183801042"/>
                          <w:bookmarkStart w:id="80" w:name="_Toc209625740"/>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73"/>
                          <w:bookmarkEnd w:id="74"/>
                          <w:bookmarkEnd w:id="75"/>
                          <w:bookmarkEnd w:id="76"/>
                          <w:bookmarkEnd w:id="77"/>
                          <w:bookmarkEnd w:id="78"/>
                          <w:bookmarkEnd w:id="79"/>
                          <w:bookmarkEnd w:id="80"/>
                          <w:r w:rsidRPr="00A3353C">
                            <w:rPr>
                              <w:rFonts w:asciiTheme="minorHAnsi" w:hAnsiTheme="minorHAnsi"/>
                              <w:color w:val="FFFFFF" w:themeColor="background1"/>
                              <w:szCs w:val="40"/>
                              <w:lang w:val="hy-AM"/>
                            </w:rPr>
                            <w:t xml:space="preserve"> </w:t>
                          </w:r>
                        </w:p>
                        <w:p w14:paraId="0FBA353D" w14:textId="77777777" w:rsidR="006C6FF6" w:rsidRPr="00682390" w:rsidRDefault="006C6FF6" w:rsidP="00B43595">
                          <w:pPr>
                            <w:rPr>
                              <w:b/>
                              <w:color w:val="FFFFFF" w:themeColor="background1"/>
                              <w:sz w:val="30"/>
                              <w:szCs w:val="30"/>
                              <w:lang w:val="hy-AM"/>
                            </w:rPr>
                          </w:pPr>
                          <w:r w:rsidRPr="00A3353C">
                            <w:rPr>
                              <w:sz w:val="44"/>
                              <w:szCs w:val="44"/>
                              <w:lang w:val="hy-AM"/>
                            </w:rPr>
                            <w:t xml:space="preserve">ՀԻՄՆԱԿԱՆ ՈՒՂՂՈՒԹՅՈՒՆՆԵՐԻ </w:t>
                          </w:r>
                          <w:proofErr w:type="spellStart"/>
                          <w:r w:rsidRPr="00A3353C">
                            <w:rPr>
                              <w:sz w:val="44"/>
                              <w:szCs w:val="44"/>
                              <w:lang w:val="hy-AM"/>
                            </w:rPr>
                            <w:t>ՄԱՍԻՆ</w:t>
                          </w:r>
                          <w:r w:rsidRPr="00682390">
                            <w:rPr>
                              <w:b/>
                              <w:color w:val="FFFFFF" w:themeColor="background1"/>
                              <w:sz w:val="30"/>
                              <w:szCs w:val="30"/>
                              <w:lang w:val="hy-AM"/>
                            </w:rPr>
                            <w:t>Yerevan</w:t>
                          </w:r>
                          <w:proofErr w:type="spellEnd"/>
                          <w:r w:rsidRPr="00682390">
                            <w:rPr>
                              <w:b/>
                              <w:color w:val="FFFFFF" w:themeColor="background1"/>
                              <w:sz w:val="30"/>
                              <w:szCs w:val="30"/>
                              <w:lang w:val="hy-AM"/>
                            </w:rPr>
                            <w:t xml:space="preserve"> 2024</w:t>
                          </w:r>
                        </w:p>
                        <w:p w14:paraId="75990EBE" w14:textId="77777777" w:rsidR="006C6FF6" w:rsidRPr="00682390" w:rsidRDefault="006C6FF6" w:rsidP="00B43595">
                          <w:pPr>
                            <w:rPr>
                              <w:lang w:val="hy-AM"/>
                            </w:rPr>
                          </w:pPr>
                        </w:p>
                        <w:p w14:paraId="0BD787F6" w14:textId="77777777" w:rsidR="006C6FF6" w:rsidRPr="00A3353C" w:rsidRDefault="006C6FF6" w:rsidP="00B43595">
                          <w:pPr>
                            <w:pStyle w:val="TOC1"/>
                            <w:rPr>
                              <w:rFonts w:asciiTheme="minorHAnsi" w:hAnsiTheme="minorHAnsi"/>
                              <w:color w:val="FFFFFF" w:themeColor="background1"/>
                              <w:szCs w:val="40"/>
                              <w:lang w:val="hy-AM"/>
                            </w:rPr>
                          </w:pPr>
                          <w:bookmarkStart w:id="81" w:name="_Toc178611128"/>
                          <w:bookmarkStart w:id="82" w:name="_Toc178611268"/>
                          <w:bookmarkStart w:id="83" w:name="_Toc178611476"/>
                          <w:bookmarkStart w:id="84" w:name="_Toc178612060"/>
                          <w:bookmarkStart w:id="85" w:name="_Toc183785467"/>
                          <w:bookmarkStart w:id="86" w:name="_Toc183787213"/>
                          <w:bookmarkStart w:id="87" w:name="_Toc183801043"/>
                          <w:bookmarkStart w:id="88" w:name="_Toc209625741"/>
                          <w:r w:rsidRPr="00A3353C">
                            <w:rPr>
                              <w:rFonts w:asciiTheme="minorHAnsi" w:hAnsiTheme="minorHAnsi"/>
                              <w:color w:val="FFFFFF" w:themeColor="background1"/>
                              <w:szCs w:val="40"/>
                              <w:lang w:val="hy-AM"/>
                            </w:rPr>
                            <w:t>ՄԱՍ I: ՍՈՑԻԱԼ-ՏՆՏԵՍԱԿԱՆ ԶԱՐԳԱՑՄԱՆ ԵՎ ՀԱՐԿԱԲՅՈՒՋԵՏԱՅԻՆ ՔԱՂԱՔԱԿԱՆՈՒԹՅԱՆ</w:t>
                          </w:r>
                          <w:bookmarkEnd w:id="81"/>
                          <w:bookmarkEnd w:id="82"/>
                          <w:bookmarkEnd w:id="83"/>
                          <w:bookmarkEnd w:id="84"/>
                          <w:bookmarkEnd w:id="85"/>
                          <w:bookmarkEnd w:id="86"/>
                          <w:bookmarkEnd w:id="87"/>
                          <w:bookmarkEnd w:id="88"/>
                          <w:r w:rsidRPr="00A3353C">
                            <w:rPr>
                              <w:rFonts w:asciiTheme="minorHAnsi" w:hAnsiTheme="minorHAnsi"/>
                              <w:color w:val="FFFFFF" w:themeColor="background1"/>
                              <w:szCs w:val="40"/>
                              <w:lang w:val="hy-AM"/>
                            </w:rPr>
                            <w:t xml:space="preserve"> </w:t>
                          </w:r>
                        </w:p>
                        <w:p w14:paraId="6687A26F" w14:textId="77777777" w:rsidR="006C6FF6" w:rsidRDefault="006C6FF6" w:rsidP="00B43595">
                          <w:pPr>
                            <w:rPr>
                              <w:b/>
                              <w:color w:val="FFFFFF" w:themeColor="background1"/>
                              <w:sz w:val="30"/>
                              <w:szCs w:val="30"/>
                            </w:rPr>
                          </w:pPr>
                          <w:r w:rsidRPr="00A3353C">
                            <w:rPr>
                              <w:sz w:val="44"/>
                              <w:szCs w:val="44"/>
                              <w:lang w:val="hy-AM"/>
                            </w:rPr>
                            <w:t>ՀԻՄՆԱԿԱՆ ՈՒՂՂՈՒԹՅՈՒՆՆԵՐԻ ՄԱՍԻՆ</w:t>
                          </w:r>
                          <w:r>
                            <w:rPr>
                              <w:b/>
                              <w:color w:val="FFFFFF" w:themeColor="background1"/>
                              <w:sz w:val="30"/>
                              <w:szCs w:val="30"/>
                            </w:rPr>
                            <w:t>Yerevan 2024</w:t>
                          </w:r>
                        </w:p>
                      </w:txbxContent>
                    </v:textbox>
                    <w10:wrap anchorx="margin"/>
                  </v:shape>
                </w:pict>
              </mc:Fallback>
            </mc:AlternateContent>
          </w:r>
          <w:r w:rsidRPr="000232DD">
            <w:rPr>
              <w:color w:val="auto"/>
            </w:rPr>
            <w:br w:type="page"/>
          </w:r>
        </w:p>
      </w:sdtContent>
    </w:sdt>
    <w:bookmarkStart w:id="45" w:name="_Toc209625742" w:displacedByCustomXml="prev"/>
    <w:bookmarkStart w:id="46" w:name="_Toc183801044" w:displacedByCustomXml="prev"/>
    <w:bookmarkStart w:id="47" w:name="_Toc178611477" w:displacedByCustomXml="prev"/>
    <w:bookmarkStart w:id="48" w:name="_Toc178611269" w:displacedByCustomXml="prev"/>
    <w:bookmarkStart w:id="49" w:name="_Toc178611129" w:displacedByCustomXml="prev"/>
    <w:p w14:paraId="478DDF41" w14:textId="06AE0C0F" w:rsidR="00B43595" w:rsidRPr="000232DD" w:rsidRDefault="00B43595" w:rsidP="00082769">
      <w:pPr>
        <w:pStyle w:val="TOC1"/>
        <w:ind w:right="-22"/>
        <w:rPr>
          <w:rFonts w:eastAsia="Times New Roman" w:cs="Times New Roman"/>
          <w:color w:val="auto"/>
        </w:rPr>
      </w:pPr>
      <w:r w:rsidRPr="000232DD">
        <w:rPr>
          <w:rFonts w:eastAsia="Times New Roman" w:cs="Times New Roman"/>
          <w:b w:val="0"/>
          <w:color w:val="auto"/>
        </w:rPr>
        <w:lastRenderedPageBreak/>
        <w:t xml:space="preserve"> </w:t>
      </w:r>
      <w:r w:rsidRPr="000232DD">
        <w:rPr>
          <w:rFonts w:eastAsia="Times New Roman" w:cs="Times New Roman"/>
          <w:color w:val="auto"/>
        </w:rPr>
        <w:t>ԲՈՎԱՆԴԱԿՈՒԹՅՈՒՆ</w:t>
      </w:r>
      <w:bookmarkEnd w:id="49"/>
      <w:bookmarkEnd w:id="48"/>
      <w:bookmarkEnd w:id="47"/>
      <w:bookmarkEnd w:id="46"/>
      <w:bookmarkEnd w:id="45"/>
    </w:p>
    <w:p w14:paraId="7C4DDD7D" w14:textId="77777777" w:rsidR="0021243C" w:rsidRPr="000232DD" w:rsidRDefault="0021243C" w:rsidP="00082769">
      <w:pPr>
        <w:pStyle w:val="TOC1"/>
        <w:ind w:right="-22"/>
        <w:rPr>
          <w:rFonts w:eastAsia="Times New Roman" w:cs="Times New Roman"/>
          <w:color w:val="auto"/>
        </w:rPr>
      </w:pPr>
    </w:p>
    <w:bookmarkStart w:id="50" w:name="_Toc178611130"/>
    <w:bookmarkStart w:id="51" w:name="_Toc178611270"/>
    <w:bookmarkStart w:id="52" w:name="_Toc178611478"/>
    <w:bookmarkStart w:id="53" w:name="_Toc178612062"/>
    <w:bookmarkStart w:id="54" w:name="_Toc183785469"/>
    <w:p w14:paraId="54C1A0E2" w14:textId="658114AA" w:rsidR="00170CB4" w:rsidRDefault="00A171EA">
      <w:pPr>
        <w:pStyle w:val="TOC20"/>
        <w:tabs>
          <w:tab w:val="right" w:leader="dot" w:pos="10336"/>
        </w:tabs>
        <w:rPr>
          <w:smallCaps w:val="0"/>
          <w:noProof/>
          <w:color w:val="auto"/>
          <w:kern w:val="2"/>
          <w:sz w:val="24"/>
          <w:szCs w:val="24"/>
          <w14:ligatures w14:val="standardContextual"/>
        </w:rPr>
      </w:pPr>
      <w:r w:rsidRPr="006E0D92">
        <w:rPr>
          <w:rStyle w:val="Hyperlink"/>
          <w:rFonts w:ascii="GHEA Grapalat" w:hAnsi="GHEA Grapalat"/>
          <w:i/>
          <w:iCs/>
          <w:color w:val="auto"/>
        </w:rPr>
        <w:fldChar w:fldCharType="begin"/>
      </w:r>
      <w:r w:rsidRPr="006E0D92">
        <w:rPr>
          <w:rStyle w:val="Hyperlink"/>
          <w:rFonts w:ascii="GHEA Grapalat" w:hAnsi="GHEA Grapalat"/>
          <w:i/>
          <w:iCs/>
          <w:color w:val="auto"/>
        </w:rPr>
        <w:instrText xml:space="preserve"> TOC \o "1-5" \h \z \u </w:instrText>
      </w:r>
      <w:r w:rsidRPr="006E0D92">
        <w:rPr>
          <w:rStyle w:val="Hyperlink"/>
          <w:rFonts w:ascii="GHEA Grapalat" w:hAnsi="GHEA Grapalat"/>
          <w:i/>
          <w:iCs/>
          <w:color w:val="auto"/>
        </w:rPr>
        <w:fldChar w:fldCharType="separate"/>
      </w:r>
      <w:hyperlink w:anchor="_Toc241687651" w:history="1">
        <w:r w:rsidR="00170CB4" w:rsidRPr="00806673">
          <w:rPr>
            <w:rStyle w:val="Hyperlink"/>
            <w:rFonts w:ascii="Arial" w:hAnsi="Arial" w:cs="Arial"/>
            <w:noProof/>
            <w:lang w:val="hy-AM"/>
          </w:rPr>
          <w:t>ՎԱՐՉԱՊԵՏ</w:t>
        </w:r>
        <w:r w:rsidR="00170CB4" w:rsidRPr="00806673">
          <w:rPr>
            <w:rStyle w:val="Hyperlink"/>
            <w:noProof/>
            <w:lang w:val="hy-AM"/>
          </w:rPr>
          <w:t xml:space="preserve"> </w:t>
        </w:r>
        <w:r w:rsidR="00170CB4" w:rsidRPr="00806673">
          <w:rPr>
            <w:rStyle w:val="Hyperlink"/>
            <w:rFonts w:ascii="Arial" w:hAnsi="Arial" w:cs="Arial"/>
            <w:noProof/>
            <w:lang w:val="hy-AM"/>
          </w:rPr>
          <w:t>ՆԻԿՈԼ</w:t>
        </w:r>
        <w:r w:rsidR="00170CB4" w:rsidRPr="00806673">
          <w:rPr>
            <w:rStyle w:val="Hyperlink"/>
            <w:noProof/>
            <w:lang w:val="hy-AM"/>
          </w:rPr>
          <w:t xml:space="preserve"> </w:t>
        </w:r>
        <w:r w:rsidR="00170CB4" w:rsidRPr="00806673">
          <w:rPr>
            <w:rStyle w:val="Hyperlink"/>
            <w:rFonts w:ascii="Arial" w:hAnsi="Arial" w:cs="Arial"/>
            <w:noProof/>
            <w:lang w:val="hy-AM"/>
          </w:rPr>
          <w:t>ՓԱՇԻՆՅԱՆԻ</w:t>
        </w:r>
        <w:r w:rsidR="00170CB4" w:rsidRPr="00806673">
          <w:rPr>
            <w:rStyle w:val="Hyperlink"/>
            <w:noProof/>
            <w:lang w:val="hy-AM"/>
          </w:rPr>
          <w:t xml:space="preserve"> </w:t>
        </w:r>
        <w:r w:rsidR="00170CB4" w:rsidRPr="00806673">
          <w:rPr>
            <w:rStyle w:val="Hyperlink"/>
            <w:rFonts w:ascii="Arial" w:hAnsi="Arial" w:cs="Arial"/>
            <w:noProof/>
            <w:lang w:val="hy-AM"/>
          </w:rPr>
          <w:t>ՈՒՂԵՐՁԸ</w:t>
        </w:r>
        <w:r w:rsidR="00170CB4">
          <w:rPr>
            <w:noProof/>
            <w:webHidden/>
          </w:rPr>
          <w:tab/>
        </w:r>
        <w:r w:rsidR="00170CB4">
          <w:rPr>
            <w:noProof/>
            <w:webHidden/>
          </w:rPr>
          <w:fldChar w:fldCharType="begin"/>
        </w:r>
        <w:r w:rsidR="00170CB4">
          <w:rPr>
            <w:noProof/>
            <w:webHidden/>
          </w:rPr>
          <w:instrText xml:space="preserve"> PAGEREF _Toc241687651 \h </w:instrText>
        </w:r>
        <w:r w:rsidR="00170CB4">
          <w:rPr>
            <w:noProof/>
            <w:webHidden/>
          </w:rPr>
        </w:r>
        <w:r w:rsidR="00170CB4">
          <w:rPr>
            <w:noProof/>
            <w:webHidden/>
          </w:rPr>
          <w:fldChar w:fldCharType="separate"/>
        </w:r>
        <w:r w:rsidR="00170CB4">
          <w:rPr>
            <w:noProof/>
            <w:webHidden/>
          </w:rPr>
          <w:t>6</w:t>
        </w:r>
        <w:r w:rsidR="00170CB4">
          <w:rPr>
            <w:noProof/>
            <w:webHidden/>
          </w:rPr>
          <w:fldChar w:fldCharType="end"/>
        </w:r>
      </w:hyperlink>
    </w:p>
    <w:p w14:paraId="2345DA31" w14:textId="6DFBFE70" w:rsidR="00170CB4" w:rsidRDefault="003612ED">
      <w:pPr>
        <w:pStyle w:val="TOC20"/>
        <w:tabs>
          <w:tab w:val="right" w:leader="dot" w:pos="10336"/>
        </w:tabs>
        <w:rPr>
          <w:smallCaps w:val="0"/>
          <w:noProof/>
          <w:color w:val="auto"/>
          <w:kern w:val="2"/>
          <w:sz w:val="24"/>
          <w:szCs w:val="24"/>
          <w14:ligatures w14:val="standardContextual"/>
        </w:rPr>
      </w:pPr>
      <w:hyperlink w:anchor="_Toc241687652" w:history="1">
        <w:r w:rsidR="00170CB4" w:rsidRPr="00806673">
          <w:rPr>
            <w:rStyle w:val="Hyperlink"/>
            <w:rFonts w:ascii="Arial" w:hAnsi="Arial" w:cs="Arial"/>
            <w:noProof/>
            <w:lang w:val="hy-AM"/>
          </w:rPr>
          <w:t>ՀԱՅԱՍՏԱՆԻ</w:t>
        </w:r>
        <w:r w:rsidR="00170CB4" w:rsidRPr="00806673">
          <w:rPr>
            <w:rStyle w:val="Hyperlink"/>
            <w:noProof/>
            <w:lang w:val="hy-AM"/>
          </w:rPr>
          <w:t xml:space="preserve"> </w:t>
        </w:r>
        <w:r w:rsidR="00170CB4" w:rsidRPr="00806673">
          <w:rPr>
            <w:rStyle w:val="Hyperlink"/>
            <w:rFonts w:ascii="Arial" w:hAnsi="Arial" w:cs="Arial"/>
            <w:noProof/>
            <w:lang w:val="hy-AM"/>
          </w:rPr>
          <w:t>ՀԱՆՐԱՊԵՏՈՒԹՅԱՆ</w:t>
        </w:r>
        <w:r w:rsidR="00170CB4" w:rsidRPr="00806673">
          <w:rPr>
            <w:rStyle w:val="Hyperlink"/>
            <w:noProof/>
            <w:lang w:val="hy-AM"/>
          </w:rPr>
          <w:t xml:space="preserve"> </w:t>
        </w:r>
        <w:r w:rsidR="00170CB4" w:rsidRPr="00806673">
          <w:rPr>
            <w:rStyle w:val="Hyperlink"/>
            <w:rFonts w:ascii="Arial" w:hAnsi="Arial" w:cs="Arial"/>
            <w:noProof/>
            <w:lang w:val="hy-AM"/>
          </w:rPr>
          <w:t>ԿԱՌԱՎԱՐՈՒԹՅԱՆ</w:t>
        </w:r>
        <w:r w:rsidR="00170CB4" w:rsidRPr="00806673">
          <w:rPr>
            <w:rStyle w:val="Hyperlink"/>
            <w:noProof/>
            <w:lang w:val="hy-AM"/>
          </w:rPr>
          <w:t xml:space="preserve"> </w:t>
        </w:r>
        <w:r w:rsidR="00170CB4" w:rsidRPr="00806673">
          <w:rPr>
            <w:rStyle w:val="Hyperlink"/>
            <w:rFonts w:ascii="Arial" w:hAnsi="Arial" w:cs="Arial"/>
            <w:noProof/>
            <w:lang w:val="hy-AM"/>
          </w:rPr>
          <w:t>ԶԵԿՈՒՅՑ</w:t>
        </w:r>
        <w:r w:rsidR="00170CB4">
          <w:rPr>
            <w:noProof/>
            <w:webHidden/>
          </w:rPr>
          <w:tab/>
        </w:r>
        <w:r w:rsidR="00170CB4">
          <w:rPr>
            <w:noProof/>
            <w:webHidden/>
          </w:rPr>
          <w:fldChar w:fldCharType="begin"/>
        </w:r>
        <w:r w:rsidR="00170CB4">
          <w:rPr>
            <w:noProof/>
            <w:webHidden/>
          </w:rPr>
          <w:instrText xml:space="preserve"> PAGEREF _Toc241687652 \h </w:instrText>
        </w:r>
        <w:r w:rsidR="00170CB4">
          <w:rPr>
            <w:noProof/>
            <w:webHidden/>
          </w:rPr>
        </w:r>
        <w:r w:rsidR="00170CB4">
          <w:rPr>
            <w:noProof/>
            <w:webHidden/>
          </w:rPr>
          <w:fldChar w:fldCharType="separate"/>
        </w:r>
        <w:r w:rsidR="00170CB4">
          <w:rPr>
            <w:noProof/>
            <w:webHidden/>
          </w:rPr>
          <w:t>8</w:t>
        </w:r>
        <w:r w:rsidR="00170CB4">
          <w:rPr>
            <w:noProof/>
            <w:webHidden/>
          </w:rPr>
          <w:fldChar w:fldCharType="end"/>
        </w:r>
      </w:hyperlink>
    </w:p>
    <w:p w14:paraId="49D04658" w14:textId="6A4A7FE2" w:rsidR="00170CB4" w:rsidRDefault="003612ED">
      <w:pPr>
        <w:pStyle w:val="TOC20"/>
        <w:tabs>
          <w:tab w:val="right" w:leader="dot" w:pos="10336"/>
        </w:tabs>
        <w:rPr>
          <w:smallCaps w:val="0"/>
          <w:noProof/>
          <w:color w:val="auto"/>
          <w:kern w:val="2"/>
          <w:sz w:val="24"/>
          <w:szCs w:val="24"/>
          <w14:ligatures w14:val="standardContextual"/>
        </w:rPr>
      </w:pPr>
      <w:hyperlink w:anchor="_Toc241687653" w:history="1">
        <w:r w:rsidR="00170CB4" w:rsidRPr="00806673">
          <w:rPr>
            <w:rStyle w:val="Hyperlink"/>
            <w:rFonts w:ascii="Arial" w:hAnsi="Arial" w:cs="Arial"/>
            <w:noProof/>
            <w:lang w:val="hy-AM"/>
          </w:rPr>
          <w:t>ՆԵՐԱԾՈՒԹՅՈՒՆ</w:t>
        </w:r>
        <w:r w:rsidR="00170CB4">
          <w:rPr>
            <w:noProof/>
            <w:webHidden/>
          </w:rPr>
          <w:tab/>
        </w:r>
        <w:r w:rsidR="00170CB4">
          <w:rPr>
            <w:noProof/>
            <w:webHidden/>
          </w:rPr>
          <w:fldChar w:fldCharType="begin"/>
        </w:r>
        <w:r w:rsidR="00170CB4">
          <w:rPr>
            <w:noProof/>
            <w:webHidden/>
          </w:rPr>
          <w:instrText xml:space="preserve"> PAGEREF _Toc241687653 \h </w:instrText>
        </w:r>
        <w:r w:rsidR="00170CB4">
          <w:rPr>
            <w:noProof/>
            <w:webHidden/>
          </w:rPr>
        </w:r>
        <w:r w:rsidR="00170CB4">
          <w:rPr>
            <w:noProof/>
            <w:webHidden/>
          </w:rPr>
          <w:fldChar w:fldCharType="separate"/>
        </w:r>
        <w:r w:rsidR="00170CB4">
          <w:rPr>
            <w:noProof/>
            <w:webHidden/>
          </w:rPr>
          <w:t>8</w:t>
        </w:r>
        <w:r w:rsidR="00170CB4">
          <w:rPr>
            <w:noProof/>
            <w:webHidden/>
          </w:rPr>
          <w:fldChar w:fldCharType="end"/>
        </w:r>
      </w:hyperlink>
    </w:p>
    <w:p w14:paraId="56276ED1" w14:textId="57546236" w:rsidR="00170CB4" w:rsidRDefault="003612ED">
      <w:pPr>
        <w:pStyle w:val="TOC10"/>
        <w:tabs>
          <w:tab w:val="right" w:leader="dot" w:pos="10336"/>
        </w:tabs>
        <w:rPr>
          <w:b w:val="0"/>
          <w:bCs w:val="0"/>
          <w:caps w:val="0"/>
          <w:noProof/>
          <w:color w:val="auto"/>
          <w:kern w:val="2"/>
          <w:sz w:val="24"/>
          <w:szCs w:val="24"/>
          <w14:ligatures w14:val="standardContextual"/>
        </w:rPr>
      </w:pPr>
      <w:hyperlink w:anchor="_Toc241687654" w:history="1">
        <w:r w:rsidR="00170CB4" w:rsidRPr="00806673">
          <w:rPr>
            <w:rStyle w:val="Hyperlink"/>
            <w:rFonts w:ascii="GHEA Grapalat" w:eastAsia="Times New Roman" w:hAnsi="GHEA Grapalat" w:cs="Times New Roman"/>
            <w:noProof/>
            <w:lang w:val="hy-AM"/>
          </w:rPr>
          <w:t>ՄԱՍ I-Ա. 2027 ԹՎԱԿԱՆԻ ՍՈՑԻԱԼ-ՏՆՏԵՍԱԿԱՆ ԶԱՐԳԱՑՄԱՆ ՀԻՄՆԱԿԱՆ ՈՒՂՂՈՒԹՅՈՒՆՆԵՐԸ</w:t>
        </w:r>
        <w:r w:rsidR="00170CB4">
          <w:rPr>
            <w:noProof/>
            <w:webHidden/>
          </w:rPr>
          <w:tab/>
        </w:r>
        <w:r w:rsidR="00170CB4">
          <w:rPr>
            <w:noProof/>
            <w:webHidden/>
          </w:rPr>
          <w:fldChar w:fldCharType="begin"/>
        </w:r>
        <w:r w:rsidR="00170CB4">
          <w:rPr>
            <w:noProof/>
            <w:webHidden/>
          </w:rPr>
          <w:instrText xml:space="preserve"> PAGEREF _Toc241687654 \h </w:instrText>
        </w:r>
        <w:r w:rsidR="00170CB4">
          <w:rPr>
            <w:noProof/>
            <w:webHidden/>
          </w:rPr>
        </w:r>
        <w:r w:rsidR="00170CB4">
          <w:rPr>
            <w:noProof/>
            <w:webHidden/>
          </w:rPr>
          <w:fldChar w:fldCharType="separate"/>
        </w:r>
        <w:r w:rsidR="00170CB4">
          <w:rPr>
            <w:noProof/>
            <w:webHidden/>
          </w:rPr>
          <w:t>11</w:t>
        </w:r>
        <w:r w:rsidR="00170CB4">
          <w:rPr>
            <w:noProof/>
            <w:webHidden/>
          </w:rPr>
          <w:fldChar w:fldCharType="end"/>
        </w:r>
      </w:hyperlink>
    </w:p>
    <w:p w14:paraId="41D32164" w14:textId="75418D3F" w:rsidR="00170CB4" w:rsidRDefault="003612ED">
      <w:pPr>
        <w:pStyle w:val="TOC20"/>
        <w:tabs>
          <w:tab w:val="right" w:leader="dot" w:pos="10336"/>
        </w:tabs>
        <w:rPr>
          <w:smallCaps w:val="0"/>
          <w:noProof/>
          <w:color w:val="auto"/>
          <w:kern w:val="2"/>
          <w:sz w:val="24"/>
          <w:szCs w:val="24"/>
          <w14:ligatures w14:val="standardContextual"/>
        </w:rPr>
      </w:pPr>
      <w:hyperlink w:anchor="_Toc241687655" w:history="1">
        <w:r w:rsidR="00170CB4" w:rsidRPr="00806673">
          <w:rPr>
            <w:rStyle w:val="Hyperlink"/>
            <w:rFonts w:ascii="GHEA Grapalat" w:eastAsia="Times New Roman" w:hAnsi="GHEA Grapalat" w:cs="Times New Roman"/>
            <w:noProof/>
            <w:lang w:val="hy-AM"/>
          </w:rPr>
          <w:t>2027 ԹՎԱԿԱՆԻ ՍՈՑԻԱԼ-ՏՆՏԵՍԱԿԱՆ ԶԱՐԳԱՑՄԱՆ ՀԻՄՆԱԿԱՆ ՈՒՂՂՈՒԹՅՈՒՆՆԵՐԸ</w:t>
        </w:r>
        <w:r w:rsidR="00170CB4">
          <w:rPr>
            <w:noProof/>
            <w:webHidden/>
          </w:rPr>
          <w:tab/>
        </w:r>
        <w:r w:rsidR="00170CB4">
          <w:rPr>
            <w:noProof/>
            <w:webHidden/>
          </w:rPr>
          <w:fldChar w:fldCharType="begin"/>
        </w:r>
        <w:r w:rsidR="00170CB4">
          <w:rPr>
            <w:noProof/>
            <w:webHidden/>
          </w:rPr>
          <w:instrText xml:space="preserve"> PAGEREF _Toc241687655 \h </w:instrText>
        </w:r>
        <w:r w:rsidR="00170CB4">
          <w:rPr>
            <w:noProof/>
            <w:webHidden/>
          </w:rPr>
        </w:r>
        <w:r w:rsidR="00170CB4">
          <w:rPr>
            <w:noProof/>
            <w:webHidden/>
          </w:rPr>
          <w:fldChar w:fldCharType="separate"/>
        </w:r>
        <w:r w:rsidR="00170CB4">
          <w:rPr>
            <w:noProof/>
            <w:webHidden/>
          </w:rPr>
          <w:t>11</w:t>
        </w:r>
        <w:r w:rsidR="00170CB4">
          <w:rPr>
            <w:noProof/>
            <w:webHidden/>
          </w:rPr>
          <w:fldChar w:fldCharType="end"/>
        </w:r>
      </w:hyperlink>
    </w:p>
    <w:p w14:paraId="5BB4CE85" w14:textId="17804174" w:rsidR="00170CB4" w:rsidRDefault="003612ED">
      <w:pPr>
        <w:pStyle w:val="TOC10"/>
        <w:tabs>
          <w:tab w:val="right" w:leader="dot" w:pos="10336"/>
        </w:tabs>
        <w:rPr>
          <w:b w:val="0"/>
          <w:bCs w:val="0"/>
          <w:caps w:val="0"/>
          <w:noProof/>
          <w:color w:val="auto"/>
          <w:kern w:val="2"/>
          <w:sz w:val="24"/>
          <w:szCs w:val="24"/>
          <w14:ligatures w14:val="standardContextual"/>
        </w:rPr>
      </w:pPr>
      <w:hyperlink w:anchor="_Toc241687656" w:history="1">
        <w:r w:rsidR="00170CB4" w:rsidRPr="00806673">
          <w:rPr>
            <w:rStyle w:val="Hyperlink"/>
            <w:rFonts w:ascii="GHEA Grapalat" w:eastAsia="Times New Roman" w:hAnsi="GHEA Grapalat" w:cs="Times New Roman"/>
            <w:noProof/>
            <w:lang w:val="hy-AM"/>
          </w:rPr>
          <w:t>ՄԱՍ I-Բ. ՄԱԿՐՈՏՆՏԵՍԱԿԱՆ ԶԱՐԳԱՑՈՒՄՆԵՐ ԵՎ ԿԱՆԽԱՏԵՍՈՒՄՆԵՐ</w:t>
        </w:r>
        <w:r w:rsidR="00170CB4">
          <w:rPr>
            <w:noProof/>
            <w:webHidden/>
          </w:rPr>
          <w:tab/>
        </w:r>
        <w:r w:rsidR="00170CB4">
          <w:rPr>
            <w:noProof/>
            <w:webHidden/>
          </w:rPr>
          <w:fldChar w:fldCharType="begin"/>
        </w:r>
        <w:r w:rsidR="00170CB4">
          <w:rPr>
            <w:noProof/>
            <w:webHidden/>
          </w:rPr>
          <w:instrText xml:space="preserve"> PAGEREF _Toc241687656 \h </w:instrText>
        </w:r>
        <w:r w:rsidR="00170CB4">
          <w:rPr>
            <w:noProof/>
            <w:webHidden/>
          </w:rPr>
        </w:r>
        <w:r w:rsidR="00170CB4">
          <w:rPr>
            <w:noProof/>
            <w:webHidden/>
          </w:rPr>
          <w:fldChar w:fldCharType="separate"/>
        </w:r>
        <w:r w:rsidR="00170CB4">
          <w:rPr>
            <w:noProof/>
            <w:webHidden/>
          </w:rPr>
          <w:t>15</w:t>
        </w:r>
        <w:r w:rsidR="00170CB4">
          <w:rPr>
            <w:noProof/>
            <w:webHidden/>
          </w:rPr>
          <w:fldChar w:fldCharType="end"/>
        </w:r>
      </w:hyperlink>
    </w:p>
    <w:p w14:paraId="4263B250" w14:textId="0D1770E1" w:rsidR="00170CB4" w:rsidRDefault="003612ED">
      <w:pPr>
        <w:pStyle w:val="TOC20"/>
        <w:tabs>
          <w:tab w:val="right" w:leader="dot" w:pos="10336"/>
        </w:tabs>
        <w:rPr>
          <w:smallCaps w:val="0"/>
          <w:noProof/>
          <w:color w:val="auto"/>
          <w:kern w:val="2"/>
          <w:sz w:val="24"/>
          <w:szCs w:val="24"/>
          <w14:ligatures w14:val="standardContextual"/>
        </w:rPr>
      </w:pPr>
      <w:hyperlink w:anchor="_Toc241687657" w:history="1">
        <w:r w:rsidR="00170CB4" w:rsidRPr="00806673">
          <w:rPr>
            <w:rStyle w:val="Hyperlink"/>
            <w:rFonts w:ascii="GHEA Grapalat" w:eastAsia="Times New Roman" w:hAnsi="GHEA Grapalat" w:cs="Times New Roman"/>
            <w:noProof/>
            <w:lang w:val="hy-AM"/>
          </w:rPr>
          <w:t>1</w:t>
        </w:r>
        <w:r w:rsidR="00170CB4" w:rsidRPr="00806673">
          <w:rPr>
            <w:rStyle w:val="Hyperlink"/>
            <w:rFonts w:ascii="Cambria Math" w:eastAsia="Times New Roman" w:hAnsi="Cambria Math" w:cs="Cambria Math"/>
            <w:noProof/>
            <w:lang w:val="hy-AM"/>
          </w:rPr>
          <w:t>․</w:t>
        </w:r>
        <w:r w:rsidR="00170CB4" w:rsidRPr="00806673">
          <w:rPr>
            <w:rStyle w:val="Hyperlink"/>
            <w:rFonts w:ascii="GHEA Grapalat" w:eastAsia="Times New Roman" w:hAnsi="GHEA Grapalat" w:cs="Times New Roman"/>
            <w:noProof/>
            <w:lang w:val="hy-AM"/>
          </w:rPr>
          <w:t>1. ՄԱԿՐՈՏՆՏԵՍԱԿԱՆ ԱՄՓՈՓԱԳԻՐ ԵՎ ՇՐՋԱՆԱԿ</w:t>
        </w:r>
        <w:r w:rsidR="00170CB4">
          <w:rPr>
            <w:noProof/>
            <w:webHidden/>
          </w:rPr>
          <w:tab/>
        </w:r>
        <w:r w:rsidR="00170CB4">
          <w:rPr>
            <w:noProof/>
            <w:webHidden/>
          </w:rPr>
          <w:fldChar w:fldCharType="begin"/>
        </w:r>
        <w:r w:rsidR="00170CB4">
          <w:rPr>
            <w:noProof/>
            <w:webHidden/>
          </w:rPr>
          <w:instrText xml:space="preserve"> PAGEREF _Toc241687657 \h </w:instrText>
        </w:r>
        <w:r w:rsidR="00170CB4">
          <w:rPr>
            <w:noProof/>
            <w:webHidden/>
          </w:rPr>
        </w:r>
        <w:r w:rsidR="00170CB4">
          <w:rPr>
            <w:noProof/>
            <w:webHidden/>
          </w:rPr>
          <w:fldChar w:fldCharType="separate"/>
        </w:r>
        <w:r w:rsidR="00170CB4">
          <w:rPr>
            <w:noProof/>
            <w:webHidden/>
          </w:rPr>
          <w:t>15</w:t>
        </w:r>
        <w:r w:rsidR="00170CB4">
          <w:rPr>
            <w:noProof/>
            <w:webHidden/>
          </w:rPr>
          <w:fldChar w:fldCharType="end"/>
        </w:r>
      </w:hyperlink>
    </w:p>
    <w:p w14:paraId="05BC736B" w14:textId="5CB1D8B2" w:rsidR="00170CB4" w:rsidRDefault="003612ED">
      <w:pPr>
        <w:pStyle w:val="TOC20"/>
        <w:tabs>
          <w:tab w:val="right" w:leader="dot" w:pos="10336"/>
        </w:tabs>
        <w:rPr>
          <w:smallCaps w:val="0"/>
          <w:noProof/>
          <w:color w:val="auto"/>
          <w:kern w:val="2"/>
          <w:sz w:val="24"/>
          <w:szCs w:val="24"/>
          <w14:ligatures w14:val="standardContextual"/>
        </w:rPr>
      </w:pPr>
      <w:hyperlink w:anchor="_Toc241687658" w:history="1">
        <w:r w:rsidR="00170CB4" w:rsidRPr="00806673">
          <w:rPr>
            <w:rStyle w:val="Hyperlink"/>
            <w:rFonts w:ascii="GHEA Grapalat" w:eastAsia="Times New Roman" w:hAnsi="GHEA Grapalat" w:cs="Times New Roman"/>
            <w:noProof/>
            <w:lang w:val="hy-AM"/>
          </w:rPr>
          <w:t>1.2. ՀԱՄԱՇԽԱՐՀԱՅԻՆ ՏՆՏԵՍՈՒԹՅԱՆ ԵՎ ԳՈՐԾԸՆԿԵՐ ԵՐԿՐՆԵՐԻ ԶԱՐԳԱՑՈՒՄՆԵՐ ԵՎ ԿԱՆԽԱՏԵՍՈՒՄՆԵՐ</w:t>
        </w:r>
        <w:r w:rsidR="00170CB4">
          <w:rPr>
            <w:noProof/>
            <w:webHidden/>
          </w:rPr>
          <w:tab/>
        </w:r>
        <w:r w:rsidR="00170CB4">
          <w:rPr>
            <w:noProof/>
            <w:webHidden/>
          </w:rPr>
          <w:fldChar w:fldCharType="begin"/>
        </w:r>
        <w:r w:rsidR="00170CB4">
          <w:rPr>
            <w:noProof/>
            <w:webHidden/>
          </w:rPr>
          <w:instrText xml:space="preserve"> PAGEREF _Toc241687658 \h </w:instrText>
        </w:r>
        <w:r w:rsidR="00170CB4">
          <w:rPr>
            <w:noProof/>
            <w:webHidden/>
          </w:rPr>
        </w:r>
        <w:r w:rsidR="00170CB4">
          <w:rPr>
            <w:noProof/>
            <w:webHidden/>
          </w:rPr>
          <w:fldChar w:fldCharType="separate"/>
        </w:r>
        <w:r w:rsidR="00170CB4">
          <w:rPr>
            <w:noProof/>
            <w:webHidden/>
          </w:rPr>
          <w:t>18</w:t>
        </w:r>
        <w:r w:rsidR="00170CB4">
          <w:rPr>
            <w:noProof/>
            <w:webHidden/>
          </w:rPr>
          <w:fldChar w:fldCharType="end"/>
        </w:r>
      </w:hyperlink>
    </w:p>
    <w:p w14:paraId="29A486DF" w14:textId="22A15D9D" w:rsidR="00170CB4" w:rsidRDefault="003612ED">
      <w:pPr>
        <w:pStyle w:val="TOC20"/>
        <w:tabs>
          <w:tab w:val="right" w:leader="dot" w:pos="10336"/>
        </w:tabs>
        <w:rPr>
          <w:smallCaps w:val="0"/>
          <w:noProof/>
          <w:color w:val="auto"/>
          <w:kern w:val="2"/>
          <w:sz w:val="24"/>
          <w:szCs w:val="24"/>
          <w14:ligatures w14:val="standardContextual"/>
        </w:rPr>
      </w:pPr>
      <w:hyperlink w:anchor="_Toc241687659" w:history="1">
        <w:r w:rsidR="00170CB4" w:rsidRPr="00806673">
          <w:rPr>
            <w:rStyle w:val="Hyperlink"/>
            <w:rFonts w:ascii="GHEA Grapalat" w:eastAsia="Times New Roman" w:hAnsi="GHEA Grapalat" w:cs="Times New Roman"/>
            <w:noProof/>
            <w:lang w:val="hy-AM"/>
          </w:rPr>
          <w:t>1.3. ՀՀ ՄԱԿՐՈՏՆՏԵՍԱԿԱՆ ԶԱՐԳԱՑՈՒՄՆԵՐ ԵՎ ԿԱՆԽԱՏԵՍՈՒՄՆԵՐ</w:t>
        </w:r>
        <w:r w:rsidR="00170CB4">
          <w:rPr>
            <w:noProof/>
            <w:webHidden/>
          </w:rPr>
          <w:tab/>
        </w:r>
        <w:r w:rsidR="00170CB4">
          <w:rPr>
            <w:noProof/>
            <w:webHidden/>
          </w:rPr>
          <w:fldChar w:fldCharType="begin"/>
        </w:r>
        <w:r w:rsidR="00170CB4">
          <w:rPr>
            <w:noProof/>
            <w:webHidden/>
          </w:rPr>
          <w:instrText xml:space="preserve"> PAGEREF _Toc241687659 \h </w:instrText>
        </w:r>
        <w:r w:rsidR="00170CB4">
          <w:rPr>
            <w:noProof/>
            <w:webHidden/>
          </w:rPr>
        </w:r>
        <w:r w:rsidR="00170CB4">
          <w:rPr>
            <w:noProof/>
            <w:webHidden/>
          </w:rPr>
          <w:fldChar w:fldCharType="separate"/>
        </w:r>
        <w:r w:rsidR="00170CB4">
          <w:rPr>
            <w:noProof/>
            <w:webHidden/>
          </w:rPr>
          <w:t>24</w:t>
        </w:r>
        <w:r w:rsidR="00170CB4">
          <w:rPr>
            <w:noProof/>
            <w:webHidden/>
          </w:rPr>
          <w:fldChar w:fldCharType="end"/>
        </w:r>
      </w:hyperlink>
    </w:p>
    <w:p w14:paraId="27D6D8ED" w14:textId="2CFAA645" w:rsidR="00170CB4" w:rsidRDefault="003612ED">
      <w:pPr>
        <w:pStyle w:val="TOC30"/>
        <w:tabs>
          <w:tab w:val="right" w:leader="dot" w:pos="10336"/>
        </w:tabs>
        <w:rPr>
          <w:i w:val="0"/>
          <w:iCs w:val="0"/>
          <w:noProof/>
          <w:color w:val="auto"/>
          <w:kern w:val="2"/>
          <w:sz w:val="24"/>
          <w:szCs w:val="24"/>
          <w14:ligatures w14:val="standardContextual"/>
        </w:rPr>
      </w:pPr>
      <w:hyperlink w:anchor="_Toc241687660" w:history="1">
        <w:r w:rsidR="00170CB4" w:rsidRPr="00806673">
          <w:rPr>
            <w:rStyle w:val="Hyperlink"/>
            <w:rFonts w:ascii="GHEA Grapalat" w:eastAsia="Times New Roman" w:hAnsi="GHEA Grapalat" w:cs="Times New Roman"/>
            <w:noProof/>
            <w:lang w:val="hy-AM"/>
          </w:rPr>
          <w:t>1.3.1. ՀՆԱ ԵՎ ՏՆՏԵՍԱԿԱՆ ԱՃ</w:t>
        </w:r>
        <w:r w:rsidR="00170CB4">
          <w:rPr>
            <w:noProof/>
            <w:webHidden/>
          </w:rPr>
          <w:tab/>
        </w:r>
        <w:r w:rsidR="00170CB4">
          <w:rPr>
            <w:noProof/>
            <w:webHidden/>
          </w:rPr>
          <w:fldChar w:fldCharType="begin"/>
        </w:r>
        <w:r w:rsidR="00170CB4">
          <w:rPr>
            <w:noProof/>
            <w:webHidden/>
          </w:rPr>
          <w:instrText xml:space="preserve"> PAGEREF _Toc241687660 \h </w:instrText>
        </w:r>
        <w:r w:rsidR="00170CB4">
          <w:rPr>
            <w:noProof/>
            <w:webHidden/>
          </w:rPr>
        </w:r>
        <w:r w:rsidR="00170CB4">
          <w:rPr>
            <w:noProof/>
            <w:webHidden/>
          </w:rPr>
          <w:fldChar w:fldCharType="separate"/>
        </w:r>
        <w:r w:rsidR="00170CB4">
          <w:rPr>
            <w:noProof/>
            <w:webHidden/>
          </w:rPr>
          <w:t>24</w:t>
        </w:r>
        <w:r w:rsidR="00170CB4">
          <w:rPr>
            <w:noProof/>
            <w:webHidden/>
          </w:rPr>
          <w:fldChar w:fldCharType="end"/>
        </w:r>
      </w:hyperlink>
    </w:p>
    <w:p w14:paraId="784CD39C" w14:textId="4654EEA1" w:rsidR="00170CB4" w:rsidRDefault="003612ED">
      <w:pPr>
        <w:pStyle w:val="TOC30"/>
        <w:tabs>
          <w:tab w:val="right" w:leader="dot" w:pos="10336"/>
        </w:tabs>
        <w:rPr>
          <w:i w:val="0"/>
          <w:iCs w:val="0"/>
          <w:noProof/>
          <w:color w:val="auto"/>
          <w:kern w:val="2"/>
          <w:sz w:val="24"/>
          <w:szCs w:val="24"/>
          <w14:ligatures w14:val="standardContextual"/>
        </w:rPr>
      </w:pPr>
      <w:hyperlink w:anchor="_Toc241687661" w:history="1">
        <w:r w:rsidR="00170CB4" w:rsidRPr="00806673">
          <w:rPr>
            <w:rStyle w:val="Hyperlink"/>
            <w:rFonts w:ascii="GHEA Grapalat" w:eastAsia="Times New Roman" w:hAnsi="GHEA Grapalat" w:cs="Times New Roman"/>
            <w:noProof/>
            <w:lang w:val="hy-AM"/>
          </w:rPr>
          <w:t>1.3.2. ԱՇԽԱՏԱՆՔԻ ՇՈՒԿԱ</w:t>
        </w:r>
        <w:r w:rsidR="00170CB4">
          <w:rPr>
            <w:noProof/>
            <w:webHidden/>
          </w:rPr>
          <w:tab/>
        </w:r>
        <w:r w:rsidR="00170CB4">
          <w:rPr>
            <w:noProof/>
            <w:webHidden/>
          </w:rPr>
          <w:fldChar w:fldCharType="begin"/>
        </w:r>
        <w:r w:rsidR="00170CB4">
          <w:rPr>
            <w:noProof/>
            <w:webHidden/>
          </w:rPr>
          <w:instrText xml:space="preserve"> PAGEREF _Toc241687661 \h </w:instrText>
        </w:r>
        <w:r w:rsidR="00170CB4">
          <w:rPr>
            <w:noProof/>
            <w:webHidden/>
          </w:rPr>
        </w:r>
        <w:r w:rsidR="00170CB4">
          <w:rPr>
            <w:noProof/>
            <w:webHidden/>
          </w:rPr>
          <w:fldChar w:fldCharType="separate"/>
        </w:r>
        <w:r w:rsidR="00170CB4">
          <w:rPr>
            <w:noProof/>
            <w:webHidden/>
          </w:rPr>
          <w:t>29</w:t>
        </w:r>
        <w:r w:rsidR="00170CB4">
          <w:rPr>
            <w:noProof/>
            <w:webHidden/>
          </w:rPr>
          <w:fldChar w:fldCharType="end"/>
        </w:r>
      </w:hyperlink>
    </w:p>
    <w:p w14:paraId="365F0DDF" w14:textId="2D5749D3" w:rsidR="00170CB4" w:rsidRDefault="003612ED">
      <w:pPr>
        <w:pStyle w:val="TOC30"/>
        <w:tabs>
          <w:tab w:val="right" w:leader="dot" w:pos="10336"/>
        </w:tabs>
        <w:rPr>
          <w:i w:val="0"/>
          <w:iCs w:val="0"/>
          <w:noProof/>
          <w:color w:val="auto"/>
          <w:kern w:val="2"/>
          <w:sz w:val="24"/>
          <w:szCs w:val="24"/>
          <w14:ligatures w14:val="standardContextual"/>
        </w:rPr>
      </w:pPr>
      <w:hyperlink w:anchor="_Toc241687662" w:history="1">
        <w:r w:rsidR="00170CB4" w:rsidRPr="00806673">
          <w:rPr>
            <w:rStyle w:val="Hyperlink"/>
            <w:rFonts w:ascii="GHEA Grapalat" w:eastAsia="Times New Roman" w:hAnsi="GHEA Grapalat" w:cs="Times New Roman"/>
            <w:noProof/>
            <w:lang w:val="hy-AM"/>
          </w:rPr>
          <w:t>1.3.3. ՀՀ ՎՃԱՐԱՅԻՆ ՀԱՇՎԵԿՇԻՌ, ԱՐՏԱՀԱՆՈՒՄ և ՆԵՐՄՈՒԾՈՒՄ</w:t>
        </w:r>
        <w:r w:rsidR="00170CB4">
          <w:rPr>
            <w:noProof/>
            <w:webHidden/>
          </w:rPr>
          <w:tab/>
        </w:r>
        <w:r w:rsidR="00170CB4">
          <w:rPr>
            <w:noProof/>
            <w:webHidden/>
          </w:rPr>
          <w:fldChar w:fldCharType="begin"/>
        </w:r>
        <w:r w:rsidR="00170CB4">
          <w:rPr>
            <w:noProof/>
            <w:webHidden/>
          </w:rPr>
          <w:instrText xml:space="preserve"> PAGEREF _Toc241687662 \h </w:instrText>
        </w:r>
        <w:r w:rsidR="00170CB4">
          <w:rPr>
            <w:noProof/>
            <w:webHidden/>
          </w:rPr>
        </w:r>
        <w:r w:rsidR="00170CB4">
          <w:rPr>
            <w:noProof/>
            <w:webHidden/>
          </w:rPr>
          <w:fldChar w:fldCharType="separate"/>
        </w:r>
        <w:r w:rsidR="00170CB4">
          <w:rPr>
            <w:noProof/>
            <w:webHidden/>
          </w:rPr>
          <w:t>32</w:t>
        </w:r>
        <w:r w:rsidR="00170CB4">
          <w:rPr>
            <w:noProof/>
            <w:webHidden/>
          </w:rPr>
          <w:fldChar w:fldCharType="end"/>
        </w:r>
      </w:hyperlink>
    </w:p>
    <w:p w14:paraId="77A3E3C6" w14:textId="79E652A5" w:rsidR="00170CB4" w:rsidRDefault="003612ED">
      <w:pPr>
        <w:pStyle w:val="TOC30"/>
        <w:tabs>
          <w:tab w:val="right" w:leader="dot" w:pos="10336"/>
        </w:tabs>
        <w:rPr>
          <w:i w:val="0"/>
          <w:iCs w:val="0"/>
          <w:noProof/>
          <w:color w:val="auto"/>
          <w:kern w:val="2"/>
          <w:sz w:val="24"/>
          <w:szCs w:val="24"/>
          <w14:ligatures w14:val="standardContextual"/>
        </w:rPr>
      </w:pPr>
      <w:hyperlink w:anchor="_Toc241687663" w:history="1">
        <w:r w:rsidR="00170CB4" w:rsidRPr="00806673">
          <w:rPr>
            <w:rStyle w:val="Hyperlink"/>
            <w:rFonts w:ascii="GHEA Grapalat" w:eastAsia="Times New Roman" w:hAnsi="GHEA Grapalat" w:cs="Times New Roman"/>
            <w:noProof/>
            <w:lang w:val="hy-AM"/>
          </w:rPr>
          <w:t>1.3.4. ԱՐԺՈՒԹԱՅԻՆ ՇՈՒԿԱ ԵՎ ՓՈԽԱՐԺԵՔՆԵՐ</w:t>
        </w:r>
        <w:r w:rsidR="00170CB4">
          <w:rPr>
            <w:noProof/>
            <w:webHidden/>
          </w:rPr>
          <w:tab/>
        </w:r>
        <w:r w:rsidR="00170CB4">
          <w:rPr>
            <w:noProof/>
            <w:webHidden/>
          </w:rPr>
          <w:fldChar w:fldCharType="begin"/>
        </w:r>
        <w:r w:rsidR="00170CB4">
          <w:rPr>
            <w:noProof/>
            <w:webHidden/>
          </w:rPr>
          <w:instrText xml:space="preserve"> PAGEREF _Toc241687663 \h </w:instrText>
        </w:r>
        <w:r w:rsidR="00170CB4">
          <w:rPr>
            <w:noProof/>
            <w:webHidden/>
          </w:rPr>
        </w:r>
        <w:r w:rsidR="00170CB4">
          <w:rPr>
            <w:noProof/>
            <w:webHidden/>
          </w:rPr>
          <w:fldChar w:fldCharType="separate"/>
        </w:r>
        <w:r w:rsidR="00170CB4">
          <w:rPr>
            <w:noProof/>
            <w:webHidden/>
          </w:rPr>
          <w:t>36</w:t>
        </w:r>
        <w:r w:rsidR="00170CB4">
          <w:rPr>
            <w:noProof/>
            <w:webHidden/>
          </w:rPr>
          <w:fldChar w:fldCharType="end"/>
        </w:r>
      </w:hyperlink>
    </w:p>
    <w:p w14:paraId="656612DF" w14:textId="16B1D8D8" w:rsidR="00170CB4" w:rsidRDefault="003612ED">
      <w:pPr>
        <w:pStyle w:val="TOC20"/>
        <w:tabs>
          <w:tab w:val="right" w:leader="dot" w:pos="10336"/>
        </w:tabs>
        <w:rPr>
          <w:smallCaps w:val="0"/>
          <w:noProof/>
          <w:color w:val="auto"/>
          <w:kern w:val="2"/>
          <w:sz w:val="24"/>
          <w:szCs w:val="24"/>
          <w14:ligatures w14:val="standardContextual"/>
        </w:rPr>
      </w:pPr>
      <w:hyperlink w:anchor="_Toc241687664" w:history="1">
        <w:r w:rsidR="00170CB4" w:rsidRPr="00806673">
          <w:rPr>
            <w:rStyle w:val="Hyperlink"/>
            <w:rFonts w:ascii="GHEA Grapalat" w:eastAsia="Times New Roman" w:hAnsi="GHEA Grapalat" w:cs="Times New Roman"/>
            <w:noProof/>
            <w:lang w:val="hy-AM"/>
          </w:rPr>
          <w:t>1.4. ԿԱՆԽԱՏԵՍՈՒՄՆԵՐԻ ՀԻՄՔՈՒՄ ԸՆԿԱԾ ԵՆԹԱԴՐՈՒԹՅՈՒՆՆԵՐԸ</w:t>
        </w:r>
        <w:r w:rsidR="00170CB4">
          <w:rPr>
            <w:noProof/>
            <w:webHidden/>
          </w:rPr>
          <w:tab/>
        </w:r>
        <w:r w:rsidR="00170CB4">
          <w:rPr>
            <w:noProof/>
            <w:webHidden/>
          </w:rPr>
          <w:fldChar w:fldCharType="begin"/>
        </w:r>
        <w:r w:rsidR="00170CB4">
          <w:rPr>
            <w:noProof/>
            <w:webHidden/>
          </w:rPr>
          <w:instrText xml:space="preserve"> PAGEREF _Toc241687664 \h </w:instrText>
        </w:r>
        <w:r w:rsidR="00170CB4">
          <w:rPr>
            <w:noProof/>
            <w:webHidden/>
          </w:rPr>
        </w:r>
        <w:r w:rsidR="00170CB4">
          <w:rPr>
            <w:noProof/>
            <w:webHidden/>
          </w:rPr>
          <w:fldChar w:fldCharType="separate"/>
        </w:r>
        <w:r w:rsidR="00170CB4">
          <w:rPr>
            <w:noProof/>
            <w:webHidden/>
          </w:rPr>
          <w:t>42</w:t>
        </w:r>
        <w:r w:rsidR="00170CB4">
          <w:rPr>
            <w:noProof/>
            <w:webHidden/>
          </w:rPr>
          <w:fldChar w:fldCharType="end"/>
        </w:r>
      </w:hyperlink>
    </w:p>
    <w:p w14:paraId="17EEDD3D" w14:textId="37A47AF1" w:rsidR="00170CB4" w:rsidRDefault="003612ED">
      <w:pPr>
        <w:pStyle w:val="TOC20"/>
        <w:tabs>
          <w:tab w:val="right" w:leader="dot" w:pos="10336"/>
        </w:tabs>
        <w:rPr>
          <w:smallCaps w:val="0"/>
          <w:noProof/>
          <w:color w:val="auto"/>
          <w:kern w:val="2"/>
          <w:sz w:val="24"/>
          <w:szCs w:val="24"/>
          <w14:ligatures w14:val="standardContextual"/>
        </w:rPr>
      </w:pPr>
      <w:hyperlink w:anchor="_Toc241687665" w:history="1">
        <w:r w:rsidR="00170CB4" w:rsidRPr="00806673">
          <w:rPr>
            <w:rStyle w:val="Hyperlink"/>
            <w:rFonts w:ascii="GHEA Grapalat" w:eastAsia="Times New Roman" w:hAnsi="GHEA Grapalat" w:cs="Times New Roman"/>
            <w:noProof/>
            <w:lang w:val="hy-AM"/>
          </w:rPr>
          <w:t>1.5. ՄԱԿՐՈՏՆՏԵՍԱԿԱՆ ԿԱՆԽԱՏԵՍՈՒՄՆԵՐԻ ՌԻՍԿԵՐԸ</w:t>
        </w:r>
        <w:r w:rsidR="00170CB4">
          <w:rPr>
            <w:noProof/>
            <w:webHidden/>
          </w:rPr>
          <w:tab/>
        </w:r>
        <w:r w:rsidR="00170CB4">
          <w:rPr>
            <w:noProof/>
            <w:webHidden/>
          </w:rPr>
          <w:fldChar w:fldCharType="begin"/>
        </w:r>
        <w:r w:rsidR="00170CB4">
          <w:rPr>
            <w:noProof/>
            <w:webHidden/>
          </w:rPr>
          <w:instrText xml:space="preserve"> PAGEREF _Toc241687665 \h </w:instrText>
        </w:r>
        <w:r w:rsidR="00170CB4">
          <w:rPr>
            <w:noProof/>
            <w:webHidden/>
          </w:rPr>
        </w:r>
        <w:r w:rsidR="00170CB4">
          <w:rPr>
            <w:noProof/>
            <w:webHidden/>
          </w:rPr>
          <w:fldChar w:fldCharType="separate"/>
        </w:r>
        <w:r w:rsidR="00170CB4">
          <w:rPr>
            <w:noProof/>
            <w:webHidden/>
          </w:rPr>
          <w:t>46</w:t>
        </w:r>
        <w:r w:rsidR="00170CB4">
          <w:rPr>
            <w:noProof/>
            <w:webHidden/>
          </w:rPr>
          <w:fldChar w:fldCharType="end"/>
        </w:r>
      </w:hyperlink>
    </w:p>
    <w:p w14:paraId="41AA3A09" w14:textId="16764186" w:rsidR="00170CB4" w:rsidRDefault="003612ED">
      <w:pPr>
        <w:pStyle w:val="TOC30"/>
        <w:tabs>
          <w:tab w:val="right" w:leader="dot" w:pos="10336"/>
        </w:tabs>
        <w:rPr>
          <w:i w:val="0"/>
          <w:iCs w:val="0"/>
          <w:noProof/>
          <w:color w:val="auto"/>
          <w:kern w:val="2"/>
          <w:sz w:val="24"/>
          <w:szCs w:val="24"/>
          <w14:ligatures w14:val="standardContextual"/>
        </w:rPr>
      </w:pPr>
      <w:hyperlink w:anchor="_Toc241687666" w:history="1">
        <w:r w:rsidR="00170CB4" w:rsidRPr="00806673">
          <w:rPr>
            <w:rStyle w:val="Hyperlink"/>
            <w:rFonts w:ascii="GHEA Grapalat" w:eastAsia="Times New Roman" w:hAnsi="GHEA Grapalat" w:cs="Times New Roman"/>
            <w:noProof/>
            <w:lang w:val="hy-AM"/>
          </w:rPr>
          <w:t>1.5.1. ՀՀ ՏՆՏԵՍԱԿԱՆ ԱՃԻ ԴԵՊԻ ՆԵՐՔԵՎ ՈՒՂՂՈՒԹՅԱՄԲ ՌԻՍԿԵՐ</w:t>
        </w:r>
        <w:r w:rsidR="00170CB4">
          <w:rPr>
            <w:noProof/>
            <w:webHidden/>
          </w:rPr>
          <w:tab/>
        </w:r>
        <w:r w:rsidR="00170CB4">
          <w:rPr>
            <w:noProof/>
            <w:webHidden/>
          </w:rPr>
          <w:fldChar w:fldCharType="begin"/>
        </w:r>
        <w:r w:rsidR="00170CB4">
          <w:rPr>
            <w:noProof/>
            <w:webHidden/>
          </w:rPr>
          <w:instrText xml:space="preserve"> PAGEREF _Toc241687666 \h </w:instrText>
        </w:r>
        <w:r w:rsidR="00170CB4">
          <w:rPr>
            <w:noProof/>
            <w:webHidden/>
          </w:rPr>
        </w:r>
        <w:r w:rsidR="00170CB4">
          <w:rPr>
            <w:noProof/>
            <w:webHidden/>
          </w:rPr>
          <w:fldChar w:fldCharType="separate"/>
        </w:r>
        <w:r w:rsidR="00170CB4">
          <w:rPr>
            <w:noProof/>
            <w:webHidden/>
          </w:rPr>
          <w:t>47</w:t>
        </w:r>
        <w:r w:rsidR="00170CB4">
          <w:rPr>
            <w:noProof/>
            <w:webHidden/>
          </w:rPr>
          <w:fldChar w:fldCharType="end"/>
        </w:r>
      </w:hyperlink>
    </w:p>
    <w:p w14:paraId="3A81530C" w14:textId="73D9E1DB" w:rsidR="00170CB4" w:rsidRDefault="003612ED">
      <w:pPr>
        <w:pStyle w:val="TOC30"/>
        <w:tabs>
          <w:tab w:val="right" w:leader="dot" w:pos="10336"/>
        </w:tabs>
        <w:rPr>
          <w:i w:val="0"/>
          <w:iCs w:val="0"/>
          <w:noProof/>
          <w:color w:val="auto"/>
          <w:kern w:val="2"/>
          <w:sz w:val="24"/>
          <w:szCs w:val="24"/>
          <w14:ligatures w14:val="standardContextual"/>
        </w:rPr>
      </w:pPr>
      <w:hyperlink w:anchor="_Toc241687667" w:history="1">
        <w:r w:rsidR="00170CB4" w:rsidRPr="00806673">
          <w:rPr>
            <w:rStyle w:val="Hyperlink"/>
            <w:rFonts w:ascii="GHEA Grapalat" w:eastAsia="Times New Roman" w:hAnsi="GHEA Grapalat" w:cs="Times New Roman"/>
            <w:noProof/>
            <w:lang w:val="hy-AM"/>
          </w:rPr>
          <w:t>1.5.2. ՏՆՏԵՍԱԿԱՆ ԱՃԻ ԴԵՊԻ ՎԵՐԵՎ ՈՒՂՂՈՒԹՅԱՄԲ ՌԻՍԿԵՐ</w:t>
        </w:r>
        <w:r w:rsidR="00170CB4">
          <w:rPr>
            <w:noProof/>
            <w:webHidden/>
          </w:rPr>
          <w:tab/>
        </w:r>
        <w:r w:rsidR="00170CB4">
          <w:rPr>
            <w:noProof/>
            <w:webHidden/>
          </w:rPr>
          <w:fldChar w:fldCharType="begin"/>
        </w:r>
        <w:r w:rsidR="00170CB4">
          <w:rPr>
            <w:noProof/>
            <w:webHidden/>
          </w:rPr>
          <w:instrText xml:space="preserve"> PAGEREF _Toc241687667 \h </w:instrText>
        </w:r>
        <w:r w:rsidR="00170CB4">
          <w:rPr>
            <w:noProof/>
            <w:webHidden/>
          </w:rPr>
        </w:r>
        <w:r w:rsidR="00170CB4">
          <w:rPr>
            <w:noProof/>
            <w:webHidden/>
          </w:rPr>
          <w:fldChar w:fldCharType="separate"/>
        </w:r>
        <w:r w:rsidR="00170CB4">
          <w:rPr>
            <w:noProof/>
            <w:webHidden/>
          </w:rPr>
          <w:t>47</w:t>
        </w:r>
        <w:r w:rsidR="00170CB4">
          <w:rPr>
            <w:noProof/>
            <w:webHidden/>
          </w:rPr>
          <w:fldChar w:fldCharType="end"/>
        </w:r>
      </w:hyperlink>
    </w:p>
    <w:p w14:paraId="0E5BBCCB" w14:textId="797340B0" w:rsidR="00170CB4" w:rsidRDefault="003612ED">
      <w:pPr>
        <w:pStyle w:val="TOC20"/>
        <w:tabs>
          <w:tab w:val="right" w:leader="dot" w:pos="10336"/>
        </w:tabs>
        <w:rPr>
          <w:smallCaps w:val="0"/>
          <w:noProof/>
          <w:color w:val="auto"/>
          <w:kern w:val="2"/>
          <w:sz w:val="24"/>
          <w:szCs w:val="24"/>
          <w14:ligatures w14:val="standardContextual"/>
        </w:rPr>
      </w:pPr>
      <w:hyperlink w:anchor="_Toc241687668" w:history="1">
        <w:r w:rsidR="00170CB4" w:rsidRPr="00806673">
          <w:rPr>
            <w:rStyle w:val="Hyperlink"/>
            <w:rFonts w:ascii="GHEA Grapalat" w:eastAsia="Times New Roman" w:hAnsi="GHEA Grapalat" w:cs="Times New Roman"/>
            <w:noProof/>
            <w:lang w:val="hy-AM"/>
          </w:rPr>
          <w:t>1.6. ՀԱՄԵՄԱՏՈՒԹՅՈՒՆ ՆԱԽՈՐԴ ԿԱՆԽԱՏԵՍՈՒՄՆԵՐԻ ՀԵՏ</w:t>
        </w:r>
        <w:r w:rsidR="00170CB4">
          <w:rPr>
            <w:noProof/>
            <w:webHidden/>
          </w:rPr>
          <w:tab/>
        </w:r>
        <w:r w:rsidR="00170CB4">
          <w:rPr>
            <w:noProof/>
            <w:webHidden/>
          </w:rPr>
          <w:fldChar w:fldCharType="begin"/>
        </w:r>
        <w:r w:rsidR="00170CB4">
          <w:rPr>
            <w:noProof/>
            <w:webHidden/>
          </w:rPr>
          <w:instrText xml:space="preserve"> PAGEREF _Toc241687668 \h </w:instrText>
        </w:r>
        <w:r w:rsidR="00170CB4">
          <w:rPr>
            <w:noProof/>
            <w:webHidden/>
          </w:rPr>
        </w:r>
        <w:r w:rsidR="00170CB4">
          <w:rPr>
            <w:noProof/>
            <w:webHidden/>
          </w:rPr>
          <w:fldChar w:fldCharType="separate"/>
        </w:r>
        <w:r w:rsidR="00170CB4">
          <w:rPr>
            <w:noProof/>
            <w:webHidden/>
          </w:rPr>
          <w:t>50</w:t>
        </w:r>
        <w:r w:rsidR="00170CB4">
          <w:rPr>
            <w:noProof/>
            <w:webHidden/>
          </w:rPr>
          <w:fldChar w:fldCharType="end"/>
        </w:r>
      </w:hyperlink>
    </w:p>
    <w:p w14:paraId="70666B85" w14:textId="11238532" w:rsidR="00170CB4" w:rsidRDefault="003612ED">
      <w:pPr>
        <w:pStyle w:val="TOC10"/>
        <w:tabs>
          <w:tab w:val="right" w:leader="dot" w:pos="10336"/>
        </w:tabs>
        <w:rPr>
          <w:b w:val="0"/>
          <w:bCs w:val="0"/>
          <w:caps w:val="0"/>
          <w:noProof/>
          <w:color w:val="auto"/>
          <w:kern w:val="2"/>
          <w:sz w:val="24"/>
          <w:szCs w:val="24"/>
          <w14:ligatures w14:val="standardContextual"/>
        </w:rPr>
      </w:pPr>
      <w:hyperlink w:anchor="_Toc241687669" w:history="1">
        <w:r w:rsidR="00170CB4" w:rsidRPr="00806673">
          <w:rPr>
            <w:rStyle w:val="Hyperlink"/>
            <w:rFonts w:ascii="GHEA Grapalat" w:hAnsi="GHEA Grapalat"/>
            <w:noProof/>
            <w:lang w:val="hy-AM"/>
          </w:rPr>
          <w:t>ՄԱՍ I-Գ. ՀԱՐԿԱԲՅՈՒՋԵՏԱՅԻՆ ՔԱՂԱՔԱԿԱՆՈՒԹՅԱՆ ՀԻՄՆԱԿԱՆ ՈՒՂՂՈՒԹՅՈՒՆՆԵՐԸ ԵՎ ԿԱՆԽԱՏԵՍՈՒՄՆԵՐԸ</w:t>
        </w:r>
        <w:r w:rsidR="00170CB4">
          <w:rPr>
            <w:noProof/>
            <w:webHidden/>
          </w:rPr>
          <w:tab/>
        </w:r>
        <w:r w:rsidR="00170CB4">
          <w:rPr>
            <w:noProof/>
            <w:webHidden/>
          </w:rPr>
          <w:fldChar w:fldCharType="begin"/>
        </w:r>
        <w:r w:rsidR="00170CB4">
          <w:rPr>
            <w:noProof/>
            <w:webHidden/>
          </w:rPr>
          <w:instrText xml:space="preserve"> PAGEREF _Toc241687669 \h </w:instrText>
        </w:r>
        <w:r w:rsidR="00170CB4">
          <w:rPr>
            <w:noProof/>
            <w:webHidden/>
          </w:rPr>
        </w:r>
        <w:r w:rsidR="00170CB4">
          <w:rPr>
            <w:noProof/>
            <w:webHidden/>
          </w:rPr>
          <w:fldChar w:fldCharType="separate"/>
        </w:r>
        <w:r w:rsidR="00170CB4">
          <w:rPr>
            <w:noProof/>
            <w:webHidden/>
          </w:rPr>
          <w:t>51</w:t>
        </w:r>
        <w:r w:rsidR="00170CB4">
          <w:rPr>
            <w:noProof/>
            <w:webHidden/>
          </w:rPr>
          <w:fldChar w:fldCharType="end"/>
        </w:r>
      </w:hyperlink>
    </w:p>
    <w:p w14:paraId="2437BADD" w14:textId="555F0BB2" w:rsidR="00170CB4" w:rsidRDefault="003612ED">
      <w:pPr>
        <w:pStyle w:val="TOC20"/>
        <w:tabs>
          <w:tab w:val="right" w:leader="dot" w:pos="10336"/>
        </w:tabs>
        <w:rPr>
          <w:smallCaps w:val="0"/>
          <w:noProof/>
          <w:color w:val="auto"/>
          <w:kern w:val="2"/>
          <w:sz w:val="24"/>
          <w:szCs w:val="24"/>
          <w14:ligatures w14:val="standardContextual"/>
        </w:rPr>
      </w:pPr>
      <w:hyperlink w:anchor="_Toc241687670" w:history="1">
        <w:r w:rsidR="00170CB4" w:rsidRPr="00806673">
          <w:rPr>
            <w:rStyle w:val="Hyperlink"/>
            <w:rFonts w:ascii="GHEA Grapalat" w:eastAsia="Times New Roman" w:hAnsi="GHEA Grapalat" w:cs="Times New Roman"/>
            <w:noProof/>
            <w:lang w:val="hy-AM"/>
          </w:rPr>
          <w:t>2.1. ՀԱՐԿԱԲՅՈՒՋԵՏԱՅԻՆ ԸՆԴՀԱՆՈՒՐ ԱԿՆԱՐԿ ԵՎ ՀԱՐԿԱԲՅՈՒՋԵՏԱՅԻՆ ՇՐՋԱՆԱԿ</w:t>
        </w:r>
        <w:r w:rsidR="00170CB4">
          <w:rPr>
            <w:noProof/>
            <w:webHidden/>
          </w:rPr>
          <w:tab/>
        </w:r>
        <w:r w:rsidR="00170CB4">
          <w:rPr>
            <w:noProof/>
            <w:webHidden/>
          </w:rPr>
          <w:fldChar w:fldCharType="begin"/>
        </w:r>
        <w:r w:rsidR="00170CB4">
          <w:rPr>
            <w:noProof/>
            <w:webHidden/>
          </w:rPr>
          <w:instrText xml:space="preserve"> PAGEREF _Toc241687670 \h </w:instrText>
        </w:r>
        <w:r w:rsidR="00170CB4">
          <w:rPr>
            <w:noProof/>
            <w:webHidden/>
          </w:rPr>
        </w:r>
        <w:r w:rsidR="00170CB4">
          <w:rPr>
            <w:noProof/>
            <w:webHidden/>
          </w:rPr>
          <w:fldChar w:fldCharType="separate"/>
        </w:r>
        <w:r w:rsidR="00170CB4">
          <w:rPr>
            <w:noProof/>
            <w:webHidden/>
          </w:rPr>
          <w:t>51</w:t>
        </w:r>
        <w:r w:rsidR="00170CB4">
          <w:rPr>
            <w:noProof/>
            <w:webHidden/>
          </w:rPr>
          <w:fldChar w:fldCharType="end"/>
        </w:r>
      </w:hyperlink>
    </w:p>
    <w:p w14:paraId="09087958" w14:textId="64A605FE" w:rsidR="00170CB4" w:rsidRDefault="003612ED">
      <w:pPr>
        <w:pStyle w:val="TOC20"/>
        <w:tabs>
          <w:tab w:val="right" w:leader="dot" w:pos="10336"/>
        </w:tabs>
        <w:rPr>
          <w:smallCaps w:val="0"/>
          <w:noProof/>
          <w:color w:val="auto"/>
          <w:kern w:val="2"/>
          <w:sz w:val="24"/>
          <w:szCs w:val="24"/>
          <w14:ligatures w14:val="standardContextual"/>
        </w:rPr>
      </w:pPr>
      <w:hyperlink w:anchor="_Toc241687671" w:history="1">
        <w:r w:rsidR="00170CB4" w:rsidRPr="00806673">
          <w:rPr>
            <w:rStyle w:val="Hyperlink"/>
            <w:rFonts w:ascii="GHEA Grapalat" w:eastAsia="Times New Roman" w:hAnsi="GHEA Grapalat" w:cs="Times New Roman"/>
            <w:noProof/>
          </w:rPr>
          <w:t>2.2. ՀԱՐԿԱԲՅՈՒՋԵՏԱՅԻՆ ՔԱՂԱՔԱԿԱՆՈՒԹՅԱՆ ՄԻՏՈՒՄՆԵՐԸ ԵՎ ԿԱՆԽԱՏԵՍՈՒՄՆԵՐԸ</w:t>
        </w:r>
        <w:r w:rsidR="00170CB4">
          <w:rPr>
            <w:noProof/>
            <w:webHidden/>
          </w:rPr>
          <w:tab/>
        </w:r>
        <w:r w:rsidR="00170CB4">
          <w:rPr>
            <w:noProof/>
            <w:webHidden/>
          </w:rPr>
          <w:fldChar w:fldCharType="begin"/>
        </w:r>
        <w:r w:rsidR="00170CB4">
          <w:rPr>
            <w:noProof/>
            <w:webHidden/>
          </w:rPr>
          <w:instrText xml:space="preserve"> PAGEREF _Toc241687671 \h </w:instrText>
        </w:r>
        <w:r w:rsidR="00170CB4">
          <w:rPr>
            <w:noProof/>
            <w:webHidden/>
          </w:rPr>
        </w:r>
        <w:r w:rsidR="00170CB4">
          <w:rPr>
            <w:noProof/>
            <w:webHidden/>
          </w:rPr>
          <w:fldChar w:fldCharType="separate"/>
        </w:r>
        <w:r w:rsidR="00170CB4">
          <w:rPr>
            <w:noProof/>
            <w:webHidden/>
          </w:rPr>
          <w:t>54</w:t>
        </w:r>
        <w:r w:rsidR="00170CB4">
          <w:rPr>
            <w:noProof/>
            <w:webHidden/>
          </w:rPr>
          <w:fldChar w:fldCharType="end"/>
        </w:r>
      </w:hyperlink>
    </w:p>
    <w:p w14:paraId="2523DC45" w14:textId="7AE80BC0" w:rsidR="00170CB4" w:rsidRDefault="003612ED">
      <w:pPr>
        <w:pStyle w:val="TOC20"/>
        <w:tabs>
          <w:tab w:val="right" w:leader="dot" w:pos="10336"/>
        </w:tabs>
        <w:rPr>
          <w:smallCaps w:val="0"/>
          <w:noProof/>
          <w:color w:val="auto"/>
          <w:kern w:val="2"/>
          <w:sz w:val="24"/>
          <w:szCs w:val="24"/>
          <w14:ligatures w14:val="standardContextual"/>
        </w:rPr>
      </w:pPr>
      <w:hyperlink w:anchor="_Toc241687672" w:history="1">
        <w:r w:rsidR="00170CB4" w:rsidRPr="00806673">
          <w:rPr>
            <w:rStyle w:val="Hyperlink"/>
            <w:rFonts w:ascii="GHEA Grapalat" w:eastAsia="Times New Roman" w:hAnsi="GHEA Grapalat" w:cs="Times New Roman"/>
            <w:noProof/>
            <w:lang w:val="hy-AM"/>
          </w:rPr>
          <w:t>2.3. ՀԱՐԿԱԲՅՈՒՋԵՏԱՅԻՆ ՌԻՍԿԵՐ</w:t>
        </w:r>
        <w:r w:rsidR="00170CB4">
          <w:rPr>
            <w:noProof/>
            <w:webHidden/>
          </w:rPr>
          <w:tab/>
        </w:r>
        <w:r w:rsidR="00170CB4">
          <w:rPr>
            <w:noProof/>
            <w:webHidden/>
          </w:rPr>
          <w:fldChar w:fldCharType="begin"/>
        </w:r>
        <w:r w:rsidR="00170CB4">
          <w:rPr>
            <w:noProof/>
            <w:webHidden/>
          </w:rPr>
          <w:instrText xml:space="preserve"> PAGEREF _Toc241687672 \h </w:instrText>
        </w:r>
        <w:r w:rsidR="00170CB4">
          <w:rPr>
            <w:noProof/>
            <w:webHidden/>
          </w:rPr>
        </w:r>
        <w:r w:rsidR="00170CB4">
          <w:rPr>
            <w:noProof/>
            <w:webHidden/>
          </w:rPr>
          <w:fldChar w:fldCharType="separate"/>
        </w:r>
        <w:r w:rsidR="00170CB4">
          <w:rPr>
            <w:noProof/>
            <w:webHidden/>
          </w:rPr>
          <w:t>60</w:t>
        </w:r>
        <w:r w:rsidR="00170CB4">
          <w:rPr>
            <w:noProof/>
            <w:webHidden/>
          </w:rPr>
          <w:fldChar w:fldCharType="end"/>
        </w:r>
      </w:hyperlink>
    </w:p>
    <w:p w14:paraId="6BC5F87D" w14:textId="1C64B39E" w:rsidR="00170CB4" w:rsidRDefault="003612ED">
      <w:pPr>
        <w:pStyle w:val="TOC20"/>
        <w:tabs>
          <w:tab w:val="right" w:leader="dot" w:pos="10336"/>
        </w:tabs>
        <w:rPr>
          <w:smallCaps w:val="0"/>
          <w:noProof/>
          <w:color w:val="auto"/>
          <w:kern w:val="2"/>
          <w:sz w:val="24"/>
          <w:szCs w:val="24"/>
          <w14:ligatures w14:val="standardContextual"/>
        </w:rPr>
      </w:pPr>
      <w:hyperlink w:anchor="_Toc241687673" w:history="1">
        <w:r w:rsidR="00170CB4" w:rsidRPr="00806673">
          <w:rPr>
            <w:rStyle w:val="Hyperlink"/>
            <w:rFonts w:ascii="GHEA Grapalat" w:eastAsia="Times New Roman" w:hAnsi="GHEA Grapalat" w:cs="Times New Roman"/>
            <w:noProof/>
            <w:lang w:val="hy-AM"/>
          </w:rPr>
          <w:t>2.5. ՊԵՏԱԿԱՆ ԲՅՈՒՋԵԻ ՑՈՒՑԱՆԻՇՆԵՐԻ ԿԱՆԽԱՏԵՍՈՒՄՆԵՐԻ ՀԱՄԵՄԱՏԱԿԱՆ ԱՂՅՈՒՍԱԿՆԵՐ</w:t>
        </w:r>
        <w:r w:rsidR="00170CB4">
          <w:rPr>
            <w:noProof/>
            <w:webHidden/>
          </w:rPr>
          <w:tab/>
        </w:r>
        <w:r w:rsidR="00170CB4">
          <w:rPr>
            <w:noProof/>
            <w:webHidden/>
          </w:rPr>
          <w:fldChar w:fldCharType="begin"/>
        </w:r>
        <w:r w:rsidR="00170CB4">
          <w:rPr>
            <w:noProof/>
            <w:webHidden/>
          </w:rPr>
          <w:instrText xml:space="preserve"> PAGEREF _Toc241687673 \h </w:instrText>
        </w:r>
        <w:r w:rsidR="00170CB4">
          <w:rPr>
            <w:noProof/>
            <w:webHidden/>
          </w:rPr>
        </w:r>
        <w:r w:rsidR="00170CB4">
          <w:rPr>
            <w:noProof/>
            <w:webHidden/>
          </w:rPr>
          <w:fldChar w:fldCharType="separate"/>
        </w:r>
        <w:r w:rsidR="00170CB4">
          <w:rPr>
            <w:noProof/>
            <w:webHidden/>
          </w:rPr>
          <w:t>66</w:t>
        </w:r>
        <w:r w:rsidR="00170CB4">
          <w:rPr>
            <w:noProof/>
            <w:webHidden/>
          </w:rPr>
          <w:fldChar w:fldCharType="end"/>
        </w:r>
      </w:hyperlink>
    </w:p>
    <w:p w14:paraId="24DAC0CF" w14:textId="50E8C3D9" w:rsidR="00170CB4" w:rsidRDefault="003612ED">
      <w:pPr>
        <w:pStyle w:val="TOC20"/>
        <w:tabs>
          <w:tab w:val="right" w:leader="dot" w:pos="10336"/>
        </w:tabs>
        <w:rPr>
          <w:smallCaps w:val="0"/>
          <w:noProof/>
          <w:color w:val="auto"/>
          <w:kern w:val="2"/>
          <w:sz w:val="24"/>
          <w:szCs w:val="24"/>
          <w14:ligatures w14:val="standardContextual"/>
        </w:rPr>
      </w:pPr>
      <w:hyperlink w:anchor="_Toc241687674" w:history="1">
        <w:r w:rsidR="00170CB4" w:rsidRPr="00806673">
          <w:rPr>
            <w:rStyle w:val="Hyperlink"/>
            <w:rFonts w:ascii="GHEA Grapalat" w:hAnsi="GHEA Grapalat"/>
            <w:noProof/>
            <w:lang w:val="hy-AM"/>
          </w:rPr>
          <w:t>ՀԱՐԿԱԲՅՈՒՋԵՏԱՅԻՆ ՍԿԶԲՈՒՆՔՆԵՐԸ ԵՎ ՑՈՒՑԱՆԻՇՆԵՐԸ</w:t>
        </w:r>
        <w:r w:rsidR="00170CB4">
          <w:rPr>
            <w:noProof/>
            <w:webHidden/>
          </w:rPr>
          <w:tab/>
        </w:r>
        <w:r w:rsidR="00170CB4">
          <w:rPr>
            <w:noProof/>
            <w:webHidden/>
          </w:rPr>
          <w:fldChar w:fldCharType="begin"/>
        </w:r>
        <w:r w:rsidR="00170CB4">
          <w:rPr>
            <w:noProof/>
            <w:webHidden/>
          </w:rPr>
          <w:instrText xml:space="preserve"> PAGEREF _Toc241687674 \h </w:instrText>
        </w:r>
        <w:r w:rsidR="00170CB4">
          <w:rPr>
            <w:noProof/>
            <w:webHidden/>
          </w:rPr>
        </w:r>
        <w:r w:rsidR="00170CB4">
          <w:rPr>
            <w:noProof/>
            <w:webHidden/>
          </w:rPr>
          <w:fldChar w:fldCharType="separate"/>
        </w:r>
        <w:r w:rsidR="00170CB4">
          <w:rPr>
            <w:noProof/>
            <w:webHidden/>
          </w:rPr>
          <w:t>73</w:t>
        </w:r>
        <w:r w:rsidR="00170CB4">
          <w:rPr>
            <w:noProof/>
            <w:webHidden/>
          </w:rPr>
          <w:fldChar w:fldCharType="end"/>
        </w:r>
      </w:hyperlink>
    </w:p>
    <w:p w14:paraId="7723802A" w14:textId="7C673059" w:rsidR="00170CB4" w:rsidRDefault="003612ED">
      <w:pPr>
        <w:pStyle w:val="TOC20"/>
        <w:tabs>
          <w:tab w:val="right" w:leader="dot" w:pos="10336"/>
        </w:tabs>
        <w:rPr>
          <w:smallCaps w:val="0"/>
          <w:noProof/>
          <w:color w:val="auto"/>
          <w:kern w:val="2"/>
          <w:sz w:val="24"/>
          <w:szCs w:val="24"/>
          <w14:ligatures w14:val="standardContextual"/>
        </w:rPr>
      </w:pPr>
      <w:hyperlink w:anchor="_Toc241687675" w:history="1">
        <w:r w:rsidR="00170CB4" w:rsidRPr="00806673">
          <w:rPr>
            <w:rStyle w:val="Hyperlink"/>
            <w:rFonts w:ascii="GHEA Grapalat" w:hAnsi="GHEA Grapalat"/>
            <w:noProof/>
            <w:lang w:val="hy-AM"/>
          </w:rPr>
          <w:t>ՊԵՏԱԿԱՆ ԲՅՈՒՋԵԻ ԴԵՖԻՑԻՏԸ (ՊԱԿԱՍՈՒՐԴԸ) ԵՎ ՊԱՐՏՔԸ</w:t>
        </w:r>
        <w:r w:rsidR="00170CB4">
          <w:rPr>
            <w:noProof/>
            <w:webHidden/>
          </w:rPr>
          <w:tab/>
        </w:r>
        <w:r w:rsidR="00170CB4">
          <w:rPr>
            <w:noProof/>
            <w:webHidden/>
          </w:rPr>
          <w:fldChar w:fldCharType="begin"/>
        </w:r>
        <w:r w:rsidR="00170CB4">
          <w:rPr>
            <w:noProof/>
            <w:webHidden/>
          </w:rPr>
          <w:instrText xml:space="preserve"> PAGEREF _Toc241687675 \h </w:instrText>
        </w:r>
        <w:r w:rsidR="00170CB4">
          <w:rPr>
            <w:noProof/>
            <w:webHidden/>
          </w:rPr>
        </w:r>
        <w:r w:rsidR="00170CB4">
          <w:rPr>
            <w:noProof/>
            <w:webHidden/>
          </w:rPr>
          <w:fldChar w:fldCharType="separate"/>
        </w:r>
        <w:r w:rsidR="00170CB4">
          <w:rPr>
            <w:noProof/>
            <w:webHidden/>
          </w:rPr>
          <w:t>75</w:t>
        </w:r>
        <w:r w:rsidR="00170CB4">
          <w:rPr>
            <w:noProof/>
            <w:webHidden/>
          </w:rPr>
          <w:fldChar w:fldCharType="end"/>
        </w:r>
      </w:hyperlink>
    </w:p>
    <w:p w14:paraId="27F8C997" w14:textId="6A0A575F" w:rsidR="00170CB4" w:rsidRDefault="003612ED">
      <w:pPr>
        <w:pStyle w:val="TOC10"/>
        <w:tabs>
          <w:tab w:val="right" w:leader="dot" w:pos="10336"/>
        </w:tabs>
        <w:rPr>
          <w:b w:val="0"/>
          <w:bCs w:val="0"/>
          <w:caps w:val="0"/>
          <w:noProof/>
          <w:color w:val="auto"/>
          <w:kern w:val="2"/>
          <w:sz w:val="24"/>
          <w:szCs w:val="24"/>
          <w14:ligatures w14:val="standardContextual"/>
        </w:rPr>
      </w:pPr>
      <w:hyperlink w:anchor="_Toc241687676" w:history="1">
        <w:r w:rsidR="00170CB4" w:rsidRPr="00806673">
          <w:rPr>
            <w:rStyle w:val="Hyperlink"/>
            <w:rFonts w:ascii="GHEA Grapalat" w:eastAsia="Times New Roman" w:hAnsi="GHEA Grapalat" w:cs="Times New Roman"/>
            <w:noProof/>
            <w:lang w:val="hy-AM"/>
          </w:rPr>
          <w:t>ՄԱՍ II-Բ. ԵԿԱՄՈՒՏՆԵՐԻ ԿԱՆԽԱՏԵՍՈՒՄ</w:t>
        </w:r>
        <w:r w:rsidR="00170CB4">
          <w:rPr>
            <w:noProof/>
            <w:webHidden/>
          </w:rPr>
          <w:tab/>
        </w:r>
        <w:r w:rsidR="00170CB4">
          <w:rPr>
            <w:noProof/>
            <w:webHidden/>
          </w:rPr>
          <w:fldChar w:fldCharType="begin"/>
        </w:r>
        <w:r w:rsidR="00170CB4">
          <w:rPr>
            <w:noProof/>
            <w:webHidden/>
          </w:rPr>
          <w:instrText xml:space="preserve"> PAGEREF _Toc241687676 \h </w:instrText>
        </w:r>
        <w:r w:rsidR="00170CB4">
          <w:rPr>
            <w:noProof/>
            <w:webHidden/>
          </w:rPr>
        </w:r>
        <w:r w:rsidR="00170CB4">
          <w:rPr>
            <w:noProof/>
            <w:webHidden/>
          </w:rPr>
          <w:fldChar w:fldCharType="separate"/>
        </w:r>
        <w:r w:rsidR="00170CB4">
          <w:rPr>
            <w:noProof/>
            <w:webHidden/>
          </w:rPr>
          <w:t>77</w:t>
        </w:r>
        <w:r w:rsidR="00170CB4">
          <w:rPr>
            <w:noProof/>
            <w:webHidden/>
          </w:rPr>
          <w:fldChar w:fldCharType="end"/>
        </w:r>
      </w:hyperlink>
    </w:p>
    <w:p w14:paraId="0E5A62ED" w14:textId="087E9DD7" w:rsidR="00170CB4" w:rsidRDefault="003612ED">
      <w:pPr>
        <w:pStyle w:val="TOC10"/>
        <w:tabs>
          <w:tab w:val="right" w:leader="dot" w:pos="10336"/>
        </w:tabs>
        <w:rPr>
          <w:b w:val="0"/>
          <w:bCs w:val="0"/>
          <w:caps w:val="0"/>
          <w:noProof/>
          <w:color w:val="auto"/>
          <w:kern w:val="2"/>
          <w:sz w:val="24"/>
          <w:szCs w:val="24"/>
          <w14:ligatures w14:val="standardContextual"/>
        </w:rPr>
      </w:pPr>
      <w:hyperlink w:anchor="_Toc241687677" w:history="1">
        <w:r w:rsidR="00170CB4" w:rsidRPr="00806673">
          <w:rPr>
            <w:rStyle w:val="Hyperlink"/>
            <w:rFonts w:ascii="GHEA Grapalat" w:eastAsia="Times New Roman" w:hAnsi="GHEA Grapalat" w:cs="Times New Roman"/>
            <w:noProof/>
            <w:lang w:val="hy-AM"/>
          </w:rPr>
          <w:t>ՄԱՍ II–Գ. ԾԱԽՍԵՐԻ ԿԱՆԽԱՏԵՍՈՒՄ</w:t>
        </w:r>
        <w:r w:rsidR="00170CB4">
          <w:rPr>
            <w:noProof/>
            <w:webHidden/>
          </w:rPr>
          <w:tab/>
        </w:r>
        <w:r w:rsidR="00170CB4">
          <w:rPr>
            <w:noProof/>
            <w:webHidden/>
          </w:rPr>
          <w:fldChar w:fldCharType="begin"/>
        </w:r>
        <w:r w:rsidR="00170CB4">
          <w:rPr>
            <w:noProof/>
            <w:webHidden/>
          </w:rPr>
          <w:instrText xml:space="preserve"> PAGEREF _Toc241687677 \h </w:instrText>
        </w:r>
        <w:r w:rsidR="00170CB4">
          <w:rPr>
            <w:noProof/>
            <w:webHidden/>
          </w:rPr>
        </w:r>
        <w:r w:rsidR="00170CB4">
          <w:rPr>
            <w:noProof/>
            <w:webHidden/>
          </w:rPr>
          <w:fldChar w:fldCharType="separate"/>
        </w:r>
        <w:r w:rsidR="00170CB4">
          <w:rPr>
            <w:noProof/>
            <w:webHidden/>
          </w:rPr>
          <w:t>86</w:t>
        </w:r>
        <w:r w:rsidR="00170CB4">
          <w:rPr>
            <w:noProof/>
            <w:webHidden/>
          </w:rPr>
          <w:fldChar w:fldCharType="end"/>
        </w:r>
      </w:hyperlink>
    </w:p>
    <w:p w14:paraId="3C91D2FF" w14:textId="2A42364E" w:rsidR="00170CB4" w:rsidRDefault="003612ED">
      <w:pPr>
        <w:pStyle w:val="TOC20"/>
        <w:tabs>
          <w:tab w:val="right" w:leader="dot" w:pos="10336"/>
        </w:tabs>
        <w:rPr>
          <w:smallCaps w:val="0"/>
          <w:noProof/>
          <w:color w:val="auto"/>
          <w:kern w:val="2"/>
          <w:sz w:val="24"/>
          <w:szCs w:val="24"/>
          <w14:ligatures w14:val="standardContextual"/>
        </w:rPr>
      </w:pPr>
      <w:hyperlink w:anchor="_Toc241687678" w:history="1">
        <w:r w:rsidR="00170CB4" w:rsidRPr="00806673">
          <w:rPr>
            <w:rStyle w:val="Hyperlink"/>
            <w:rFonts w:ascii="GHEA Grapalat" w:hAnsi="GHEA Grapalat"/>
            <w:noProof/>
            <w:lang w:val="hy-AM"/>
          </w:rPr>
          <w:t>ԾԱԽՍԵՐՆ ԸՍՏ ՏՆՏԵՍԱԳԻՏԱԿԱՆ ԴԱՍԱԿԱՐԳՄԱՆ</w:t>
        </w:r>
        <w:r w:rsidR="00170CB4">
          <w:rPr>
            <w:noProof/>
            <w:webHidden/>
          </w:rPr>
          <w:tab/>
        </w:r>
        <w:r w:rsidR="00170CB4">
          <w:rPr>
            <w:noProof/>
            <w:webHidden/>
          </w:rPr>
          <w:fldChar w:fldCharType="begin"/>
        </w:r>
        <w:r w:rsidR="00170CB4">
          <w:rPr>
            <w:noProof/>
            <w:webHidden/>
          </w:rPr>
          <w:instrText xml:space="preserve"> PAGEREF _Toc241687678 \h </w:instrText>
        </w:r>
        <w:r w:rsidR="00170CB4">
          <w:rPr>
            <w:noProof/>
            <w:webHidden/>
          </w:rPr>
        </w:r>
        <w:r w:rsidR="00170CB4">
          <w:rPr>
            <w:noProof/>
            <w:webHidden/>
          </w:rPr>
          <w:fldChar w:fldCharType="separate"/>
        </w:r>
        <w:r w:rsidR="00170CB4">
          <w:rPr>
            <w:noProof/>
            <w:webHidden/>
          </w:rPr>
          <w:t>86</w:t>
        </w:r>
        <w:r w:rsidR="00170CB4">
          <w:rPr>
            <w:noProof/>
            <w:webHidden/>
          </w:rPr>
          <w:fldChar w:fldCharType="end"/>
        </w:r>
      </w:hyperlink>
    </w:p>
    <w:p w14:paraId="4158639E" w14:textId="3869A2AC" w:rsidR="00170CB4" w:rsidRDefault="003612ED">
      <w:pPr>
        <w:pStyle w:val="TOC20"/>
        <w:tabs>
          <w:tab w:val="right" w:leader="dot" w:pos="10336"/>
        </w:tabs>
        <w:rPr>
          <w:smallCaps w:val="0"/>
          <w:noProof/>
          <w:color w:val="auto"/>
          <w:kern w:val="2"/>
          <w:sz w:val="24"/>
          <w:szCs w:val="24"/>
          <w14:ligatures w14:val="standardContextual"/>
        </w:rPr>
      </w:pPr>
      <w:hyperlink w:anchor="_Toc241687679" w:history="1">
        <w:r w:rsidR="00170CB4" w:rsidRPr="00806673">
          <w:rPr>
            <w:rStyle w:val="Hyperlink"/>
            <w:rFonts w:ascii="GHEA Grapalat" w:hAnsi="GHEA Grapalat"/>
            <w:noProof/>
            <w:lang w:val="hy-AM"/>
          </w:rPr>
          <w:t>ԾԱԽՍԵՐՆ ԸՍՏ ԳՈՐԾԱՌՆԱԿԱՆ ԴԱՍԱԿԱՐԳՄԱՆ</w:t>
        </w:r>
        <w:r w:rsidR="00170CB4">
          <w:rPr>
            <w:noProof/>
            <w:webHidden/>
          </w:rPr>
          <w:tab/>
        </w:r>
        <w:r w:rsidR="00170CB4">
          <w:rPr>
            <w:noProof/>
            <w:webHidden/>
          </w:rPr>
          <w:fldChar w:fldCharType="begin"/>
        </w:r>
        <w:r w:rsidR="00170CB4">
          <w:rPr>
            <w:noProof/>
            <w:webHidden/>
          </w:rPr>
          <w:instrText xml:space="preserve"> PAGEREF _Toc241687679 \h </w:instrText>
        </w:r>
        <w:r w:rsidR="00170CB4">
          <w:rPr>
            <w:noProof/>
            <w:webHidden/>
          </w:rPr>
        </w:r>
        <w:r w:rsidR="00170CB4">
          <w:rPr>
            <w:noProof/>
            <w:webHidden/>
          </w:rPr>
          <w:fldChar w:fldCharType="separate"/>
        </w:r>
        <w:r w:rsidR="00170CB4">
          <w:rPr>
            <w:noProof/>
            <w:webHidden/>
          </w:rPr>
          <w:t>90</w:t>
        </w:r>
        <w:r w:rsidR="00170CB4">
          <w:rPr>
            <w:noProof/>
            <w:webHidden/>
          </w:rPr>
          <w:fldChar w:fldCharType="end"/>
        </w:r>
      </w:hyperlink>
    </w:p>
    <w:p w14:paraId="76F27C36" w14:textId="14C78B3D" w:rsidR="00170CB4" w:rsidRDefault="003612ED">
      <w:pPr>
        <w:pStyle w:val="TOC20"/>
        <w:tabs>
          <w:tab w:val="right" w:leader="dot" w:pos="10336"/>
        </w:tabs>
        <w:rPr>
          <w:smallCaps w:val="0"/>
          <w:noProof/>
          <w:color w:val="auto"/>
          <w:kern w:val="2"/>
          <w:sz w:val="24"/>
          <w:szCs w:val="24"/>
          <w14:ligatures w14:val="standardContextual"/>
        </w:rPr>
      </w:pPr>
      <w:hyperlink w:anchor="_Toc241687680" w:history="1">
        <w:r w:rsidR="00170CB4" w:rsidRPr="00806673">
          <w:rPr>
            <w:rStyle w:val="Hyperlink"/>
            <w:rFonts w:ascii="GHEA Grapalat" w:hAnsi="GHEA Grapalat"/>
            <w:noProof/>
            <w:lang w:val="hy-AM"/>
          </w:rPr>
          <w:t>ՂԱՐԱԲԱՂԻՑ ԲՌՆԻ ՏԵՂԱՀԱՆՎԱԾ ԲՆԱԿՉՈՒԹՅԱՆ ՕԺԱՆԴԱԿՈՒԹՅԱՆ ԾՐԱԳՐԵՐ</w:t>
        </w:r>
        <w:r w:rsidR="00170CB4">
          <w:rPr>
            <w:noProof/>
            <w:webHidden/>
          </w:rPr>
          <w:tab/>
        </w:r>
        <w:r w:rsidR="00170CB4">
          <w:rPr>
            <w:noProof/>
            <w:webHidden/>
          </w:rPr>
          <w:fldChar w:fldCharType="begin"/>
        </w:r>
        <w:r w:rsidR="00170CB4">
          <w:rPr>
            <w:noProof/>
            <w:webHidden/>
          </w:rPr>
          <w:instrText xml:space="preserve"> PAGEREF _Toc241687680 \h </w:instrText>
        </w:r>
        <w:r w:rsidR="00170CB4">
          <w:rPr>
            <w:noProof/>
            <w:webHidden/>
          </w:rPr>
        </w:r>
        <w:r w:rsidR="00170CB4">
          <w:rPr>
            <w:noProof/>
            <w:webHidden/>
          </w:rPr>
          <w:fldChar w:fldCharType="separate"/>
        </w:r>
        <w:r w:rsidR="00170CB4">
          <w:rPr>
            <w:noProof/>
            <w:webHidden/>
          </w:rPr>
          <w:t>95</w:t>
        </w:r>
        <w:r w:rsidR="00170CB4">
          <w:rPr>
            <w:noProof/>
            <w:webHidden/>
          </w:rPr>
          <w:fldChar w:fldCharType="end"/>
        </w:r>
      </w:hyperlink>
    </w:p>
    <w:p w14:paraId="4F941F53" w14:textId="745A61BD" w:rsidR="00170CB4" w:rsidRDefault="003612ED">
      <w:pPr>
        <w:pStyle w:val="TOC20"/>
        <w:tabs>
          <w:tab w:val="right" w:leader="dot" w:pos="10336"/>
        </w:tabs>
        <w:rPr>
          <w:smallCaps w:val="0"/>
          <w:noProof/>
          <w:color w:val="auto"/>
          <w:kern w:val="2"/>
          <w:sz w:val="24"/>
          <w:szCs w:val="24"/>
          <w14:ligatures w14:val="standardContextual"/>
        </w:rPr>
      </w:pPr>
      <w:hyperlink w:anchor="_Toc241687681" w:history="1">
        <w:r w:rsidR="00170CB4" w:rsidRPr="00806673">
          <w:rPr>
            <w:rStyle w:val="Hyperlink"/>
            <w:rFonts w:ascii="GHEA Grapalat" w:hAnsi="GHEA Grapalat"/>
            <w:noProof/>
            <w:lang w:val="hy-AM"/>
          </w:rPr>
          <w:t>ՀՀ 2027 ԹՎԱԿԱՆԻ ՊԵՏԱԿԱՆ ԲՅՈՒՋԵԻՑ ՀԱՄԱՅՆՔՆԵՐԻՆ ՏՐՎՈՂ ՀԱՏԿԱՑՈՒՄՆԵՐԸ</w:t>
        </w:r>
        <w:r w:rsidR="00170CB4">
          <w:rPr>
            <w:noProof/>
            <w:webHidden/>
          </w:rPr>
          <w:tab/>
        </w:r>
        <w:r w:rsidR="00170CB4">
          <w:rPr>
            <w:noProof/>
            <w:webHidden/>
          </w:rPr>
          <w:fldChar w:fldCharType="begin"/>
        </w:r>
        <w:r w:rsidR="00170CB4">
          <w:rPr>
            <w:noProof/>
            <w:webHidden/>
          </w:rPr>
          <w:instrText xml:space="preserve"> PAGEREF _Toc241687681 \h </w:instrText>
        </w:r>
        <w:r w:rsidR="00170CB4">
          <w:rPr>
            <w:noProof/>
            <w:webHidden/>
          </w:rPr>
        </w:r>
        <w:r w:rsidR="00170CB4">
          <w:rPr>
            <w:noProof/>
            <w:webHidden/>
          </w:rPr>
          <w:fldChar w:fldCharType="separate"/>
        </w:r>
        <w:r w:rsidR="00170CB4">
          <w:rPr>
            <w:noProof/>
            <w:webHidden/>
          </w:rPr>
          <w:t>95</w:t>
        </w:r>
        <w:r w:rsidR="00170CB4">
          <w:rPr>
            <w:noProof/>
            <w:webHidden/>
          </w:rPr>
          <w:fldChar w:fldCharType="end"/>
        </w:r>
      </w:hyperlink>
    </w:p>
    <w:p w14:paraId="008288CD" w14:textId="636E8CA8" w:rsidR="00170CB4" w:rsidRDefault="003612ED">
      <w:pPr>
        <w:pStyle w:val="TOC20"/>
        <w:tabs>
          <w:tab w:val="right" w:leader="dot" w:pos="10336"/>
        </w:tabs>
        <w:rPr>
          <w:smallCaps w:val="0"/>
          <w:noProof/>
          <w:color w:val="auto"/>
          <w:kern w:val="2"/>
          <w:sz w:val="24"/>
          <w:szCs w:val="24"/>
          <w14:ligatures w14:val="standardContextual"/>
        </w:rPr>
      </w:pPr>
      <w:hyperlink w:anchor="_Toc241687682" w:history="1">
        <w:r w:rsidR="00170CB4" w:rsidRPr="00806673">
          <w:rPr>
            <w:rStyle w:val="Hyperlink"/>
            <w:rFonts w:ascii="GHEA Grapalat" w:hAnsi="GHEA Grapalat"/>
            <w:noProof/>
            <w:lang w:val="hy-AM"/>
          </w:rPr>
          <w:t>2027 ԹՎԱԿԱՆԻ ԲՅՈՒՋԵԻ ԱՌԱՋՆԱՀԵՐԹՈՒԹՅՈՒՆՆԵՐԸ</w:t>
        </w:r>
        <w:r w:rsidR="00170CB4">
          <w:rPr>
            <w:noProof/>
            <w:webHidden/>
          </w:rPr>
          <w:tab/>
        </w:r>
        <w:r w:rsidR="00170CB4">
          <w:rPr>
            <w:noProof/>
            <w:webHidden/>
          </w:rPr>
          <w:fldChar w:fldCharType="begin"/>
        </w:r>
        <w:r w:rsidR="00170CB4">
          <w:rPr>
            <w:noProof/>
            <w:webHidden/>
          </w:rPr>
          <w:instrText xml:space="preserve"> PAGEREF _Toc241687682 \h </w:instrText>
        </w:r>
        <w:r w:rsidR="00170CB4">
          <w:rPr>
            <w:noProof/>
            <w:webHidden/>
          </w:rPr>
        </w:r>
        <w:r w:rsidR="00170CB4">
          <w:rPr>
            <w:noProof/>
            <w:webHidden/>
          </w:rPr>
          <w:fldChar w:fldCharType="separate"/>
        </w:r>
        <w:r w:rsidR="00170CB4">
          <w:rPr>
            <w:noProof/>
            <w:webHidden/>
          </w:rPr>
          <w:t>96</w:t>
        </w:r>
        <w:r w:rsidR="00170CB4">
          <w:rPr>
            <w:noProof/>
            <w:webHidden/>
          </w:rPr>
          <w:fldChar w:fldCharType="end"/>
        </w:r>
      </w:hyperlink>
    </w:p>
    <w:p w14:paraId="2AC6C530" w14:textId="62E59FFB" w:rsidR="00170CB4" w:rsidRDefault="003612ED">
      <w:pPr>
        <w:pStyle w:val="TOC20"/>
        <w:tabs>
          <w:tab w:val="right" w:leader="dot" w:pos="10336"/>
        </w:tabs>
        <w:rPr>
          <w:smallCaps w:val="0"/>
          <w:noProof/>
          <w:color w:val="auto"/>
          <w:kern w:val="2"/>
          <w:sz w:val="24"/>
          <w:szCs w:val="24"/>
          <w14:ligatures w14:val="standardContextual"/>
        </w:rPr>
      </w:pPr>
      <w:hyperlink w:anchor="_Toc241687683" w:history="1">
        <w:r w:rsidR="00170CB4" w:rsidRPr="00806673">
          <w:rPr>
            <w:rStyle w:val="Hyperlink"/>
            <w:rFonts w:ascii="GHEA Grapalat" w:hAnsi="GHEA Grapalat"/>
            <w:noProof/>
            <w:lang w:val="hy-AM"/>
          </w:rPr>
          <w:t>ՈԼՈՐՏԱՅԻՆ ԾԱԽՍԵՐԻ ՀԻՄՆԱԿԱՆ ՈՒՂՂՈՒԹՅՈՒՆՆԵՐԸ</w:t>
        </w:r>
        <w:r w:rsidR="00170CB4">
          <w:rPr>
            <w:noProof/>
            <w:webHidden/>
          </w:rPr>
          <w:tab/>
        </w:r>
        <w:r w:rsidR="00170CB4">
          <w:rPr>
            <w:noProof/>
            <w:webHidden/>
          </w:rPr>
          <w:fldChar w:fldCharType="begin"/>
        </w:r>
        <w:r w:rsidR="00170CB4">
          <w:rPr>
            <w:noProof/>
            <w:webHidden/>
          </w:rPr>
          <w:instrText xml:space="preserve"> PAGEREF _Toc241687683 \h </w:instrText>
        </w:r>
        <w:r w:rsidR="00170CB4">
          <w:rPr>
            <w:noProof/>
            <w:webHidden/>
          </w:rPr>
        </w:r>
        <w:r w:rsidR="00170CB4">
          <w:rPr>
            <w:noProof/>
            <w:webHidden/>
          </w:rPr>
          <w:fldChar w:fldCharType="separate"/>
        </w:r>
        <w:r w:rsidR="00170CB4">
          <w:rPr>
            <w:noProof/>
            <w:webHidden/>
          </w:rPr>
          <w:t>97</w:t>
        </w:r>
        <w:r w:rsidR="00170CB4">
          <w:rPr>
            <w:noProof/>
            <w:webHidden/>
          </w:rPr>
          <w:fldChar w:fldCharType="end"/>
        </w:r>
      </w:hyperlink>
    </w:p>
    <w:p w14:paraId="26879C6E" w14:textId="2DAED78A" w:rsidR="00170CB4" w:rsidRDefault="003612ED">
      <w:pPr>
        <w:pStyle w:val="TOC20"/>
        <w:tabs>
          <w:tab w:val="right" w:leader="dot" w:pos="10336"/>
        </w:tabs>
        <w:rPr>
          <w:smallCaps w:val="0"/>
          <w:noProof/>
          <w:color w:val="auto"/>
          <w:kern w:val="2"/>
          <w:sz w:val="24"/>
          <w:szCs w:val="24"/>
          <w14:ligatures w14:val="standardContextual"/>
        </w:rPr>
      </w:pPr>
      <w:hyperlink w:anchor="_Toc241687684" w:history="1">
        <w:r w:rsidR="00170CB4" w:rsidRPr="00806673">
          <w:rPr>
            <w:rStyle w:val="Hyperlink"/>
            <w:rFonts w:ascii="GHEA Grapalat" w:hAnsi="GHEA Grapalat"/>
            <w:noProof/>
            <w:lang w:val="hy-AM"/>
          </w:rPr>
          <w:t>ՊԵՏԱԿԱՆ ԻՇԽԱՆՈՒԹՅԱՆ ՄԱՐՄԻՆՆԵՐԻ ՊԱՀՊԱՆՄԱՆ ԾԱԽՍԵՐ</w:t>
        </w:r>
        <w:r w:rsidR="00170CB4">
          <w:rPr>
            <w:noProof/>
            <w:webHidden/>
          </w:rPr>
          <w:tab/>
        </w:r>
        <w:r w:rsidR="00170CB4">
          <w:rPr>
            <w:noProof/>
            <w:webHidden/>
          </w:rPr>
          <w:fldChar w:fldCharType="begin"/>
        </w:r>
        <w:r w:rsidR="00170CB4">
          <w:rPr>
            <w:noProof/>
            <w:webHidden/>
          </w:rPr>
          <w:instrText xml:space="preserve"> PAGEREF _Toc241687684 \h </w:instrText>
        </w:r>
        <w:r w:rsidR="00170CB4">
          <w:rPr>
            <w:noProof/>
            <w:webHidden/>
          </w:rPr>
        </w:r>
        <w:r w:rsidR="00170CB4">
          <w:rPr>
            <w:noProof/>
            <w:webHidden/>
          </w:rPr>
          <w:fldChar w:fldCharType="separate"/>
        </w:r>
        <w:r w:rsidR="00170CB4">
          <w:rPr>
            <w:noProof/>
            <w:webHidden/>
          </w:rPr>
          <w:t>99</w:t>
        </w:r>
        <w:r w:rsidR="00170CB4">
          <w:rPr>
            <w:noProof/>
            <w:webHidden/>
          </w:rPr>
          <w:fldChar w:fldCharType="end"/>
        </w:r>
      </w:hyperlink>
    </w:p>
    <w:p w14:paraId="3B88ECB5" w14:textId="51F4C019" w:rsidR="00170CB4" w:rsidRDefault="003612ED">
      <w:pPr>
        <w:pStyle w:val="TOC10"/>
        <w:tabs>
          <w:tab w:val="right" w:leader="dot" w:pos="10336"/>
        </w:tabs>
        <w:rPr>
          <w:b w:val="0"/>
          <w:bCs w:val="0"/>
          <w:caps w:val="0"/>
          <w:noProof/>
          <w:color w:val="auto"/>
          <w:kern w:val="2"/>
          <w:sz w:val="24"/>
          <w:szCs w:val="24"/>
          <w14:ligatures w14:val="standardContextual"/>
        </w:rPr>
      </w:pPr>
      <w:hyperlink w:anchor="_Toc241687685" w:history="1">
        <w:r w:rsidR="00170CB4" w:rsidRPr="00806673">
          <w:rPr>
            <w:rStyle w:val="Hyperlink"/>
            <w:rFonts w:ascii="GHEA Grapalat" w:eastAsia="Times New Roman" w:hAnsi="GHEA Grapalat" w:cs="Times New Roman"/>
            <w:noProof/>
            <w:lang w:val="hy-AM"/>
          </w:rPr>
          <w:t>ՎԵՐԼՈՒԾՈՒԹՅՈՒՆՆԵՐ</w:t>
        </w:r>
        <w:r w:rsidR="00170CB4">
          <w:rPr>
            <w:noProof/>
            <w:webHidden/>
          </w:rPr>
          <w:tab/>
        </w:r>
        <w:r w:rsidR="00170CB4">
          <w:rPr>
            <w:noProof/>
            <w:webHidden/>
          </w:rPr>
          <w:fldChar w:fldCharType="begin"/>
        </w:r>
        <w:r w:rsidR="00170CB4">
          <w:rPr>
            <w:noProof/>
            <w:webHidden/>
          </w:rPr>
          <w:instrText xml:space="preserve"> PAGEREF _Toc241687685 \h </w:instrText>
        </w:r>
        <w:r w:rsidR="00170CB4">
          <w:rPr>
            <w:noProof/>
            <w:webHidden/>
          </w:rPr>
        </w:r>
        <w:r w:rsidR="00170CB4">
          <w:rPr>
            <w:noProof/>
            <w:webHidden/>
          </w:rPr>
          <w:fldChar w:fldCharType="separate"/>
        </w:r>
        <w:r w:rsidR="00170CB4">
          <w:rPr>
            <w:noProof/>
            <w:webHidden/>
          </w:rPr>
          <w:t>101</w:t>
        </w:r>
        <w:r w:rsidR="00170CB4">
          <w:rPr>
            <w:noProof/>
            <w:webHidden/>
          </w:rPr>
          <w:fldChar w:fldCharType="end"/>
        </w:r>
      </w:hyperlink>
    </w:p>
    <w:p w14:paraId="0EEDBB8E" w14:textId="733E88B7" w:rsidR="00170CB4" w:rsidRDefault="003612ED">
      <w:pPr>
        <w:pStyle w:val="TOC20"/>
        <w:tabs>
          <w:tab w:val="right" w:leader="dot" w:pos="10336"/>
        </w:tabs>
        <w:rPr>
          <w:smallCaps w:val="0"/>
          <w:noProof/>
          <w:color w:val="auto"/>
          <w:kern w:val="2"/>
          <w:sz w:val="24"/>
          <w:szCs w:val="24"/>
          <w14:ligatures w14:val="standardContextual"/>
        </w:rPr>
      </w:pPr>
      <w:hyperlink w:anchor="_Toc241687686" w:history="1">
        <w:r w:rsidR="00170CB4" w:rsidRPr="00806673">
          <w:rPr>
            <w:rStyle w:val="Hyperlink"/>
            <w:rFonts w:ascii="GHEA Grapalat" w:hAnsi="GHEA Grapalat"/>
            <w:noProof/>
            <w:lang w:val="hy-AM"/>
          </w:rPr>
          <w:t>1. ՀԱՅԱՍՏԱՆԻ ՀԱՆՐԱՊԵՏՈՒԹՅԱՆ ՊԵՏԱԿԱՆ ՊԱՐՏՔԸ</w:t>
        </w:r>
        <w:r w:rsidR="00170CB4">
          <w:rPr>
            <w:noProof/>
            <w:webHidden/>
          </w:rPr>
          <w:tab/>
        </w:r>
        <w:r w:rsidR="00170CB4">
          <w:rPr>
            <w:noProof/>
            <w:webHidden/>
          </w:rPr>
          <w:fldChar w:fldCharType="begin"/>
        </w:r>
        <w:r w:rsidR="00170CB4">
          <w:rPr>
            <w:noProof/>
            <w:webHidden/>
          </w:rPr>
          <w:instrText xml:space="preserve"> PAGEREF _Toc241687686 \h </w:instrText>
        </w:r>
        <w:r w:rsidR="00170CB4">
          <w:rPr>
            <w:noProof/>
            <w:webHidden/>
          </w:rPr>
        </w:r>
        <w:r w:rsidR="00170CB4">
          <w:rPr>
            <w:noProof/>
            <w:webHidden/>
          </w:rPr>
          <w:fldChar w:fldCharType="separate"/>
        </w:r>
        <w:r w:rsidR="00170CB4">
          <w:rPr>
            <w:noProof/>
            <w:webHidden/>
          </w:rPr>
          <w:t>101</w:t>
        </w:r>
        <w:r w:rsidR="00170CB4">
          <w:rPr>
            <w:noProof/>
            <w:webHidden/>
          </w:rPr>
          <w:fldChar w:fldCharType="end"/>
        </w:r>
      </w:hyperlink>
    </w:p>
    <w:p w14:paraId="5140DFA5" w14:textId="2B5928D4" w:rsidR="00170CB4" w:rsidRDefault="003612ED">
      <w:pPr>
        <w:pStyle w:val="TOC20"/>
        <w:tabs>
          <w:tab w:val="right" w:leader="dot" w:pos="10336"/>
        </w:tabs>
        <w:rPr>
          <w:smallCaps w:val="0"/>
          <w:noProof/>
          <w:color w:val="auto"/>
          <w:kern w:val="2"/>
          <w:sz w:val="24"/>
          <w:szCs w:val="24"/>
          <w14:ligatures w14:val="standardContextual"/>
        </w:rPr>
      </w:pPr>
      <w:hyperlink w:anchor="_Toc241687687" w:history="1">
        <w:r w:rsidR="00170CB4" w:rsidRPr="00806673">
          <w:rPr>
            <w:rStyle w:val="Hyperlink"/>
            <w:rFonts w:ascii="GHEA Grapalat" w:hAnsi="GHEA Grapalat"/>
            <w:noProof/>
            <w:lang w:val="hy-AM"/>
          </w:rPr>
          <w:t>2. ՀԱՐԿԱԲՅՈՒՋԵՏԱՅԻՆ ՌԻՍԿԵՐԻ ԳՆԱՀԱՏՈՒՄ</w:t>
        </w:r>
        <w:r w:rsidR="00170CB4">
          <w:rPr>
            <w:noProof/>
            <w:webHidden/>
          </w:rPr>
          <w:tab/>
        </w:r>
        <w:r w:rsidR="00170CB4">
          <w:rPr>
            <w:noProof/>
            <w:webHidden/>
          </w:rPr>
          <w:fldChar w:fldCharType="begin"/>
        </w:r>
        <w:r w:rsidR="00170CB4">
          <w:rPr>
            <w:noProof/>
            <w:webHidden/>
          </w:rPr>
          <w:instrText xml:space="preserve"> PAGEREF _Toc241687687 \h </w:instrText>
        </w:r>
        <w:r w:rsidR="00170CB4">
          <w:rPr>
            <w:noProof/>
            <w:webHidden/>
          </w:rPr>
        </w:r>
        <w:r w:rsidR="00170CB4">
          <w:rPr>
            <w:noProof/>
            <w:webHidden/>
          </w:rPr>
          <w:fldChar w:fldCharType="separate"/>
        </w:r>
        <w:r w:rsidR="00170CB4">
          <w:rPr>
            <w:noProof/>
            <w:webHidden/>
          </w:rPr>
          <w:t>108</w:t>
        </w:r>
        <w:r w:rsidR="00170CB4">
          <w:rPr>
            <w:noProof/>
            <w:webHidden/>
          </w:rPr>
          <w:fldChar w:fldCharType="end"/>
        </w:r>
      </w:hyperlink>
    </w:p>
    <w:p w14:paraId="40D0AB76" w14:textId="55E02B3A" w:rsidR="00170CB4" w:rsidRDefault="003612ED">
      <w:pPr>
        <w:pStyle w:val="TOC20"/>
        <w:tabs>
          <w:tab w:val="right" w:leader="dot" w:pos="10336"/>
        </w:tabs>
        <w:rPr>
          <w:smallCaps w:val="0"/>
          <w:noProof/>
          <w:color w:val="auto"/>
          <w:kern w:val="2"/>
          <w:sz w:val="24"/>
          <w:szCs w:val="24"/>
          <w14:ligatures w14:val="standardContextual"/>
        </w:rPr>
      </w:pPr>
      <w:hyperlink w:anchor="_Toc241687688" w:history="1">
        <w:r w:rsidR="00170CB4" w:rsidRPr="00806673">
          <w:rPr>
            <w:rStyle w:val="Hyperlink"/>
            <w:rFonts w:ascii="GHEA Grapalat" w:hAnsi="GHEA Grapalat"/>
            <w:noProof/>
            <w:lang w:val="hy-AM"/>
          </w:rPr>
          <w:t>3. ՀԱՐԿԱԲՅՈՒՋԵՏԱՅԻՆ ՀԱՏՈՒԿ ՌԻՍԿԵՐԻ ՎԵՐԼՈՒԾՈՒԹՅՈՒՆ</w:t>
        </w:r>
        <w:r w:rsidR="00170CB4">
          <w:rPr>
            <w:noProof/>
            <w:webHidden/>
          </w:rPr>
          <w:tab/>
        </w:r>
        <w:r w:rsidR="00170CB4">
          <w:rPr>
            <w:noProof/>
            <w:webHidden/>
          </w:rPr>
          <w:fldChar w:fldCharType="begin"/>
        </w:r>
        <w:r w:rsidR="00170CB4">
          <w:rPr>
            <w:noProof/>
            <w:webHidden/>
          </w:rPr>
          <w:instrText xml:space="preserve"> PAGEREF _Toc241687688 \h </w:instrText>
        </w:r>
        <w:r w:rsidR="00170CB4">
          <w:rPr>
            <w:noProof/>
            <w:webHidden/>
          </w:rPr>
        </w:r>
        <w:r w:rsidR="00170CB4">
          <w:rPr>
            <w:noProof/>
            <w:webHidden/>
          </w:rPr>
          <w:fldChar w:fldCharType="separate"/>
        </w:r>
        <w:r w:rsidR="00170CB4">
          <w:rPr>
            <w:noProof/>
            <w:webHidden/>
          </w:rPr>
          <w:t>114</w:t>
        </w:r>
        <w:r w:rsidR="00170CB4">
          <w:rPr>
            <w:noProof/>
            <w:webHidden/>
          </w:rPr>
          <w:fldChar w:fldCharType="end"/>
        </w:r>
      </w:hyperlink>
    </w:p>
    <w:p w14:paraId="204EA4A3" w14:textId="000847CD" w:rsidR="00170CB4" w:rsidRDefault="003612ED">
      <w:pPr>
        <w:pStyle w:val="TOC20"/>
        <w:tabs>
          <w:tab w:val="right" w:leader="dot" w:pos="10336"/>
        </w:tabs>
        <w:rPr>
          <w:smallCaps w:val="0"/>
          <w:noProof/>
          <w:color w:val="auto"/>
          <w:kern w:val="2"/>
          <w:sz w:val="24"/>
          <w:szCs w:val="24"/>
          <w14:ligatures w14:val="standardContextual"/>
        </w:rPr>
      </w:pPr>
      <w:hyperlink w:anchor="_Toc241687689" w:history="1">
        <w:r w:rsidR="00170CB4" w:rsidRPr="00806673">
          <w:rPr>
            <w:rStyle w:val="Hyperlink"/>
            <w:rFonts w:ascii="GHEA Grapalat" w:hAnsi="GHEA Grapalat"/>
            <w:noProof/>
            <w:lang w:val="hy-AM"/>
          </w:rPr>
          <w:t>4.2027 ԹՎԱԿԱՆԻ ՀԱՐԿԱՅԻՆ ԾԱԽՍԵՐԻ ԳՆԱՀԱՏԱԿԱՆԻ ՎԵՐԼՈՒԾՈՒԹՅՈՒՆ</w:t>
        </w:r>
        <w:r w:rsidR="00170CB4">
          <w:rPr>
            <w:noProof/>
            <w:webHidden/>
          </w:rPr>
          <w:tab/>
        </w:r>
        <w:r w:rsidR="00170CB4">
          <w:rPr>
            <w:noProof/>
            <w:webHidden/>
          </w:rPr>
          <w:fldChar w:fldCharType="begin"/>
        </w:r>
        <w:r w:rsidR="00170CB4">
          <w:rPr>
            <w:noProof/>
            <w:webHidden/>
          </w:rPr>
          <w:instrText xml:space="preserve"> PAGEREF _Toc241687689 \h </w:instrText>
        </w:r>
        <w:r w:rsidR="00170CB4">
          <w:rPr>
            <w:noProof/>
            <w:webHidden/>
          </w:rPr>
        </w:r>
        <w:r w:rsidR="00170CB4">
          <w:rPr>
            <w:noProof/>
            <w:webHidden/>
          </w:rPr>
          <w:fldChar w:fldCharType="separate"/>
        </w:r>
        <w:r w:rsidR="00170CB4">
          <w:rPr>
            <w:noProof/>
            <w:webHidden/>
          </w:rPr>
          <w:t>151</w:t>
        </w:r>
        <w:r w:rsidR="00170CB4">
          <w:rPr>
            <w:noProof/>
            <w:webHidden/>
          </w:rPr>
          <w:fldChar w:fldCharType="end"/>
        </w:r>
      </w:hyperlink>
    </w:p>
    <w:p w14:paraId="040EC1BB" w14:textId="0D59D72F" w:rsidR="00170CB4" w:rsidRDefault="003612ED">
      <w:pPr>
        <w:pStyle w:val="TOC20"/>
        <w:tabs>
          <w:tab w:val="right" w:leader="dot" w:pos="10336"/>
        </w:tabs>
        <w:rPr>
          <w:smallCaps w:val="0"/>
          <w:noProof/>
          <w:color w:val="auto"/>
          <w:kern w:val="2"/>
          <w:sz w:val="24"/>
          <w:szCs w:val="24"/>
          <w14:ligatures w14:val="standardContextual"/>
        </w:rPr>
      </w:pPr>
      <w:hyperlink w:anchor="_Toc241687690" w:history="1">
        <w:r w:rsidR="00170CB4" w:rsidRPr="00806673">
          <w:rPr>
            <w:rStyle w:val="Hyperlink"/>
            <w:rFonts w:ascii="GHEA Grapalat" w:hAnsi="GHEA Grapalat"/>
            <w:noProof/>
            <w:lang w:val="hy-AM"/>
          </w:rPr>
          <w:t>2027 ԹՎԱԿԱՆԻ ՀԱՐԿԱՅԻՆ ԾԱԽՍԵՐԻ ԳՆԱՀԱՏՄԱՆ ՄԵԹՈԴԱԲԱՆՈՒԹՅՈՒՆ</w:t>
        </w:r>
        <w:r w:rsidR="00170CB4">
          <w:rPr>
            <w:noProof/>
            <w:webHidden/>
          </w:rPr>
          <w:tab/>
        </w:r>
        <w:r w:rsidR="00170CB4">
          <w:rPr>
            <w:noProof/>
            <w:webHidden/>
          </w:rPr>
          <w:fldChar w:fldCharType="begin"/>
        </w:r>
        <w:r w:rsidR="00170CB4">
          <w:rPr>
            <w:noProof/>
            <w:webHidden/>
          </w:rPr>
          <w:instrText xml:space="preserve"> PAGEREF _Toc241687690 \h </w:instrText>
        </w:r>
        <w:r w:rsidR="00170CB4">
          <w:rPr>
            <w:noProof/>
            <w:webHidden/>
          </w:rPr>
        </w:r>
        <w:r w:rsidR="00170CB4">
          <w:rPr>
            <w:noProof/>
            <w:webHidden/>
          </w:rPr>
          <w:fldChar w:fldCharType="separate"/>
        </w:r>
        <w:r w:rsidR="00170CB4">
          <w:rPr>
            <w:noProof/>
            <w:webHidden/>
          </w:rPr>
          <w:t>161</w:t>
        </w:r>
        <w:r w:rsidR="00170CB4">
          <w:rPr>
            <w:noProof/>
            <w:webHidden/>
          </w:rPr>
          <w:fldChar w:fldCharType="end"/>
        </w:r>
      </w:hyperlink>
    </w:p>
    <w:p w14:paraId="1C470F2B" w14:textId="452AE578" w:rsidR="00A04A94" w:rsidRPr="000232DD" w:rsidRDefault="00A171EA" w:rsidP="004530BD">
      <w:pPr>
        <w:pStyle w:val="TOC10"/>
        <w:ind w:right="-22"/>
        <w:rPr>
          <w:rStyle w:val="Hyperlink"/>
          <w:rFonts w:ascii="GHEA Grapalat" w:hAnsi="GHEA Grapalat"/>
          <w:i/>
          <w:iCs/>
          <w:color w:val="auto"/>
        </w:rPr>
      </w:pPr>
      <w:r w:rsidRPr="006E0D92">
        <w:rPr>
          <w:rStyle w:val="Hyperlink"/>
          <w:rFonts w:ascii="GHEA Grapalat" w:hAnsi="GHEA Grapalat"/>
          <w:i/>
          <w:iCs/>
          <w:color w:val="auto"/>
        </w:rPr>
        <w:fldChar w:fldCharType="end"/>
      </w:r>
    </w:p>
    <w:p w14:paraId="71BD0299" w14:textId="5686651D" w:rsidR="00FA08BF" w:rsidRPr="000232DD" w:rsidRDefault="00FA08BF" w:rsidP="00082769">
      <w:pPr>
        <w:pStyle w:val="TOC10"/>
        <w:ind w:right="-22"/>
        <w:rPr>
          <w:rStyle w:val="Hyperlink"/>
          <w:rFonts w:ascii="GHEA Grapalat" w:hAnsi="GHEA Grapalat"/>
          <w:color w:val="auto"/>
        </w:rPr>
      </w:pPr>
    </w:p>
    <w:p w14:paraId="228DD57F" w14:textId="77777777" w:rsidR="002A4347" w:rsidRPr="000232DD" w:rsidRDefault="002A4347" w:rsidP="00082769">
      <w:pPr>
        <w:ind w:right="-22"/>
        <w:rPr>
          <w:rFonts w:ascii="GHEA Grapalat" w:eastAsia="Times New Roman" w:hAnsi="GHEA Grapalat" w:cs="Times New Roman"/>
          <w:color w:val="auto"/>
        </w:rPr>
      </w:pPr>
    </w:p>
    <w:p w14:paraId="723214DB" w14:textId="77777777" w:rsidR="002A4347" w:rsidRPr="000232DD" w:rsidRDefault="002A4347" w:rsidP="00082769">
      <w:pPr>
        <w:ind w:right="-22"/>
        <w:rPr>
          <w:rFonts w:ascii="GHEA Grapalat" w:eastAsia="Times New Roman" w:hAnsi="GHEA Grapalat" w:cs="Times New Roman"/>
          <w:color w:val="auto"/>
        </w:rPr>
      </w:pPr>
    </w:p>
    <w:p w14:paraId="518F5DC4" w14:textId="77777777" w:rsidR="002A4347" w:rsidRPr="000232DD" w:rsidRDefault="002A4347" w:rsidP="00082769">
      <w:pPr>
        <w:ind w:right="-22"/>
        <w:rPr>
          <w:rFonts w:ascii="GHEA Grapalat" w:eastAsia="Times New Roman" w:hAnsi="GHEA Grapalat" w:cs="Times New Roman"/>
          <w:color w:val="auto"/>
        </w:rPr>
      </w:pPr>
    </w:p>
    <w:p w14:paraId="0136DBA1" w14:textId="77777777" w:rsidR="002A4347" w:rsidRPr="000232DD" w:rsidRDefault="002A4347" w:rsidP="00082769">
      <w:pPr>
        <w:ind w:right="-22"/>
        <w:rPr>
          <w:rFonts w:ascii="GHEA Grapalat" w:eastAsia="Times New Roman" w:hAnsi="GHEA Grapalat" w:cs="Times New Roman"/>
          <w:color w:val="auto"/>
        </w:rPr>
      </w:pPr>
    </w:p>
    <w:p w14:paraId="4923BE34" w14:textId="77777777" w:rsidR="002A4347" w:rsidRPr="000232DD" w:rsidRDefault="002A4347" w:rsidP="00082769">
      <w:pPr>
        <w:ind w:right="-22"/>
        <w:rPr>
          <w:rFonts w:ascii="GHEA Grapalat" w:eastAsia="Times New Roman" w:hAnsi="GHEA Grapalat" w:cs="Times New Roman"/>
          <w:color w:val="auto"/>
        </w:rPr>
      </w:pPr>
    </w:p>
    <w:p w14:paraId="14580982" w14:textId="77777777" w:rsidR="002A4347" w:rsidRPr="000232DD" w:rsidRDefault="002A4347" w:rsidP="00082769">
      <w:pPr>
        <w:ind w:right="-22"/>
        <w:rPr>
          <w:rFonts w:ascii="GHEA Grapalat" w:eastAsia="Times New Roman" w:hAnsi="GHEA Grapalat" w:cs="Times New Roman"/>
          <w:color w:val="auto"/>
        </w:rPr>
      </w:pPr>
    </w:p>
    <w:p w14:paraId="6A8A9C68" w14:textId="77777777" w:rsidR="002A4347" w:rsidRPr="000232DD" w:rsidRDefault="002A4347" w:rsidP="00082769">
      <w:pPr>
        <w:ind w:right="-22"/>
        <w:rPr>
          <w:rFonts w:ascii="GHEA Grapalat" w:eastAsia="Times New Roman" w:hAnsi="GHEA Grapalat" w:cs="Times New Roman"/>
          <w:color w:val="auto"/>
        </w:rPr>
      </w:pPr>
    </w:p>
    <w:p w14:paraId="104C0DE6" w14:textId="77777777" w:rsidR="002A4347" w:rsidRPr="000232DD" w:rsidRDefault="002A4347" w:rsidP="00082769">
      <w:pPr>
        <w:ind w:right="-22"/>
        <w:rPr>
          <w:rFonts w:ascii="GHEA Grapalat" w:eastAsia="Times New Roman" w:hAnsi="GHEA Grapalat" w:cs="Times New Roman"/>
          <w:color w:val="auto"/>
        </w:rPr>
      </w:pPr>
    </w:p>
    <w:p w14:paraId="1FBF5A22" w14:textId="77777777" w:rsidR="002A4347" w:rsidRPr="000232DD" w:rsidRDefault="002A4347" w:rsidP="00082769">
      <w:pPr>
        <w:ind w:right="-22"/>
        <w:rPr>
          <w:rFonts w:ascii="GHEA Grapalat" w:eastAsia="Times New Roman" w:hAnsi="GHEA Grapalat" w:cs="Times New Roman"/>
          <w:color w:val="auto"/>
        </w:rPr>
      </w:pPr>
    </w:p>
    <w:p w14:paraId="7B80356A" w14:textId="77777777" w:rsidR="00DD5CCA" w:rsidRDefault="00DD5CCA" w:rsidP="00082769">
      <w:pPr>
        <w:ind w:right="-22"/>
        <w:rPr>
          <w:rFonts w:ascii="GHEA Grapalat" w:eastAsia="Times New Roman" w:hAnsi="GHEA Grapalat" w:cs="Times New Roman"/>
          <w:color w:val="auto"/>
        </w:rPr>
      </w:pPr>
    </w:p>
    <w:p w14:paraId="27207FF5" w14:textId="77777777" w:rsidR="00A778A9" w:rsidRDefault="00A778A9" w:rsidP="00082769">
      <w:pPr>
        <w:ind w:right="-22"/>
        <w:rPr>
          <w:rFonts w:ascii="GHEA Grapalat" w:eastAsia="Times New Roman" w:hAnsi="GHEA Grapalat" w:cs="Times New Roman"/>
          <w:color w:val="auto"/>
        </w:rPr>
      </w:pPr>
    </w:p>
    <w:p w14:paraId="4EE6765D" w14:textId="77777777" w:rsidR="00A778A9" w:rsidRDefault="00A778A9" w:rsidP="00082769">
      <w:pPr>
        <w:ind w:right="-22"/>
        <w:rPr>
          <w:rFonts w:ascii="GHEA Grapalat" w:eastAsia="Times New Roman" w:hAnsi="GHEA Grapalat" w:cs="Times New Roman"/>
          <w:color w:val="auto"/>
        </w:rPr>
      </w:pPr>
    </w:p>
    <w:p w14:paraId="11C0600A" w14:textId="77777777" w:rsidR="00A778A9" w:rsidRDefault="00A778A9" w:rsidP="00082769">
      <w:pPr>
        <w:ind w:right="-22"/>
        <w:rPr>
          <w:rFonts w:ascii="GHEA Grapalat" w:eastAsia="Times New Roman" w:hAnsi="GHEA Grapalat" w:cs="Times New Roman"/>
          <w:color w:val="auto"/>
        </w:rPr>
      </w:pPr>
    </w:p>
    <w:p w14:paraId="22356528" w14:textId="77777777" w:rsidR="00A778A9" w:rsidRDefault="00A778A9" w:rsidP="00082769">
      <w:pPr>
        <w:ind w:right="-22"/>
        <w:rPr>
          <w:rFonts w:ascii="GHEA Grapalat" w:eastAsia="Times New Roman" w:hAnsi="GHEA Grapalat" w:cs="Times New Roman"/>
          <w:color w:val="auto"/>
        </w:rPr>
      </w:pPr>
    </w:p>
    <w:p w14:paraId="5B424411" w14:textId="77777777" w:rsidR="00A778A9" w:rsidRDefault="00A778A9" w:rsidP="00082769">
      <w:pPr>
        <w:ind w:right="-22"/>
        <w:rPr>
          <w:rFonts w:ascii="GHEA Grapalat" w:eastAsia="Times New Roman" w:hAnsi="GHEA Grapalat" w:cs="Times New Roman"/>
          <w:color w:val="auto"/>
        </w:rPr>
      </w:pPr>
    </w:p>
    <w:p w14:paraId="0B6EB5D0" w14:textId="77777777" w:rsidR="00A778A9" w:rsidRDefault="00A778A9" w:rsidP="00082769">
      <w:pPr>
        <w:ind w:right="-22"/>
        <w:rPr>
          <w:rFonts w:ascii="GHEA Grapalat" w:eastAsia="Times New Roman" w:hAnsi="GHEA Grapalat" w:cs="Times New Roman"/>
          <w:color w:val="auto"/>
        </w:rPr>
      </w:pPr>
    </w:p>
    <w:p w14:paraId="3F8E1B52" w14:textId="77777777" w:rsidR="00A778A9" w:rsidRDefault="00A778A9" w:rsidP="00082769">
      <w:pPr>
        <w:ind w:right="-22"/>
        <w:rPr>
          <w:rFonts w:ascii="GHEA Grapalat" w:eastAsia="Times New Roman" w:hAnsi="GHEA Grapalat" w:cs="Times New Roman"/>
          <w:color w:val="auto"/>
        </w:rPr>
      </w:pPr>
    </w:p>
    <w:p w14:paraId="22686E45" w14:textId="77777777" w:rsidR="00A778A9" w:rsidRPr="000232DD" w:rsidRDefault="00A778A9" w:rsidP="00082769">
      <w:pPr>
        <w:ind w:right="-22"/>
        <w:rPr>
          <w:rFonts w:ascii="GHEA Grapalat" w:eastAsia="Times New Roman" w:hAnsi="GHEA Grapalat" w:cs="Times New Roman"/>
          <w:color w:val="auto"/>
        </w:rPr>
      </w:pPr>
    </w:p>
    <w:p w14:paraId="692E0E7D" w14:textId="69F16DE3" w:rsidR="00BF02A2" w:rsidRDefault="00BF02A2">
      <w:pPr>
        <w:spacing w:before="0" w:after="160" w:line="278" w:lineRule="auto"/>
        <w:rPr>
          <w:rFonts w:ascii="GHEA Grapalat" w:eastAsia="Times New Roman" w:hAnsi="GHEA Grapalat" w:cs="Times New Roman"/>
          <w:color w:val="auto"/>
        </w:rPr>
      </w:pPr>
      <w:r>
        <w:rPr>
          <w:rFonts w:ascii="GHEA Grapalat" w:eastAsia="Times New Roman" w:hAnsi="GHEA Grapalat" w:cs="Times New Roman"/>
          <w:color w:val="auto"/>
        </w:rPr>
        <w:br w:type="page"/>
      </w:r>
    </w:p>
    <w:p w14:paraId="10172335" w14:textId="2D747EB7" w:rsidR="00B43595" w:rsidRPr="000232DD" w:rsidRDefault="00B43595" w:rsidP="00082769">
      <w:pPr>
        <w:ind w:right="-22"/>
        <w:rPr>
          <w:rFonts w:ascii="GHEA Grapalat" w:eastAsia="Times New Roman" w:hAnsi="GHEA Grapalat" w:cs="Times New Roman"/>
          <w:color w:val="auto"/>
        </w:rPr>
      </w:pPr>
      <w:r w:rsidRPr="000232DD">
        <w:rPr>
          <w:rFonts w:ascii="GHEA Grapalat" w:eastAsia="Times New Roman" w:hAnsi="GHEA Grapalat" w:cs="Times New Roman"/>
          <w:color w:val="auto"/>
        </w:rPr>
        <w:lastRenderedPageBreak/>
        <w:t>ՕԳՏԱԳՈՐԾՎԱԾ ՀԱՊԱՎՈՒՄՆԵՐԻ ՑԱՆԿ</w:t>
      </w:r>
      <w:bookmarkEnd w:id="50"/>
      <w:bookmarkEnd w:id="51"/>
      <w:bookmarkEnd w:id="52"/>
      <w:bookmarkEnd w:id="53"/>
      <w:bookmarkEnd w:id="54"/>
    </w:p>
    <w:p w14:paraId="62AE5E0D" w14:textId="77777777" w:rsidR="00B43595" w:rsidRPr="000232DD" w:rsidRDefault="00B43595" w:rsidP="00082769">
      <w:pPr>
        <w:ind w:right="-22"/>
        <w:jc w:val="both"/>
        <w:rPr>
          <w:rFonts w:ascii="GHEA Grapalat" w:eastAsia="Times New Roman" w:hAnsi="GHEA Grapalat" w:cs="Times New Roman"/>
          <w:color w:val="auto"/>
        </w:rPr>
      </w:pPr>
    </w:p>
    <w:tbl>
      <w:tblPr>
        <w:tblW w:w="9810" w:type="dxa"/>
        <w:tblLook w:val="04A0" w:firstRow="1" w:lastRow="0" w:firstColumn="1" w:lastColumn="0" w:noHBand="0" w:noVBand="1"/>
      </w:tblPr>
      <w:tblGrid>
        <w:gridCol w:w="1040"/>
        <w:gridCol w:w="8770"/>
      </w:tblGrid>
      <w:tr w:rsidR="004C0C21" w:rsidRPr="000232DD" w14:paraId="409DD48A" w14:textId="77777777" w:rsidTr="00873AE6">
        <w:tc>
          <w:tcPr>
            <w:tcW w:w="1040" w:type="dxa"/>
            <w:hideMark/>
          </w:tcPr>
          <w:p w14:paraId="565B0298"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ԱԱՀ</w:t>
            </w:r>
          </w:p>
        </w:tc>
        <w:tc>
          <w:tcPr>
            <w:tcW w:w="8770" w:type="dxa"/>
            <w:hideMark/>
          </w:tcPr>
          <w:p w14:paraId="7C7F744E"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rPr>
              <w:t>Ա</w:t>
            </w:r>
            <w:r w:rsidRPr="000232DD">
              <w:rPr>
                <w:rFonts w:ascii="GHEA Grapalat" w:eastAsia="Times New Roman" w:hAnsi="GHEA Grapalat" w:cs="Times New Roman"/>
                <w:color w:val="auto"/>
                <w:szCs w:val="20"/>
                <w:lang w:val="hy-AM"/>
              </w:rPr>
              <w:t>վելացված արժեքի հարկ</w:t>
            </w:r>
          </w:p>
        </w:tc>
      </w:tr>
      <w:tr w:rsidR="004C0C21" w:rsidRPr="000232DD" w14:paraId="7B529C2F" w14:textId="77777777" w:rsidTr="00873AE6">
        <w:tc>
          <w:tcPr>
            <w:tcW w:w="1040" w:type="dxa"/>
            <w:hideMark/>
          </w:tcPr>
          <w:p w14:paraId="01EF83E2"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ԱԶԲ</w:t>
            </w:r>
          </w:p>
        </w:tc>
        <w:tc>
          <w:tcPr>
            <w:tcW w:w="8770" w:type="dxa"/>
            <w:hideMark/>
          </w:tcPr>
          <w:p w14:paraId="5CA32F18"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Ասիական զարգացման բանկ</w:t>
            </w:r>
          </w:p>
        </w:tc>
      </w:tr>
      <w:tr w:rsidR="004C0C21" w:rsidRPr="000232DD" w14:paraId="227908EF" w14:textId="77777777" w:rsidTr="00873AE6">
        <w:tc>
          <w:tcPr>
            <w:tcW w:w="1040" w:type="dxa"/>
            <w:hideMark/>
          </w:tcPr>
          <w:p w14:paraId="2B3EC092"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ԱԷԿ</w:t>
            </w:r>
          </w:p>
        </w:tc>
        <w:tc>
          <w:tcPr>
            <w:tcW w:w="8770" w:type="dxa"/>
            <w:hideMark/>
          </w:tcPr>
          <w:p w14:paraId="216E6081"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Ատոմային էլեկտրակայան</w:t>
            </w:r>
          </w:p>
        </w:tc>
      </w:tr>
      <w:tr w:rsidR="004C0C21" w:rsidRPr="003612ED" w14:paraId="19D0A1DA" w14:textId="77777777" w:rsidTr="00873AE6">
        <w:tc>
          <w:tcPr>
            <w:tcW w:w="1040" w:type="dxa"/>
            <w:hideMark/>
          </w:tcPr>
          <w:p w14:paraId="18588B06"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lang w:val="hy-AM"/>
              </w:rPr>
            </w:pPr>
            <w:r w:rsidRPr="000232DD">
              <w:rPr>
                <w:rFonts w:ascii="GHEA Grapalat" w:eastAsia="Times New Roman" w:hAnsi="GHEA Grapalat" w:cs="Times New Roman"/>
                <w:b/>
                <w:color w:val="auto"/>
                <w:szCs w:val="20"/>
                <w:lang w:val="hy-AM"/>
              </w:rPr>
              <w:t>ԱՀԿ</w:t>
            </w:r>
          </w:p>
          <w:p w14:paraId="17DA22A0"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lang w:val="hy-AM"/>
              </w:rPr>
            </w:pPr>
            <w:r w:rsidRPr="000232DD">
              <w:rPr>
                <w:rFonts w:ascii="GHEA Grapalat" w:eastAsia="Times New Roman" w:hAnsi="GHEA Grapalat" w:cs="Times New Roman"/>
                <w:b/>
                <w:color w:val="auto"/>
                <w:szCs w:val="20"/>
              </w:rPr>
              <w:t>ԱՄՆ</w:t>
            </w:r>
          </w:p>
        </w:tc>
        <w:tc>
          <w:tcPr>
            <w:tcW w:w="8770" w:type="dxa"/>
            <w:hideMark/>
          </w:tcPr>
          <w:p w14:paraId="266F0581"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Առողջապահության համաշխարհային կազմակերպություն</w:t>
            </w:r>
          </w:p>
          <w:p w14:paraId="0C32F43E"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Ամերիկայի միացյալ նահանգներ</w:t>
            </w:r>
          </w:p>
        </w:tc>
      </w:tr>
      <w:tr w:rsidR="004C0C21" w:rsidRPr="000232DD" w14:paraId="5537C545" w14:textId="77777777" w:rsidTr="00873AE6">
        <w:tc>
          <w:tcPr>
            <w:tcW w:w="1040" w:type="dxa"/>
            <w:hideMark/>
          </w:tcPr>
          <w:p w14:paraId="73DDEBED"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ԱՄՀ</w:t>
            </w:r>
          </w:p>
        </w:tc>
        <w:tc>
          <w:tcPr>
            <w:tcW w:w="8770" w:type="dxa"/>
            <w:hideMark/>
          </w:tcPr>
          <w:p w14:paraId="23B0EB18"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Արժույթի միջազգային հիմնադրամ</w:t>
            </w:r>
          </w:p>
        </w:tc>
      </w:tr>
      <w:tr w:rsidR="004C0C21" w:rsidRPr="000232DD" w14:paraId="6BF5AA23" w14:textId="77777777" w:rsidTr="00873AE6">
        <w:tc>
          <w:tcPr>
            <w:tcW w:w="1040" w:type="dxa"/>
            <w:hideMark/>
          </w:tcPr>
          <w:p w14:paraId="5797C1D4"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ԱՊՀ</w:t>
            </w:r>
          </w:p>
        </w:tc>
        <w:tc>
          <w:tcPr>
            <w:tcW w:w="8770" w:type="dxa"/>
            <w:hideMark/>
          </w:tcPr>
          <w:p w14:paraId="73F3D314"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Անկախ պետությունների համագործակցություն</w:t>
            </w:r>
          </w:p>
        </w:tc>
      </w:tr>
      <w:tr w:rsidR="004C0C21" w:rsidRPr="000232DD" w14:paraId="000368E8" w14:textId="77777777" w:rsidTr="00873AE6">
        <w:tc>
          <w:tcPr>
            <w:tcW w:w="1040" w:type="dxa"/>
            <w:hideMark/>
          </w:tcPr>
          <w:p w14:paraId="17EB21A4"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lang w:val="hy-AM"/>
              </w:rPr>
            </w:pPr>
            <w:r w:rsidRPr="000232DD">
              <w:rPr>
                <w:rFonts w:ascii="GHEA Grapalat" w:eastAsia="Times New Roman" w:hAnsi="GHEA Grapalat" w:cs="Times New Roman"/>
                <w:b/>
                <w:color w:val="auto"/>
                <w:szCs w:val="20"/>
              </w:rPr>
              <w:t>ԲՈՒՀ</w:t>
            </w:r>
          </w:p>
        </w:tc>
        <w:tc>
          <w:tcPr>
            <w:tcW w:w="8770" w:type="dxa"/>
            <w:hideMark/>
          </w:tcPr>
          <w:p w14:paraId="327650B8"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Բարձրագույն ուսումնական հաստատություն</w:t>
            </w:r>
          </w:p>
        </w:tc>
      </w:tr>
      <w:tr w:rsidR="004C0C21" w:rsidRPr="000232DD" w14:paraId="2131BB50" w14:textId="77777777" w:rsidTr="00873AE6">
        <w:tc>
          <w:tcPr>
            <w:tcW w:w="1040" w:type="dxa"/>
            <w:hideMark/>
          </w:tcPr>
          <w:p w14:paraId="1DDC3964"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ԵԱՀԿ</w:t>
            </w:r>
          </w:p>
        </w:tc>
        <w:tc>
          <w:tcPr>
            <w:tcW w:w="8770" w:type="dxa"/>
            <w:hideMark/>
          </w:tcPr>
          <w:p w14:paraId="24927225"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Եվրոպայում Անվտանգության և Համագործակցության Կազմակերպություն</w:t>
            </w:r>
          </w:p>
        </w:tc>
      </w:tr>
      <w:tr w:rsidR="004C0C21" w:rsidRPr="003612ED" w14:paraId="792E841A" w14:textId="77777777" w:rsidTr="00873AE6">
        <w:tc>
          <w:tcPr>
            <w:tcW w:w="1040" w:type="dxa"/>
            <w:hideMark/>
          </w:tcPr>
          <w:p w14:paraId="0BEBC14C"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ԵԱՏՄ</w:t>
            </w:r>
          </w:p>
          <w:p w14:paraId="6E63388A" w14:textId="77777777" w:rsidR="00B43595" w:rsidRPr="000232DD" w:rsidRDefault="00B43595" w:rsidP="00082769">
            <w:pPr>
              <w:ind w:right="-22"/>
              <w:rPr>
                <w:rFonts w:ascii="GHEA Grapalat" w:eastAsia="Times New Roman" w:hAnsi="GHEA Grapalat" w:cs="Times New Roman"/>
                <w:b/>
                <w:color w:val="auto"/>
                <w:lang w:val="hy-AM"/>
              </w:rPr>
            </w:pPr>
            <w:r w:rsidRPr="000232DD">
              <w:rPr>
                <w:rFonts w:ascii="GHEA Grapalat" w:eastAsia="Times New Roman" w:hAnsi="GHEA Grapalat" w:cs="Times New Roman"/>
                <w:b/>
                <w:color w:val="auto"/>
                <w:lang w:val="hy-AM"/>
              </w:rPr>
              <w:t>ԵՆԲ</w:t>
            </w:r>
          </w:p>
        </w:tc>
        <w:tc>
          <w:tcPr>
            <w:tcW w:w="8770" w:type="dxa"/>
            <w:hideMark/>
          </w:tcPr>
          <w:p w14:paraId="6F7D09F7"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Եվրասիական տնտեսական միություն</w:t>
            </w:r>
          </w:p>
          <w:p w14:paraId="2AF44CAE" w14:textId="46FB78CE" w:rsidR="00B43595" w:rsidRPr="000232DD" w:rsidRDefault="00B43595" w:rsidP="00082769">
            <w:pPr>
              <w:tabs>
                <w:tab w:val="left" w:pos="600"/>
              </w:tabs>
              <w:ind w:right="-22"/>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Եվրոպական ներդրումային բանկ</w:t>
            </w:r>
          </w:p>
        </w:tc>
      </w:tr>
      <w:tr w:rsidR="004C0C21" w:rsidRPr="000232DD" w14:paraId="47326379" w14:textId="77777777" w:rsidTr="00873AE6">
        <w:tc>
          <w:tcPr>
            <w:tcW w:w="1040" w:type="dxa"/>
            <w:hideMark/>
          </w:tcPr>
          <w:p w14:paraId="088ED1EF"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ԵՄ</w:t>
            </w:r>
          </w:p>
        </w:tc>
        <w:tc>
          <w:tcPr>
            <w:tcW w:w="8770" w:type="dxa"/>
            <w:hideMark/>
          </w:tcPr>
          <w:p w14:paraId="6A18744B"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Եվրոպական միություն</w:t>
            </w:r>
          </w:p>
        </w:tc>
      </w:tr>
      <w:tr w:rsidR="004C0C21" w:rsidRPr="000232DD" w14:paraId="25207053" w14:textId="77777777" w:rsidTr="00873AE6">
        <w:tc>
          <w:tcPr>
            <w:tcW w:w="1040" w:type="dxa"/>
            <w:hideMark/>
          </w:tcPr>
          <w:p w14:paraId="731EE6F4"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ԶՄԲ</w:t>
            </w:r>
          </w:p>
        </w:tc>
        <w:tc>
          <w:tcPr>
            <w:tcW w:w="8770" w:type="dxa"/>
            <w:hideMark/>
          </w:tcPr>
          <w:p w14:paraId="038F2238"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Զարգացման Միջազգային Բանկ</w:t>
            </w:r>
          </w:p>
        </w:tc>
      </w:tr>
      <w:tr w:rsidR="004C0C21" w:rsidRPr="000232DD" w14:paraId="4EDB40A5" w14:textId="77777777" w:rsidTr="00873AE6">
        <w:tc>
          <w:tcPr>
            <w:tcW w:w="1040" w:type="dxa"/>
            <w:hideMark/>
          </w:tcPr>
          <w:p w14:paraId="6881D98C"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ԶԼՄ</w:t>
            </w:r>
          </w:p>
        </w:tc>
        <w:tc>
          <w:tcPr>
            <w:tcW w:w="8770" w:type="dxa"/>
            <w:hideMark/>
          </w:tcPr>
          <w:p w14:paraId="5883AEF1"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Զանգվածային լրատվության միջոց</w:t>
            </w:r>
          </w:p>
        </w:tc>
      </w:tr>
      <w:tr w:rsidR="004C0C21" w:rsidRPr="000232DD" w14:paraId="140B24B0" w14:textId="77777777" w:rsidTr="00873AE6">
        <w:tc>
          <w:tcPr>
            <w:tcW w:w="1040" w:type="dxa"/>
            <w:hideMark/>
          </w:tcPr>
          <w:p w14:paraId="05A95BDA"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ԿԲ</w:t>
            </w:r>
          </w:p>
        </w:tc>
        <w:tc>
          <w:tcPr>
            <w:tcW w:w="8770" w:type="dxa"/>
            <w:hideMark/>
          </w:tcPr>
          <w:p w14:paraId="4D35625B"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ՀՀ Կենտրոնական բանկ</w:t>
            </w:r>
          </w:p>
        </w:tc>
      </w:tr>
      <w:tr w:rsidR="004C0C21" w:rsidRPr="000232DD" w14:paraId="6AB40366" w14:textId="77777777" w:rsidTr="00873AE6">
        <w:tc>
          <w:tcPr>
            <w:tcW w:w="1040" w:type="dxa"/>
            <w:hideMark/>
          </w:tcPr>
          <w:p w14:paraId="0A8B2F6F"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ԿԳՄՍՆ</w:t>
            </w:r>
          </w:p>
        </w:tc>
        <w:tc>
          <w:tcPr>
            <w:tcW w:w="8770" w:type="dxa"/>
            <w:hideMark/>
          </w:tcPr>
          <w:p w14:paraId="18A77158"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ՀՀ Կրթության, գիտության, մշակույթի և սպորտի նախարարություն</w:t>
            </w:r>
          </w:p>
        </w:tc>
      </w:tr>
      <w:tr w:rsidR="004C0C21" w:rsidRPr="000232DD" w14:paraId="47EB4120" w14:textId="77777777" w:rsidTr="00873AE6">
        <w:tc>
          <w:tcPr>
            <w:tcW w:w="1040" w:type="dxa"/>
            <w:hideMark/>
          </w:tcPr>
          <w:p w14:paraId="16F3565F"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ՀԲ</w:t>
            </w:r>
          </w:p>
        </w:tc>
        <w:tc>
          <w:tcPr>
            <w:tcW w:w="8770" w:type="dxa"/>
            <w:hideMark/>
          </w:tcPr>
          <w:p w14:paraId="104526B9"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Համաշխարհային բանկ</w:t>
            </w:r>
          </w:p>
        </w:tc>
      </w:tr>
      <w:tr w:rsidR="004C0C21" w:rsidRPr="000232DD" w14:paraId="317E0A75" w14:textId="77777777" w:rsidTr="00873AE6">
        <w:tc>
          <w:tcPr>
            <w:tcW w:w="1040" w:type="dxa"/>
            <w:hideMark/>
          </w:tcPr>
          <w:p w14:paraId="272E5220"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ՀՀ</w:t>
            </w:r>
          </w:p>
        </w:tc>
        <w:tc>
          <w:tcPr>
            <w:tcW w:w="8770" w:type="dxa"/>
            <w:hideMark/>
          </w:tcPr>
          <w:p w14:paraId="371165E0"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Հայաստանի Հանրապետություն</w:t>
            </w:r>
          </w:p>
        </w:tc>
      </w:tr>
      <w:tr w:rsidR="004C0C21" w:rsidRPr="000232DD" w14:paraId="1B5D809F" w14:textId="77777777" w:rsidTr="00873AE6">
        <w:tc>
          <w:tcPr>
            <w:tcW w:w="1040" w:type="dxa"/>
            <w:hideMark/>
          </w:tcPr>
          <w:p w14:paraId="4B63FA4D"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ՀՆԱ</w:t>
            </w:r>
          </w:p>
        </w:tc>
        <w:tc>
          <w:tcPr>
            <w:tcW w:w="8770" w:type="dxa"/>
            <w:hideMark/>
          </w:tcPr>
          <w:p w14:paraId="558646F8"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Համախառն ներքին արդյունք</w:t>
            </w:r>
          </w:p>
        </w:tc>
      </w:tr>
      <w:tr w:rsidR="004C0C21" w:rsidRPr="000232DD" w14:paraId="026D9517" w14:textId="77777777" w:rsidTr="00873AE6">
        <w:tc>
          <w:tcPr>
            <w:tcW w:w="1040" w:type="dxa"/>
            <w:hideMark/>
          </w:tcPr>
          <w:p w14:paraId="6D1C1625"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ՀԾԿՀ</w:t>
            </w:r>
          </w:p>
        </w:tc>
        <w:tc>
          <w:tcPr>
            <w:tcW w:w="8770" w:type="dxa"/>
            <w:hideMark/>
          </w:tcPr>
          <w:p w14:paraId="698A8718"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 xml:space="preserve">ՀՀ Հանրային ծառայությունները կարգավորող հանձնաժողով </w:t>
            </w:r>
          </w:p>
        </w:tc>
      </w:tr>
      <w:tr w:rsidR="004C0C21" w:rsidRPr="000232DD" w14:paraId="79CB59F5" w14:textId="77777777" w:rsidTr="00873AE6">
        <w:tc>
          <w:tcPr>
            <w:tcW w:w="1040" w:type="dxa"/>
            <w:hideMark/>
          </w:tcPr>
          <w:p w14:paraId="2F56FB9B"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ՁԻԱՀ</w:t>
            </w:r>
          </w:p>
        </w:tc>
        <w:tc>
          <w:tcPr>
            <w:tcW w:w="8770" w:type="dxa"/>
            <w:hideMark/>
          </w:tcPr>
          <w:p w14:paraId="36FF4373"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Ձեռքբերովի</w:t>
            </w:r>
            <w:r w:rsidRPr="000232DD">
              <w:rPr>
                <w:rFonts w:ascii="Calibri" w:eastAsia="Times New Roman" w:hAnsi="Calibri" w:cs="Calibri"/>
                <w:color w:val="auto"/>
                <w:szCs w:val="20"/>
              </w:rPr>
              <w:t> </w:t>
            </w:r>
            <w:r w:rsidRPr="000232DD">
              <w:rPr>
                <w:rFonts w:ascii="GHEA Grapalat" w:eastAsia="Times New Roman" w:hAnsi="GHEA Grapalat" w:cs="Times New Roman"/>
                <w:color w:val="auto"/>
                <w:szCs w:val="20"/>
              </w:rPr>
              <w:t>իմունային անբավարարության համախտանիշ</w:t>
            </w:r>
          </w:p>
        </w:tc>
      </w:tr>
      <w:tr w:rsidR="004C0C21" w:rsidRPr="000232DD" w14:paraId="5D04A811" w14:textId="77777777" w:rsidTr="00873AE6">
        <w:tc>
          <w:tcPr>
            <w:tcW w:w="1040" w:type="dxa"/>
          </w:tcPr>
          <w:p w14:paraId="0946FB47"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lang w:val="hy-AM"/>
              </w:rPr>
            </w:pPr>
            <w:r w:rsidRPr="000232DD">
              <w:rPr>
                <w:rFonts w:ascii="GHEA Grapalat" w:eastAsia="Times New Roman" w:hAnsi="GHEA Grapalat" w:cs="Times New Roman"/>
                <w:b/>
                <w:color w:val="auto"/>
                <w:szCs w:val="20"/>
                <w:lang w:val="hy-AM"/>
              </w:rPr>
              <w:t>ՄԱԿ</w:t>
            </w:r>
          </w:p>
        </w:tc>
        <w:tc>
          <w:tcPr>
            <w:tcW w:w="8770" w:type="dxa"/>
          </w:tcPr>
          <w:p w14:paraId="03227C3B"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Միացյալ ազգերի կազմակերպություն</w:t>
            </w:r>
          </w:p>
        </w:tc>
      </w:tr>
      <w:tr w:rsidR="004C0C21" w:rsidRPr="000232DD" w14:paraId="01EB6CE3" w14:textId="77777777" w:rsidTr="00873AE6">
        <w:tc>
          <w:tcPr>
            <w:tcW w:w="1040" w:type="dxa"/>
            <w:hideMark/>
          </w:tcPr>
          <w:p w14:paraId="16B07CB5"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ՄԻԱՎ</w:t>
            </w:r>
          </w:p>
        </w:tc>
        <w:tc>
          <w:tcPr>
            <w:tcW w:w="8770" w:type="dxa"/>
            <w:hideMark/>
          </w:tcPr>
          <w:p w14:paraId="0BACDEC9"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Մարդու իմունային անբավարարության վիրուս</w:t>
            </w:r>
          </w:p>
        </w:tc>
      </w:tr>
      <w:tr w:rsidR="004C0C21" w:rsidRPr="000232DD" w14:paraId="1B6255A8" w14:textId="77777777" w:rsidTr="00873AE6">
        <w:tc>
          <w:tcPr>
            <w:tcW w:w="1040" w:type="dxa"/>
            <w:hideMark/>
          </w:tcPr>
          <w:p w14:paraId="3FBCE5DB"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ՄԺԾԾ</w:t>
            </w:r>
          </w:p>
        </w:tc>
        <w:tc>
          <w:tcPr>
            <w:tcW w:w="8770" w:type="dxa"/>
            <w:hideMark/>
          </w:tcPr>
          <w:p w14:paraId="4CCACE8A"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ՀՀ պետական միջնաժամկետ ծախսերի ծրագիր</w:t>
            </w:r>
          </w:p>
        </w:tc>
      </w:tr>
      <w:tr w:rsidR="004C0C21" w:rsidRPr="000232DD" w14:paraId="6AA7D2F4" w14:textId="77777777" w:rsidTr="00873AE6">
        <w:tc>
          <w:tcPr>
            <w:tcW w:w="1040" w:type="dxa"/>
            <w:hideMark/>
          </w:tcPr>
          <w:p w14:paraId="267CD97C"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ՊԵԿ</w:t>
            </w:r>
          </w:p>
        </w:tc>
        <w:tc>
          <w:tcPr>
            <w:tcW w:w="8770" w:type="dxa"/>
            <w:hideMark/>
          </w:tcPr>
          <w:p w14:paraId="1EB04084"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 xml:space="preserve">ՀՀ Պետական եկամուտների կոմիտե </w:t>
            </w:r>
          </w:p>
        </w:tc>
      </w:tr>
      <w:tr w:rsidR="004C0C21" w:rsidRPr="000232DD" w14:paraId="2526346B" w14:textId="77777777" w:rsidTr="00873AE6">
        <w:tc>
          <w:tcPr>
            <w:tcW w:w="1040" w:type="dxa"/>
            <w:hideMark/>
          </w:tcPr>
          <w:p w14:paraId="4354D406"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ՊՄԳ</w:t>
            </w:r>
          </w:p>
        </w:tc>
        <w:tc>
          <w:tcPr>
            <w:tcW w:w="8770" w:type="dxa"/>
            <w:hideMark/>
          </w:tcPr>
          <w:p w14:paraId="2856CDE9"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Պետություն-մասնավոր գործընկերություն</w:t>
            </w:r>
          </w:p>
        </w:tc>
      </w:tr>
      <w:tr w:rsidR="004C0C21" w:rsidRPr="000232DD" w14:paraId="5E17667C" w14:textId="77777777" w:rsidTr="00873AE6">
        <w:tc>
          <w:tcPr>
            <w:tcW w:w="1040" w:type="dxa"/>
            <w:hideMark/>
          </w:tcPr>
          <w:p w14:paraId="45B5BF5E"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ՊՆ</w:t>
            </w:r>
          </w:p>
        </w:tc>
        <w:tc>
          <w:tcPr>
            <w:tcW w:w="8770" w:type="dxa"/>
            <w:hideMark/>
          </w:tcPr>
          <w:p w14:paraId="687B5276"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ՀՀ Պաշտպանության նախարարություն</w:t>
            </w:r>
          </w:p>
        </w:tc>
      </w:tr>
      <w:tr w:rsidR="004C0C21" w:rsidRPr="000232DD" w14:paraId="7320F6AA" w14:textId="77777777" w:rsidTr="00873AE6">
        <w:tc>
          <w:tcPr>
            <w:tcW w:w="1040" w:type="dxa"/>
            <w:hideMark/>
          </w:tcPr>
          <w:p w14:paraId="42C39949"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ՊՈԱԿ</w:t>
            </w:r>
          </w:p>
        </w:tc>
        <w:tc>
          <w:tcPr>
            <w:tcW w:w="8770" w:type="dxa"/>
            <w:hideMark/>
          </w:tcPr>
          <w:p w14:paraId="64DC511F"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Պետական ոչ առևտրային կազմակերպություն</w:t>
            </w:r>
          </w:p>
        </w:tc>
      </w:tr>
      <w:tr w:rsidR="004C0C21" w:rsidRPr="000232DD" w14:paraId="70BF3491" w14:textId="77777777" w:rsidTr="00873AE6">
        <w:tc>
          <w:tcPr>
            <w:tcW w:w="1040" w:type="dxa"/>
            <w:hideMark/>
          </w:tcPr>
          <w:p w14:paraId="52A3C0E2"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ՌԴ</w:t>
            </w:r>
          </w:p>
        </w:tc>
        <w:tc>
          <w:tcPr>
            <w:tcW w:w="8770" w:type="dxa"/>
            <w:hideMark/>
          </w:tcPr>
          <w:p w14:paraId="6F2B71F2"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 xml:space="preserve">Ռուսաստանի Դաշնություն </w:t>
            </w:r>
          </w:p>
        </w:tc>
      </w:tr>
      <w:tr w:rsidR="004C0C21" w:rsidRPr="000232DD" w14:paraId="38FF97A9" w14:textId="77777777" w:rsidTr="00873AE6">
        <w:tc>
          <w:tcPr>
            <w:tcW w:w="1040" w:type="dxa"/>
            <w:hideMark/>
          </w:tcPr>
          <w:p w14:paraId="72508EFE"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ՍԳԻ</w:t>
            </w:r>
          </w:p>
        </w:tc>
        <w:tc>
          <w:tcPr>
            <w:tcW w:w="8770" w:type="dxa"/>
            <w:hideMark/>
          </w:tcPr>
          <w:p w14:paraId="178A8AE8"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Սպառողական գների ինդեքս</w:t>
            </w:r>
          </w:p>
        </w:tc>
      </w:tr>
      <w:tr w:rsidR="004C0C21" w:rsidRPr="000232DD" w14:paraId="19D806B7" w14:textId="77777777" w:rsidTr="00873AE6">
        <w:tc>
          <w:tcPr>
            <w:tcW w:w="1040" w:type="dxa"/>
            <w:hideMark/>
          </w:tcPr>
          <w:p w14:paraId="4069FCC5"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lastRenderedPageBreak/>
              <w:t>ՎԶՄԲ</w:t>
            </w:r>
          </w:p>
        </w:tc>
        <w:tc>
          <w:tcPr>
            <w:tcW w:w="8770" w:type="dxa"/>
            <w:hideMark/>
          </w:tcPr>
          <w:p w14:paraId="3D12EB42"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Վերակառուցման և զարգացման միջազգային բանկ</w:t>
            </w:r>
          </w:p>
        </w:tc>
      </w:tr>
      <w:tr w:rsidR="004C0C21" w:rsidRPr="000232DD" w14:paraId="6D3BA7DD" w14:textId="77777777" w:rsidTr="00873AE6">
        <w:tc>
          <w:tcPr>
            <w:tcW w:w="1040" w:type="dxa"/>
            <w:hideMark/>
          </w:tcPr>
          <w:p w14:paraId="0F8655C1"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ՏԻՄ</w:t>
            </w:r>
          </w:p>
        </w:tc>
        <w:tc>
          <w:tcPr>
            <w:tcW w:w="8770" w:type="dxa"/>
            <w:hideMark/>
          </w:tcPr>
          <w:p w14:paraId="2F94743A"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Տեղական ինքնակառավարում</w:t>
            </w:r>
          </w:p>
        </w:tc>
      </w:tr>
      <w:tr w:rsidR="004C0C21" w:rsidRPr="003612ED" w14:paraId="79033B16" w14:textId="77777777" w:rsidTr="00873AE6">
        <w:tc>
          <w:tcPr>
            <w:tcW w:w="1040" w:type="dxa"/>
          </w:tcPr>
          <w:p w14:paraId="24A3BE7A"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lang w:val="hy-AM"/>
              </w:rPr>
            </w:pPr>
            <w:r w:rsidRPr="000232DD">
              <w:rPr>
                <w:rFonts w:ascii="GHEA Grapalat" w:eastAsia="Times New Roman" w:hAnsi="GHEA Grapalat" w:cs="Times New Roman"/>
                <w:b/>
                <w:color w:val="auto"/>
                <w:szCs w:val="20"/>
                <w:lang w:val="hy-AM"/>
              </w:rPr>
              <w:t>ՏՀԶԿ</w:t>
            </w:r>
          </w:p>
        </w:tc>
        <w:tc>
          <w:tcPr>
            <w:tcW w:w="8770" w:type="dxa"/>
          </w:tcPr>
          <w:p w14:paraId="38CF0518"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Տնտեսական համագործակցության և զարգացման կազմակերպություն</w:t>
            </w:r>
          </w:p>
        </w:tc>
      </w:tr>
      <w:tr w:rsidR="004C0C21" w:rsidRPr="000232DD" w14:paraId="2E35BE5A" w14:textId="77777777" w:rsidTr="00873AE6">
        <w:tc>
          <w:tcPr>
            <w:tcW w:w="1040" w:type="dxa"/>
          </w:tcPr>
          <w:p w14:paraId="0BFEC53D"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lang w:val="hy-AM"/>
              </w:rPr>
            </w:pPr>
            <w:r w:rsidRPr="000232DD">
              <w:rPr>
                <w:rFonts w:ascii="GHEA Grapalat" w:eastAsia="Times New Roman" w:hAnsi="GHEA Grapalat" w:cs="Times New Roman"/>
                <w:b/>
                <w:color w:val="auto"/>
                <w:szCs w:val="20"/>
                <w:lang w:val="hy-AM"/>
              </w:rPr>
              <w:t>ՏՀՏ</w:t>
            </w:r>
          </w:p>
        </w:tc>
        <w:tc>
          <w:tcPr>
            <w:tcW w:w="8770" w:type="dxa"/>
          </w:tcPr>
          <w:p w14:paraId="47E16D95"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Տեղեկատվական և հաղորդակցման տեխնոլոգիաներ</w:t>
            </w:r>
          </w:p>
        </w:tc>
      </w:tr>
      <w:tr w:rsidR="004C0C21" w:rsidRPr="000232DD" w14:paraId="63CBD720" w14:textId="77777777" w:rsidTr="00873AE6">
        <w:tc>
          <w:tcPr>
            <w:tcW w:w="1040" w:type="dxa"/>
            <w:hideMark/>
          </w:tcPr>
          <w:p w14:paraId="5ED458A3"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ՏՏ</w:t>
            </w:r>
          </w:p>
        </w:tc>
        <w:tc>
          <w:tcPr>
            <w:tcW w:w="8770" w:type="dxa"/>
            <w:hideMark/>
          </w:tcPr>
          <w:p w14:paraId="13594C2B"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Տեղեկատվական տեխնոլոգիաներ</w:t>
            </w:r>
          </w:p>
        </w:tc>
      </w:tr>
      <w:tr w:rsidR="004C0C21" w:rsidRPr="003612ED" w14:paraId="1542A4B4" w14:textId="77777777" w:rsidTr="00873AE6">
        <w:tc>
          <w:tcPr>
            <w:tcW w:w="1040" w:type="dxa"/>
          </w:tcPr>
          <w:p w14:paraId="1E08C7BC"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lang w:val="hy-AM"/>
              </w:rPr>
            </w:pPr>
            <w:r w:rsidRPr="000232DD">
              <w:rPr>
                <w:rFonts w:ascii="GHEA Grapalat" w:eastAsia="Times New Roman" w:hAnsi="GHEA Grapalat" w:cs="Times New Roman"/>
                <w:b/>
                <w:color w:val="auto"/>
                <w:szCs w:val="20"/>
                <w:lang w:val="hy-AM"/>
              </w:rPr>
              <w:t>ՎԶԵԲ</w:t>
            </w:r>
          </w:p>
        </w:tc>
        <w:tc>
          <w:tcPr>
            <w:tcW w:w="8770" w:type="dxa"/>
          </w:tcPr>
          <w:p w14:paraId="51E33A5B"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Վերակառուցման և զարգացման եվրոպական բանկ</w:t>
            </w:r>
          </w:p>
        </w:tc>
      </w:tr>
      <w:tr w:rsidR="004C0C21" w:rsidRPr="000232DD" w14:paraId="0F6EE11A" w14:textId="77777777" w:rsidTr="00873AE6">
        <w:tc>
          <w:tcPr>
            <w:tcW w:w="1040" w:type="dxa"/>
            <w:hideMark/>
          </w:tcPr>
          <w:p w14:paraId="38B55998"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ՓԲԸ</w:t>
            </w:r>
          </w:p>
        </w:tc>
        <w:tc>
          <w:tcPr>
            <w:tcW w:w="8770" w:type="dxa"/>
            <w:hideMark/>
          </w:tcPr>
          <w:p w14:paraId="203AEBA5"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Փակ բաժնետիրական ընկերություն</w:t>
            </w:r>
          </w:p>
        </w:tc>
      </w:tr>
      <w:tr w:rsidR="004C0C21" w:rsidRPr="000232DD" w14:paraId="418249A7" w14:textId="77777777" w:rsidTr="00873AE6">
        <w:tc>
          <w:tcPr>
            <w:tcW w:w="1040" w:type="dxa"/>
            <w:hideMark/>
          </w:tcPr>
          <w:p w14:paraId="2BBE52DA"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ՓՄՁ</w:t>
            </w:r>
          </w:p>
        </w:tc>
        <w:tc>
          <w:tcPr>
            <w:tcW w:w="8770" w:type="dxa"/>
            <w:hideMark/>
          </w:tcPr>
          <w:p w14:paraId="3F7D35B5"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Փոքր և միջին ձեռնարկատիրություն</w:t>
            </w:r>
          </w:p>
        </w:tc>
      </w:tr>
      <w:tr w:rsidR="004C0C21" w:rsidRPr="000232DD" w14:paraId="5DB21953" w14:textId="77777777" w:rsidTr="00873AE6">
        <w:tc>
          <w:tcPr>
            <w:tcW w:w="1040" w:type="dxa"/>
            <w:hideMark/>
          </w:tcPr>
          <w:p w14:paraId="3E5070E6"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lang w:val="hy-AM"/>
              </w:rPr>
            </w:pPr>
            <w:r w:rsidRPr="000232DD">
              <w:rPr>
                <w:rFonts w:ascii="GHEA Grapalat" w:eastAsia="Times New Roman" w:hAnsi="GHEA Grapalat" w:cs="Times New Roman"/>
                <w:b/>
                <w:color w:val="auto"/>
                <w:szCs w:val="20"/>
              </w:rPr>
              <w:t>ՔՀԿ</w:t>
            </w:r>
          </w:p>
        </w:tc>
        <w:tc>
          <w:tcPr>
            <w:tcW w:w="8770" w:type="dxa"/>
            <w:hideMark/>
          </w:tcPr>
          <w:p w14:paraId="2F07EA3E"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 xml:space="preserve">Քաղաքացիական հասարակության կազմակերպություններ </w:t>
            </w:r>
          </w:p>
        </w:tc>
      </w:tr>
      <w:tr w:rsidR="004C0C21" w:rsidRPr="000232DD" w14:paraId="15692023" w14:textId="77777777" w:rsidTr="00873AE6">
        <w:tc>
          <w:tcPr>
            <w:tcW w:w="1040" w:type="dxa"/>
          </w:tcPr>
          <w:p w14:paraId="148265F6"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lang w:val="hy-AM"/>
              </w:rPr>
            </w:pPr>
            <w:r w:rsidRPr="000232DD">
              <w:rPr>
                <w:rFonts w:ascii="GHEA Grapalat" w:eastAsia="Times New Roman" w:hAnsi="GHEA Grapalat" w:cs="Times New Roman"/>
                <w:b/>
                <w:color w:val="auto"/>
                <w:szCs w:val="20"/>
                <w:lang w:val="hy-AM"/>
              </w:rPr>
              <w:t>ՕՊԵԿ</w:t>
            </w:r>
          </w:p>
        </w:tc>
        <w:tc>
          <w:tcPr>
            <w:tcW w:w="8770" w:type="dxa"/>
          </w:tcPr>
          <w:p w14:paraId="698E5BEA"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Նավթ արտահանող երկրների կազմակերպություն</w:t>
            </w:r>
          </w:p>
        </w:tc>
      </w:tr>
      <w:tr w:rsidR="004C0C21" w:rsidRPr="000232DD" w14:paraId="739ABC73" w14:textId="77777777" w:rsidTr="00873AE6">
        <w:tc>
          <w:tcPr>
            <w:tcW w:w="1040" w:type="dxa"/>
            <w:hideMark/>
          </w:tcPr>
          <w:p w14:paraId="7D02A96A" w14:textId="77777777" w:rsidR="00B43595" w:rsidRPr="000232DD" w:rsidRDefault="00B43595" w:rsidP="00082769">
            <w:pPr>
              <w:spacing w:before="0" w:line="240" w:lineRule="auto"/>
              <w:ind w:right="-22"/>
              <w:jc w:val="both"/>
              <w:rPr>
                <w:rFonts w:ascii="GHEA Grapalat" w:eastAsia="Times New Roman" w:hAnsi="GHEA Grapalat" w:cs="Times New Roman"/>
                <w:b/>
                <w:color w:val="auto"/>
                <w:szCs w:val="20"/>
              </w:rPr>
            </w:pPr>
            <w:r w:rsidRPr="000232DD">
              <w:rPr>
                <w:rFonts w:ascii="GHEA Grapalat" w:eastAsia="Times New Roman" w:hAnsi="GHEA Grapalat" w:cs="Times New Roman"/>
                <w:b/>
                <w:color w:val="auto"/>
                <w:szCs w:val="20"/>
              </w:rPr>
              <w:t>ՖՆ</w:t>
            </w:r>
          </w:p>
        </w:tc>
        <w:tc>
          <w:tcPr>
            <w:tcW w:w="8770" w:type="dxa"/>
            <w:hideMark/>
          </w:tcPr>
          <w:p w14:paraId="6A2A4B61" w14:textId="77777777" w:rsidR="00B43595" w:rsidRPr="000232DD" w:rsidRDefault="00B43595" w:rsidP="00082769">
            <w:pPr>
              <w:spacing w:before="0" w:line="240" w:lineRule="auto"/>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ՀՀ ֆինանսների նախարարություն</w:t>
            </w:r>
          </w:p>
        </w:tc>
      </w:tr>
    </w:tbl>
    <w:p w14:paraId="58D44DAF" w14:textId="28BAA1B9" w:rsidR="00181D9A" w:rsidRPr="000232DD" w:rsidRDefault="00181D9A" w:rsidP="00082769">
      <w:pPr>
        <w:ind w:right="-22"/>
        <w:rPr>
          <w:color w:val="auto"/>
        </w:rPr>
      </w:pPr>
    </w:p>
    <w:p w14:paraId="66E9FB31" w14:textId="77777777" w:rsidR="00B43595" w:rsidRPr="000232DD" w:rsidRDefault="00B43595" w:rsidP="00082769">
      <w:pPr>
        <w:ind w:right="-22"/>
        <w:rPr>
          <w:color w:val="auto"/>
        </w:rPr>
      </w:pPr>
    </w:p>
    <w:p w14:paraId="4758051B" w14:textId="77777777" w:rsidR="00B43595" w:rsidRPr="000232DD" w:rsidRDefault="00B43595" w:rsidP="00082769">
      <w:pPr>
        <w:ind w:right="-22"/>
        <w:rPr>
          <w:color w:val="auto"/>
        </w:rPr>
      </w:pPr>
    </w:p>
    <w:p w14:paraId="2B64A361" w14:textId="77777777" w:rsidR="00B43595" w:rsidRPr="000232DD" w:rsidRDefault="00B43595" w:rsidP="00082769">
      <w:pPr>
        <w:ind w:right="-22"/>
        <w:rPr>
          <w:color w:val="auto"/>
        </w:rPr>
      </w:pPr>
    </w:p>
    <w:p w14:paraId="7AE57E6D" w14:textId="77777777" w:rsidR="00B43595" w:rsidRPr="000232DD" w:rsidRDefault="00B43595" w:rsidP="00082769">
      <w:pPr>
        <w:ind w:right="-22"/>
        <w:rPr>
          <w:color w:val="auto"/>
        </w:rPr>
      </w:pPr>
    </w:p>
    <w:p w14:paraId="3A37C0CB" w14:textId="77777777" w:rsidR="00B43595" w:rsidRPr="000232DD" w:rsidRDefault="00B43595" w:rsidP="00082769">
      <w:pPr>
        <w:ind w:right="-22"/>
        <w:rPr>
          <w:color w:val="auto"/>
        </w:rPr>
      </w:pPr>
    </w:p>
    <w:p w14:paraId="04DB7A74" w14:textId="77777777" w:rsidR="00B43595" w:rsidRPr="000232DD" w:rsidRDefault="00B43595" w:rsidP="00082769">
      <w:pPr>
        <w:ind w:right="-22"/>
        <w:rPr>
          <w:color w:val="auto"/>
        </w:rPr>
      </w:pPr>
    </w:p>
    <w:p w14:paraId="4A0B1BCA" w14:textId="77777777" w:rsidR="00B43595" w:rsidRPr="000232DD" w:rsidRDefault="00B43595" w:rsidP="00082769">
      <w:pPr>
        <w:ind w:right="-22"/>
        <w:rPr>
          <w:color w:val="auto"/>
        </w:rPr>
      </w:pPr>
    </w:p>
    <w:p w14:paraId="5951A5C7" w14:textId="77777777" w:rsidR="00B43595" w:rsidRPr="000232DD" w:rsidRDefault="00B43595" w:rsidP="00082769">
      <w:pPr>
        <w:ind w:right="-22"/>
        <w:rPr>
          <w:color w:val="auto"/>
        </w:rPr>
      </w:pPr>
    </w:p>
    <w:p w14:paraId="529B6C4C" w14:textId="77777777" w:rsidR="00B43595" w:rsidRPr="000232DD" w:rsidRDefault="00B43595" w:rsidP="00082769">
      <w:pPr>
        <w:ind w:right="-22"/>
        <w:rPr>
          <w:color w:val="auto"/>
        </w:rPr>
      </w:pPr>
    </w:p>
    <w:p w14:paraId="3D0E27CF" w14:textId="77777777" w:rsidR="00B43595" w:rsidRPr="000232DD" w:rsidRDefault="00B43595" w:rsidP="00082769">
      <w:pPr>
        <w:ind w:right="-22"/>
        <w:rPr>
          <w:color w:val="auto"/>
        </w:rPr>
      </w:pPr>
    </w:p>
    <w:p w14:paraId="333CC216" w14:textId="77777777" w:rsidR="002A4347" w:rsidRPr="000232DD" w:rsidRDefault="002A4347" w:rsidP="00082769">
      <w:pPr>
        <w:ind w:right="-22"/>
        <w:rPr>
          <w:color w:val="auto"/>
        </w:rPr>
      </w:pPr>
    </w:p>
    <w:p w14:paraId="1E7A797E" w14:textId="553A0DB5" w:rsidR="00305291" w:rsidRPr="000232DD" w:rsidRDefault="00305291" w:rsidP="00082769">
      <w:pPr>
        <w:ind w:right="-22"/>
        <w:rPr>
          <w:color w:val="auto"/>
        </w:rPr>
      </w:pPr>
    </w:p>
    <w:p w14:paraId="31F3D54D" w14:textId="7C8C0AD6" w:rsidR="00F53DDF" w:rsidRDefault="00305291" w:rsidP="002D118D">
      <w:pPr>
        <w:pStyle w:val="TOC2"/>
        <w:ind w:right="-22"/>
        <w:jc w:val="both"/>
        <w:outlineLvl w:val="0"/>
        <w:rPr>
          <w:rFonts w:cs="GHEA Grapalat"/>
          <w:lang w:val="hy-AM"/>
        </w:rPr>
      </w:pPr>
      <w:r w:rsidRPr="000232DD">
        <w:rPr>
          <w:color w:val="auto"/>
        </w:rPr>
        <w:br w:type="page"/>
      </w:r>
      <w:bookmarkStart w:id="55" w:name="_Toc209625743"/>
      <w:bookmarkStart w:id="56" w:name="_Toc178356540"/>
    </w:p>
    <w:p w14:paraId="74F8E45F" w14:textId="68521A1B" w:rsidR="001C54FB" w:rsidRPr="001C54FB" w:rsidRDefault="001C54FB" w:rsidP="001C54FB">
      <w:pPr>
        <w:pStyle w:val="TOC2"/>
        <w:ind w:right="-22"/>
        <w:jc w:val="both"/>
        <w:outlineLvl w:val="1"/>
        <w:rPr>
          <w:color w:val="auto"/>
          <w:lang w:val="hy-AM"/>
        </w:rPr>
      </w:pPr>
      <w:bookmarkStart w:id="57" w:name="_Toc183801045"/>
      <w:bookmarkStart w:id="58" w:name="_Toc210117442"/>
      <w:bookmarkStart w:id="59" w:name="_Toc215157656"/>
      <w:bookmarkStart w:id="60" w:name="_Toc241687651"/>
      <w:bookmarkStart w:id="61" w:name="_Toc241367593"/>
      <w:bookmarkStart w:id="62" w:name="_Toc241367764"/>
      <w:r w:rsidRPr="001C54FB">
        <w:rPr>
          <w:color w:val="auto"/>
          <w:lang w:val="hy-AM"/>
        </w:rPr>
        <w:lastRenderedPageBreak/>
        <w:t>ՎԱՐՉԱՊԵՏ ՆԻԿՈԼ ՓԱՇԻՆՅԱՆԻ ՈՒՂԵՐՁԸ</w:t>
      </w:r>
      <w:bookmarkEnd w:id="57"/>
      <w:bookmarkEnd w:id="58"/>
      <w:bookmarkEnd w:id="59"/>
      <w:bookmarkEnd w:id="60"/>
    </w:p>
    <w:p w14:paraId="0B5E14EA" w14:textId="77777777" w:rsidR="001C54FB" w:rsidRDefault="001C54FB" w:rsidP="001C54FB">
      <w:pPr>
        <w:jc w:val="both"/>
        <w:rPr>
          <w:rFonts w:ascii="GHEA Grapalat" w:hAnsi="GHEA Grapalat"/>
          <w:lang w:val="hy-AM"/>
        </w:rPr>
      </w:pPr>
    </w:p>
    <w:p w14:paraId="201D3875" w14:textId="451D5EF7" w:rsidR="001C54FB" w:rsidRPr="00170CB4" w:rsidRDefault="001C54FB" w:rsidP="001C54FB">
      <w:pPr>
        <w:ind w:right="-4"/>
        <w:jc w:val="both"/>
        <w:rPr>
          <w:rFonts w:ascii="GHEA Grapalat" w:hAnsi="GHEA Grapalat"/>
          <w:lang w:val="hy-AM"/>
        </w:rPr>
      </w:pPr>
      <w:r w:rsidRPr="003612ED">
        <w:rPr>
          <w:rFonts w:ascii="GHEA Grapalat" w:eastAsia="Times New Roman" w:hAnsi="GHEA Grapalat" w:cs="Times New Roman"/>
          <w:color w:val="auto"/>
          <w:lang w:val="hy-AM" w:eastAsia="ru-RU"/>
        </w:rPr>
        <w:drawing>
          <wp:anchor distT="0" distB="0" distL="114300" distR="114300" simplePos="0" relativeHeight="251768832" behindDoc="1" locked="0" layoutInCell="1" allowOverlap="1" wp14:anchorId="24692266" wp14:editId="65BBFB20">
            <wp:simplePos x="0" y="0"/>
            <wp:positionH relativeFrom="column">
              <wp:posOffset>19050</wp:posOffset>
            </wp:positionH>
            <wp:positionV relativeFrom="paragraph">
              <wp:posOffset>4445</wp:posOffset>
            </wp:positionV>
            <wp:extent cx="2381250" cy="2148205"/>
            <wp:effectExtent l="0" t="0" r="0" b="4445"/>
            <wp:wrapTight wrapText="bothSides">
              <wp:wrapPolygon edited="0">
                <wp:start x="0" y="0"/>
                <wp:lineTo x="0" y="21453"/>
                <wp:lineTo x="21427" y="21453"/>
                <wp:lineTo x="2142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1250" cy="2148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12ED">
        <w:rPr>
          <w:rFonts w:ascii="GHEA Grapalat" w:eastAsia="Times New Roman" w:hAnsi="GHEA Grapalat" w:cs="Times New Roman"/>
          <w:color w:val="auto"/>
          <w:lang w:val="hy-AM" w:eastAsia="ru-RU"/>
        </w:rPr>
        <w:t>Սիրելի՛ ժողովուրդ, Հայաստանի Հանրապետության սիրելի քաղաքացիներ</w:t>
      </w:r>
      <w:r w:rsidRPr="003612ED">
        <w:rPr>
          <w:rFonts w:ascii="Times New Roman" w:eastAsia="Times New Roman" w:hAnsi="Times New Roman" w:cs="Times New Roman"/>
          <w:color w:val="auto"/>
          <w:lang w:val="hy-AM" w:eastAsia="ru-RU"/>
        </w:rPr>
        <w:t>․</w:t>
      </w:r>
      <w:r w:rsidRPr="00170CB4">
        <w:rPr>
          <w:rFonts w:ascii="GHEA Grapalat" w:hAnsi="GHEA Grapalat"/>
          <w:lang w:val="hy-AM"/>
        </w:rPr>
        <w:tab/>
      </w:r>
    </w:p>
    <w:p w14:paraId="1C0BA0F2" w14:textId="77777777" w:rsidR="001C54FB" w:rsidRPr="003612ED" w:rsidRDefault="001C54FB" w:rsidP="001C54FB">
      <w:pPr>
        <w:pStyle w:val="NormalWeb"/>
        <w:jc w:val="both"/>
        <w:rPr>
          <w:rFonts w:ascii="GHEA Grapalat" w:hAnsi="GHEA Grapalat"/>
          <w:sz w:val="22"/>
          <w:szCs w:val="22"/>
          <w:lang w:val="hy-AM"/>
        </w:rPr>
      </w:pPr>
      <w:r w:rsidRPr="003612ED">
        <w:rPr>
          <w:rFonts w:ascii="GHEA Grapalat" w:hAnsi="GHEA Grapalat"/>
          <w:sz w:val="22"/>
          <w:szCs w:val="22"/>
          <w:lang w:val="hy-AM"/>
        </w:rPr>
        <w:t>Հայաստանի Հ</w:t>
      </w:r>
      <w:bookmarkStart w:id="63" w:name="_GoBack"/>
      <w:bookmarkEnd w:id="63"/>
      <w:r w:rsidRPr="003612ED">
        <w:rPr>
          <w:rFonts w:ascii="GHEA Grapalat" w:hAnsi="GHEA Grapalat"/>
          <w:sz w:val="22"/>
          <w:szCs w:val="22"/>
          <w:lang w:val="hy-AM"/>
        </w:rPr>
        <w:t xml:space="preserve">անրապետության 2027 թվականի պետական բյուջեն 2026 թվականի խորհրդարանական ընտրությունների արդյունքներով ձևավորված </w:t>
      </w:r>
      <w:r w:rsidRPr="00170CB4">
        <w:rPr>
          <w:rFonts w:ascii="GHEA Grapalat" w:hAnsi="GHEA Grapalat"/>
          <w:sz w:val="22"/>
          <w:szCs w:val="22"/>
          <w:lang w:val="hy-AM"/>
        </w:rPr>
        <w:t>Կ</w:t>
      </w:r>
      <w:r w:rsidRPr="003612ED">
        <w:rPr>
          <w:rFonts w:ascii="GHEA Grapalat" w:hAnsi="GHEA Grapalat"/>
          <w:sz w:val="22"/>
          <w:szCs w:val="22"/>
          <w:lang w:val="hy-AM"/>
        </w:rPr>
        <w:t xml:space="preserve">առավարության ծրագրի իրականացման առաջին տարվա բյուջեն է: Այն ապահովում է </w:t>
      </w:r>
      <w:r w:rsidRPr="00170CB4">
        <w:rPr>
          <w:rFonts w:ascii="GHEA Grapalat" w:hAnsi="GHEA Grapalat"/>
          <w:sz w:val="22"/>
          <w:szCs w:val="22"/>
          <w:lang w:val="hy-AM"/>
        </w:rPr>
        <w:t>Կ</w:t>
      </w:r>
      <w:r w:rsidRPr="003612ED">
        <w:rPr>
          <w:rFonts w:ascii="GHEA Grapalat" w:hAnsi="GHEA Grapalat"/>
          <w:sz w:val="22"/>
          <w:szCs w:val="22"/>
          <w:lang w:val="hy-AM"/>
        </w:rPr>
        <w:t xml:space="preserve">առավարության քաղաքական հանձնառությունների և բյուջետային առաջնահերթությունների փոխկապակցվածությունը՝ անհրաժեշտ նախադրյալներ ստեղծելով </w:t>
      </w:r>
      <w:r w:rsidRPr="00170CB4">
        <w:rPr>
          <w:rFonts w:ascii="GHEA Grapalat" w:hAnsi="GHEA Grapalat"/>
          <w:sz w:val="22"/>
          <w:szCs w:val="22"/>
          <w:lang w:val="hy-AM"/>
        </w:rPr>
        <w:t>Կ</w:t>
      </w:r>
      <w:r w:rsidRPr="003612ED">
        <w:rPr>
          <w:rFonts w:ascii="GHEA Grapalat" w:hAnsi="GHEA Grapalat"/>
          <w:sz w:val="22"/>
          <w:szCs w:val="22"/>
          <w:lang w:val="hy-AM"/>
        </w:rPr>
        <w:t>առավարության ծրագրի արդյունավետ իրականացման համար։</w:t>
      </w:r>
    </w:p>
    <w:p w14:paraId="052A1F7C" w14:textId="77777777" w:rsidR="001C54FB" w:rsidRPr="00170CB4" w:rsidRDefault="001C54FB" w:rsidP="001C54FB">
      <w:pPr>
        <w:pStyle w:val="NormalWeb"/>
        <w:jc w:val="both"/>
        <w:rPr>
          <w:rFonts w:ascii="GHEA Grapalat" w:hAnsi="GHEA Grapalat"/>
          <w:sz w:val="22"/>
          <w:szCs w:val="22"/>
        </w:rPr>
      </w:pPr>
      <w:r w:rsidRPr="003612ED">
        <w:rPr>
          <w:rFonts w:ascii="GHEA Grapalat" w:hAnsi="GHEA Grapalat"/>
          <w:sz w:val="22"/>
          <w:szCs w:val="22"/>
          <w:lang w:val="hy-AM"/>
        </w:rPr>
        <w:t xml:space="preserve">Վերջին հինգ տարիների ընթացքում Հայաստանի Հանրապետությունում արձանագրված բարձր տնտեսական աճն էապես ընդլայնել է երկրի զարգացման հնարավորությունները։ </w:t>
      </w:r>
      <w:r w:rsidRPr="00170CB4">
        <w:rPr>
          <w:rFonts w:ascii="GHEA Grapalat" w:hAnsi="GHEA Grapalat"/>
          <w:sz w:val="22"/>
          <w:szCs w:val="22"/>
        </w:rPr>
        <w:t xml:space="preserve">Առաջիկա հինգ տարիների համար </w:t>
      </w:r>
      <w:r w:rsidRPr="00170CB4">
        <w:rPr>
          <w:rFonts w:ascii="GHEA Grapalat" w:hAnsi="GHEA Grapalat"/>
          <w:sz w:val="22"/>
          <w:szCs w:val="22"/>
          <w:lang w:val="hy-AM"/>
        </w:rPr>
        <w:t>Կ</w:t>
      </w:r>
      <w:r w:rsidRPr="00170CB4">
        <w:rPr>
          <w:rFonts w:ascii="GHEA Grapalat" w:hAnsi="GHEA Grapalat"/>
          <w:sz w:val="22"/>
          <w:szCs w:val="22"/>
        </w:rPr>
        <w:t>առավարության նպատակադրումն է պահպանել տնտեսական աճի բարձր տեմպը՝ ապահովելով տարեկան միջինը վեց տոկոս աճ։ Մեր առանցքային խնդիրն է տնտեսական աճով պայմանավորված հնարավորությունները վերածել զարգացման կայուն ներուժի և քաղաքացիների բարեկեցության բարձրացման իրական ու չափելի արդյունքների։ Խաղաղության պայմաններում այս նպատակի իրագործումը լիովին իրատեսական է և պահանջում է հետևողական ու արդյունավետ պետական քաղաքականություն։</w:t>
      </w:r>
    </w:p>
    <w:p w14:paraId="3C069B09" w14:textId="77777777" w:rsidR="001C54FB" w:rsidRPr="00170CB4" w:rsidRDefault="001C54FB" w:rsidP="001C54FB">
      <w:pPr>
        <w:pStyle w:val="NormalWeb"/>
        <w:jc w:val="both"/>
        <w:rPr>
          <w:rFonts w:ascii="GHEA Grapalat" w:hAnsi="GHEA Grapalat"/>
          <w:sz w:val="22"/>
          <w:szCs w:val="22"/>
        </w:rPr>
      </w:pPr>
      <w:r w:rsidRPr="00170CB4">
        <w:rPr>
          <w:rFonts w:ascii="GHEA Grapalat" w:hAnsi="GHEA Grapalat"/>
          <w:sz w:val="22"/>
          <w:szCs w:val="22"/>
        </w:rPr>
        <w:t>Պետական բյուջեն տնտեսական զարգացման արդյունքները հանրային բարեկեցության վերածելու կարևորագույն գործիք է։ Քաղաքացիների և տնտեսավարողների վճարած հարկերով ձևավորվող միջոցները պետք է ծառայեն հանրային ծառայությունների որակի բարձրացմանը, կենսապայմանների բարելավմանը</w:t>
      </w:r>
      <w:r w:rsidRPr="00170CB4">
        <w:rPr>
          <w:rFonts w:ascii="GHEA Grapalat" w:hAnsi="GHEA Grapalat"/>
          <w:sz w:val="22"/>
          <w:szCs w:val="22"/>
          <w:lang w:val="hy-AM"/>
        </w:rPr>
        <w:t>,</w:t>
      </w:r>
      <w:r w:rsidRPr="00170CB4">
        <w:rPr>
          <w:rFonts w:ascii="GHEA Grapalat" w:hAnsi="GHEA Grapalat"/>
          <w:sz w:val="22"/>
          <w:szCs w:val="22"/>
        </w:rPr>
        <w:t xml:space="preserve"> տնտեսական հնարավորությունների ընդլայնմանը</w:t>
      </w:r>
      <w:r w:rsidRPr="00170CB4">
        <w:rPr>
          <w:rFonts w:ascii="GHEA Grapalat" w:hAnsi="GHEA Grapalat"/>
          <w:sz w:val="22"/>
          <w:szCs w:val="22"/>
          <w:lang w:val="hy-AM"/>
        </w:rPr>
        <w:t xml:space="preserve"> եւ </w:t>
      </w:r>
      <w:r w:rsidRPr="00170CB4">
        <w:rPr>
          <w:rFonts w:ascii="GHEA Grapalat" w:hAnsi="GHEA Grapalat"/>
          <w:sz w:val="22"/>
          <w:szCs w:val="22"/>
        </w:rPr>
        <w:t xml:space="preserve">երկրի անվտանգության ապահովմանը։ </w:t>
      </w:r>
    </w:p>
    <w:p w14:paraId="64766A94" w14:textId="77777777" w:rsidR="001C54FB" w:rsidRPr="00170CB4" w:rsidRDefault="001C54FB" w:rsidP="001C54FB">
      <w:pPr>
        <w:pStyle w:val="NormalWeb"/>
        <w:jc w:val="both"/>
        <w:rPr>
          <w:rFonts w:ascii="GHEA Grapalat" w:hAnsi="GHEA Grapalat"/>
          <w:sz w:val="22"/>
          <w:szCs w:val="22"/>
        </w:rPr>
      </w:pPr>
      <w:r w:rsidRPr="00170CB4">
        <w:rPr>
          <w:rFonts w:ascii="GHEA Grapalat" w:hAnsi="GHEA Grapalat"/>
          <w:sz w:val="22"/>
          <w:szCs w:val="22"/>
        </w:rPr>
        <w:t xml:space="preserve">Հանրային միջոցների կառավարումը ենթադրում է պատասխանատվություն դրանց նպատակային օգտագործման և ստացված արդյունքների համար։ Այս տրամաբանությամբ, բյուջետային ծախսերի ուղղություններն ու առաջնահերթությունները համահունչ են </w:t>
      </w:r>
      <w:r w:rsidRPr="00170CB4">
        <w:rPr>
          <w:rFonts w:ascii="GHEA Grapalat" w:hAnsi="GHEA Grapalat"/>
          <w:sz w:val="22"/>
          <w:szCs w:val="22"/>
          <w:lang w:val="hy-AM"/>
        </w:rPr>
        <w:t>Կ</w:t>
      </w:r>
      <w:r w:rsidRPr="00170CB4">
        <w:rPr>
          <w:rFonts w:ascii="GHEA Grapalat" w:hAnsi="GHEA Grapalat"/>
          <w:sz w:val="22"/>
          <w:szCs w:val="22"/>
        </w:rPr>
        <w:t>առավարության ծրագրին և հաստատված ռազմավարական ծրագրերին, իսկ ֆինանսական միջոցների հատկացումը կապվում է քաղաքականության նպատակների և ակնկալվող արդյունքների հետ՝ ապահովելով պետական քաղաքականության հետևողականությունն ու հանրային ծախսերի արդյունավետությունը։</w:t>
      </w:r>
    </w:p>
    <w:p w14:paraId="2DE3A674" w14:textId="77777777" w:rsidR="001C54FB" w:rsidRPr="00170CB4" w:rsidRDefault="001C54FB" w:rsidP="001C54FB">
      <w:pPr>
        <w:pStyle w:val="NormalWeb"/>
        <w:jc w:val="both"/>
        <w:rPr>
          <w:rFonts w:ascii="GHEA Grapalat" w:hAnsi="GHEA Grapalat"/>
          <w:sz w:val="22"/>
          <w:szCs w:val="22"/>
        </w:rPr>
      </w:pPr>
      <w:r w:rsidRPr="00170CB4">
        <w:rPr>
          <w:rFonts w:ascii="GHEA Grapalat" w:hAnsi="GHEA Grapalat"/>
          <w:sz w:val="22"/>
          <w:szCs w:val="22"/>
        </w:rPr>
        <w:t xml:space="preserve">Այս բյուջեն ապահովում է </w:t>
      </w:r>
      <w:r w:rsidRPr="00170CB4">
        <w:rPr>
          <w:rFonts w:ascii="GHEA Grapalat" w:hAnsi="GHEA Grapalat"/>
          <w:sz w:val="22"/>
          <w:szCs w:val="22"/>
          <w:lang w:val="hy-AM"/>
        </w:rPr>
        <w:t>Կ</w:t>
      </w:r>
      <w:r w:rsidRPr="00170CB4">
        <w:rPr>
          <w:rFonts w:ascii="GHEA Grapalat" w:hAnsi="GHEA Grapalat"/>
          <w:sz w:val="22"/>
          <w:szCs w:val="22"/>
        </w:rPr>
        <w:t>առավարության նախորդ ծրագրով մեկնարկած միջոցառումների շարունակականությունը, այդ թվում՝ ենթակառուցվածքների զարգացման ուղղությամբ։ Շարունակվելու են երկրի պաշտպանունակության բարձրացման և անվտանգության ամրապնդման աշխատանքները։ Ճանապարհային, ջրային և էներգետիկ ենթակառուցվածքների զարգացումն ուղղված է լինելու տնտեսության մրցունակության բարձրացմանը, համայնքների զարգացմանը և բնակչության կենսապայմանների բարելավմանը։</w:t>
      </w:r>
    </w:p>
    <w:p w14:paraId="11757F31" w14:textId="77777777" w:rsidR="001C54FB" w:rsidRPr="00170CB4" w:rsidRDefault="001C54FB" w:rsidP="001C54FB">
      <w:pPr>
        <w:pStyle w:val="NormalWeb"/>
        <w:jc w:val="both"/>
        <w:rPr>
          <w:rFonts w:ascii="GHEA Grapalat" w:hAnsi="GHEA Grapalat"/>
          <w:sz w:val="22"/>
          <w:szCs w:val="22"/>
        </w:rPr>
      </w:pPr>
      <w:r w:rsidRPr="00170CB4">
        <w:rPr>
          <w:rFonts w:ascii="GHEA Grapalat" w:hAnsi="GHEA Grapalat"/>
          <w:sz w:val="22"/>
          <w:szCs w:val="22"/>
        </w:rPr>
        <w:t>Առանձնահատուկ առաջնահերթություն է հանրային ծառայությունների որակի և հասանելիության բարձրացումը։ Կրթության, առողջապահության և սոցիալական պաշտպանության ոլորտներում իրականացվող քաղաքականության արդյունքները պետք է արտահայտվեն քաղաքացիների հնարավորությունների ընդլայնմամբ, անհրաժեշտ ծառայությունների ժամանակին ստացմամբ և սոցիալական պաշտպանվածության ամրապնդմամբ։ Հանրային կառավարման բարեփոխումների և թվայնացման միջոցով զարգացնելու ենք պետական համակարգի կարողությունները՝ երկրի բեկումնային զարգացումն արդյունավետորեն ապահովելու և սպասարկելու համար։</w:t>
      </w:r>
    </w:p>
    <w:p w14:paraId="639D467A" w14:textId="77777777" w:rsidR="001C54FB" w:rsidRPr="00170CB4" w:rsidRDefault="001C54FB" w:rsidP="001C54FB">
      <w:pPr>
        <w:pStyle w:val="NormalWeb"/>
        <w:jc w:val="both"/>
        <w:rPr>
          <w:rFonts w:ascii="GHEA Grapalat" w:hAnsi="GHEA Grapalat"/>
          <w:sz w:val="22"/>
          <w:szCs w:val="22"/>
        </w:rPr>
      </w:pPr>
      <w:r w:rsidRPr="00170CB4">
        <w:rPr>
          <w:rFonts w:ascii="GHEA Grapalat" w:hAnsi="GHEA Grapalat"/>
          <w:sz w:val="22"/>
          <w:szCs w:val="22"/>
        </w:rPr>
        <w:t>Այս ամենի իրագործման հիմնարար պայմանը հարկաբյուջետային կայունության պահպանումն է։ Պետական պարտքի պատասխանատու կառավարումը, ֆինանսական կարգապահությունը և ծախսերի արդյունավետության բարձրացումը ծառայելու են պետության պարտավորությունների հուսալի կատարմանը և զարգացման ծրագրերի կայուն ֆինանսավորմանը։ Հանրային միջոցների օգտագործման թափանցիկությունն ու արդյունքների վերաբերյալ հաշվետվողականությունը շարունակելու են լինել բյուջեի կատարման անբաժանելի բաղադրիչները։</w:t>
      </w:r>
    </w:p>
    <w:p w14:paraId="23A5A1B2" w14:textId="77777777" w:rsidR="001C54FB" w:rsidRPr="00170CB4" w:rsidRDefault="001C54FB" w:rsidP="001C54FB">
      <w:pPr>
        <w:pStyle w:val="NormalWeb"/>
        <w:jc w:val="both"/>
        <w:rPr>
          <w:rFonts w:ascii="GHEA Grapalat" w:hAnsi="GHEA Grapalat"/>
          <w:sz w:val="22"/>
          <w:szCs w:val="22"/>
        </w:rPr>
      </w:pPr>
      <w:r w:rsidRPr="00170CB4">
        <w:rPr>
          <w:rFonts w:ascii="GHEA Grapalat" w:hAnsi="GHEA Grapalat"/>
          <w:sz w:val="22"/>
          <w:szCs w:val="22"/>
        </w:rPr>
        <w:t xml:space="preserve">Քաղաքացիների վստահությամբ ստանձնած մեր հանձնառությունները պահանջում են հետևողական աշխատանք և տեսանելի արդյունքներ։ 2027 թվականի բյուջեի իրականացման գլխավոր չափանիշը լինելու է այն առաջընթացը, որը քաղաքացին կզգա իր և իր ընտանիքի կյանքում՝ բարեկեցության, անվտանգության և զարգացման հնարավորությունների ընդլայնման միջոցով։ Այս պատասխանատվությամբ ենք ներկայացնում պետական բյուջեն՝ մեր ջանքերն ու կարողություններն ուղղելով </w:t>
      </w:r>
      <w:r w:rsidRPr="00170CB4">
        <w:rPr>
          <w:rFonts w:ascii="GHEA Grapalat" w:hAnsi="GHEA Grapalat"/>
          <w:sz w:val="22"/>
          <w:szCs w:val="22"/>
          <w:lang w:val="hy-AM"/>
        </w:rPr>
        <w:t>Կ</w:t>
      </w:r>
      <w:r w:rsidRPr="00170CB4">
        <w:rPr>
          <w:rFonts w:ascii="GHEA Grapalat" w:hAnsi="GHEA Grapalat"/>
          <w:sz w:val="22"/>
          <w:szCs w:val="22"/>
        </w:rPr>
        <w:t>առավարության ծրագրի իրագործմանը և խաղաղ, ինքնիշխան ու բարեկեցիկ Հայաստանի ամրապնդմանը։</w:t>
      </w:r>
    </w:p>
    <w:p w14:paraId="2438E84E" w14:textId="77777777" w:rsidR="001C54FB" w:rsidRPr="001C54FB" w:rsidRDefault="001C54FB" w:rsidP="001C54FB">
      <w:pPr>
        <w:rPr>
          <w:rFonts w:ascii="GHEA Grapalat" w:hAnsi="GHEA Grapalat"/>
          <w:lang w:val="ru-RU"/>
        </w:rPr>
      </w:pPr>
    </w:p>
    <w:p w14:paraId="531AC871" w14:textId="77777777" w:rsidR="001C54FB" w:rsidRDefault="001C54FB">
      <w:pPr>
        <w:spacing w:before="0" w:after="160" w:line="278" w:lineRule="auto"/>
        <w:rPr>
          <w:rFonts w:ascii="GHEA Grapalat" w:hAnsi="GHEA Grapalat"/>
          <w:b/>
          <w:color w:val="auto"/>
          <w:sz w:val="30"/>
          <w:szCs w:val="20"/>
          <w:lang w:val="hy-AM"/>
        </w:rPr>
      </w:pPr>
      <w:r>
        <w:rPr>
          <w:color w:val="auto"/>
          <w:lang w:val="hy-AM"/>
        </w:rPr>
        <w:br w:type="page"/>
      </w:r>
    </w:p>
    <w:p w14:paraId="5C5F9D37" w14:textId="12EAC1D5" w:rsidR="00F53DDF" w:rsidRPr="000232DD" w:rsidRDefault="00F53DDF" w:rsidP="00F53DDF">
      <w:pPr>
        <w:pStyle w:val="TOC2"/>
        <w:ind w:right="-22"/>
        <w:jc w:val="both"/>
        <w:outlineLvl w:val="1"/>
        <w:rPr>
          <w:color w:val="auto"/>
          <w:lang w:val="hy-AM"/>
        </w:rPr>
      </w:pPr>
      <w:bookmarkStart w:id="64" w:name="_Toc241687652"/>
      <w:r w:rsidRPr="000232DD">
        <w:rPr>
          <w:color w:val="auto"/>
          <w:lang w:val="hy-AM"/>
        </w:rPr>
        <w:t>ՀԱՅԱՍՏԱՆԻ ՀԱՆՐԱՊԵՏՈՒԹՅԱՆ ԿԱՌԱՎԱՐՈՒԹՅԱՆ ԶԵԿՈՒՅՑ</w:t>
      </w:r>
      <w:bookmarkEnd w:id="61"/>
      <w:bookmarkEnd w:id="62"/>
      <w:bookmarkEnd w:id="64"/>
    </w:p>
    <w:p w14:paraId="5B1F2A56" w14:textId="77777777" w:rsidR="00F53DDF" w:rsidRPr="000232DD" w:rsidRDefault="00F53DDF" w:rsidP="00F53DDF">
      <w:pPr>
        <w:pStyle w:val="TOC2"/>
        <w:ind w:right="-22"/>
        <w:jc w:val="both"/>
        <w:outlineLvl w:val="1"/>
        <w:rPr>
          <w:color w:val="auto"/>
          <w:lang w:val="hy-AM"/>
        </w:rPr>
      </w:pPr>
      <w:bookmarkStart w:id="65" w:name="_Toc178612063"/>
      <w:bookmarkStart w:id="66" w:name="_Toc209625744"/>
      <w:bookmarkStart w:id="67" w:name="_Toc241367594"/>
      <w:bookmarkStart w:id="68" w:name="_Toc241367765"/>
      <w:bookmarkStart w:id="69" w:name="_Toc241687653"/>
      <w:r w:rsidRPr="000232DD">
        <w:rPr>
          <w:color w:val="auto"/>
          <w:lang w:val="hy-AM"/>
        </w:rPr>
        <w:t>ՆԵՐԱԾՈՒԹՅՈՒՆ</w:t>
      </w:r>
      <w:bookmarkEnd w:id="65"/>
      <w:bookmarkEnd w:id="66"/>
      <w:bookmarkEnd w:id="67"/>
      <w:bookmarkEnd w:id="68"/>
      <w:bookmarkEnd w:id="69"/>
    </w:p>
    <w:p w14:paraId="55A7F989" w14:textId="77777777" w:rsidR="00F53DDF" w:rsidRPr="000232DD" w:rsidRDefault="00F53DDF" w:rsidP="00F53DDF">
      <w:pPr>
        <w:ind w:right="-22"/>
        <w:jc w:val="both"/>
        <w:rPr>
          <w:rFonts w:ascii="GHEA Grapalat" w:hAnsi="GHEA Grapalat" w:cs="GHEA Grapalat"/>
          <w:color w:val="auto"/>
          <w:lang w:val="hy-AM"/>
        </w:rPr>
      </w:pPr>
      <w:r w:rsidRPr="000232DD">
        <w:rPr>
          <w:rFonts w:ascii="GHEA Grapalat" w:hAnsi="GHEA Grapalat" w:cs="GHEA Grapalat"/>
          <w:color w:val="auto"/>
          <w:lang w:val="hy-AM"/>
        </w:rPr>
        <w:t>202</w:t>
      </w:r>
      <w:r>
        <w:rPr>
          <w:rFonts w:ascii="GHEA Grapalat" w:hAnsi="GHEA Grapalat" w:cs="GHEA Grapalat"/>
          <w:color w:val="auto"/>
          <w:lang w:val="hy-AM"/>
        </w:rPr>
        <w:t>7</w:t>
      </w:r>
      <w:r w:rsidRPr="000232DD">
        <w:rPr>
          <w:rFonts w:ascii="GHEA Grapalat" w:hAnsi="GHEA Grapalat" w:cs="GHEA Grapalat"/>
          <w:color w:val="auto"/>
          <w:lang w:val="hy-AM"/>
        </w:rPr>
        <w:t xml:space="preserve"> թվականի պետական բյուջեի մասին օրենքի նախագծով ներկայացված բյուջեն միտված է լինելու հասարակությունն առավել երջանիկ և դիմակայուն դարձնելուն՝ ապահովելով անվտանգ, բարեկեցիկ միջավայր: Բյուջեի կազմման հիմքում դրված է հնարավորությունների և ռիսկերի խելամիտ հաշվեկշռումը՝ առանձնակի կարևորելով մակրոտնտեսական կայունության ապահովումը և տնտեսական ներուժի բարձրացումը: </w:t>
      </w:r>
    </w:p>
    <w:p w14:paraId="281CE3DF" w14:textId="77777777" w:rsidR="00F53DDF" w:rsidRPr="00BF02A2" w:rsidRDefault="00F53DDF" w:rsidP="00F53DDF">
      <w:pPr>
        <w:ind w:right="-22"/>
        <w:jc w:val="both"/>
        <w:rPr>
          <w:rFonts w:ascii="GHEA Grapalat" w:hAnsi="GHEA Grapalat" w:cs="GHEA Grapalat"/>
          <w:bCs/>
          <w:color w:val="auto"/>
          <w:lang w:val="hy-AM"/>
        </w:rPr>
      </w:pPr>
      <w:r w:rsidRPr="000232DD">
        <w:rPr>
          <w:rFonts w:ascii="GHEA Grapalat" w:hAnsi="GHEA Grapalat" w:cs="GHEA Grapalat"/>
          <w:color w:val="auto"/>
          <w:lang w:val="hy-AM"/>
        </w:rPr>
        <w:t>Տնտեսական աճ: ՀՀ տնտեսական աճի և, ըստ այդմ, հնարավորությունների ընդլայնումը պայմանավորված է լինելու նաև միջազգային մրցունակության աճով։ Իսկ միջազգային մրցունակության աճն ապահովելու նպատակով</w:t>
      </w:r>
      <w:r w:rsidRPr="000232DD">
        <w:rPr>
          <w:rFonts w:ascii="GHEA Grapalat" w:hAnsi="GHEA Grapalat" w:cs="GHEA Grapalat"/>
          <w:bCs/>
          <w:color w:val="auto"/>
          <w:lang w:val="hy-AM"/>
        </w:rPr>
        <w:t xml:space="preserve"> ՀՀ կառավարությունը նպատակադրել է զարգացնել այնպիսի տնտեսություն, որը մի կողմից աշխարհին կառաջարկի տեխնոլոգիական և նորարարական արտադրանք, իսկ մյուս կողմից իր մեծ թափով կառուցվող և արդիականացվող ենթակառուցվածքներով զգալիորեն կնպաստի տարածաշրջանի՝ տնտեսական ու մարդկային հոսքեր սպասարկելու կարողությունների բարձրացմանը։ Այս տեսանկյունից </w:t>
      </w:r>
      <w:r w:rsidRPr="00BF02A2">
        <w:rPr>
          <w:rFonts w:ascii="GHEA Grapalat" w:hAnsi="GHEA Grapalat" w:cs="GHEA Grapalat"/>
          <w:bCs/>
          <w:color w:val="auto"/>
          <w:lang w:val="hy-AM"/>
        </w:rPr>
        <w:t xml:space="preserve">ՀՀ կառավարությունը գիտելիքն ու նորարարությունը հռչակել է որպես տնտեսական զարգացման հիմնական շարժիչ ուժ։ </w:t>
      </w:r>
    </w:p>
    <w:p w14:paraId="775EB973" w14:textId="77B89334" w:rsidR="00F53DDF" w:rsidRPr="003C0BE5" w:rsidRDefault="00F53DDF" w:rsidP="00F53DDF">
      <w:pPr>
        <w:ind w:right="-22"/>
        <w:jc w:val="both"/>
        <w:rPr>
          <w:rFonts w:ascii="GHEA Grapalat" w:hAnsi="GHEA Grapalat" w:cs="GHEA Grapalat"/>
          <w:bCs/>
          <w:color w:val="auto"/>
          <w:lang w:val="hy-AM"/>
        </w:rPr>
      </w:pPr>
      <w:r w:rsidRPr="003C0BE5">
        <w:rPr>
          <w:rFonts w:ascii="GHEA Grapalat" w:hAnsi="GHEA Grapalat" w:cs="GHEA Grapalat"/>
          <w:bCs/>
          <w:color w:val="auto"/>
          <w:lang w:val="hy-AM"/>
        </w:rPr>
        <w:t>Այս պայմաններում, 2027 թ</w:t>
      </w:r>
      <w:r w:rsidR="00C0238C">
        <w:rPr>
          <w:rFonts w:ascii="GHEA Grapalat" w:hAnsi="GHEA Grapalat" w:cs="GHEA Grapalat"/>
          <w:bCs/>
          <w:color w:val="auto"/>
          <w:lang w:val="hy-AM"/>
        </w:rPr>
        <w:t>.</w:t>
      </w:r>
      <w:r w:rsidRPr="003C0BE5">
        <w:rPr>
          <w:rFonts w:ascii="GHEA Grapalat" w:hAnsi="GHEA Grapalat" w:cs="GHEA Grapalat"/>
          <w:bCs/>
          <w:color w:val="auto"/>
          <w:lang w:val="hy-AM"/>
        </w:rPr>
        <w:t xml:space="preserve">-ին կանխատեսում ենք 5.8% տնտեսական աճ, իսկ միջնաժամկետ հատվածում տարեկան աճը միջինում կկազմի 6%՝ կառավարության ծրագրի թիրախներին համապատասխան։ </w:t>
      </w:r>
    </w:p>
    <w:p w14:paraId="07FD7002" w14:textId="77777777" w:rsidR="00F53DDF" w:rsidRPr="003C0BE5" w:rsidRDefault="00F53DDF" w:rsidP="00F53DDF">
      <w:pPr>
        <w:ind w:right="-22"/>
        <w:jc w:val="both"/>
        <w:rPr>
          <w:rFonts w:ascii="GHEA Grapalat" w:hAnsi="GHEA Grapalat" w:cs="GHEA Grapalat"/>
          <w:bCs/>
          <w:color w:val="auto"/>
          <w:lang w:val="hy-AM"/>
        </w:rPr>
      </w:pPr>
      <w:r w:rsidRPr="003C0BE5">
        <w:rPr>
          <w:rFonts w:ascii="GHEA Grapalat" w:hAnsi="GHEA Grapalat" w:cs="GHEA Grapalat"/>
          <w:bCs/>
          <w:color w:val="auto"/>
          <w:lang w:val="hy-AM"/>
        </w:rPr>
        <w:t xml:space="preserve">Կառուցվածքային բարեփոխումների և առաջնահերթ ներդրումների ֆինանսավորման պահանջի աճի պայմաններում պետական բյուջեի պակասուրդի համեմատաբար բարձր մակարդակի ձևավորումից հետո հարկաբյուջետային քաղաքականությունն ուղղված կլինի ծախսերի կառուցվածքի բարելավմամբ ուղեկցվող հարկաբյուջետային կոնսոլիդացիայի իրականացմանը։ Կառավարության պարտքի բեռը 2027-2028 թվականներին կգտնվի 47%-ի շրջակայքում, որից հետո՝ բյուջեի պակասուրդի շարունակական նվազման արդյունքում կմոտենա 46.4%-ին մինչև 2029 թվականը։ Հարկաբյուջետային կոնսոլիդացիան կիրականացվի ընթացիկ ծախսերի օպտիմալացման և արդյունավետության բարձրացման պայմաններում ՀՆԱ-ում դրանց կշռի որոշակի նվազմամբ, ինչը կզուգորդվի ամբողջական պահանջարկի վրա չափավոր զսպող ազդեցությամբ՝ միջնաժամկետի վերջում այդ ազդեցության թուլացմամբ։ Արդյունավետ ներդրումների և կառուցվածքային բարեփոխումների իրականացումը կնպաստեն տնտեսության ներուժի ընդլայնմանը։ Հարկաբյուջետային քաղաքականության համար, ընդհանուր առմամբ, առաջնահերթ է առկա ռեսուրսների առավել արդյունավետ օգտագործումը և հնարավոր ռիսկերի կառավարման կարողությունների ձևավորումը, ինչը, աճի ներուժի բարձրացման հետ, պետք է նպաստի երկարաժամկետ հարկաբյուջետային կայունությանը։ </w:t>
      </w:r>
    </w:p>
    <w:p w14:paraId="50F2F01C" w14:textId="77777777" w:rsidR="00F53DDF" w:rsidRPr="003C0BE5" w:rsidRDefault="00F53DDF" w:rsidP="00F53DDF">
      <w:pPr>
        <w:ind w:right="-22"/>
        <w:jc w:val="both"/>
        <w:rPr>
          <w:rFonts w:ascii="GHEA Grapalat" w:eastAsia="Times New Roman" w:hAnsi="GHEA Grapalat" w:cs="Times New Roman"/>
          <w:color w:val="auto"/>
          <w:lang w:val="hy-AM"/>
        </w:rPr>
      </w:pPr>
      <w:r w:rsidRPr="003C0BE5">
        <w:rPr>
          <w:rFonts w:ascii="GHEA Grapalat" w:hAnsi="GHEA Grapalat" w:cs="GHEA Grapalat"/>
          <w:bCs/>
          <w:color w:val="auto"/>
          <w:lang w:val="hy-AM"/>
        </w:rPr>
        <w:t>Հարկային քաղաքականություն։</w:t>
      </w:r>
      <w:r w:rsidRPr="003C0BE5">
        <w:rPr>
          <w:rFonts w:ascii="GHEA Grapalat" w:hAnsi="GHEA Grapalat" w:cs="GHEA Grapalat"/>
          <w:color w:val="auto"/>
          <w:lang w:val="hy-AM"/>
        </w:rPr>
        <w:t xml:space="preserve"> Հարկային քաղաքականությունը ուղղվում է տնտեսության ներդրումային գրավչության բարձրացմանն ու տնտեսական ակտիվության մակարդակի բարելավմանը՝ դրանով իսկ ստեղծելով կայուն նախադրյալներ՝ արտահանման և երկարաժամկետ տնտեսական աճի, հանրային բարիքի վերաբաշխման և հարկաբյուջետային կայունության ամրապնդման համար: Այս նպատակների իրականացման ուղղությամբ հարկային օրենսդրության բարելավման միջոցով կարևորվելու է ներդրողների համար արդար, ընկալելի և կանխատեսելի միջավայրի ձևավորումը: </w:t>
      </w:r>
    </w:p>
    <w:p w14:paraId="12F249A7" w14:textId="3B71627B" w:rsidR="00F53DDF" w:rsidRPr="003C0BE5" w:rsidRDefault="00F53DDF" w:rsidP="00F53DDF">
      <w:pPr>
        <w:jc w:val="both"/>
        <w:rPr>
          <w:rFonts w:ascii="GHEA Grapalat" w:eastAsia="Times New Roman" w:hAnsi="GHEA Grapalat" w:cs="Times New Roman"/>
          <w:color w:val="404040"/>
          <w:szCs w:val="20"/>
          <w:lang w:val="hy-AM"/>
        </w:rPr>
      </w:pPr>
      <w:r w:rsidRPr="003C0BE5">
        <w:rPr>
          <w:rFonts w:ascii="GHEA Grapalat" w:eastAsia="Calibri" w:hAnsi="GHEA Grapalat" w:cs="Sylfaen"/>
          <w:color w:val="auto"/>
          <w:lang w:val="hy-AM"/>
        </w:rPr>
        <w:t xml:space="preserve">Հարկային վարչարարության բարելավման, </w:t>
      </w:r>
      <w:r w:rsidRPr="003C0BE5">
        <w:rPr>
          <w:rFonts w:ascii="GHEA Grapalat" w:eastAsia="Times New Roman" w:hAnsi="GHEA Grapalat" w:cs="Times New Roman"/>
          <w:color w:val="404040"/>
          <w:szCs w:val="20"/>
          <w:lang w:val="hy-AM"/>
        </w:rPr>
        <w:t>ստվերի դեմ պայքարի, ինչպես նաև հարկային քաղաքականության միջոցառումների արդյունքում ակնկալվում է ապահովել հարկեր/ՀՆԱ հարաբերակցության շարունակական բարելավում՝ 2026թ.` 0.8, 2027թ.՝ 0.6, 2028-2029թթ.՝ կուտակային շուրջ 0.24 տոկոսային կետով, որի արդյունքում հարկեր/ՀՆԱ հարաբերակցությունը 2029թ. կգտնվի ներկա օրենսդրության և տնտեսական կառուցվածքի պայմաններում արդյունավետ հնարավորությունների տիրույթում՝  հասնելով 25.7%-ի։</w:t>
      </w:r>
      <w:r w:rsidRPr="003C0BE5">
        <w:rPr>
          <w:rFonts w:ascii="GHEA Grapalat" w:eastAsia="Times New Roman" w:hAnsi="GHEA Grapalat" w:cs="Times New Roman"/>
          <w:color w:val="C45911"/>
          <w:szCs w:val="20"/>
          <w:lang w:val="hy-AM"/>
        </w:rPr>
        <w:t xml:space="preserve"> </w:t>
      </w:r>
    </w:p>
    <w:p w14:paraId="74003939" w14:textId="77777777" w:rsidR="00F53DDF" w:rsidRPr="006A1839" w:rsidRDefault="00F53DDF" w:rsidP="00F53DDF">
      <w:pPr>
        <w:ind w:right="-22"/>
        <w:jc w:val="both"/>
        <w:rPr>
          <w:rFonts w:ascii="GHEA Grapalat" w:hAnsi="GHEA Grapalat" w:cs="GHEA Grapalat"/>
          <w:color w:val="000000" w:themeColor="text1"/>
          <w:lang w:val="hy-AM"/>
        </w:rPr>
      </w:pPr>
      <w:r w:rsidRPr="003C0BE5">
        <w:rPr>
          <w:rFonts w:ascii="GHEA Grapalat" w:hAnsi="GHEA Grapalat" w:cs="GHEA Grapalat"/>
          <w:bCs/>
          <w:color w:val="auto"/>
          <w:lang w:val="hy-AM"/>
        </w:rPr>
        <w:t>Ծախսային քաղաքականություն։</w:t>
      </w:r>
      <w:r w:rsidRPr="003C0BE5">
        <w:rPr>
          <w:rFonts w:ascii="GHEA Grapalat" w:hAnsi="GHEA Grapalat" w:cs="GHEA Grapalat"/>
          <w:color w:val="auto"/>
          <w:lang w:val="hy-AM"/>
        </w:rPr>
        <w:t xml:space="preserve"> Ծախսային քաղաքականության արդյունավետության բարձրացման տեսանկյունից կարևորվում է հանրային ֆինանսների նպատակային, խնայողաբար և արդյունավետ օգտագործումը: Ծախսերի նպատակայնության բարձրացման առումով անցում է կատարվելու ռազմավարական պլանավորման, իսկ ծախսային ծրագրերի արդյունավետության և օգտավետության բարձրացման նպատակով ներդրվելու է բյուջետային ծրագրերի արդյունավետության գնահատման </w:t>
      </w:r>
      <w:r w:rsidRPr="006A1839">
        <w:rPr>
          <w:rFonts w:ascii="GHEA Grapalat" w:hAnsi="GHEA Grapalat" w:cs="GHEA Grapalat"/>
          <w:color w:val="000000" w:themeColor="text1"/>
          <w:lang w:val="hy-AM"/>
        </w:rPr>
        <w:t xml:space="preserve">կանոնավոր գործընթաց: </w:t>
      </w:r>
    </w:p>
    <w:p w14:paraId="47A02A54" w14:textId="77777777" w:rsidR="00F53DDF" w:rsidRPr="006A1839" w:rsidRDefault="00F53DDF" w:rsidP="00F53DDF">
      <w:pPr>
        <w:jc w:val="both"/>
        <w:rPr>
          <w:rFonts w:ascii="GHEA Grapalat" w:eastAsia="Times New Roman" w:hAnsi="GHEA Grapalat" w:cs="Times New Roman"/>
          <w:color w:val="000000" w:themeColor="text1"/>
          <w:szCs w:val="20"/>
          <w:lang w:val="hy-AM"/>
        </w:rPr>
      </w:pPr>
      <w:r w:rsidRPr="006A1839">
        <w:rPr>
          <w:rFonts w:ascii="GHEA Grapalat" w:hAnsi="GHEA Grapalat" w:cs="GHEA Grapalat"/>
          <w:color w:val="000000" w:themeColor="text1"/>
          <w:lang w:val="hy-AM"/>
        </w:rPr>
        <w:t xml:space="preserve">Միջնաժամկետ հարկաբյուջետային շրջանակում ընթացիկ ծախսերը ՀՆԱ-ում կնվազեն հարկաբյուջետային կոնսոլիդացիա իրականացնելու նպատակադրումից </w:t>
      </w:r>
      <w:r w:rsidRPr="006A1839">
        <w:rPr>
          <w:rFonts w:ascii="GHEA Grapalat" w:eastAsia="Times New Roman" w:hAnsi="GHEA Grapalat" w:cs="Times New Roman"/>
          <w:color w:val="000000" w:themeColor="text1"/>
          <w:szCs w:val="20"/>
          <w:lang w:val="hy-AM"/>
        </w:rPr>
        <w:t>ելնելով, իսկ կապիտալ ծախսերը կկայունանան պատմական միջինից զգալիորեն բարձր մակարդակում՝ նպաստելով տնտեսական և անվտանգային ենթակառուցվածքների զարգացմանը։ Կապիտալ ծախսերի կշիռը ՀՆԱ-ում մինչև 2029թ</w:t>
      </w:r>
      <w:r w:rsidRPr="006A1839">
        <w:rPr>
          <w:rFonts w:ascii="Cambria Math" w:eastAsia="Times New Roman" w:hAnsi="Cambria Math" w:cs="Cambria Math"/>
          <w:color w:val="000000" w:themeColor="text1"/>
          <w:szCs w:val="20"/>
          <w:lang w:val="hy-AM"/>
        </w:rPr>
        <w:t>․</w:t>
      </w:r>
      <w:r w:rsidRPr="006A1839">
        <w:rPr>
          <w:rFonts w:ascii="GHEA Grapalat" w:eastAsia="Times New Roman" w:hAnsi="GHEA Grapalat" w:cs="Times New Roman"/>
          <w:color w:val="000000" w:themeColor="text1"/>
          <w:szCs w:val="20"/>
          <w:lang w:val="hy-AM"/>
        </w:rPr>
        <w:t xml:space="preserve"> կհասնի 5.9%-ի, իսկ ընթացիկ ծախսերի կշիռը 2026թ.-ի համար ակնկալվող 24.4% ցուցանիշից աստիճանաբար նվազելով՝ 2029թ</w:t>
      </w:r>
      <w:r w:rsidRPr="006A1839">
        <w:rPr>
          <w:rFonts w:ascii="Cambria Math" w:eastAsia="Times New Roman" w:hAnsi="Cambria Math" w:cs="Cambria Math"/>
          <w:color w:val="000000" w:themeColor="text1"/>
          <w:szCs w:val="20"/>
          <w:lang w:val="hy-AM"/>
        </w:rPr>
        <w:t>․</w:t>
      </w:r>
      <w:r w:rsidRPr="006A1839">
        <w:rPr>
          <w:rFonts w:ascii="GHEA Grapalat" w:eastAsia="Times New Roman" w:hAnsi="GHEA Grapalat" w:cs="Times New Roman"/>
          <w:color w:val="000000" w:themeColor="text1"/>
          <w:szCs w:val="20"/>
          <w:lang w:val="hy-AM"/>
        </w:rPr>
        <w:t xml:space="preserve">-ին կհասնի ՀՆԱ-ի 22.5%-ի։ </w:t>
      </w:r>
    </w:p>
    <w:p w14:paraId="38E8F72F" w14:textId="77777777" w:rsidR="00F53DDF" w:rsidRPr="005F2D0E" w:rsidRDefault="00F53DDF" w:rsidP="00985F8E">
      <w:pPr>
        <w:ind w:right="357"/>
        <w:jc w:val="both"/>
        <w:rPr>
          <w:rFonts w:ascii="GHEA Grapalat" w:hAnsi="GHEA Grapalat" w:cs="GHEA Grapalat"/>
          <w:lang w:val="hy-AM"/>
        </w:rPr>
      </w:pPr>
    </w:p>
    <w:p w14:paraId="4DC89171" w14:textId="77777777" w:rsidR="00985F8E" w:rsidRDefault="00985F8E" w:rsidP="00985F8E">
      <w:pPr>
        <w:ind w:right="357"/>
        <w:jc w:val="both"/>
        <w:rPr>
          <w:rFonts w:ascii="GHEA Grapalat" w:hAnsi="GHEA Grapalat" w:cs="GHEA Grapalat"/>
          <w:lang w:val="hy-AM"/>
        </w:rPr>
      </w:pPr>
    </w:p>
    <w:p w14:paraId="3B8AC2DC" w14:textId="5FC248D8" w:rsidR="00985F8E" w:rsidRPr="00763057" w:rsidRDefault="00985F8E" w:rsidP="0001052C">
      <w:pPr>
        <w:pStyle w:val="BodytextBullets"/>
        <w:numPr>
          <w:ilvl w:val="0"/>
          <w:numId w:val="0"/>
        </w:numPr>
        <w:ind w:right="-22"/>
        <w:rPr>
          <w:rFonts w:eastAsia="Times New Roman" w:cs="Arial"/>
          <w:bCs/>
          <w:szCs w:val="22"/>
          <w:lang w:val="hy-AM"/>
        </w:rPr>
      </w:pPr>
    </w:p>
    <w:p w14:paraId="1533DAA7" w14:textId="77777777" w:rsidR="00305291" w:rsidRPr="000232DD" w:rsidRDefault="00305291" w:rsidP="00082769">
      <w:pPr>
        <w:ind w:right="-22"/>
        <w:jc w:val="both"/>
        <w:rPr>
          <w:rFonts w:ascii="GHEA Grapalat" w:hAnsi="GHEA Grapalat" w:cs="GHEA Grapalat"/>
          <w:color w:val="auto"/>
          <w:lang w:val="hy-AM"/>
        </w:rPr>
      </w:pPr>
      <w:r w:rsidRPr="000232DD">
        <w:rPr>
          <w:rFonts w:ascii="GHEA Grapalat" w:hAnsi="GHEA Grapalat" w:cs="GHEA Grapalat"/>
          <w:color w:val="auto"/>
          <w:lang w:val="hy-AM"/>
        </w:rPr>
        <w:br w:type="page"/>
      </w:r>
    </w:p>
    <w:bookmarkStart w:id="70" w:name="_Toc178611132"/>
    <w:bookmarkStart w:id="71" w:name="_Toc178611272"/>
    <w:bookmarkStart w:id="72" w:name="_Toc178611480"/>
    <w:bookmarkStart w:id="73" w:name="_Toc178612064"/>
    <w:bookmarkStart w:id="74" w:name="_Toc183785473"/>
    <w:bookmarkStart w:id="75" w:name="_Toc183787218"/>
    <w:bookmarkStart w:id="76" w:name="_Toc183801048"/>
    <w:bookmarkStart w:id="77" w:name="_Toc209625745"/>
    <w:bookmarkEnd w:id="55"/>
    <w:bookmarkEnd w:id="56"/>
    <w:p w14:paraId="2F2CB956" w14:textId="3DC0AF14" w:rsidR="00305291" w:rsidRPr="000232DD" w:rsidRDefault="004F203B" w:rsidP="00A5045E">
      <w:pPr>
        <w:spacing w:line="278" w:lineRule="auto"/>
        <w:ind w:right="-22"/>
        <w:rPr>
          <w:color w:val="auto"/>
          <w:lang w:val="hy-AM"/>
        </w:rPr>
      </w:pPr>
      <w:r w:rsidRPr="000232DD">
        <w:rPr>
          <w:noProof/>
          <w:color w:val="auto"/>
        </w:rPr>
        <mc:AlternateContent>
          <mc:Choice Requires="wps">
            <w:drawing>
              <wp:anchor distT="0" distB="0" distL="114300" distR="114300" simplePos="0" relativeHeight="251683840" behindDoc="0" locked="0" layoutInCell="1" allowOverlap="1" wp14:anchorId="255B620A" wp14:editId="70E68670">
                <wp:simplePos x="0" y="0"/>
                <wp:positionH relativeFrom="page">
                  <wp:posOffset>38100</wp:posOffset>
                </wp:positionH>
                <wp:positionV relativeFrom="paragraph">
                  <wp:posOffset>-640080</wp:posOffset>
                </wp:positionV>
                <wp:extent cx="7957185" cy="4562475"/>
                <wp:effectExtent l="0" t="0" r="5715" b="9525"/>
                <wp:wrapNone/>
                <wp:docPr id="16120835" name="Rectangle 16120835"/>
                <wp:cNvGraphicFramePr/>
                <a:graphic xmlns:a="http://schemas.openxmlformats.org/drawingml/2006/main">
                  <a:graphicData uri="http://schemas.microsoft.com/office/word/2010/wordprocessingShape">
                    <wps:wsp>
                      <wps:cNvSpPr/>
                      <wps:spPr>
                        <a:xfrm>
                          <a:off x="0" y="0"/>
                          <a:ext cx="7957185" cy="4562475"/>
                        </a:xfrm>
                        <a:prstGeom prst="rect">
                          <a:avLst/>
                        </a:prstGeom>
                        <a:solidFill>
                          <a:srgbClr val="44546A">
                            <a:alpha val="9607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C2F1AF2" id="Rectangle 16120835" o:spid="_x0000_s1026" style="position:absolute;margin-left:3pt;margin-top:-50.4pt;width:626.55pt;height:359.2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" fillcolor="#44546a" stroked="f" strokeweight="1pt">
                <v:fill opacity="62965f"/>
                <w10:wrap anchorx="page"/>
              </v:rect>
            </w:pict>
          </mc:Fallback>
        </mc:AlternateContent>
      </w:r>
      <w:bookmarkEnd w:id="70"/>
      <w:bookmarkEnd w:id="71"/>
      <w:bookmarkEnd w:id="72"/>
      <w:bookmarkEnd w:id="73"/>
      <w:bookmarkEnd w:id="74"/>
      <w:bookmarkEnd w:id="75"/>
      <w:bookmarkEnd w:id="76"/>
      <w:bookmarkEnd w:id="77"/>
    </w:p>
    <w:p w14:paraId="18C1933B" w14:textId="2EC9871D" w:rsidR="00305291" w:rsidRPr="000232DD" w:rsidRDefault="00305291" w:rsidP="00082769">
      <w:pPr>
        <w:ind w:right="-22"/>
        <w:rPr>
          <w:color w:val="auto"/>
          <w:lang w:val="hy-AM"/>
        </w:rPr>
      </w:pPr>
    </w:p>
    <w:p w14:paraId="3201122A" w14:textId="062B1491" w:rsidR="00305291" w:rsidRPr="000232DD" w:rsidRDefault="00305291" w:rsidP="00082769">
      <w:pPr>
        <w:spacing w:before="0" w:after="160" w:line="278" w:lineRule="auto"/>
        <w:ind w:right="-22"/>
        <w:rPr>
          <w:color w:val="auto"/>
          <w:lang w:val="hy-AM"/>
        </w:rPr>
      </w:pPr>
    </w:p>
    <w:p w14:paraId="4F9A096C" w14:textId="6B073265" w:rsidR="00305291" w:rsidRPr="000232DD" w:rsidRDefault="00305291" w:rsidP="00082769">
      <w:pPr>
        <w:spacing w:before="0" w:after="160" w:line="278" w:lineRule="auto"/>
        <w:ind w:right="-22"/>
        <w:rPr>
          <w:color w:val="auto"/>
          <w:lang w:val="hy-AM"/>
        </w:rPr>
      </w:pPr>
    </w:p>
    <w:p w14:paraId="1DCC1DBC" w14:textId="700E4D09" w:rsidR="00305291" w:rsidRPr="000232DD" w:rsidRDefault="00305291" w:rsidP="00082769">
      <w:pPr>
        <w:ind w:right="-22"/>
        <w:rPr>
          <w:color w:val="auto"/>
          <w:lang w:val="hy-AM"/>
        </w:rPr>
      </w:pPr>
    </w:p>
    <w:p w14:paraId="0EE506FC" w14:textId="59F09E43" w:rsidR="00507805" w:rsidRPr="004F203B" w:rsidRDefault="00507805" w:rsidP="004F203B">
      <w:pPr>
        <w:ind w:right="-22"/>
        <w:jc w:val="both"/>
        <w:rPr>
          <w:rFonts w:ascii="GHEA Grapalat" w:hAnsi="GHEA Grapalat" w:cs="GHEA Grapalat"/>
          <w:color w:val="000000" w:themeColor="text1"/>
          <w:lang w:val="hy-AM"/>
        </w:rPr>
      </w:pPr>
      <w:bookmarkStart w:id="78" w:name="_Toc209625766"/>
      <w:bookmarkStart w:id="79" w:name="_Toc209625767"/>
    </w:p>
    <w:p w14:paraId="207B9466" w14:textId="407F7276" w:rsidR="004F203B" w:rsidRPr="004F203B" w:rsidRDefault="004F203B" w:rsidP="004F203B">
      <w:pPr>
        <w:ind w:right="-22"/>
        <w:jc w:val="both"/>
        <w:rPr>
          <w:rFonts w:ascii="GHEA Grapalat" w:hAnsi="GHEA Grapalat" w:cs="GHEA Grapalat"/>
          <w:color w:val="000000" w:themeColor="text1"/>
          <w:lang w:val="hy-AM"/>
        </w:rPr>
      </w:pPr>
      <w:bookmarkStart w:id="80" w:name="_Toc178356542"/>
      <w:bookmarkStart w:id="81" w:name="_Toc153184442"/>
      <w:bookmarkStart w:id="82" w:name="_Toc83567431"/>
      <w:bookmarkStart w:id="83" w:name="_Toc26174883"/>
      <w:bookmarkStart w:id="84" w:name="_Toc183801051"/>
      <w:bookmarkStart w:id="85" w:name="_Toc241367596"/>
      <w:bookmarkStart w:id="86" w:name="_Toc241367767"/>
    </w:p>
    <w:p w14:paraId="49855EF6" w14:textId="6BFB1DCC" w:rsidR="004F203B" w:rsidRPr="004F203B" w:rsidRDefault="004F203B" w:rsidP="004F203B">
      <w:pPr>
        <w:ind w:right="-22"/>
        <w:jc w:val="both"/>
        <w:rPr>
          <w:rFonts w:ascii="GHEA Grapalat" w:hAnsi="GHEA Grapalat" w:cs="GHEA Grapalat"/>
          <w:color w:val="000000" w:themeColor="text1"/>
          <w:lang w:val="hy-AM"/>
        </w:rPr>
      </w:pPr>
    </w:p>
    <w:p w14:paraId="2DAD7FF9" w14:textId="0F147077" w:rsidR="004F203B" w:rsidRPr="004F203B" w:rsidRDefault="004F203B" w:rsidP="004F203B">
      <w:pPr>
        <w:ind w:right="-22"/>
        <w:jc w:val="both"/>
        <w:rPr>
          <w:rFonts w:ascii="GHEA Grapalat" w:hAnsi="GHEA Grapalat" w:cs="GHEA Grapalat"/>
          <w:color w:val="000000" w:themeColor="text1"/>
          <w:lang w:val="hy-AM"/>
        </w:rPr>
      </w:pPr>
    </w:p>
    <w:bookmarkStart w:id="87" w:name="_Toc178604099"/>
    <w:bookmarkStart w:id="88" w:name="_Toc178611133"/>
    <w:bookmarkStart w:id="89" w:name="_Toc178611273"/>
    <w:bookmarkStart w:id="90" w:name="_Toc178611481"/>
    <w:bookmarkStart w:id="91" w:name="_Toc178612065"/>
    <w:bookmarkStart w:id="92" w:name="_Toc183785475"/>
    <w:bookmarkStart w:id="93" w:name="_Toc183787220"/>
    <w:bookmarkStart w:id="94" w:name="_Toc183801050"/>
    <w:bookmarkStart w:id="95" w:name="_Toc209625746"/>
    <w:bookmarkStart w:id="96" w:name="_Toc241367595"/>
    <w:bookmarkStart w:id="97" w:name="_Toc241367766"/>
    <w:bookmarkStart w:id="98" w:name="_Toc241401405"/>
    <w:bookmarkStart w:id="99" w:name="_Toc241608204"/>
    <w:bookmarkStart w:id="100" w:name="_Toc241661541"/>
    <w:bookmarkStart w:id="101" w:name="_Toc241661612"/>
    <w:p w14:paraId="21756635" w14:textId="1BB30609" w:rsidR="004F203B" w:rsidRPr="004F203B" w:rsidRDefault="004F203B" w:rsidP="004F203B">
      <w:pPr>
        <w:ind w:right="-22"/>
        <w:jc w:val="both"/>
        <w:rPr>
          <w:rFonts w:ascii="GHEA Grapalat" w:hAnsi="GHEA Grapalat" w:cs="GHEA Grapalat"/>
          <w:color w:val="000000" w:themeColor="text1"/>
          <w:lang w:val="hy-AM"/>
        </w:rPr>
      </w:pPr>
      <w:r w:rsidRPr="004F203B">
        <w:rPr>
          <w:rFonts w:ascii="GHEA Grapalat" w:hAnsi="GHEA Grapalat" w:cs="GHEA Grapalat"/>
          <w:noProof/>
          <w:color w:val="000000" w:themeColor="text1"/>
        </w:rPr>
        <mc:AlternateContent>
          <mc:Choice Requires="wps">
            <w:drawing>
              <wp:anchor distT="0" distB="0" distL="114300" distR="114300" simplePos="0" relativeHeight="251685888" behindDoc="0" locked="0" layoutInCell="1" allowOverlap="1" wp14:anchorId="7FC105CC" wp14:editId="598770CD">
                <wp:simplePos x="0" y="0"/>
                <wp:positionH relativeFrom="page">
                  <wp:posOffset>333375</wp:posOffset>
                </wp:positionH>
                <wp:positionV relativeFrom="paragraph">
                  <wp:posOffset>119380</wp:posOffset>
                </wp:positionV>
                <wp:extent cx="7362825" cy="2085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362825" cy="2085975"/>
                        </a:xfrm>
                        <a:prstGeom prst="rect">
                          <a:avLst/>
                        </a:prstGeom>
                        <a:noFill/>
                        <a:ln w="6350">
                          <a:noFill/>
                        </a:ln>
                      </wps:spPr>
                      <wps:txbx>
                        <w:txbxContent>
                          <w:p w14:paraId="46DFF53D" w14:textId="77777777" w:rsidR="006C6FF6" w:rsidRPr="003A4CA5" w:rsidRDefault="006C6FF6" w:rsidP="003425D0">
                            <w:pPr>
                              <w:pStyle w:val="TOC1"/>
                              <w:rPr>
                                <w:lang w:val="hy-AM"/>
                              </w:rPr>
                            </w:pPr>
                            <w:bookmarkStart w:id="102" w:name="_Toc209625747"/>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ՀԻՄՆԱԿԱՆ ՈՒՂՂՈՒԹՅՈՒՆՆԵՐԻ ՄԱՍԻՆ</w:t>
                            </w:r>
                            <w:bookmarkEnd w:id="1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FC105CC" id="Text Box 29" o:spid="_x0000_s1031" type="#_x0000_t202" style="position:absolute;left:0;text-align:left;margin-left:26.25pt;margin-top:9.4pt;width:579.75pt;height:164.2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" filled="f" stroked="f" strokeweight=".5pt">
                <v:textbox>
                  <w:txbxContent>
                    <w:p w14:paraId="46DFF53D" w14:textId="77777777" w:rsidR="006C6FF6" w:rsidRPr="003A4CA5" w:rsidRDefault="006C6FF6" w:rsidP="003425D0">
                      <w:pPr>
                        <w:pStyle w:val="TOC1"/>
                        <w:rPr>
                          <w:lang w:val="hy-AM"/>
                        </w:rPr>
                      </w:pPr>
                      <w:bookmarkStart w:id="146" w:name="_Toc209625747"/>
                      <w:r w:rsidRPr="00A72B0A">
                        <w:rPr>
                          <w:color w:val="FFFFFF" w:themeColor="background1"/>
                          <w:lang w:val="hy-AM"/>
                        </w:rPr>
                        <w:t xml:space="preserve">ՄԱՍ I: ՍՈՑԻԱԼ-ՏՆՏԵՍԱԿԱՆ ԶԱՐԳԱՑՄԱՆ, ՄԱԿՐՈՏՆՏԵՍԱԿԱՆ ԶԱՐԳԱՑՄԱՆ ԵՎ ՀԱՐԿԱԲՅՈՒՋԵՏԱՅԻՆ ՔԱՂԱՔԱԿԱՆՈՒԹՅԱՆ </w:t>
                      </w:r>
                      <w:r w:rsidRPr="003A4CA5">
                        <w:rPr>
                          <w:color w:val="auto"/>
                          <w:lang w:val="hy-AM"/>
                        </w:rPr>
                        <w:t>ՀԻՄՆԱԿԱՆ ՈՒՂՂՈՒԹՅՈՒՆՆԵՐԻ ՄԱՍԻՆ</w:t>
                      </w:r>
                      <w:bookmarkEnd w:id="146"/>
                    </w:p>
                  </w:txbxContent>
                </v:textbox>
                <w10:wrap anchorx="page"/>
              </v:shape>
            </w:pict>
          </mc:Fallback>
        </mc:AlternateConten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sidRPr="004F203B">
        <w:rPr>
          <w:rFonts w:ascii="GHEA Grapalat" w:hAnsi="GHEA Grapalat" w:cs="GHEA Grapalat"/>
          <w:color w:val="000000" w:themeColor="text1"/>
          <w:lang w:val="hy-AM"/>
        </w:rPr>
        <w:br w:type="page"/>
      </w:r>
    </w:p>
    <w:p w14:paraId="4B838047" w14:textId="74133F6E" w:rsidR="003425D0" w:rsidRPr="000232DD" w:rsidRDefault="003425D0" w:rsidP="00082769">
      <w:pPr>
        <w:ind w:right="-22"/>
        <w:outlineLvl w:val="0"/>
        <w:rPr>
          <w:rFonts w:ascii="GHEA Grapalat" w:eastAsia="Times New Roman" w:hAnsi="GHEA Grapalat" w:cs="Times New Roman"/>
          <w:b/>
          <w:color w:val="auto"/>
          <w:sz w:val="30"/>
          <w:szCs w:val="20"/>
          <w:lang w:val="hy-AM"/>
        </w:rPr>
      </w:pPr>
      <w:bookmarkStart w:id="103" w:name="_Toc241687654"/>
      <w:r w:rsidRPr="000232DD">
        <w:rPr>
          <w:rFonts w:ascii="GHEA Grapalat" w:eastAsia="Times New Roman" w:hAnsi="GHEA Grapalat" w:cs="Times New Roman"/>
          <w:b/>
          <w:color w:val="auto"/>
          <w:sz w:val="30"/>
          <w:szCs w:val="20"/>
          <w:lang w:val="hy-AM"/>
        </w:rPr>
        <w:t>ՄԱՍ I-Ա. 202</w:t>
      </w:r>
      <w:r w:rsidR="003956E9">
        <w:rPr>
          <w:rFonts w:ascii="GHEA Grapalat" w:eastAsia="Times New Roman" w:hAnsi="GHEA Grapalat" w:cs="Times New Roman"/>
          <w:b/>
          <w:color w:val="auto"/>
          <w:sz w:val="30"/>
          <w:szCs w:val="20"/>
          <w:lang w:val="hy-AM"/>
        </w:rPr>
        <w:t>7</w:t>
      </w:r>
      <w:r w:rsidRPr="000232DD">
        <w:rPr>
          <w:rFonts w:ascii="GHEA Grapalat" w:eastAsia="Times New Roman" w:hAnsi="GHEA Grapalat" w:cs="Times New Roman"/>
          <w:b/>
          <w:color w:val="auto"/>
          <w:sz w:val="30"/>
          <w:szCs w:val="20"/>
          <w:lang w:val="hy-AM"/>
        </w:rPr>
        <w:t xml:space="preserve"> ԹՎԱԿԱՆԻ ՍՈՑԻԱԼ-ՏՆՏԵՍԱԿԱՆ ԶԱՐԳԱՑՄԱՆ ՀԻՄՆԱԿԱՆ ՈՒՂՂՈՒԹՅՈՒՆՆԵՐԸ</w:t>
      </w:r>
      <w:bookmarkEnd w:id="80"/>
      <w:bookmarkEnd w:id="81"/>
      <w:bookmarkEnd w:id="82"/>
      <w:bookmarkEnd w:id="83"/>
      <w:bookmarkEnd w:id="84"/>
      <w:bookmarkEnd w:id="85"/>
      <w:bookmarkEnd w:id="86"/>
      <w:bookmarkEnd w:id="103"/>
    </w:p>
    <w:p w14:paraId="62DFF4EF" w14:textId="6FF051AE" w:rsidR="00FA08BF" w:rsidRPr="001C366A" w:rsidRDefault="00FA08BF" w:rsidP="00082769">
      <w:pPr>
        <w:pBdr>
          <w:bottom w:val="single" w:sz="12" w:space="1" w:color="C3C3C7"/>
        </w:pBdr>
        <w:spacing w:before="480" w:after="360"/>
        <w:ind w:right="-22"/>
        <w:outlineLvl w:val="1"/>
        <w:rPr>
          <w:rFonts w:ascii="GHEA Grapalat" w:eastAsia="Times New Roman" w:hAnsi="GHEA Grapalat" w:cs="Times New Roman"/>
          <w:color w:val="A5A6AC"/>
          <w:sz w:val="28"/>
          <w:szCs w:val="20"/>
          <w:lang w:val="hy-AM"/>
        </w:rPr>
      </w:pPr>
      <w:bookmarkStart w:id="104" w:name="_Toc241367597"/>
      <w:bookmarkStart w:id="105" w:name="_Toc241367768"/>
      <w:bookmarkStart w:id="106" w:name="_Toc241687655"/>
      <w:r w:rsidRPr="001C366A">
        <w:rPr>
          <w:rFonts w:ascii="GHEA Grapalat" w:eastAsia="Times New Roman" w:hAnsi="GHEA Grapalat" w:cs="Times New Roman"/>
          <w:color w:val="A5A6AC"/>
          <w:sz w:val="28"/>
          <w:szCs w:val="20"/>
          <w:lang w:val="hy-AM"/>
        </w:rPr>
        <w:t>202</w:t>
      </w:r>
      <w:r w:rsidR="003956E9" w:rsidRPr="001C366A">
        <w:rPr>
          <w:rFonts w:ascii="GHEA Grapalat" w:eastAsia="Times New Roman" w:hAnsi="GHEA Grapalat" w:cs="Times New Roman"/>
          <w:color w:val="A5A6AC"/>
          <w:sz w:val="28"/>
          <w:szCs w:val="20"/>
          <w:lang w:val="hy-AM"/>
        </w:rPr>
        <w:t>7</w:t>
      </w:r>
      <w:r w:rsidRPr="001C366A">
        <w:rPr>
          <w:rFonts w:ascii="GHEA Grapalat" w:eastAsia="Times New Roman" w:hAnsi="GHEA Grapalat" w:cs="Times New Roman"/>
          <w:color w:val="A5A6AC"/>
          <w:sz w:val="28"/>
          <w:szCs w:val="20"/>
          <w:lang w:val="hy-AM"/>
        </w:rPr>
        <w:t xml:space="preserve"> ԹՎԱԿԱՆԻ ՍՈՑԻԱԼ-ՏՆՏԵՍԱԿԱՆ ԶԱՐԳԱՑՄԱՆ ՀԻՄՆԱԿԱՆ ՈՒՂՂՈՒԹՅՈՒՆՆԵՐԸ</w:t>
      </w:r>
      <w:bookmarkEnd w:id="104"/>
      <w:bookmarkEnd w:id="105"/>
      <w:bookmarkEnd w:id="106"/>
    </w:p>
    <w:p w14:paraId="166D2651" w14:textId="77777777" w:rsidR="007018D1" w:rsidRPr="000232DD" w:rsidRDefault="007018D1" w:rsidP="00082769">
      <w:pPr>
        <w:pStyle w:val="isselectedend"/>
        <w:spacing w:before="120" w:beforeAutospacing="0" w:after="120" w:afterAutospacing="0" w:line="276" w:lineRule="auto"/>
        <w:ind w:right="-22"/>
        <w:jc w:val="both"/>
        <w:rPr>
          <w:rFonts w:ascii="GHEA Grapalat" w:hAnsi="GHEA Grapalat"/>
          <w:sz w:val="22"/>
          <w:szCs w:val="20"/>
          <w:lang w:val="hy-AM"/>
        </w:rPr>
      </w:pPr>
      <w:r w:rsidRPr="000232DD">
        <w:rPr>
          <w:rFonts w:ascii="GHEA Grapalat" w:hAnsi="GHEA Grapalat"/>
          <w:sz w:val="22"/>
          <w:szCs w:val="20"/>
          <w:lang w:val="hy-AM"/>
        </w:rPr>
        <w:t>2027 թվականի պետական բյուջեի սոցիալ-տնտեսական ուղղվածությունը ձևավորվել է տնտեսական աճի ներուժի ընդլայնման, մարդկային կապիտալի զարգացման, սոցիալական պաշտպանության արդյունավետության բարձրացման և հանրային ծառայությունների որակի ու հասանելիության բարելավման նպատակների համադրմամբ։</w:t>
      </w:r>
    </w:p>
    <w:p w14:paraId="7463B442" w14:textId="77777777" w:rsidR="007018D1" w:rsidRPr="000232DD" w:rsidRDefault="007018D1" w:rsidP="00082769">
      <w:pPr>
        <w:pStyle w:val="isselectedend"/>
        <w:spacing w:before="120" w:beforeAutospacing="0" w:after="120" w:afterAutospacing="0" w:line="276" w:lineRule="auto"/>
        <w:ind w:right="-22"/>
        <w:jc w:val="both"/>
        <w:rPr>
          <w:rFonts w:ascii="GHEA Grapalat" w:hAnsi="GHEA Grapalat"/>
          <w:sz w:val="22"/>
          <w:szCs w:val="20"/>
          <w:lang w:val="hy-AM"/>
        </w:rPr>
      </w:pPr>
      <w:r w:rsidRPr="000232DD">
        <w:rPr>
          <w:rFonts w:ascii="GHEA Grapalat" w:hAnsi="GHEA Grapalat"/>
          <w:sz w:val="22"/>
          <w:szCs w:val="20"/>
          <w:lang w:val="hy-AM"/>
        </w:rPr>
        <w:t>Բյուջետային քաղաքականության շրջանակում առաջնահերթություն է տրվում այն ծրագրերի և միջոցառումների ֆինանսավորմանը, որոնք ունեն տնտեսական աճը, զբաղվածությունը, արտադրողականությունը և բնակչության եկամուտների աճը խթանող ազդեցություն։ Այս համատեքստում կարևորվում է կապիտալ և ենթակառուցվածքային ծրագրերի, կրթության, առողջապահության, զբաղվածության և մասնագիտական կարողությունների զարգացման ուղղություններով ծախսերի արդյունավետ իրականացումը։</w:t>
      </w:r>
    </w:p>
    <w:p w14:paraId="30074914" w14:textId="77777777" w:rsidR="007018D1" w:rsidRPr="000232DD" w:rsidRDefault="007018D1" w:rsidP="00082769">
      <w:pPr>
        <w:pStyle w:val="isselectedend"/>
        <w:spacing w:before="120" w:beforeAutospacing="0" w:after="120" w:afterAutospacing="0" w:line="276" w:lineRule="auto"/>
        <w:ind w:right="-22"/>
        <w:jc w:val="both"/>
        <w:rPr>
          <w:rFonts w:ascii="GHEA Grapalat" w:hAnsi="GHEA Grapalat"/>
          <w:sz w:val="22"/>
          <w:szCs w:val="20"/>
          <w:lang w:val="hy-AM"/>
        </w:rPr>
      </w:pPr>
      <w:r w:rsidRPr="000232DD">
        <w:rPr>
          <w:rFonts w:ascii="GHEA Grapalat" w:hAnsi="GHEA Grapalat"/>
          <w:sz w:val="22"/>
          <w:szCs w:val="20"/>
          <w:lang w:val="hy-AM"/>
        </w:rPr>
        <w:t>Սոցիալական ոլորտում 2027 թվականի բյուջետային քաղաքականությունն ուղղված է սոցիալական աջակցության և պաշտպանության համակարգերի հասցեականության ու արդյունավետության բարձրացմանը, սոցիալապես խոցելի խմբերի պաշտպանության ապահովմանը, ինչպես նաև սոցիալական ծրագրերի և զբաղվածության քաղաքականության միջև փոխկապակցվածության ուժեղացմանը։ Սոցիալական ծախսերի պլանավորման ընթացքում կարևորվում է ոչ միայն տրամադրվող աջակցության ծավալը, այլև դրա ազդեցությունը շահառուների սոցիալական և տնտեսական վիճակի վրա։</w:t>
      </w:r>
    </w:p>
    <w:p w14:paraId="228B5CE8" w14:textId="77777777" w:rsidR="007018D1" w:rsidRPr="000232DD" w:rsidRDefault="007018D1" w:rsidP="00082769">
      <w:pPr>
        <w:pStyle w:val="isselectedend"/>
        <w:spacing w:before="120" w:beforeAutospacing="0" w:after="120" w:afterAutospacing="0" w:line="276" w:lineRule="auto"/>
        <w:ind w:right="-22"/>
        <w:jc w:val="both"/>
        <w:rPr>
          <w:rFonts w:ascii="GHEA Grapalat" w:hAnsi="GHEA Grapalat"/>
          <w:sz w:val="22"/>
          <w:szCs w:val="20"/>
          <w:lang w:val="hy-AM"/>
        </w:rPr>
      </w:pPr>
      <w:r w:rsidRPr="000232DD">
        <w:rPr>
          <w:rFonts w:ascii="GHEA Grapalat" w:hAnsi="GHEA Grapalat"/>
          <w:sz w:val="22"/>
          <w:szCs w:val="20"/>
          <w:lang w:val="hy-AM"/>
        </w:rPr>
        <w:t>Մարդկային կապիտալի զարգացման ուղղությամբ բյուջետային հատկացումները նպատակ ունեն բարձրացնելու կրթական և առողջապահական ծառայությունների որակն ու հասանելիությունը, բարելավելու աշխատանքի շուկայի պահանջներին համապատասխան հմտությունների ձևավորումը և նպաստելու աշխատուժի արտադրողականության աճին։ Նշված ծախսերը դիտարկվում են որպես երկարաժամկետ տնտեսական աճի և սոցիալական կայունության ապահովման կարևոր նախադրյալ։</w:t>
      </w:r>
    </w:p>
    <w:p w14:paraId="5778058C" w14:textId="77777777" w:rsidR="007018D1" w:rsidRPr="000232DD" w:rsidRDefault="007018D1" w:rsidP="00082769">
      <w:pPr>
        <w:pStyle w:val="isselectedend"/>
        <w:spacing w:before="120" w:beforeAutospacing="0" w:after="120" w:afterAutospacing="0" w:line="276" w:lineRule="auto"/>
        <w:ind w:right="-22"/>
        <w:jc w:val="both"/>
        <w:rPr>
          <w:rFonts w:ascii="GHEA Grapalat" w:hAnsi="GHEA Grapalat"/>
          <w:sz w:val="22"/>
          <w:szCs w:val="20"/>
          <w:lang w:val="hy-AM"/>
        </w:rPr>
      </w:pPr>
      <w:r w:rsidRPr="000232DD">
        <w:rPr>
          <w:rFonts w:ascii="GHEA Grapalat" w:hAnsi="GHEA Grapalat"/>
          <w:sz w:val="22"/>
          <w:szCs w:val="20"/>
          <w:lang w:val="hy-AM"/>
        </w:rPr>
        <w:t>Տարածքային զարգացման տեսանկյունից բյուջետային քաղաքականությունը նպատակաուղղված է հանրային ծառայությունների և ենթակառուցվածքների հասանելիության տարածքային անհամաչափությունների մեղմմանը և համայնքների սոցիալ-տնտեսական զարգացման հնարավորությունների ընդլայնմանը՝ պետական աջակցության գործիքների արդյունավետ կիրառման միջոցով։</w:t>
      </w:r>
    </w:p>
    <w:p w14:paraId="3279C0D3" w14:textId="77777777" w:rsidR="007018D1" w:rsidRPr="000F3751" w:rsidRDefault="007018D1" w:rsidP="00082769">
      <w:pPr>
        <w:pStyle w:val="isselectedend"/>
        <w:spacing w:before="120" w:beforeAutospacing="0" w:after="120" w:afterAutospacing="0" w:line="276" w:lineRule="auto"/>
        <w:ind w:right="-22"/>
        <w:jc w:val="both"/>
        <w:rPr>
          <w:rFonts w:ascii="GHEA Grapalat" w:hAnsi="GHEA Grapalat"/>
          <w:sz w:val="22"/>
          <w:szCs w:val="22"/>
          <w:lang w:val="hy-AM"/>
        </w:rPr>
      </w:pPr>
      <w:r w:rsidRPr="000232DD">
        <w:rPr>
          <w:rFonts w:ascii="GHEA Grapalat" w:hAnsi="GHEA Grapalat"/>
          <w:sz w:val="22"/>
          <w:szCs w:val="20"/>
          <w:lang w:val="hy-AM"/>
        </w:rPr>
        <w:t xml:space="preserve">2027 թվականի պետական բյուջեի սոցիալ-տնտեսական քաղաքականությունը կիրականացվի պետական ծախսերի արդյունքայնության բարձրացման, բյուջետային ծրագրերի նպատակների և </w:t>
      </w:r>
      <w:r w:rsidRPr="000F3751">
        <w:rPr>
          <w:rFonts w:ascii="GHEA Grapalat" w:hAnsi="GHEA Grapalat"/>
          <w:sz w:val="22"/>
          <w:szCs w:val="22"/>
          <w:lang w:val="hy-AM"/>
        </w:rPr>
        <w:t>արդյունքային ցուցանիշների հստակեցման, ինչպես նաև ծախսային որոշումների սոցիալ-տնտեսական ազդեցության գնահատման սկզբունքների հիման վրա։</w:t>
      </w:r>
    </w:p>
    <w:p w14:paraId="03E726E3" w14:textId="77777777" w:rsidR="007018D1" w:rsidRPr="000F3751" w:rsidRDefault="007018D1" w:rsidP="00082769">
      <w:pPr>
        <w:pStyle w:val="NormalWeb"/>
        <w:spacing w:before="120" w:beforeAutospacing="0" w:after="120" w:afterAutospacing="0" w:line="276" w:lineRule="auto"/>
        <w:ind w:right="-22"/>
        <w:jc w:val="both"/>
        <w:rPr>
          <w:rFonts w:ascii="GHEA Grapalat" w:hAnsi="GHEA Grapalat"/>
          <w:sz w:val="22"/>
          <w:szCs w:val="22"/>
          <w:lang w:val="hy-AM" w:eastAsia="en-US"/>
        </w:rPr>
      </w:pPr>
      <w:r w:rsidRPr="000F3751">
        <w:rPr>
          <w:rFonts w:ascii="GHEA Grapalat" w:hAnsi="GHEA Grapalat"/>
          <w:sz w:val="22"/>
          <w:szCs w:val="22"/>
          <w:lang w:val="hy-AM" w:eastAsia="en-US"/>
        </w:rPr>
        <w:t>Այսպիսով, 2027 թվականի պետական բյուջեի սոցիալ-տնտեսական ուղղվածությունը նպատակ ունի ապահովելու տնտեսական զարգացման և սոցիալական քաղաքականության ավելի սերտ փոխկապակցվածություն՝ պետական ֆինանսական ռեսուրսներն ուղղելով այնպիսի ծրագրերի, որոնք ստեղծում են առավել մեծ և կայուն սոցիալ-տնտեսական արդյունք։</w:t>
      </w:r>
    </w:p>
    <w:p w14:paraId="3C0FEB7E" w14:textId="574D6C61" w:rsidR="00F53DDF" w:rsidRPr="0010028E" w:rsidRDefault="00F53DDF" w:rsidP="000F3751">
      <w:pPr>
        <w:pStyle w:val="NormalWeb"/>
        <w:spacing w:before="120" w:beforeAutospacing="0" w:after="120" w:afterAutospacing="0" w:line="276" w:lineRule="auto"/>
        <w:ind w:right="-22"/>
        <w:jc w:val="both"/>
        <w:rPr>
          <w:rFonts w:ascii="GHEA Grapalat" w:hAnsi="GHEA Grapalat" w:cs="GHEA Grapalat"/>
          <w:sz w:val="22"/>
          <w:szCs w:val="22"/>
          <w:lang w:val="hy-AM"/>
        </w:rPr>
      </w:pPr>
      <w:r w:rsidRPr="000F3751">
        <w:rPr>
          <w:rFonts w:ascii="GHEA Grapalat" w:hAnsi="GHEA Grapalat" w:cs="GHEA Grapalat"/>
          <w:sz w:val="22"/>
          <w:szCs w:val="22"/>
          <w:lang w:val="hy-AM"/>
        </w:rPr>
        <w:t>Հենց այս սկզբունքների տրամաբանությունից բխում է նաև այն, որ 2027 թվականի բյուջեի առանցքում դրված է մարդկային կապիտալի զարգացումը, այլ կերպ ասած՝ մեր երեխաների կրթության և բոլոր քաղաքացիների առողջության մեջ ներդրում կատարելու միջոցով գրագետ և առողջ հանրություն ուն</w:t>
      </w:r>
      <w:r w:rsidR="006B07B9">
        <w:rPr>
          <w:rFonts w:ascii="GHEA Grapalat" w:hAnsi="GHEA Grapalat" w:cs="GHEA Grapalat"/>
          <w:sz w:val="22"/>
          <w:szCs w:val="22"/>
          <w:lang w:val="hy-AM"/>
        </w:rPr>
        <w:t>ենալու մեր երազանքի իրագործումը</w:t>
      </w:r>
      <w:r w:rsidR="006B07B9" w:rsidRPr="0010028E">
        <w:rPr>
          <w:rFonts w:ascii="GHEA Grapalat" w:hAnsi="GHEA Grapalat" w:cs="GHEA Grapalat"/>
          <w:sz w:val="22"/>
          <w:szCs w:val="22"/>
          <w:lang w:val="hy-AM"/>
        </w:rPr>
        <w:t>.</w:t>
      </w:r>
    </w:p>
    <w:p w14:paraId="49CA227B" w14:textId="77777777" w:rsidR="00F53DDF" w:rsidRPr="000F3751" w:rsidRDefault="00F53DDF" w:rsidP="00F53DDF">
      <w:pPr>
        <w:pStyle w:val="BodytextBullets"/>
        <w:ind w:left="0" w:right="-22" w:firstLine="0"/>
        <w:rPr>
          <w:szCs w:val="22"/>
          <w:lang w:val="hy-AM"/>
        </w:rPr>
      </w:pPr>
      <w:r w:rsidRPr="000F3751">
        <w:rPr>
          <w:szCs w:val="22"/>
          <w:lang w:val="hy-AM"/>
        </w:rPr>
        <w:t xml:space="preserve">կշարունակվի առողջապահության համընդհանուր ապահովագրության համակարգի փուլային ներդրումը.  </w:t>
      </w:r>
    </w:p>
    <w:p w14:paraId="6A999D20" w14:textId="77777777" w:rsidR="00F53DDF" w:rsidRPr="00763057" w:rsidRDefault="00F53DDF" w:rsidP="00F53DDF">
      <w:pPr>
        <w:pStyle w:val="BodytextBullets"/>
        <w:ind w:left="0" w:right="-22" w:firstLine="0"/>
        <w:rPr>
          <w:szCs w:val="22"/>
          <w:lang w:val="hy-AM"/>
        </w:rPr>
      </w:pPr>
      <w:r w:rsidRPr="00763057">
        <w:rPr>
          <w:szCs w:val="22"/>
          <w:lang w:val="hy-AM"/>
        </w:rPr>
        <w:t>կշարունակվի Ղարաբաղից ՀՀ բռնի տեղահանված անձանց կեցության, այդ թվում բնակարանային ապահովման և այլ ծախսերը հոգալու համար սոցիալական աջակցության ծրագիրը.</w:t>
      </w:r>
    </w:p>
    <w:p w14:paraId="222DC9AA" w14:textId="77777777" w:rsidR="00F53DDF" w:rsidRPr="00763057" w:rsidRDefault="00F53DDF" w:rsidP="00F53DDF">
      <w:pPr>
        <w:pStyle w:val="BodytextBullets"/>
        <w:ind w:left="0" w:right="-22" w:firstLine="0"/>
        <w:rPr>
          <w:szCs w:val="22"/>
          <w:lang w:val="hy-AM"/>
        </w:rPr>
      </w:pPr>
      <w:r w:rsidRPr="00763057">
        <w:rPr>
          <w:szCs w:val="22"/>
          <w:lang w:val="hy-AM"/>
        </w:rPr>
        <w:t>կշարունակվի անհուսալի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աջակցության ծրագիրը.</w:t>
      </w:r>
    </w:p>
    <w:p w14:paraId="519E4DF5" w14:textId="5FCF919C" w:rsidR="00F53DDF" w:rsidRPr="00763057" w:rsidRDefault="000F3751" w:rsidP="00F53DDF">
      <w:pPr>
        <w:pStyle w:val="BodytextBullets"/>
        <w:ind w:left="0" w:right="-22" w:firstLine="0"/>
        <w:rPr>
          <w:szCs w:val="22"/>
          <w:lang w:val="hy-AM"/>
        </w:rPr>
      </w:pPr>
      <w:r>
        <w:rPr>
          <w:szCs w:val="22"/>
          <w:lang w:val="hy-AM"/>
        </w:rPr>
        <w:t>կ</w:t>
      </w:r>
      <w:r w:rsidR="00F53DDF" w:rsidRPr="00763057">
        <w:rPr>
          <w:szCs w:val="22"/>
          <w:lang w:val="hy-AM"/>
        </w:rPr>
        <w:t>շարունակվ</w:t>
      </w:r>
      <w:r>
        <w:rPr>
          <w:szCs w:val="22"/>
          <w:lang w:val="hy-AM"/>
        </w:rPr>
        <w:t>ի</w:t>
      </w:r>
      <w:r w:rsidR="00F53DDF" w:rsidRPr="00763057">
        <w:rPr>
          <w:szCs w:val="22"/>
          <w:lang w:val="hy-AM"/>
        </w:rPr>
        <w:t xml:space="preserve"> անկանխիկ եղանակով վճարումներից կենսաթոշակառուներին հետվճարի տրամադրումը.</w:t>
      </w:r>
    </w:p>
    <w:p w14:paraId="4121899E" w14:textId="4DE8F2B8" w:rsidR="00F53DDF" w:rsidRPr="00763057" w:rsidRDefault="00F53DDF" w:rsidP="00F53DDF">
      <w:pPr>
        <w:pStyle w:val="BodytextBullets"/>
        <w:ind w:left="0" w:right="-22" w:firstLine="0"/>
        <w:rPr>
          <w:szCs w:val="22"/>
          <w:lang w:val="hy-AM"/>
        </w:rPr>
      </w:pPr>
      <w:r w:rsidRPr="00763057">
        <w:rPr>
          <w:szCs w:val="22"/>
          <w:lang w:val="hy-AM"/>
        </w:rPr>
        <w:t xml:space="preserve">«Ակադեմիական քաղաք» </w:t>
      </w:r>
      <w:r w:rsidR="000F3751">
        <w:rPr>
          <w:szCs w:val="22"/>
          <w:lang w:val="hy-AM"/>
        </w:rPr>
        <w:t>ծ</w:t>
      </w:r>
      <w:r w:rsidRPr="00763057">
        <w:rPr>
          <w:szCs w:val="22"/>
          <w:lang w:val="hy-AM"/>
        </w:rPr>
        <w:t xml:space="preserve">րագրի գծով </w:t>
      </w:r>
      <w:r w:rsidR="000F3751">
        <w:rPr>
          <w:szCs w:val="22"/>
          <w:lang w:val="hy-AM"/>
        </w:rPr>
        <w:t>կ</w:t>
      </w:r>
      <w:r w:rsidRPr="00763057">
        <w:rPr>
          <w:szCs w:val="22"/>
          <w:lang w:val="hy-AM"/>
        </w:rPr>
        <w:t>իրականացվեն կառուցման աշխատանքները, միջազգային խորհրդատվական ծառայությունների ձեռքբերումն ու պայմանագրերի սպասարկումը.</w:t>
      </w:r>
    </w:p>
    <w:p w14:paraId="3EA95587" w14:textId="77777777" w:rsidR="00F53DDF" w:rsidRPr="00763057" w:rsidRDefault="00F53DDF" w:rsidP="00F53DDF">
      <w:pPr>
        <w:pStyle w:val="BodytextBullets"/>
        <w:ind w:left="0" w:right="-22" w:firstLine="0"/>
        <w:rPr>
          <w:szCs w:val="22"/>
          <w:lang w:val="hy-AM"/>
        </w:rPr>
      </w:pPr>
      <w:r w:rsidRPr="00763057">
        <w:rPr>
          <w:szCs w:val="22"/>
          <w:lang w:val="hy-AM"/>
        </w:rPr>
        <w:t>հանրակրթական դպրոցների ուսուցիչների, նախնական և միջին մասնագիտական, արտադպրոցական ուսումնական հաստատությունների, մանկավարժահոգեբանական աջակցության կենտրոնների մանկավարժական աշխատողների ատեստավորման արդյունքում կապահովվի վերջիններիս աշխատավարձերի աճը.</w:t>
      </w:r>
    </w:p>
    <w:p w14:paraId="014301CD" w14:textId="77777777" w:rsidR="00F53DDF" w:rsidRPr="000F3751" w:rsidRDefault="00F53DDF" w:rsidP="00F53DDF">
      <w:pPr>
        <w:pStyle w:val="BodytextBullets"/>
        <w:ind w:left="0" w:right="-22" w:firstLine="0"/>
        <w:rPr>
          <w:szCs w:val="22"/>
          <w:lang w:val="hy-AM"/>
        </w:rPr>
      </w:pPr>
      <w:r w:rsidRPr="00763057">
        <w:rPr>
          <w:szCs w:val="22"/>
          <w:lang w:val="hy-AM"/>
        </w:rPr>
        <w:t xml:space="preserve">կիրականացվեն թվով 159 դպրոցների և 4 մանկապարտեզների կառուցման, հիմնանորոգման </w:t>
      </w:r>
      <w:r w:rsidRPr="000F3751">
        <w:rPr>
          <w:szCs w:val="22"/>
          <w:lang w:val="hy-AM"/>
        </w:rPr>
        <w:t>և վերանորոգման աշխատանքները՝ ապահովելով նաև դրանց հագեցումը անհրաժեշտ գույքով և սարքավորումներով.</w:t>
      </w:r>
    </w:p>
    <w:p w14:paraId="02A8BC37" w14:textId="2CECEF11" w:rsidR="00F53DDF" w:rsidRPr="000F3751" w:rsidRDefault="000F3751" w:rsidP="00F53DDF">
      <w:pPr>
        <w:pStyle w:val="BodytextBullets"/>
        <w:ind w:left="0" w:right="-22" w:firstLine="0"/>
        <w:rPr>
          <w:szCs w:val="22"/>
          <w:lang w:val="hy-AM"/>
        </w:rPr>
      </w:pPr>
      <w:r w:rsidRPr="000F3751">
        <w:rPr>
          <w:szCs w:val="22"/>
          <w:lang w:val="hy-AM"/>
        </w:rPr>
        <w:t>կ</w:t>
      </w:r>
      <w:r w:rsidR="00F53DDF" w:rsidRPr="000F3751">
        <w:rPr>
          <w:szCs w:val="22"/>
          <w:lang w:val="hy-AM"/>
        </w:rPr>
        <w:t>իրականացվեն աշխատանքներ մարզական կառույցների, այդ թվում ֆուտբոլի դաշտերի, կառուցման, հիմնանորոգման գծով</w:t>
      </w:r>
      <w:r w:rsidR="00F53DDF" w:rsidRPr="000F3751">
        <w:rPr>
          <w:rFonts w:ascii="Cambria Math" w:hAnsi="Cambria Math" w:cs="Cambria Math"/>
          <w:szCs w:val="22"/>
          <w:lang w:val="hy-AM"/>
        </w:rPr>
        <w:t>․</w:t>
      </w:r>
    </w:p>
    <w:p w14:paraId="1E4939F0" w14:textId="77777777" w:rsidR="00F53DDF" w:rsidRPr="000F3751" w:rsidRDefault="00F53DDF" w:rsidP="000F3751">
      <w:pPr>
        <w:pStyle w:val="BodytextBullets"/>
        <w:ind w:left="0" w:right="-22" w:firstLine="0"/>
        <w:rPr>
          <w:rFonts w:eastAsiaTheme="majorEastAsia" w:cstheme="majorBidi"/>
          <w:bCs/>
          <w:kern w:val="24"/>
          <w:szCs w:val="22"/>
          <w:lang w:val="hy-AM"/>
        </w:rPr>
      </w:pPr>
      <w:r w:rsidRPr="000F3751">
        <w:rPr>
          <w:rFonts w:eastAsiaTheme="majorEastAsia" w:cstheme="majorBidi"/>
          <w:bCs/>
          <w:kern w:val="24"/>
          <w:szCs w:val="22"/>
          <w:lang w:val="hy-AM"/>
        </w:rPr>
        <w:t xml:space="preserve">կիրականացվեն շուրջ 260 կմ երկարությամբ միջպետական, հանրապետական և մարզային նշանակության ավտոմոբիլային ճանապարհների և 8 տրանսպորտային օբյեկտների հիմնանորոգման, 120 կմ </w:t>
      </w:r>
      <w:r w:rsidRPr="000F3751">
        <w:rPr>
          <w:szCs w:val="22"/>
          <w:lang w:val="hy-AM"/>
        </w:rPr>
        <w:t>միջին</w:t>
      </w:r>
      <w:r w:rsidRPr="000F3751">
        <w:rPr>
          <w:rFonts w:eastAsiaTheme="majorEastAsia" w:cstheme="majorBidi"/>
          <w:bCs/>
          <w:kern w:val="24"/>
          <w:szCs w:val="22"/>
          <w:lang w:val="hy-AM"/>
        </w:rPr>
        <w:t xml:space="preserve"> նորոգման, 20 կմ այլ նշանակության ճանապարհների հիմնանորոգման, 4,429.8 կմ ամառային և 5,393.5 կմ ձմեռային պահպանման, ինչպես նաև 3 թունելների և 5 կամուրջների պահպանման ու շահագործման աշխատանքներ.</w:t>
      </w:r>
    </w:p>
    <w:p w14:paraId="7A4074C0" w14:textId="5080DD3D" w:rsidR="00F53DDF" w:rsidRPr="00763057" w:rsidRDefault="00F53DDF" w:rsidP="000F3751">
      <w:pPr>
        <w:pStyle w:val="BodytextBullets"/>
        <w:ind w:left="0" w:right="-22" w:firstLine="0"/>
        <w:rPr>
          <w:rFonts w:eastAsiaTheme="majorEastAsia" w:cstheme="majorBidi"/>
          <w:bCs/>
          <w:kern w:val="24"/>
          <w:szCs w:val="22"/>
          <w:lang w:val="hy-AM"/>
        </w:rPr>
      </w:pPr>
      <w:r w:rsidRPr="00763057">
        <w:rPr>
          <w:rFonts w:eastAsiaTheme="majorEastAsia" w:cstheme="majorBidi"/>
          <w:bCs/>
          <w:kern w:val="24"/>
          <w:szCs w:val="22"/>
          <w:lang w:val="hy-AM"/>
        </w:rPr>
        <w:t>վարկային միջոցներով հիմնականում կշարունակվեն Հյուսիս-Հարավ ճանապարհային միջանցքի Քաջարան-Ագարակ 32</w:t>
      </w:r>
      <w:r w:rsidR="0047681E">
        <w:rPr>
          <w:rFonts w:eastAsiaTheme="majorEastAsia" w:cstheme="majorBidi"/>
          <w:bCs/>
          <w:kern w:val="24"/>
          <w:szCs w:val="22"/>
          <w:lang w:val="hy-AM"/>
        </w:rPr>
        <w:t xml:space="preserve"> </w:t>
      </w:r>
      <w:r w:rsidRPr="00763057">
        <w:rPr>
          <w:rFonts w:eastAsiaTheme="majorEastAsia" w:cstheme="majorBidi"/>
          <w:bCs/>
          <w:kern w:val="24"/>
          <w:szCs w:val="22"/>
          <w:lang w:val="hy-AM"/>
        </w:rPr>
        <w:t>կմ հատվածների, Քաջարանի թունելի և մոտեցումների շինարարությունը, Սիսիան-Քաջարան 60</w:t>
      </w:r>
      <w:r w:rsidR="0047681E">
        <w:rPr>
          <w:rFonts w:eastAsiaTheme="majorEastAsia" w:cstheme="majorBidi"/>
          <w:bCs/>
          <w:kern w:val="24"/>
          <w:szCs w:val="22"/>
          <w:lang w:val="hy-AM"/>
        </w:rPr>
        <w:t xml:space="preserve"> </w:t>
      </w:r>
      <w:r w:rsidRPr="00763057">
        <w:rPr>
          <w:rFonts w:eastAsiaTheme="majorEastAsia" w:cstheme="majorBidi"/>
          <w:bCs/>
          <w:kern w:val="24"/>
          <w:szCs w:val="22"/>
          <w:lang w:val="hy-AM"/>
        </w:rPr>
        <w:t>կմ ճանապարհահատվածի հողերի օտարման և տարաբնակեցման ծրագրի իրականացումը և կառուցման/վերակառուցման աշխատանքները, մասնավորապես՝ Սիսիան-Քաջարան 60</w:t>
      </w:r>
      <w:r w:rsidR="0047681E">
        <w:rPr>
          <w:rFonts w:eastAsiaTheme="majorEastAsia" w:cstheme="majorBidi"/>
          <w:bCs/>
          <w:kern w:val="24"/>
          <w:szCs w:val="22"/>
          <w:lang w:val="hy-AM"/>
        </w:rPr>
        <w:t xml:space="preserve"> </w:t>
      </w:r>
      <w:r w:rsidRPr="00763057">
        <w:rPr>
          <w:rFonts w:eastAsiaTheme="majorEastAsia" w:cstheme="majorBidi"/>
          <w:bCs/>
          <w:kern w:val="24"/>
          <w:szCs w:val="22"/>
          <w:lang w:val="hy-AM"/>
        </w:rPr>
        <w:t>կմ-ի Հյուսիսային ենթահատվածի (ԱԶԲ-ի և ԵՆԲ-ի ֆինանսավորում), Հարավային ենթահատվածի (ՎԶԵԲ-ի և ԵՆԲ-ի ֆինանսավորում), ինչպես նաև Բարգուշատի թունելի կառուցման աշխատանքները: Միաժամանակ կմեկնարկեն ԱԶԲ աջակցությամբ իրականացվող «Դիմակայուն և ներառական ճանապարհային հատվածի բարելավման ծրագիր 2» ծրագրով Դիլիջանի և Պուշկին թունելների</w:t>
      </w:r>
      <w:r w:rsidRPr="000F3751">
        <w:rPr>
          <w:rFonts w:ascii="Calibri" w:eastAsiaTheme="majorEastAsia" w:hAnsi="Calibri" w:cs="Calibri"/>
          <w:bCs/>
          <w:kern w:val="24"/>
          <w:szCs w:val="22"/>
          <w:lang w:val="hy-AM"/>
        </w:rPr>
        <w:t> </w:t>
      </w:r>
      <w:r w:rsidRPr="00763057">
        <w:rPr>
          <w:rFonts w:eastAsiaTheme="majorEastAsia" w:cstheme="majorBidi"/>
          <w:bCs/>
          <w:kern w:val="24"/>
          <w:szCs w:val="22"/>
          <w:lang w:val="hy-AM"/>
        </w:rPr>
        <w:t xml:space="preserve"> հիմնանորոգման և Մ6 ճանապարհի դիմակայունության բարձրացման աշխատանքները.</w:t>
      </w:r>
    </w:p>
    <w:p w14:paraId="49D12363" w14:textId="4C521BBA" w:rsidR="00F53DDF" w:rsidRPr="000F3751" w:rsidRDefault="00F53DDF" w:rsidP="000F3751">
      <w:pPr>
        <w:pStyle w:val="BodytextBullets"/>
        <w:ind w:left="0" w:right="-22" w:firstLine="0"/>
        <w:rPr>
          <w:rFonts w:eastAsiaTheme="majorEastAsia" w:cstheme="majorBidi"/>
          <w:bCs/>
          <w:kern w:val="24"/>
          <w:szCs w:val="22"/>
          <w:lang w:val="hy-AM"/>
        </w:rPr>
      </w:pPr>
      <w:r w:rsidRPr="000F3751">
        <w:rPr>
          <w:rFonts w:eastAsiaTheme="majorEastAsia" w:cstheme="majorBidi"/>
          <w:bCs/>
          <w:kern w:val="24"/>
          <w:szCs w:val="22"/>
          <w:lang w:val="hy-AM"/>
        </w:rPr>
        <w:t>կմեկնարկեն առաջնահերթության կարգով ընտրված վերականգնման ենթակա պոմպակայանները էներգաարդյունավետ տեխնոլոգիաներով վերազինման տեխնիկատնտե</w:t>
      </w:r>
      <w:r w:rsidRPr="000F3751">
        <w:rPr>
          <w:rFonts w:eastAsiaTheme="majorEastAsia" w:cstheme="majorBidi"/>
          <w:bCs/>
          <w:kern w:val="24"/>
          <w:szCs w:val="22"/>
          <w:lang w:val="hy-AM"/>
        </w:rPr>
        <w:softHyphen/>
        <w:t>սական ուսումնասիրման, նախագծային ծառայությունների ձեռքբերման և վերազինման աշխատանքները, ինչը հնարավորություն կտա նվազեցնել Էլեկտրաէներգիայի ծախսը</w:t>
      </w:r>
      <w:r w:rsidR="00827F99" w:rsidRPr="0010028E">
        <w:rPr>
          <w:rFonts w:eastAsiaTheme="majorEastAsia" w:cstheme="majorBidi"/>
          <w:bCs/>
          <w:kern w:val="24"/>
          <w:szCs w:val="22"/>
          <w:lang w:val="hy-AM"/>
        </w:rPr>
        <w:t>,</w:t>
      </w:r>
    </w:p>
    <w:p w14:paraId="77476E5E" w14:textId="77777777" w:rsidR="00F53DDF" w:rsidRPr="000F3751" w:rsidRDefault="00F53DDF" w:rsidP="000F3751">
      <w:pPr>
        <w:pStyle w:val="BodytextBullets"/>
        <w:ind w:left="0" w:right="-22" w:firstLine="0"/>
        <w:rPr>
          <w:rFonts w:eastAsiaTheme="majorEastAsia" w:cstheme="majorBidi"/>
          <w:bCs/>
          <w:kern w:val="24"/>
          <w:szCs w:val="22"/>
          <w:lang w:val="hy-AM"/>
        </w:rPr>
      </w:pPr>
      <w:r w:rsidRPr="000F3751">
        <w:rPr>
          <w:rFonts w:eastAsiaTheme="majorEastAsia" w:cstheme="majorBidi"/>
          <w:bCs/>
          <w:kern w:val="24"/>
          <w:szCs w:val="22"/>
          <w:lang w:val="hy-AM"/>
        </w:rPr>
        <w:t>կշարունակվեն հանրապետության մի շարք համայնքների բնակավայրերի ջրամատակարարման և ջրահեռացման համակարգերի հիմնանորոգման և կառուցման, այդ թվում՝ ՀՀ կառավարության և «Վեոլիա Ջուր» ՓԲԸ-ի միջև կնքված Վարձակալության պայմանագրի շրջանակներում պարտադիր կապիտալ աշխատանքների ծրագրով նախատեսված աշխատանքները,</w:t>
      </w:r>
    </w:p>
    <w:p w14:paraId="0A621173" w14:textId="4B57CBF1" w:rsidR="00F53DDF" w:rsidRPr="000F3751" w:rsidRDefault="00F53DDF" w:rsidP="000F3751">
      <w:pPr>
        <w:pStyle w:val="BodytextBullets"/>
        <w:ind w:left="0" w:right="-22" w:firstLine="0"/>
        <w:rPr>
          <w:rFonts w:eastAsiaTheme="majorEastAsia" w:cstheme="majorBidi"/>
          <w:bCs/>
          <w:kern w:val="24"/>
          <w:szCs w:val="22"/>
          <w:lang w:val="hy-AM"/>
        </w:rPr>
      </w:pPr>
      <w:r w:rsidRPr="000F3751">
        <w:rPr>
          <w:rFonts w:eastAsiaTheme="majorEastAsia" w:cstheme="majorBidi"/>
          <w:bCs/>
          <w:kern w:val="24"/>
          <w:szCs w:val="22"/>
          <w:lang w:val="hy-AM"/>
        </w:rPr>
        <w:t xml:space="preserve">կմեկնարկեն </w:t>
      </w:r>
      <w:r w:rsidR="00DA4702">
        <w:rPr>
          <w:rFonts w:eastAsiaTheme="majorEastAsia" w:cstheme="majorBidi"/>
          <w:bCs/>
          <w:kern w:val="24"/>
          <w:szCs w:val="22"/>
          <w:lang w:val="hy-AM"/>
        </w:rPr>
        <w:t>Ս</w:t>
      </w:r>
      <w:r w:rsidRPr="000F3751">
        <w:rPr>
          <w:rFonts w:eastAsiaTheme="majorEastAsia" w:cstheme="majorBidi"/>
          <w:bCs/>
          <w:kern w:val="24"/>
          <w:szCs w:val="22"/>
          <w:lang w:val="hy-AM"/>
        </w:rPr>
        <w:t>ևանա լճի ավազանի բնակավայրերի կեղտաջրերի կառավարման համապարփակ ներդրումային ծրագրի 1-ին փուլի՝ «Գավառ», «Մարտունի» և «Վարդենիս» կեղտաջրերի մաքրման կայանների արդիականացման (այդ թվում՝ նախագծերի ձեռքբերման) աշխատանքները</w:t>
      </w:r>
      <w:r w:rsidR="00177C18" w:rsidRPr="0010028E">
        <w:rPr>
          <w:rFonts w:eastAsiaTheme="majorEastAsia" w:cstheme="majorBidi"/>
          <w:bCs/>
          <w:kern w:val="24"/>
          <w:szCs w:val="22"/>
          <w:lang w:val="hy-AM"/>
        </w:rPr>
        <w:t>,</w:t>
      </w:r>
    </w:p>
    <w:p w14:paraId="6F4421A5" w14:textId="77777777" w:rsidR="00F53DDF" w:rsidRPr="00763057" w:rsidRDefault="00F53DDF" w:rsidP="000F3751">
      <w:pPr>
        <w:pStyle w:val="BodytextBullets"/>
        <w:ind w:left="0" w:right="-22" w:firstLine="0"/>
        <w:rPr>
          <w:rFonts w:eastAsiaTheme="majorEastAsia" w:cstheme="majorBidi"/>
          <w:bCs/>
          <w:kern w:val="24"/>
          <w:szCs w:val="22"/>
          <w:lang w:val="hy-AM"/>
        </w:rPr>
      </w:pPr>
      <w:r w:rsidRPr="00763057">
        <w:rPr>
          <w:rFonts w:eastAsiaTheme="majorEastAsia" w:cstheme="majorBidi"/>
          <w:bCs/>
          <w:kern w:val="24"/>
          <w:szCs w:val="22"/>
          <w:lang w:val="hy-AM"/>
        </w:rPr>
        <w:t>կշարունակվի պետական աջակցության տրամադրումը բարձր տեխնոլոգիաների ոլորտում գործունեություն իրականացնող տնտեսավարող սուբյեկտներին՝ նոր աշխատողների ներգրավման, վերապատրաստման և աշխատանքային միգրանտների համար.</w:t>
      </w:r>
    </w:p>
    <w:p w14:paraId="23CBB1FA" w14:textId="77777777" w:rsidR="00F53DDF" w:rsidRPr="00763057" w:rsidRDefault="00F53DDF" w:rsidP="00F53DDF">
      <w:pPr>
        <w:pStyle w:val="BodytextBullets"/>
        <w:ind w:left="0" w:right="-22" w:firstLine="0"/>
        <w:rPr>
          <w:rFonts w:eastAsia="Times New Roman" w:cs="Arial"/>
          <w:szCs w:val="22"/>
          <w:lang w:val="hy-AM"/>
        </w:rPr>
      </w:pPr>
      <w:r w:rsidRPr="00763057">
        <w:rPr>
          <w:rFonts w:eastAsia="Times New Roman" w:cs="Times New Roman"/>
          <w:bCs/>
          <w:kern w:val="24"/>
          <w:szCs w:val="22"/>
          <w:lang w:val="hy-AM"/>
        </w:rPr>
        <w:t>տնտեսության ոլորտում նախատեսվող</w:t>
      </w:r>
      <w:r w:rsidRPr="00763057">
        <w:rPr>
          <w:rFonts w:eastAsia="SimSun" w:cs="Arial"/>
          <w:szCs w:val="22"/>
          <w:lang w:val="hy-AM"/>
        </w:rPr>
        <w:t xml:space="preserve"> խոշոր փոփոխությունները վերաբերվում են աջակցության գործող </w:t>
      </w:r>
      <w:r w:rsidRPr="00763057">
        <w:rPr>
          <w:rFonts w:eastAsia="Times New Roman" w:cs="Arial"/>
          <w:szCs w:val="22"/>
          <w:lang w:val="hy-AM"/>
        </w:rPr>
        <w:t>(անասնաբուծության ճյուղում իրականացվող ներդրումային ծրագրերին, գարնանացան մշակաբույսերի մշակության հիմնական աշխատանքներին, ինտենսիվ այգեգործության զարգացման ծախսերին, տնտեսության արդիականացման միջոցառումներին աջակցություն) ծրագրերի ֆինանսավորմանը.</w:t>
      </w:r>
    </w:p>
    <w:p w14:paraId="5877812F" w14:textId="77777777" w:rsidR="00F53DDF" w:rsidRPr="00763057" w:rsidRDefault="00F53DDF" w:rsidP="00F53DDF">
      <w:pPr>
        <w:pStyle w:val="BodytextBullets"/>
        <w:ind w:left="0" w:right="357" w:firstLine="0"/>
        <w:rPr>
          <w:rFonts w:eastAsiaTheme="majorEastAsia" w:cstheme="majorBidi"/>
          <w:bCs/>
          <w:kern w:val="24"/>
          <w:szCs w:val="22"/>
          <w:lang w:val="hy-AM"/>
        </w:rPr>
      </w:pPr>
      <w:r w:rsidRPr="00763057">
        <w:rPr>
          <w:rFonts w:eastAsiaTheme="majorEastAsia" w:cstheme="majorBidi"/>
          <w:bCs/>
          <w:kern w:val="24"/>
          <w:szCs w:val="22"/>
          <w:lang w:val="hy-AM"/>
        </w:rPr>
        <w:t>կշարունակվի ավիացիայի աջակցության հաստատված ծրագրով ֆինանսական օժանդակության տրամադրումը այն ավիաընկերություններին, որոնք կփոխադրեն օդային ուղևորներին նոր ուղղություններից Երևանի «Զվարթնոց» և Գյումրու «Շիրակ» օդանավակայաններ.</w:t>
      </w:r>
    </w:p>
    <w:p w14:paraId="7BA3DF35" w14:textId="77777777" w:rsidR="00F53DDF" w:rsidRPr="00763057" w:rsidRDefault="00F53DDF" w:rsidP="00F53DDF">
      <w:pPr>
        <w:pStyle w:val="BodytextBullets"/>
        <w:ind w:left="0" w:right="357" w:firstLine="0"/>
        <w:rPr>
          <w:rFonts w:eastAsiaTheme="majorEastAsia" w:cstheme="majorBidi"/>
          <w:bCs/>
          <w:kern w:val="24"/>
          <w:szCs w:val="22"/>
          <w:lang w:val="hy-AM"/>
        </w:rPr>
      </w:pPr>
      <w:r w:rsidRPr="00763057">
        <w:rPr>
          <w:rFonts w:eastAsiaTheme="majorEastAsia" w:cstheme="majorBidi"/>
          <w:bCs/>
          <w:kern w:val="24"/>
          <w:szCs w:val="22"/>
          <w:lang w:val="hy-AM"/>
        </w:rPr>
        <w:t>կշարունակվի բնակարանների և անհատական բնակելի տների էներգաարդյունավետ վերանորոգման աշխատանքների պետական աջակցության ծրագրով 34555 շահառուների կողմից ներգրավված վարկերի տոկոսադրույքների սուբսիդավորումը.</w:t>
      </w:r>
    </w:p>
    <w:p w14:paraId="58B6ED1D" w14:textId="77777777" w:rsidR="00F53DDF" w:rsidRPr="00763057" w:rsidRDefault="00F53DDF" w:rsidP="00F53DDF">
      <w:pPr>
        <w:pStyle w:val="BodytextBullets"/>
        <w:ind w:left="0" w:right="357" w:firstLine="0"/>
        <w:rPr>
          <w:rFonts w:eastAsiaTheme="majorEastAsia" w:cstheme="majorBidi"/>
          <w:bCs/>
          <w:kern w:val="24"/>
          <w:szCs w:val="22"/>
          <w:lang w:val="hy-AM"/>
        </w:rPr>
      </w:pPr>
      <w:r w:rsidRPr="00763057">
        <w:rPr>
          <w:rFonts w:eastAsiaTheme="majorEastAsia" w:cstheme="majorBidi"/>
          <w:bCs/>
          <w:kern w:val="24"/>
          <w:szCs w:val="22"/>
          <w:lang w:val="hy-AM"/>
        </w:rPr>
        <w:t>կշարունակվի ՀՀ կառավարության կողմից համաֆինանսավորման սկզբունքով համայնքներում մասնակցային բյուջետավորմամբ սուբվենցիոն ծրագրերի իրականացումը.</w:t>
      </w:r>
    </w:p>
    <w:p w14:paraId="7CB34AEC" w14:textId="6AA7D885" w:rsidR="00F53DDF" w:rsidRPr="00763057" w:rsidRDefault="00F53DDF" w:rsidP="00F53DDF">
      <w:pPr>
        <w:pStyle w:val="BodytextBullets"/>
        <w:ind w:left="0" w:right="-22" w:firstLine="0"/>
        <w:rPr>
          <w:rFonts w:eastAsia="Times New Roman" w:cs="Arial"/>
          <w:bCs/>
          <w:szCs w:val="22"/>
          <w:lang w:val="hy-AM"/>
        </w:rPr>
      </w:pPr>
      <w:r w:rsidRPr="00763057">
        <w:rPr>
          <w:rFonts w:eastAsiaTheme="majorEastAsia" w:cstheme="majorBidi"/>
          <w:bCs/>
          <w:kern w:val="24"/>
          <w:szCs w:val="22"/>
          <w:lang w:val="hy-AM"/>
        </w:rPr>
        <w:t xml:space="preserve">կշարունակվի </w:t>
      </w:r>
      <w:r w:rsidRPr="00763057">
        <w:rPr>
          <w:rFonts w:eastAsia="Times New Roman" w:cs="Arial"/>
          <w:bCs/>
          <w:szCs w:val="22"/>
          <w:lang w:val="hy-AM"/>
        </w:rPr>
        <w:t>օրե</w:t>
      </w:r>
      <w:r w:rsidR="00DA4702">
        <w:rPr>
          <w:rFonts w:eastAsia="Times New Roman" w:cs="Arial"/>
          <w:bCs/>
          <w:szCs w:val="22"/>
          <w:lang w:val="hy-AM"/>
        </w:rPr>
        <w:t>ն</w:t>
      </w:r>
      <w:r w:rsidRPr="00763057">
        <w:rPr>
          <w:rFonts w:eastAsia="Times New Roman" w:cs="Arial"/>
          <w:bCs/>
          <w:szCs w:val="22"/>
          <w:lang w:val="hy-AM"/>
        </w:rPr>
        <w:t>սդրությամբ սահմանված ուղղություններով անկանխիկ եղանակով սոցիալական ծախսեր կատարած` հայտարարատու համարվող ֆիզիկական անձանց ծախսերի փոխհատուցումը</w:t>
      </w:r>
      <w:r w:rsidRPr="00763057">
        <w:rPr>
          <w:rFonts w:ascii="Cambria Math" w:eastAsia="Times New Roman" w:hAnsi="Cambria Math" w:cs="Arial"/>
          <w:bCs/>
          <w:szCs w:val="22"/>
          <w:lang w:val="hy-AM"/>
        </w:rPr>
        <w:t xml:space="preserve"> ․</w:t>
      </w:r>
      <w:r w:rsidRPr="00763057">
        <w:rPr>
          <w:rFonts w:eastAsia="Times New Roman" w:cs="Arial"/>
          <w:bCs/>
          <w:szCs w:val="22"/>
          <w:lang w:val="hy-AM"/>
        </w:rPr>
        <w:t xml:space="preserve"> </w:t>
      </w:r>
    </w:p>
    <w:p w14:paraId="49255399" w14:textId="054E3454" w:rsidR="00D84E40" w:rsidRPr="00CB300F" w:rsidRDefault="00F53DDF" w:rsidP="00CB300F">
      <w:pPr>
        <w:pStyle w:val="BodytextBullets"/>
        <w:ind w:left="0" w:right="-22" w:firstLine="0"/>
        <w:rPr>
          <w:rFonts w:eastAsiaTheme="majorEastAsia" w:cstheme="majorBidi"/>
          <w:bCs/>
          <w:kern w:val="24"/>
          <w:szCs w:val="22"/>
          <w:lang w:val="hy-AM"/>
        </w:rPr>
      </w:pPr>
      <w:r w:rsidRPr="00763057">
        <w:rPr>
          <w:rFonts w:eastAsiaTheme="majorEastAsia" w:cstheme="majorBidi"/>
          <w:bCs/>
          <w:kern w:val="24"/>
          <w:szCs w:val="22"/>
          <w:lang w:val="hy-AM"/>
        </w:rPr>
        <w:t>կշարունակվի</w:t>
      </w:r>
      <w:r w:rsidRPr="00CB300F">
        <w:rPr>
          <w:rFonts w:eastAsiaTheme="majorEastAsia" w:cstheme="majorBidi"/>
          <w:bCs/>
          <w:kern w:val="24"/>
          <w:szCs w:val="22"/>
          <w:lang w:val="hy-AM"/>
        </w:rPr>
        <w:t xml:space="preserve"> Arca ազգային վճարահաշվային համակարգով անկանխիկ վճարումներից հետվճարի տրամադրումը.</w:t>
      </w:r>
    </w:p>
    <w:p w14:paraId="0AA95033"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1055F7C2"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7922C225"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56A3CDF8"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1B602A4A"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51D89F25"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47A27FBF"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221AEB7F"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57DD7E97"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1F739674"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3D82F2C7"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61AC442F"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3843D5DD"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14EAC487"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6A8030CA"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4ED834F0"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4F0FFF19" w14:textId="77777777" w:rsidR="00D84E40"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5B5BF5DB" w14:textId="77777777" w:rsidR="00D84E40" w:rsidRPr="000232DD" w:rsidRDefault="00D84E40" w:rsidP="00082769">
      <w:pPr>
        <w:pStyle w:val="NormalWeb"/>
        <w:spacing w:before="120" w:beforeAutospacing="0" w:after="120" w:afterAutospacing="0" w:line="276" w:lineRule="auto"/>
        <w:ind w:right="-22"/>
        <w:jc w:val="both"/>
        <w:rPr>
          <w:rFonts w:ascii="GHEA Grapalat" w:hAnsi="GHEA Grapalat"/>
          <w:sz w:val="22"/>
          <w:szCs w:val="20"/>
          <w:lang w:val="hy-AM" w:eastAsia="en-US"/>
        </w:rPr>
      </w:pPr>
    </w:p>
    <w:p w14:paraId="3E6E35DF" w14:textId="77777777" w:rsidR="00507805" w:rsidRDefault="00507805" w:rsidP="00082769">
      <w:pPr>
        <w:spacing w:before="0" w:after="160" w:line="278" w:lineRule="auto"/>
        <w:rPr>
          <w:rFonts w:ascii="GHEA Grapalat" w:eastAsia="Times New Roman" w:hAnsi="GHEA Grapalat" w:cs="Times New Roman"/>
          <w:b/>
          <w:color w:val="auto"/>
          <w:sz w:val="30"/>
          <w:szCs w:val="20"/>
          <w:lang w:val="hy-AM"/>
        </w:rPr>
      </w:pPr>
      <w:bookmarkStart w:id="107" w:name="_Toc241367598"/>
      <w:bookmarkStart w:id="108" w:name="_Toc241367769"/>
      <w:r>
        <w:rPr>
          <w:rFonts w:ascii="GHEA Grapalat" w:eastAsia="Times New Roman" w:hAnsi="GHEA Grapalat" w:cs="Times New Roman"/>
          <w:b/>
          <w:color w:val="auto"/>
          <w:sz w:val="30"/>
          <w:szCs w:val="20"/>
          <w:lang w:val="hy-AM"/>
        </w:rPr>
        <w:br w:type="page"/>
      </w:r>
    </w:p>
    <w:p w14:paraId="0BDF090B" w14:textId="0137380F" w:rsidR="004C0C21" w:rsidRPr="000232DD" w:rsidRDefault="00FA08BF" w:rsidP="00082769">
      <w:pPr>
        <w:ind w:right="-22"/>
        <w:outlineLvl w:val="0"/>
        <w:rPr>
          <w:rFonts w:ascii="GHEA Grapalat" w:eastAsia="Times New Roman" w:hAnsi="GHEA Grapalat" w:cs="Times New Roman"/>
          <w:b/>
          <w:color w:val="auto"/>
          <w:sz w:val="30"/>
          <w:szCs w:val="20"/>
          <w:lang w:val="hy-AM"/>
        </w:rPr>
      </w:pPr>
      <w:bookmarkStart w:id="109" w:name="_Toc241687656"/>
      <w:r w:rsidRPr="000232DD">
        <w:rPr>
          <w:rFonts w:ascii="GHEA Grapalat" w:eastAsia="Times New Roman" w:hAnsi="GHEA Grapalat" w:cs="Times New Roman"/>
          <w:b/>
          <w:color w:val="auto"/>
          <w:sz w:val="30"/>
          <w:szCs w:val="20"/>
          <w:lang w:val="hy-AM"/>
        </w:rPr>
        <w:t>ՄԱՍ I-Բ. ՄԱԿՐՈՏՆՏԵՍԱԿԱՆ ԶԱՐԳԱՑՈՒՄՆԵՐ ԵՎ ԿԱՆԽԱՏԵՍՈՒՄՆԵՐ</w:t>
      </w:r>
      <w:bookmarkEnd w:id="107"/>
      <w:bookmarkEnd w:id="108"/>
      <w:bookmarkEnd w:id="109"/>
      <w:r w:rsidRPr="000232DD">
        <w:rPr>
          <w:rFonts w:ascii="GHEA Grapalat" w:eastAsia="Times New Roman" w:hAnsi="GHEA Grapalat" w:cs="Times New Roman"/>
          <w:b/>
          <w:color w:val="auto"/>
          <w:sz w:val="30"/>
          <w:szCs w:val="20"/>
          <w:lang w:val="hy-AM"/>
        </w:rPr>
        <w:t xml:space="preserve"> </w:t>
      </w:r>
      <w:bookmarkStart w:id="110" w:name="_Toc51947412"/>
      <w:bookmarkStart w:id="111" w:name="_Toc52452085"/>
      <w:bookmarkStart w:id="112" w:name="_Toc57559412"/>
      <w:bookmarkStart w:id="113" w:name="_Toc83663894"/>
      <w:bookmarkStart w:id="114" w:name="_Toc83972830"/>
      <w:bookmarkStart w:id="115" w:name="_Toc115686016"/>
      <w:bookmarkStart w:id="116" w:name="_Toc178356562"/>
      <w:bookmarkStart w:id="117" w:name="_Toc183801070"/>
      <w:bookmarkStart w:id="118" w:name="_Toc210126077"/>
    </w:p>
    <w:p w14:paraId="3BF327C1" w14:textId="77777777" w:rsidR="00507805" w:rsidRPr="008B63B1" w:rsidRDefault="00507805" w:rsidP="00082769">
      <w:pPr>
        <w:pBdr>
          <w:bottom w:val="single" w:sz="8" w:space="1" w:color="C3C3C7"/>
        </w:pBdr>
        <w:spacing w:before="480" w:after="360"/>
        <w:outlineLvl w:val="1"/>
        <w:rPr>
          <w:rFonts w:ascii="GHEA Grapalat" w:eastAsia="Times New Roman" w:hAnsi="GHEA Grapalat" w:cs="Times New Roman"/>
          <w:color w:val="A5A6AC"/>
          <w:sz w:val="28"/>
          <w:szCs w:val="20"/>
          <w:lang w:val="hy-AM" w:eastAsia="ru-RU"/>
        </w:rPr>
      </w:pPr>
      <w:bookmarkStart w:id="119" w:name="_Toc241687657"/>
      <w:bookmarkStart w:id="120" w:name="_Toc183801076"/>
      <w:bookmarkStart w:id="121" w:name="_Toc241367599"/>
      <w:bookmarkStart w:id="122" w:name="_Toc241367770"/>
      <w:bookmarkStart w:id="123" w:name="_Toc115686026"/>
      <w:bookmarkStart w:id="124" w:name="_Toc83972838"/>
      <w:bookmarkStart w:id="125" w:name="_Toc83199222"/>
      <w:bookmarkStart w:id="126" w:name="_Toc57655454"/>
      <w:bookmarkStart w:id="127" w:name="_Toc46154353"/>
      <w:bookmarkStart w:id="128" w:name="_Toc45838524"/>
      <w:bookmarkStart w:id="129" w:name="_Toc178356572"/>
      <w:bookmarkStart w:id="130" w:name="_Hlk152316627"/>
      <w:bookmarkStart w:id="131" w:name="_Toc153184474"/>
      <w:bookmarkStart w:id="132" w:name="_Toc83972843"/>
      <w:bookmarkStart w:id="133" w:name="_Toc26174926"/>
      <w:bookmarkStart w:id="134" w:name="_Toc178356576"/>
      <w:bookmarkStart w:id="135" w:name="_Toc46154351"/>
      <w:bookmarkStart w:id="136" w:name="_Toc57655453"/>
      <w:bookmarkStart w:id="137" w:name="_Toc83199221"/>
      <w:bookmarkStart w:id="138" w:name="_Toc83972837"/>
      <w:bookmarkStart w:id="139" w:name="_Toc115686025"/>
      <w:bookmarkStart w:id="140" w:name="_Toc178356571"/>
      <w:bookmarkStart w:id="141" w:name="_Toc183801077"/>
      <w:bookmarkStart w:id="142" w:name="_Toc210126090"/>
      <w:bookmarkEnd w:id="110"/>
      <w:bookmarkEnd w:id="111"/>
      <w:bookmarkEnd w:id="112"/>
      <w:bookmarkEnd w:id="113"/>
      <w:bookmarkEnd w:id="114"/>
      <w:bookmarkEnd w:id="115"/>
      <w:bookmarkEnd w:id="116"/>
      <w:bookmarkEnd w:id="117"/>
      <w:bookmarkEnd w:id="118"/>
      <w:r w:rsidRPr="008B63B1">
        <w:rPr>
          <w:rFonts w:ascii="GHEA Grapalat" w:eastAsia="Times New Roman" w:hAnsi="GHEA Grapalat" w:cs="Times New Roman"/>
          <w:color w:val="A5A6AC"/>
          <w:sz w:val="28"/>
          <w:szCs w:val="20"/>
          <w:lang w:val="hy-AM"/>
        </w:rPr>
        <w:t>1</w:t>
      </w:r>
      <w:r w:rsidRPr="008B63B1">
        <w:rPr>
          <w:rFonts w:ascii="Cambria Math" w:eastAsia="Times New Roman" w:hAnsi="Cambria Math" w:cs="Cambria Math"/>
          <w:color w:val="A5A6AC"/>
          <w:sz w:val="28"/>
          <w:szCs w:val="20"/>
          <w:lang w:val="hy-AM"/>
        </w:rPr>
        <w:t>․</w:t>
      </w:r>
      <w:r w:rsidRPr="008B63B1">
        <w:rPr>
          <w:rFonts w:ascii="GHEA Grapalat" w:eastAsia="Times New Roman" w:hAnsi="GHEA Grapalat" w:cs="Times New Roman"/>
          <w:color w:val="A5A6AC"/>
          <w:sz w:val="28"/>
          <w:szCs w:val="20"/>
          <w:lang w:val="hy-AM"/>
        </w:rPr>
        <w:t>1. ՄԱԿՐՈՏՆՏԵՍԱԿԱՆ ԱՄՓՈՓԱԳԻՐ ԵՎ ՇՐՋԱՆԱԿ</w:t>
      </w:r>
      <w:bookmarkEnd w:id="119"/>
      <w:r w:rsidRPr="008B63B1">
        <w:rPr>
          <w:rFonts w:ascii="GHEA Grapalat" w:eastAsia="Times New Roman" w:hAnsi="GHEA Grapalat" w:cs="Times New Roman"/>
          <w:color w:val="A5A6AC"/>
          <w:sz w:val="28"/>
          <w:szCs w:val="20"/>
          <w:lang w:val="hy-AM"/>
        </w:rPr>
        <w:t xml:space="preserve"> </w:t>
      </w:r>
    </w:p>
    <w:p w14:paraId="7A48F91E" w14:textId="77777777" w:rsidR="00507805" w:rsidRPr="004F5DA5" w:rsidRDefault="00507805" w:rsidP="00D2654C">
      <w:pPr>
        <w:pStyle w:val="ListParagraph"/>
        <w:numPr>
          <w:ilvl w:val="0"/>
          <w:numId w:val="19"/>
        </w:numPr>
        <w:ind w:left="0" w:firstLine="0"/>
        <w:jc w:val="both"/>
        <w:rPr>
          <w:rFonts w:ascii="GHEA Grapalat" w:eastAsia="Times New Roman" w:hAnsi="GHEA Grapalat" w:cs="Times New Roman"/>
          <w:szCs w:val="20"/>
          <w:lang w:val="hy-AM"/>
        </w:rPr>
      </w:pPr>
      <w:bookmarkStart w:id="143" w:name="_Toc146911023"/>
      <w:bookmarkStart w:id="144" w:name="_Toc115686017"/>
      <w:bookmarkStart w:id="145" w:name="_Toc83972831"/>
      <w:bookmarkStart w:id="146" w:name="_Toc83663895"/>
      <w:bookmarkStart w:id="147" w:name="_Toc57559413"/>
      <w:bookmarkStart w:id="148" w:name="_Toc52452086"/>
      <w:bookmarkStart w:id="149" w:name="_Toc51947413"/>
      <w:r w:rsidRPr="004F5DA5">
        <w:rPr>
          <w:rFonts w:ascii="GHEA Grapalat" w:eastAsia="Times New Roman" w:hAnsi="GHEA Grapalat" w:cs="Times New Roman"/>
          <w:szCs w:val="20"/>
          <w:lang w:val="hy-AM"/>
        </w:rPr>
        <w:t>2025թ. առևտրային լարվածության և աշխարհաքաղաքական բարձր անորոշության պայմաններում համաշխարհային տնտեսությունում և ՀՀ հիմնական գործընկեր երկրներում տնտեսական զարգացումները եղել են տարաբնույթ՝ ուղեկցվելով խոշոր տնտեսություններում հարկաբյուջետային և դրամավարկային քաղաքականությունների շարունակական ճշգրտումներով։ 2026թ. փետրվարից Մերձավոր Արևելքում սկսված ռազմական հակամարտությունը և հետագա ամիսներին դրա սրումը նպաստել են էներգակիրների ու հումքային ապրանքների միջազգային գների աճին և գնաճային ճնշումների ուժեղացմանը՝ պայմանավորելով նաև խոշոր տնտեսություններում դրամավարկային քաղաքականությունների հետագա ճշգրտումները։ Այս պայմաններում 2026թ. ՀՀ հիմնական գործընկեր երկրներից ԱՄՆ-ում կանխատեսվում է տնտեսական աճի արագացում, Եվրագոտում և Չինաստանում՝ դանդաղում, իսկ ՌԴ-ում՝ աճի թույլ տեմպերի պահպանում։ Միջնաժամկետ հորիզոնում գործընկեր երկրների համար կանխատեսվում են իրենց պատմական միջին աճերից ցածր տնտեսական աճեր։</w:t>
      </w:r>
    </w:p>
    <w:p w14:paraId="5C89E437" w14:textId="77777777" w:rsidR="00507805" w:rsidRPr="004F5DA5" w:rsidRDefault="00507805" w:rsidP="00D2654C">
      <w:pPr>
        <w:pStyle w:val="ListParagraph"/>
        <w:numPr>
          <w:ilvl w:val="0"/>
          <w:numId w:val="19"/>
        </w:numPr>
        <w:ind w:left="0" w:firstLine="0"/>
        <w:jc w:val="both"/>
        <w:rPr>
          <w:rFonts w:ascii="GHEA Grapalat" w:eastAsia="Times New Roman" w:hAnsi="GHEA Grapalat" w:cs="Times New Roman"/>
          <w:szCs w:val="20"/>
          <w:lang w:val="hy-AM"/>
        </w:rPr>
      </w:pPr>
      <w:r w:rsidRPr="004F5DA5">
        <w:rPr>
          <w:rFonts w:ascii="GHEA Grapalat" w:eastAsia="Times New Roman" w:hAnsi="GHEA Grapalat" w:cs="Times New Roman"/>
          <w:szCs w:val="20"/>
          <w:lang w:val="hy-AM"/>
        </w:rPr>
        <w:t>2023-2025 թվականներին ՀՀ-ում միջինում գրանցվել է 7.1% տնտեսական աճ՝ կրելով դեռևս 2022 թվականի փետրվարի վերջերից սկիզբ առած ռուս-ուկրաինական հակամարտության և Ռուսաստանի դեմ կիրառված պատժամիջոցների հետևանքով դեպի Հայաստան մարդկանց ներհոսքի, զբոսաշրջության զգալի ավելացման, տեղեկատվական տեխնոլոգիաների ոլորտի ընկերությունների ՀՀ տեղափոխման, ՀՀ-ից դեպի Ռուսաստան արտահանման պահանջարկի ավելացման, ինչպես նաև տնտեսությունում իրականացվող մեծածավալ բնակարանային շինարարության, պետական բյուջեից կատարվող կապիտալ ծախսերի և Ղարաբաղից ՀՀ բռնի տեղահանված մեր հայրենակիցների ՀՀ տնտեսությանն ինտեգրման ազդեցությունները: Տնտեսական աճը հիմնականում պայմանավորված է եղել ծառայությունների և շինարարության աճերով:</w:t>
      </w:r>
    </w:p>
    <w:p w14:paraId="3104F69C" w14:textId="77777777" w:rsidR="00507805" w:rsidRPr="004F5DA5" w:rsidRDefault="00507805" w:rsidP="00D2654C">
      <w:pPr>
        <w:pStyle w:val="ListParagraph"/>
        <w:numPr>
          <w:ilvl w:val="0"/>
          <w:numId w:val="19"/>
        </w:numPr>
        <w:ind w:left="0" w:firstLine="0"/>
        <w:jc w:val="both"/>
        <w:rPr>
          <w:rFonts w:ascii="GHEA Grapalat" w:eastAsia="Times New Roman" w:hAnsi="GHEA Grapalat" w:cs="Times New Roman"/>
          <w:szCs w:val="20"/>
          <w:lang w:val="hy-AM"/>
        </w:rPr>
      </w:pPr>
      <w:r w:rsidRPr="004F5DA5">
        <w:rPr>
          <w:rFonts w:ascii="GHEA Grapalat" w:eastAsia="GHEA Grapalat" w:hAnsi="GHEA Grapalat" w:cs="Times New Roman"/>
          <w:szCs w:val="20"/>
          <w:lang w:val="hy-AM"/>
        </w:rPr>
        <w:t xml:space="preserve">2026 թվականի առաջին կիսամյակում ՀՆԱ-ի իրական աճը կազմել է 6.0%: Տնտեսության բոլոր ճյուղերում, բացառությամբ գյուղատնտեսության, գրանցվել են աճի բարձր տեմպեր, սակայն տնտեսական աճը պայմանավորված է եղել հիմնականում ծառայությունների աճով: </w:t>
      </w:r>
      <w:r w:rsidRPr="004F5DA5">
        <w:rPr>
          <w:rFonts w:ascii="GHEA Grapalat" w:eastAsia="GHEA Grapalat" w:hAnsi="GHEA Grapalat" w:cs="GHEA Grapalat"/>
          <w:lang w:val="hy-AM"/>
        </w:rPr>
        <w:t>Հուլիս-օգոստոսին, չնայած տնտեսական ակտիվության որոշակի դանդաղմանը, աճի բարձր տեմպերը պահպանվել են: Ծառայությունների և շինարարության ճյուղերի աճերը շարունակել են պայմանավորել տնտեսական ակտիվության աճը:</w:t>
      </w:r>
    </w:p>
    <w:p w14:paraId="26759657" w14:textId="77777777" w:rsidR="00507805" w:rsidRPr="004F5DA5" w:rsidRDefault="00507805" w:rsidP="00D2654C">
      <w:pPr>
        <w:pStyle w:val="ListParagraph"/>
        <w:numPr>
          <w:ilvl w:val="0"/>
          <w:numId w:val="19"/>
        </w:numPr>
        <w:ind w:left="0" w:firstLine="0"/>
        <w:jc w:val="both"/>
        <w:rPr>
          <w:rFonts w:ascii="GHEA Grapalat" w:eastAsia="Times New Roman" w:hAnsi="GHEA Grapalat" w:cs="Times New Roman"/>
          <w:szCs w:val="20"/>
          <w:lang w:val="hy-AM"/>
        </w:rPr>
      </w:pPr>
      <w:r w:rsidRPr="004F5DA5">
        <w:rPr>
          <w:rFonts w:ascii="GHEA Grapalat" w:eastAsia="Times New Roman" w:hAnsi="GHEA Grapalat" w:cs="Times New Roman"/>
          <w:szCs w:val="20"/>
          <w:lang w:val="hy-AM"/>
        </w:rPr>
        <w:t>Ընթացիկ տնտեսական զարգացումների պայմաններում 2026 թվականի համար սպասվում է շուրջ 5.6% տնտեսական աճ: Պետական կապիտալ ծախսերի դերի պահպանման, Ամուլսարի նախատեսված ծավալներով շահագործման, ինչպես նաև կառուցվածքային բարեփոխումների հնարավոր ազդեցությունների արդյունքում 2027 թվականի համար կանխատեսվում է 5.8%, իսկ 2028-2029 թվականների համար՝ միջինում 6</w:t>
      </w:r>
      <w:r w:rsidRPr="004F5DA5">
        <w:rPr>
          <w:rFonts w:ascii="Cambria Math" w:eastAsia="Times New Roman" w:hAnsi="Cambria Math" w:cs="Cambria Math"/>
          <w:szCs w:val="20"/>
          <w:lang w:val="hy-AM"/>
        </w:rPr>
        <w:t>․</w:t>
      </w:r>
      <w:r w:rsidRPr="004F5DA5">
        <w:rPr>
          <w:rFonts w:ascii="GHEA Grapalat" w:eastAsia="Times New Roman" w:hAnsi="GHEA Grapalat" w:cs="Times New Roman"/>
          <w:szCs w:val="20"/>
          <w:lang w:val="hy-AM"/>
        </w:rPr>
        <w:t>0% տնտեսական աճ: Ընդ որում՝ վերջին տարիներին ՀՀ տնտեսական աճի ներուժը բարձրացել է՝ հասնելով 5.0-5.5%: Այս աճը պահպանելու և ավելի բարձր ու կայուն աճի հասնելու համար անհրաժեշտ են լրացուցիչ ջանքեր՝ ուղղված արտադրողականության բարձրացմանը, ներդրումների և արտահանման խթանմանը։ Այս համատեքստում ՀՀ կառավարությունը հետամուտ է լինելու մարդկային և ֆիզիկական կապիտալում ներդրումների, մասնավոր ներդրումների, զբաղվածության և արտահանման խթանմանն ուղղված ռազմավարությունների արդյունավետ իրականացմանը։</w:t>
      </w:r>
    </w:p>
    <w:p w14:paraId="08154F04" w14:textId="77777777" w:rsidR="00507805" w:rsidRPr="004F5DA5" w:rsidRDefault="00507805" w:rsidP="00D2654C">
      <w:pPr>
        <w:pStyle w:val="ListParagraph"/>
        <w:numPr>
          <w:ilvl w:val="0"/>
          <w:numId w:val="19"/>
        </w:numPr>
        <w:ind w:left="0" w:firstLine="0"/>
        <w:jc w:val="both"/>
        <w:rPr>
          <w:rFonts w:ascii="GHEA Grapalat" w:eastAsia="Times New Roman" w:hAnsi="GHEA Grapalat" w:cs="Times New Roman"/>
          <w:szCs w:val="20"/>
          <w:lang w:val="hy-AM"/>
        </w:rPr>
      </w:pPr>
      <w:r w:rsidRPr="004F5DA5">
        <w:rPr>
          <w:rFonts w:ascii="GHEA Grapalat" w:eastAsia="Times New Roman" w:hAnsi="GHEA Grapalat" w:cs="Times New Roman"/>
          <w:szCs w:val="20"/>
          <w:lang w:val="hy-AM"/>
        </w:rPr>
        <w:t>Տնտեսական ակտիվության աճի տեմպի դանդաղման և վերաարտահանման դերի կտրուկ նվազման հետևանքով 2026թ. սպասվում է արտահանման և ներմուծման նվազում: Դրամական փոխանցումների աճի և ծառայությունների հաշվեկշռի բարելավման արդյունքում 2026թ. ընթացիկ հաշվի պակասուրդը կնվազի՝ հասնելով ՀՆԱ-ում 6.3%-ի: Վերաարտահանման չեզոքացման և ծառայությունների արտահանման առաջանցիկ աճի (մասնավորապես, տուրիզմի և ՏՏ ոլորտի աճով պայմանավորված) պայմաններում ընթացիկ հաշվի պակասուրդը 2027թ.-ին նույնպես կնվազի, իսկ միջնաժամկետում կկայունանա երկարաժամկետ հավասարակշիռ մակարդակի շուրջ:</w:t>
      </w:r>
    </w:p>
    <w:p w14:paraId="348503E7" w14:textId="3F69A46C" w:rsidR="00507805" w:rsidRPr="004F5DA5" w:rsidRDefault="00507805" w:rsidP="00D2654C">
      <w:pPr>
        <w:pStyle w:val="ListParagraph"/>
        <w:numPr>
          <w:ilvl w:val="0"/>
          <w:numId w:val="19"/>
        </w:numPr>
        <w:ind w:left="0" w:firstLine="0"/>
        <w:jc w:val="both"/>
        <w:rPr>
          <w:rFonts w:ascii="GHEA Grapalat" w:eastAsia="Times New Roman" w:hAnsi="GHEA Grapalat" w:cs="Times New Roman"/>
          <w:szCs w:val="20"/>
          <w:lang w:val="hy-AM"/>
        </w:rPr>
      </w:pPr>
      <w:r w:rsidRPr="004F5DA5">
        <w:rPr>
          <w:rFonts w:ascii="GHEA Grapalat" w:eastAsia="Times New Roman" w:hAnsi="GHEA Grapalat" w:cs="Times New Roman"/>
          <w:szCs w:val="20"/>
          <w:lang w:val="hy-AM"/>
        </w:rPr>
        <w:t>2026թ</w:t>
      </w:r>
      <w:r w:rsidRPr="004F5DA5">
        <w:rPr>
          <w:rFonts w:ascii="Cambria Math" w:eastAsia="Times New Roman" w:hAnsi="Cambria Math" w:cs="Cambria Math"/>
          <w:szCs w:val="20"/>
          <w:lang w:val="hy-AM"/>
        </w:rPr>
        <w:t>․</w:t>
      </w:r>
      <w:r w:rsidRPr="004F5DA5">
        <w:rPr>
          <w:rFonts w:ascii="GHEA Grapalat" w:eastAsia="Times New Roman" w:hAnsi="GHEA Grapalat" w:cs="Times New Roman"/>
          <w:szCs w:val="20"/>
          <w:lang w:val="hy-AM"/>
        </w:rPr>
        <w:t xml:space="preserve">-ին և միջնաժամկետ հատվածի սկզբում՝ կառուցվածքային բարեփոխումների և առաջնահերթ ներդրումների ֆինանսավորման պահանջի աճի պայմաններում պետական բյուջեի պակասուրդի համեմատաբար բարձր մակարդակի ձևավորումից հետո հարկաբյուջետային քաղաքականությունն ուղղված կլինի ծախսերի կառուցվածքի բարելավմամբ ուղեկցվող հարկաբյուջետային կոնսոլիդացիայի իրականացմանը։ </w:t>
      </w:r>
      <w:r w:rsidR="0047681E">
        <w:rPr>
          <w:rFonts w:ascii="GHEA Grapalat" w:eastAsia="Times New Roman" w:hAnsi="GHEA Grapalat" w:cs="Times New Roman"/>
          <w:szCs w:val="20"/>
          <w:lang w:val="hy-AM"/>
        </w:rPr>
        <w:t>ՀՀ կ</w:t>
      </w:r>
      <w:r w:rsidRPr="004F5DA5">
        <w:rPr>
          <w:rFonts w:ascii="GHEA Grapalat" w:eastAsia="Times New Roman" w:hAnsi="GHEA Grapalat" w:cs="Times New Roman"/>
          <w:szCs w:val="20"/>
          <w:lang w:val="hy-AM"/>
        </w:rPr>
        <w:t>առավարության պարտքի բեռը 2027-2028 թվականներին կգտնվի 47%-ի շրջակայքում, որից հետո՝ բյուջեի պակասուրդի շարունակական նվազման արդյունքում կհասնի 46.</w:t>
      </w:r>
      <w:r w:rsidRPr="00EB1E04">
        <w:rPr>
          <w:rFonts w:ascii="GHEA Grapalat" w:eastAsia="Times New Roman" w:hAnsi="GHEA Grapalat" w:cs="Times New Roman"/>
          <w:szCs w:val="20"/>
          <w:lang w:val="hy-AM"/>
        </w:rPr>
        <w:t>4</w:t>
      </w:r>
      <w:r w:rsidRPr="004F5DA5">
        <w:rPr>
          <w:rFonts w:ascii="GHEA Grapalat" w:eastAsia="Times New Roman" w:hAnsi="GHEA Grapalat" w:cs="Times New Roman"/>
          <w:szCs w:val="20"/>
          <w:lang w:val="hy-AM"/>
        </w:rPr>
        <w:t xml:space="preserve">%-ին մինչև 2029 թվականը։ Հարկաբյուջետային կոնսոլիդացիան կիրականացվի ընթացիկ ծախսերի օպտիմալացման և արդյունավետության բարձրացման պայմաններում ՀՆԱ-ում դրանց կշռի որոշակի նվազմամբ, ինչը կզուգորդվի ամբողջական պահանջարկի վրա չափավոր զսպող ազդեցությամբ՝ միջնաժամկետի վերջում այդ ազդեցության թուլացմամբ։ Արդյունավետ ներդրումների և կառուցվածքային բարեփոխումների իրականացումը միաժամանակ կնպաստի տնտեսության ներուժի բարձրացմանը։ Հարկաբյուջետային քաղաքականության համար, ընդհանուր առմամբ, առաջնահերթ է առկա ռեսուրսների առավել արդյունավետ օգտագործումը և հնարավոր ռիսկերի կառավարման կարողությունների ձևավորումը, ինչը, աճի ներուժի բարձրացման հետ, պետք է նպաստի երկարաժամկետ հարկաբյուջետային կայունությանը։ </w:t>
      </w:r>
    </w:p>
    <w:p w14:paraId="6DF37847" w14:textId="77777777" w:rsidR="00507805" w:rsidRPr="004F5DA5" w:rsidRDefault="00507805" w:rsidP="00D2654C">
      <w:pPr>
        <w:pStyle w:val="ListParagraph"/>
        <w:numPr>
          <w:ilvl w:val="0"/>
          <w:numId w:val="19"/>
        </w:numPr>
        <w:ind w:left="0" w:firstLine="0"/>
        <w:jc w:val="both"/>
        <w:rPr>
          <w:rFonts w:ascii="GHEA Grapalat" w:eastAsia="Times New Roman" w:hAnsi="GHEA Grapalat" w:cs="Times New Roman"/>
          <w:szCs w:val="20"/>
          <w:lang w:val="hy-AM"/>
        </w:rPr>
      </w:pPr>
      <w:r w:rsidRPr="004F5DA5">
        <w:rPr>
          <w:rFonts w:ascii="GHEA Grapalat" w:eastAsia="Times New Roman" w:hAnsi="GHEA Grapalat" w:cs="Times New Roman"/>
          <w:szCs w:val="20"/>
          <w:lang w:val="hy-AM"/>
        </w:rPr>
        <w:t>2026թ</w:t>
      </w:r>
      <w:r w:rsidRPr="004F5DA5">
        <w:rPr>
          <w:rFonts w:ascii="Cambria Math" w:eastAsia="Times New Roman" w:hAnsi="Cambria Math" w:cs="Cambria Math"/>
          <w:szCs w:val="20"/>
          <w:lang w:val="hy-AM"/>
        </w:rPr>
        <w:t>․</w:t>
      </w:r>
      <w:r w:rsidRPr="004F5DA5">
        <w:rPr>
          <w:rFonts w:ascii="GHEA Grapalat" w:eastAsia="Times New Roman" w:hAnsi="GHEA Grapalat" w:cs="Times New Roman"/>
          <w:szCs w:val="20"/>
          <w:lang w:val="hy-AM"/>
        </w:rPr>
        <w:t>-ին ինչպես միջին, այնպես էլ 12-ամսյա գնաճը բարձր կլինեն նպատակային ցուցանիշից և միջնաժամկետում կկայունանան 3% թիրախի շուրջ: Մշտադիտարկելով տնտեսության զարգացման սցենարները, ԿԲ-ն պատրաստ է ձեռնարկել համարժեք գործողություններ՝ միջնաժամկետ հորիզոնում գնաճի թիրախային մակարդակի և գների կայունության նպատակի ապահովման համար:</w:t>
      </w:r>
    </w:p>
    <w:p w14:paraId="305A20F3" w14:textId="77777777" w:rsidR="00507805" w:rsidRPr="004F5DA5" w:rsidRDefault="00507805" w:rsidP="00D2654C">
      <w:pPr>
        <w:pStyle w:val="ListParagraph"/>
        <w:numPr>
          <w:ilvl w:val="0"/>
          <w:numId w:val="19"/>
        </w:numPr>
        <w:ind w:left="0" w:firstLine="0"/>
        <w:jc w:val="both"/>
        <w:rPr>
          <w:rFonts w:ascii="GHEA Grapalat" w:eastAsia="Times New Roman" w:hAnsi="GHEA Grapalat" w:cs="Times New Roman"/>
          <w:szCs w:val="20"/>
          <w:lang w:val="hy-AM"/>
        </w:rPr>
      </w:pPr>
      <w:r w:rsidRPr="004F5DA5">
        <w:rPr>
          <w:rFonts w:ascii="GHEA Grapalat" w:eastAsia="Times New Roman" w:hAnsi="GHEA Grapalat" w:cs="Times New Roman"/>
          <w:szCs w:val="20"/>
          <w:lang w:val="hy-AM"/>
        </w:rPr>
        <w:t>Ռուս-ուկրաինական շարունակվող հակամարտությունը, Ռուսաստանի դեմ կիրառվող պատժամիջոցները, Մերձավոր Արևելքի հակամարտությունը, էներգակիրների գների և արտաքին առևտրային սահմանափակումները աշխարհում ստեղծել են նոր իրականություն, որի պայմաններում ինչպես աշխարհի և ՀՀ գործընկեր երկրների, այնպես էլ ՀՀ տնտեսական աճի կանխատեսումներն իրենց մեջ կրում են անորոշություն: Այս պայմաններում, ինչպես աշխարհի և ՀՀ գործընկերների, այնպես էլ պետական բյուջեի շրջանակում ՀՀ տնտեսական աճի կանխատեսումների համար առկա են երկկողմանի ռիսկեր:</w:t>
      </w:r>
    </w:p>
    <w:p w14:paraId="0CAEC626" w14:textId="77777777" w:rsidR="00507805" w:rsidRPr="008B63B1" w:rsidRDefault="00507805" w:rsidP="00082769">
      <w:pPr>
        <w:rPr>
          <w:rFonts w:ascii="GHEA Grapalat" w:eastAsia="Times New Roman" w:hAnsi="GHEA Grapalat" w:cs="Times New Roman"/>
          <w:color w:val="404040"/>
          <w:lang w:val="hy-AM"/>
        </w:rPr>
      </w:pPr>
    </w:p>
    <w:p w14:paraId="27F4584D" w14:textId="77777777" w:rsidR="00507805" w:rsidRPr="00A361C5" w:rsidRDefault="00507805" w:rsidP="00082769">
      <w:pPr>
        <w:jc w:val="both"/>
        <w:rPr>
          <w:rFonts w:ascii="GHEA Grapalat" w:eastAsia="Times New Roman" w:hAnsi="GHEA Grapalat" w:cs="Times New Roman"/>
          <w:b/>
          <w:bCs/>
          <w:color w:val="000000" w:themeColor="text1"/>
          <w:sz w:val="20"/>
          <w:szCs w:val="20"/>
          <w:lang w:val="hy-AM"/>
        </w:rPr>
      </w:pPr>
      <w:r w:rsidRPr="00A361C5">
        <w:rPr>
          <w:rFonts w:ascii="GHEA Grapalat" w:eastAsia="Times New Roman" w:hAnsi="GHEA Grapalat" w:cs="Times New Roman"/>
          <w:bCs/>
          <w:color w:val="000000" w:themeColor="text1"/>
          <w:sz w:val="20"/>
          <w:szCs w:val="20"/>
          <w:lang w:val="hy-AM" w:eastAsia="ru-RU"/>
        </w:rPr>
        <w:t>Աղյուսակ</w:t>
      </w:r>
      <w:r w:rsidRPr="00A361C5">
        <w:rPr>
          <w:rFonts w:ascii="GHEA Grapalat" w:eastAsia="Times New Roman" w:hAnsi="GHEA Grapalat" w:cs="Times New Roman"/>
          <w:b/>
          <w:bCs/>
          <w:color w:val="000000" w:themeColor="text1"/>
          <w:sz w:val="20"/>
          <w:szCs w:val="20"/>
          <w:lang w:val="hy-AM"/>
        </w:rPr>
        <w:t xml:space="preserve"> </w:t>
      </w:r>
      <w:r w:rsidRPr="00A361C5">
        <w:rPr>
          <w:rFonts w:ascii="GHEA Grapalat" w:eastAsia="Times New Roman" w:hAnsi="GHEA Grapalat" w:cs="Times New Roman"/>
          <w:bCs/>
          <w:color w:val="000000" w:themeColor="text1"/>
          <w:sz w:val="20"/>
          <w:szCs w:val="20"/>
          <w:lang w:val="hy-AM" w:eastAsia="ru-RU"/>
        </w:rPr>
        <w:t>1.1. 2027թ. պետական բյուջեի մակրոտնտեսական շրջանակ</w:t>
      </w:r>
    </w:p>
    <w:tbl>
      <w:tblPr>
        <w:tblpPr w:leftFromText="180" w:rightFromText="180" w:topFromText="120" w:vertAnchor="text" w:horzAnchor="margin" w:tblpX="-31" w:tblpY="47"/>
        <w:tblW w:w="9890" w:type="dxa"/>
        <w:tblBorders>
          <w:top w:val="single" w:sz="8" w:space="0" w:color="E1E1E3"/>
          <w:left w:val="single" w:sz="8" w:space="0" w:color="E1E1E3"/>
          <w:bottom w:val="single" w:sz="8" w:space="0" w:color="E1E1E3"/>
          <w:right w:val="single" w:sz="8" w:space="0" w:color="E1E1E3"/>
          <w:insideH w:val="single" w:sz="8" w:space="0" w:color="E1E1E3"/>
          <w:insideV w:val="single" w:sz="8" w:space="0" w:color="E1E1E3"/>
        </w:tblBorders>
        <w:tblLayout w:type="fixed"/>
        <w:tblLook w:val="04A0" w:firstRow="1" w:lastRow="0" w:firstColumn="1" w:lastColumn="0" w:noHBand="0" w:noVBand="1"/>
      </w:tblPr>
      <w:tblGrid>
        <w:gridCol w:w="2780"/>
        <w:gridCol w:w="1104"/>
        <w:gridCol w:w="1050"/>
        <w:gridCol w:w="1010"/>
        <w:gridCol w:w="1058"/>
        <w:gridCol w:w="951"/>
        <w:gridCol w:w="964"/>
        <w:gridCol w:w="973"/>
      </w:tblGrid>
      <w:tr w:rsidR="00507805" w:rsidRPr="008B63B1" w14:paraId="7EE28596" w14:textId="77777777" w:rsidTr="006A1839">
        <w:trPr>
          <w:trHeight w:val="288"/>
        </w:trPr>
        <w:tc>
          <w:tcPr>
            <w:tcW w:w="2780" w:type="dxa"/>
            <w:vMerge w:val="restart"/>
            <w:shd w:val="clear" w:color="auto" w:fill="D5DCE4"/>
            <w:noWrap/>
            <w:vAlign w:val="center"/>
            <w:hideMark/>
          </w:tcPr>
          <w:p w14:paraId="63EC5A29"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6"/>
                <w:szCs w:val="16"/>
                <w:lang w:val="ru-RU"/>
              </w:rPr>
            </w:pPr>
            <w:r w:rsidRPr="008B63B1">
              <w:rPr>
                <w:rFonts w:ascii="GHEA Grapalat" w:eastAsia="Times New Roman" w:hAnsi="GHEA Grapalat" w:cs="Times New Roman"/>
                <w:color w:val="404040"/>
                <w:sz w:val="16"/>
                <w:szCs w:val="16"/>
              </w:rPr>
              <w:t>Հիմնական մակրոտնտեսական ցուցանիշներ</w:t>
            </w:r>
          </w:p>
        </w:tc>
        <w:tc>
          <w:tcPr>
            <w:tcW w:w="1104" w:type="dxa"/>
            <w:shd w:val="clear" w:color="auto" w:fill="D5DCE4"/>
            <w:vAlign w:val="center"/>
            <w:hideMark/>
          </w:tcPr>
          <w:p w14:paraId="7D4BCF1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3</w:t>
            </w:r>
          </w:p>
        </w:tc>
        <w:tc>
          <w:tcPr>
            <w:tcW w:w="1050" w:type="dxa"/>
            <w:shd w:val="clear" w:color="auto" w:fill="D5DCE4"/>
            <w:vAlign w:val="center"/>
            <w:hideMark/>
          </w:tcPr>
          <w:p w14:paraId="60541997"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4</w:t>
            </w:r>
          </w:p>
        </w:tc>
        <w:tc>
          <w:tcPr>
            <w:tcW w:w="1010" w:type="dxa"/>
            <w:shd w:val="clear" w:color="auto" w:fill="D5DCE4"/>
            <w:vAlign w:val="center"/>
            <w:hideMark/>
          </w:tcPr>
          <w:p w14:paraId="1566A24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5</w:t>
            </w:r>
          </w:p>
        </w:tc>
        <w:tc>
          <w:tcPr>
            <w:tcW w:w="1058" w:type="dxa"/>
            <w:shd w:val="clear" w:color="auto" w:fill="D5DCE4"/>
            <w:vAlign w:val="center"/>
            <w:hideMark/>
          </w:tcPr>
          <w:p w14:paraId="1D6C5144" w14:textId="77777777" w:rsidR="00507805" w:rsidRPr="006A1839"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w:t>
            </w:r>
            <w:r w:rsidRPr="006A1839">
              <w:rPr>
                <w:rFonts w:ascii="GHEA Grapalat" w:eastAsia="Times New Roman" w:hAnsi="GHEA Grapalat" w:cs="Times New Roman"/>
                <w:b/>
                <w:color w:val="404040"/>
                <w:sz w:val="18"/>
                <w:szCs w:val="18"/>
              </w:rPr>
              <w:t>6</w:t>
            </w:r>
          </w:p>
        </w:tc>
        <w:tc>
          <w:tcPr>
            <w:tcW w:w="951" w:type="dxa"/>
            <w:shd w:val="clear" w:color="auto" w:fill="D9D9D9" w:themeFill="background1" w:themeFillShade="D9"/>
            <w:vAlign w:val="center"/>
            <w:hideMark/>
          </w:tcPr>
          <w:p w14:paraId="5F765E84"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2027</w:t>
            </w:r>
          </w:p>
        </w:tc>
        <w:tc>
          <w:tcPr>
            <w:tcW w:w="964" w:type="dxa"/>
            <w:shd w:val="clear" w:color="auto" w:fill="D5DCE4"/>
            <w:vAlign w:val="center"/>
            <w:hideMark/>
          </w:tcPr>
          <w:p w14:paraId="5B14CC5D"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8</w:t>
            </w:r>
          </w:p>
        </w:tc>
        <w:tc>
          <w:tcPr>
            <w:tcW w:w="973" w:type="dxa"/>
            <w:shd w:val="clear" w:color="auto" w:fill="D5DCE4"/>
            <w:vAlign w:val="center"/>
            <w:hideMark/>
          </w:tcPr>
          <w:p w14:paraId="47F0E087"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9</w:t>
            </w:r>
          </w:p>
        </w:tc>
      </w:tr>
      <w:tr w:rsidR="00507805" w:rsidRPr="008B63B1" w14:paraId="20D4620B" w14:textId="77777777" w:rsidTr="006A1839">
        <w:trPr>
          <w:trHeight w:val="288"/>
        </w:trPr>
        <w:tc>
          <w:tcPr>
            <w:tcW w:w="2780" w:type="dxa"/>
            <w:vMerge/>
            <w:shd w:val="clear" w:color="auto" w:fill="D5DCE4"/>
            <w:vAlign w:val="center"/>
            <w:hideMark/>
          </w:tcPr>
          <w:p w14:paraId="532BD6EF"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b/>
                <w:color w:val="404040"/>
                <w:sz w:val="18"/>
                <w:szCs w:val="18"/>
                <w:lang w:val="ru-RU" w:eastAsia="ru-RU"/>
              </w:rPr>
            </w:pPr>
          </w:p>
        </w:tc>
        <w:tc>
          <w:tcPr>
            <w:tcW w:w="1104" w:type="dxa"/>
            <w:shd w:val="clear" w:color="auto" w:fill="D5DCE4"/>
            <w:vAlign w:val="center"/>
            <w:hideMark/>
          </w:tcPr>
          <w:p w14:paraId="53E16A0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Փաստ</w:t>
            </w:r>
          </w:p>
        </w:tc>
        <w:tc>
          <w:tcPr>
            <w:tcW w:w="1050" w:type="dxa"/>
            <w:shd w:val="clear" w:color="auto" w:fill="D5DCE4"/>
            <w:vAlign w:val="center"/>
            <w:hideMark/>
          </w:tcPr>
          <w:p w14:paraId="09ACD11B"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Փաստ</w:t>
            </w:r>
          </w:p>
        </w:tc>
        <w:tc>
          <w:tcPr>
            <w:tcW w:w="1010" w:type="dxa"/>
            <w:shd w:val="clear" w:color="auto" w:fill="D5DCE4"/>
            <w:vAlign w:val="center"/>
            <w:hideMark/>
          </w:tcPr>
          <w:p w14:paraId="45DEAE62"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փաստ</w:t>
            </w:r>
          </w:p>
        </w:tc>
        <w:tc>
          <w:tcPr>
            <w:tcW w:w="1058" w:type="dxa"/>
            <w:shd w:val="clear" w:color="auto" w:fill="D5DCE4"/>
            <w:vAlign w:val="center"/>
            <w:hideMark/>
          </w:tcPr>
          <w:p w14:paraId="0AD4BA9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սպասում</w:t>
            </w:r>
          </w:p>
        </w:tc>
        <w:tc>
          <w:tcPr>
            <w:tcW w:w="951" w:type="dxa"/>
            <w:shd w:val="clear" w:color="auto" w:fill="D9D9D9" w:themeFill="background1" w:themeFillShade="D9"/>
            <w:vAlign w:val="center"/>
            <w:hideMark/>
          </w:tcPr>
          <w:p w14:paraId="1E064C22"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ծրագիր</w:t>
            </w:r>
          </w:p>
        </w:tc>
        <w:tc>
          <w:tcPr>
            <w:tcW w:w="964" w:type="dxa"/>
            <w:shd w:val="clear" w:color="auto" w:fill="D5DCE4"/>
            <w:vAlign w:val="center"/>
            <w:hideMark/>
          </w:tcPr>
          <w:p w14:paraId="72A366B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կանխ.</w:t>
            </w:r>
          </w:p>
        </w:tc>
        <w:tc>
          <w:tcPr>
            <w:tcW w:w="973" w:type="dxa"/>
            <w:shd w:val="clear" w:color="auto" w:fill="D5DCE4"/>
            <w:vAlign w:val="center"/>
            <w:hideMark/>
          </w:tcPr>
          <w:p w14:paraId="01A7E3A2"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կանխ.</w:t>
            </w:r>
          </w:p>
        </w:tc>
      </w:tr>
      <w:tr w:rsidR="00507805" w:rsidRPr="008B63B1" w14:paraId="789DB7E4" w14:textId="77777777" w:rsidTr="00507805">
        <w:trPr>
          <w:trHeight w:val="288"/>
        </w:trPr>
        <w:tc>
          <w:tcPr>
            <w:tcW w:w="2780" w:type="dxa"/>
            <w:noWrap/>
            <w:vAlign w:val="center"/>
            <w:hideMark/>
          </w:tcPr>
          <w:p w14:paraId="0EC20F93"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Անվանական ՀՆԱ, մլրդ ՀՀ դրամ</w:t>
            </w:r>
          </w:p>
        </w:tc>
        <w:tc>
          <w:tcPr>
            <w:tcW w:w="1104" w:type="dxa"/>
            <w:hideMark/>
          </w:tcPr>
          <w:p w14:paraId="45DC35A2"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9,493</w:t>
            </w:r>
          </w:p>
        </w:tc>
        <w:tc>
          <w:tcPr>
            <w:tcW w:w="1050" w:type="dxa"/>
            <w:hideMark/>
          </w:tcPr>
          <w:p w14:paraId="2C026507"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10,250</w:t>
            </w:r>
          </w:p>
        </w:tc>
        <w:tc>
          <w:tcPr>
            <w:tcW w:w="1010" w:type="dxa"/>
            <w:hideMark/>
          </w:tcPr>
          <w:p w14:paraId="72EA7F2D"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11,343</w:t>
            </w:r>
          </w:p>
        </w:tc>
        <w:tc>
          <w:tcPr>
            <w:tcW w:w="1058" w:type="dxa"/>
            <w:hideMark/>
          </w:tcPr>
          <w:p w14:paraId="291DE60C"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12,465</w:t>
            </w:r>
          </w:p>
        </w:tc>
        <w:tc>
          <w:tcPr>
            <w:tcW w:w="951" w:type="dxa"/>
            <w:shd w:val="clear" w:color="auto" w:fill="F2F2F2" w:themeFill="background1" w:themeFillShade="F2"/>
            <w:hideMark/>
          </w:tcPr>
          <w:p w14:paraId="7B0F2835"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13,614</w:t>
            </w:r>
          </w:p>
        </w:tc>
        <w:tc>
          <w:tcPr>
            <w:tcW w:w="964" w:type="dxa"/>
            <w:hideMark/>
          </w:tcPr>
          <w:p w14:paraId="0F866EE5"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14,877</w:t>
            </w:r>
          </w:p>
        </w:tc>
        <w:tc>
          <w:tcPr>
            <w:tcW w:w="973" w:type="dxa"/>
            <w:hideMark/>
          </w:tcPr>
          <w:p w14:paraId="33590190"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16,234</w:t>
            </w:r>
          </w:p>
        </w:tc>
      </w:tr>
      <w:tr w:rsidR="00507805" w:rsidRPr="008B63B1" w14:paraId="600B3D08" w14:textId="77777777" w:rsidTr="00507805">
        <w:trPr>
          <w:trHeight w:val="288"/>
        </w:trPr>
        <w:tc>
          <w:tcPr>
            <w:tcW w:w="2780" w:type="dxa"/>
            <w:noWrap/>
            <w:vAlign w:val="center"/>
            <w:hideMark/>
          </w:tcPr>
          <w:p w14:paraId="55A4AA13"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Տնտեսական աճ, %</w:t>
            </w:r>
          </w:p>
        </w:tc>
        <w:tc>
          <w:tcPr>
            <w:tcW w:w="1104" w:type="dxa"/>
            <w:hideMark/>
          </w:tcPr>
          <w:p w14:paraId="291D8BAC"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8.3 </w:t>
            </w:r>
          </w:p>
        </w:tc>
        <w:tc>
          <w:tcPr>
            <w:tcW w:w="1050" w:type="dxa"/>
            <w:hideMark/>
          </w:tcPr>
          <w:p w14:paraId="6D84071E"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5.9 </w:t>
            </w:r>
          </w:p>
        </w:tc>
        <w:tc>
          <w:tcPr>
            <w:tcW w:w="1010" w:type="dxa"/>
            <w:hideMark/>
          </w:tcPr>
          <w:p w14:paraId="7D120E9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7.1 </w:t>
            </w:r>
          </w:p>
        </w:tc>
        <w:tc>
          <w:tcPr>
            <w:tcW w:w="1058" w:type="dxa"/>
            <w:hideMark/>
          </w:tcPr>
          <w:p w14:paraId="38C6D16F"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5.6 </w:t>
            </w:r>
          </w:p>
        </w:tc>
        <w:tc>
          <w:tcPr>
            <w:tcW w:w="951" w:type="dxa"/>
            <w:shd w:val="clear" w:color="auto" w:fill="F2F2F2" w:themeFill="background1" w:themeFillShade="F2"/>
            <w:hideMark/>
          </w:tcPr>
          <w:p w14:paraId="3E5D5EAC"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5.8 </w:t>
            </w:r>
          </w:p>
        </w:tc>
        <w:tc>
          <w:tcPr>
            <w:tcW w:w="964" w:type="dxa"/>
            <w:hideMark/>
          </w:tcPr>
          <w:p w14:paraId="1F05D40A"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6.1 </w:t>
            </w:r>
          </w:p>
        </w:tc>
        <w:tc>
          <w:tcPr>
            <w:tcW w:w="973" w:type="dxa"/>
            <w:hideMark/>
          </w:tcPr>
          <w:p w14:paraId="3DA4382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5.9 </w:t>
            </w:r>
          </w:p>
        </w:tc>
      </w:tr>
      <w:tr w:rsidR="00507805" w:rsidRPr="008B63B1" w14:paraId="66BC5768" w14:textId="77777777" w:rsidTr="00507805">
        <w:trPr>
          <w:trHeight w:val="288"/>
        </w:trPr>
        <w:tc>
          <w:tcPr>
            <w:tcW w:w="2780" w:type="dxa"/>
            <w:noWrap/>
            <w:vAlign w:val="center"/>
            <w:hideMark/>
          </w:tcPr>
          <w:p w14:paraId="2A314854"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ՀՆԱ դեֆլյատորի աճ, %</w:t>
            </w:r>
          </w:p>
        </w:tc>
        <w:tc>
          <w:tcPr>
            <w:tcW w:w="1104" w:type="dxa"/>
            <w:hideMark/>
          </w:tcPr>
          <w:p w14:paraId="3FB091FC"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3.1 </w:t>
            </w:r>
          </w:p>
        </w:tc>
        <w:tc>
          <w:tcPr>
            <w:tcW w:w="1050" w:type="dxa"/>
            <w:hideMark/>
          </w:tcPr>
          <w:p w14:paraId="73DD57B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1.9 </w:t>
            </w:r>
          </w:p>
        </w:tc>
        <w:tc>
          <w:tcPr>
            <w:tcW w:w="1010" w:type="dxa"/>
            <w:hideMark/>
          </w:tcPr>
          <w:p w14:paraId="0D7B329F"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3.4 </w:t>
            </w:r>
          </w:p>
        </w:tc>
        <w:tc>
          <w:tcPr>
            <w:tcW w:w="1058" w:type="dxa"/>
            <w:hideMark/>
          </w:tcPr>
          <w:p w14:paraId="4A51AC24"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4.1 </w:t>
            </w:r>
          </w:p>
        </w:tc>
        <w:tc>
          <w:tcPr>
            <w:tcW w:w="951" w:type="dxa"/>
            <w:shd w:val="clear" w:color="auto" w:fill="F2F2F2" w:themeFill="background1" w:themeFillShade="F2"/>
            <w:hideMark/>
          </w:tcPr>
          <w:p w14:paraId="3A45CBA0"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3.2 </w:t>
            </w:r>
          </w:p>
        </w:tc>
        <w:tc>
          <w:tcPr>
            <w:tcW w:w="964" w:type="dxa"/>
            <w:hideMark/>
          </w:tcPr>
          <w:p w14:paraId="22A19E35"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3.0 </w:t>
            </w:r>
          </w:p>
        </w:tc>
        <w:tc>
          <w:tcPr>
            <w:tcW w:w="973" w:type="dxa"/>
            <w:hideMark/>
          </w:tcPr>
          <w:p w14:paraId="2D3F0C01"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 xml:space="preserve">3.0 </w:t>
            </w:r>
          </w:p>
        </w:tc>
      </w:tr>
      <w:tr w:rsidR="00507805" w:rsidRPr="008B63B1" w14:paraId="691F1BA3" w14:textId="77777777" w:rsidTr="00507805">
        <w:trPr>
          <w:trHeight w:val="288"/>
        </w:trPr>
        <w:tc>
          <w:tcPr>
            <w:tcW w:w="2780" w:type="dxa"/>
            <w:noWrap/>
            <w:vAlign w:val="center"/>
            <w:hideMark/>
          </w:tcPr>
          <w:p w14:paraId="627210D6"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Գնաճ (ժամանակ. վերջ), %</w:t>
            </w:r>
          </w:p>
        </w:tc>
        <w:tc>
          <w:tcPr>
            <w:tcW w:w="1104" w:type="dxa"/>
            <w:vAlign w:val="center"/>
            <w:hideMark/>
          </w:tcPr>
          <w:p w14:paraId="4CFCDCB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-0.6</w:t>
            </w:r>
          </w:p>
        </w:tc>
        <w:tc>
          <w:tcPr>
            <w:tcW w:w="1050" w:type="dxa"/>
            <w:vAlign w:val="center"/>
            <w:hideMark/>
          </w:tcPr>
          <w:p w14:paraId="1BAB9BA4"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1.5</w:t>
            </w:r>
          </w:p>
        </w:tc>
        <w:tc>
          <w:tcPr>
            <w:tcW w:w="1010" w:type="dxa"/>
            <w:vAlign w:val="center"/>
            <w:hideMark/>
          </w:tcPr>
          <w:p w14:paraId="217EA98A"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3.3</w:t>
            </w:r>
          </w:p>
        </w:tc>
        <w:tc>
          <w:tcPr>
            <w:tcW w:w="1058" w:type="dxa"/>
            <w:vAlign w:val="center"/>
            <w:hideMark/>
          </w:tcPr>
          <w:p w14:paraId="133AC72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4.2</w:t>
            </w:r>
          </w:p>
        </w:tc>
        <w:tc>
          <w:tcPr>
            <w:tcW w:w="951" w:type="dxa"/>
            <w:shd w:val="clear" w:color="auto" w:fill="F2F2F2" w:themeFill="background1" w:themeFillShade="F2"/>
            <w:vAlign w:val="center"/>
            <w:hideMark/>
          </w:tcPr>
          <w:p w14:paraId="50F63F70"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3.3</w:t>
            </w:r>
          </w:p>
        </w:tc>
        <w:tc>
          <w:tcPr>
            <w:tcW w:w="964" w:type="dxa"/>
            <w:vAlign w:val="center"/>
            <w:hideMark/>
          </w:tcPr>
          <w:p w14:paraId="11EC8E99"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3.0</w:t>
            </w:r>
          </w:p>
        </w:tc>
        <w:tc>
          <w:tcPr>
            <w:tcW w:w="973" w:type="dxa"/>
            <w:vAlign w:val="center"/>
            <w:hideMark/>
          </w:tcPr>
          <w:p w14:paraId="3B272E11"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lang w:val="hy-AM"/>
              </w:rPr>
              <w:t>3</w:t>
            </w:r>
            <w:r w:rsidRPr="008B63B1">
              <w:rPr>
                <w:rFonts w:ascii="GHEA Grapalat" w:eastAsia="Times New Roman" w:hAnsi="GHEA Grapalat" w:cs="Times New Roman"/>
                <w:color w:val="404040"/>
                <w:sz w:val="18"/>
                <w:szCs w:val="18"/>
              </w:rPr>
              <w:t>.0</w:t>
            </w:r>
          </w:p>
        </w:tc>
      </w:tr>
      <w:tr w:rsidR="00507805" w:rsidRPr="008B63B1" w14:paraId="62D26440" w14:textId="77777777" w:rsidTr="00507805">
        <w:trPr>
          <w:trHeight w:val="288"/>
        </w:trPr>
        <w:tc>
          <w:tcPr>
            <w:tcW w:w="2780" w:type="dxa"/>
            <w:vAlign w:val="center"/>
            <w:hideMark/>
          </w:tcPr>
          <w:p w14:paraId="697437C5"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Գնաճ (միջին), %</w:t>
            </w:r>
          </w:p>
        </w:tc>
        <w:tc>
          <w:tcPr>
            <w:tcW w:w="1104" w:type="dxa"/>
            <w:vAlign w:val="center"/>
            <w:hideMark/>
          </w:tcPr>
          <w:p w14:paraId="2A8C6E90"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2.0</w:t>
            </w:r>
          </w:p>
        </w:tc>
        <w:tc>
          <w:tcPr>
            <w:tcW w:w="1050" w:type="dxa"/>
            <w:vAlign w:val="center"/>
            <w:hideMark/>
          </w:tcPr>
          <w:p w14:paraId="687A56AA"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0.3</w:t>
            </w:r>
          </w:p>
        </w:tc>
        <w:tc>
          <w:tcPr>
            <w:tcW w:w="1010" w:type="dxa"/>
            <w:vAlign w:val="center"/>
            <w:hideMark/>
          </w:tcPr>
          <w:p w14:paraId="385B951F"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w:t>
            </w:r>
            <w:r w:rsidRPr="008B63B1">
              <w:rPr>
                <w:rFonts w:ascii="GHEA Grapalat" w:eastAsia="Times New Roman" w:hAnsi="GHEA Grapalat" w:cs="Times New Roman"/>
                <w:color w:val="404040"/>
                <w:sz w:val="18"/>
                <w:szCs w:val="18"/>
                <w:lang w:val="hy-AM"/>
              </w:rPr>
              <w:t>3</w:t>
            </w:r>
          </w:p>
        </w:tc>
        <w:tc>
          <w:tcPr>
            <w:tcW w:w="1058" w:type="dxa"/>
            <w:vAlign w:val="center"/>
            <w:hideMark/>
          </w:tcPr>
          <w:p w14:paraId="2C74862D"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w:t>
            </w:r>
            <w:r w:rsidRPr="008B63B1">
              <w:rPr>
                <w:rFonts w:ascii="GHEA Grapalat" w:eastAsia="Times New Roman" w:hAnsi="GHEA Grapalat" w:cs="Times New Roman"/>
                <w:color w:val="404040"/>
                <w:sz w:val="18"/>
                <w:szCs w:val="18"/>
              </w:rPr>
              <w:t>.</w:t>
            </w:r>
            <w:r w:rsidRPr="008B63B1">
              <w:rPr>
                <w:rFonts w:ascii="GHEA Grapalat" w:eastAsia="Times New Roman" w:hAnsi="GHEA Grapalat" w:cs="Times New Roman"/>
                <w:color w:val="404040"/>
                <w:sz w:val="18"/>
                <w:szCs w:val="18"/>
                <w:lang w:val="hy-AM"/>
              </w:rPr>
              <w:t>2</w:t>
            </w:r>
          </w:p>
        </w:tc>
        <w:tc>
          <w:tcPr>
            <w:tcW w:w="951" w:type="dxa"/>
            <w:shd w:val="clear" w:color="auto" w:fill="F2F2F2" w:themeFill="background1" w:themeFillShade="F2"/>
            <w:vAlign w:val="center"/>
            <w:hideMark/>
          </w:tcPr>
          <w:p w14:paraId="0D4C43DE"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3.5</w:t>
            </w:r>
          </w:p>
        </w:tc>
        <w:tc>
          <w:tcPr>
            <w:tcW w:w="964" w:type="dxa"/>
            <w:vAlign w:val="center"/>
            <w:hideMark/>
          </w:tcPr>
          <w:p w14:paraId="41D4551E"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lang w:val="hy-AM"/>
              </w:rPr>
              <w:t>3</w:t>
            </w:r>
            <w:r w:rsidRPr="008B63B1">
              <w:rPr>
                <w:rFonts w:ascii="GHEA Grapalat" w:eastAsia="Times New Roman" w:hAnsi="GHEA Grapalat" w:cs="Times New Roman"/>
                <w:color w:val="404040"/>
                <w:sz w:val="18"/>
                <w:szCs w:val="18"/>
              </w:rPr>
              <w:t>.1</w:t>
            </w:r>
          </w:p>
        </w:tc>
        <w:tc>
          <w:tcPr>
            <w:tcW w:w="973" w:type="dxa"/>
            <w:vAlign w:val="center"/>
            <w:hideMark/>
          </w:tcPr>
          <w:p w14:paraId="09D245F4"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lang w:val="hy-AM"/>
              </w:rPr>
              <w:t>3</w:t>
            </w:r>
            <w:r w:rsidRPr="008B63B1">
              <w:rPr>
                <w:rFonts w:ascii="GHEA Grapalat" w:eastAsia="Times New Roman" w:hAnsi="GHEA Grapalat" w:cs="Times New Roman"/>
                <w:color w:val="404040"/>
                <w:sz w:val="18"/>
                <w:szCs w:val="18"/>
              </w:rPr>
              <w:t>.0</w:t>
            </w:r>
          </w:p>
        </w:tc>
      </w:tr>
      <w:tr w:rsidR="00507805" w:rsidRPr="008B63B1" w14:paraId="50C21557" w14:textId="77777777" w:rsidTr="00873AE6">
        <w:trPr>
          <w:trHeight w:val="288"/>
        </w:trPr>
        <w:tc>
          <w:tcPr>
            <w:tcW w:w="9890" w:type="dxa"/>
            <w:gridSpan w:val="8"/>
            <w:shd w:val="clear" w:color="auto" w:fill="D5DCE4"/>
            <w:noWrap/>
            <w:vAlign w:val="center"/>
            <w:hideMark/>
          </w:tcPr>
          <w:p w14:paraId="3C5CD772"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ՀՆԱ իրական աճն ըստ ճյուղերի ավելացված արժեքների, %</w:t>
            </w:r>
          </w:p>
        </w:tc>
      </w:tr>
      <w:tr w:rsidR="00507805" w:rsidRPr="008B63B1" w14:paraId="1D730EF2" w14:textId="77777777" w:rsidTr="00507805">
        <w:trPr>
          <w:trHeight w:val="288"/>
        </w:trPr>
        <w:tc>
          <w:tcPr>
            <w:tcW w:w="2780" w:type="dxa"/>
            <w:noWrap/>
            <w:vAlign w:val="center"/>
            <w:hideMark/>
          </w:tcPr>
          <w:p w14:paraId="40B99E25"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Արդյունաբերություն</w:t>
            </w:r>
          </w:p>
        </w:tc>
        <w:tc>
          <w:tcPr>
            <w:tcW w:w="1104" w:type="dxa"/>
            <w:hideMark/>
          </w:tcPr>
          <w:p w14:paraId="2BF4CEBB"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-3.0</w:t>
            </w:r>
          </w:p>
        </w:tc>
        <w:tc>
          <w:tcPr>
            <w:tcW w:w="1050" w:type="dxa"/>
            <w:hideMark/>
          </w:tcPr>
          <w:p w14:paraId="69AB94E0"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2.0</w:t>
            </w:r>
          </w:p>
        </w:tc>
        <w:tc>
          <w:tcPr>
            <w:tcW w:w="1010" w:type="dxa"/>
            <w:hideMark/>
          </w:tcPr>
          <w:p w14:paraId="767B575F"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3.7</w:t>
            </w:r>
          </w:p>
        </w:tc>
        <w:tc>
          <w:tcPr>
            <w:tcW w:w="1058" w:type="dxa"/>
            <w:hideMark/>
          </w:tcPr>
          <w:p w14:paraId="74D3DD55"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5.9</w:t>
            </w:r>
          </w:p>
        </w:tc>
        <w:tc>
          <w:tcPr>
            <w:tcW w:w="951" w:type="dxa"/>
            <w:shd w:val="clear" w:color="auto" w:fill="F2F2F2" w:themeFill="background1" w:themeFillShade="F2"/>
            <w:hideMark/>
          </w:tcPr>
          <w:p w14:paraId="7EDEEF99"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7.4</w:t>
            </w:r>
          </w:p>
        </w:tc>
        <w:tc>
          <w:tcPr>
            <w:tcW w:w="964" w:type="dxa"/>
            <w:hideMark/>
          </w:tcPr>
          <w:p w14:paraId="499ACC2C"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6.2</w:t>
            </w:r>
          </w:p>
        </w:tc>
        <w:tc>
          <w:tcPr>
            <w:tcW w:w="973" w:type="dxa"/>
            <w:hideMark/>
          </w:tcPr>
          <w:p w14:paraId="52979D1C"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6.0</w:t>
            </w:r>
          </w:p>
        </w:tc>
      </w:tr>
      <w:tr w:rsidR="00507805" w:rsidRPr="008B63B1" w14:paraId="5F9EACA1" w14:textId="77777777" w:rsidTr="00507805">
        <w:trPr>
          <w:trHeight w:val="288"/>
        </w:trPr>
        <w:tc>
          <w:tcPr>
            <w:tcW w:w="2780" w:type="dxa"/>
            <w:vAlign w:val="center"/>
            <w:hideMark/>
          </w:tcPr>
          <w:p w14:paraId="6211103C"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 xml:space="preserve">Գյուղատնտեսություն </w:t>
            </w:r>
          </w:p>
        </w:tc>
        <w:tc>
          <w:tcPr>
            <w:tcW w:w="1104" w:type="dxa"/>
            <w:hideMark/>
          </w:tcPr>
          <w:p w14:paraId="43A8C216"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-0.4</w:t>
            </w:r>
          </w:p>
        </w:tc>
        <w:tc>
          <w:tcPr>
            <w:tcW w:w="1050" w:type="dxa"/>
            <w:hideMark/>
          </w:tcPr>
          <w:p w14:paraId="3C2A9C3C"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1.5</w:t>
            </w:r>
          </w:p>
        </w:tc>
        <w:tc>
          <w:tcPr>
            <w:tcW w:w="1010" w:type="dxa"/>
            <w:hideMark/>
          </w:tcPr>
          <w:p w14:paraId="49B88642"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5.2</w:t>
            </w:r>
          </w:p>
        </w:tc>
        <w:tc>
          <w:tcPr>
            <w:tcW w:w="1058" w:type="dxa"/>
            <w:hideMark/>
          </w:tcPr>
          <w:p w14:paraId="4703715C"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-3.5</w:t>
            </w:r>
          </w:p>
        </w:tc>
        <w:tc>
          <w:tcPr>
            <w:tcW w:w="951" w:type="dxa"/>
            <w:shd w:val="clear" w:color="auto" w:fill="F2F2F2" w:themeFill="background1" w:themeFillShade="F2"/>
            <w:hideMark/>
          </w:tcPr>
          <w:p w14:paraId="6A20B906"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3.2</w:t>
            </w:r>
          </w:p>
        </w:tc>
        <w:tc>
          <w:tcPr>
            <w:tcW w:w="964" w:type="dxa"/>
            <w:hideMark/>
          </w:tcPr>
          <w:p w14:paraId="04671CE2"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3.3</w:t>
            </w:r>
          </w:p>
        </w:tc>
        <w:tc>
          <w:tcPr>
            <w:tcW w:w="973" w:type="dxa"/>
            <w:hideMark/>
          </w:tcPr>
          <w:p w14:paraId="02CBCDB1"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3.3</w:t>
            </w:r>
          </w:p>
        </w:tc>
      </w:tr>
      <w:tr w:rsidR="00507805" w:rsidRPr="008B63B1" w14:paraId="32F68820" w14:textId="77777777" w:rsidTr="00507805">
        <w:trPr>
          <w:trHeight w:val="288"/>
        </w:trPr>
        <w:tc>
          <w:tcPr>
            <w:tcW w:w="2780" w:type="dxa"/>
            <w:noWrap/>
            <w:vAlign w:val="center"/>
            <w:hideMark/>
          </w:tcPr>
          <w:p w14:paraId="65519892"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 xml:space="preserve">Շինարարություն </w:t>
            </w:r>
          </w:p>
        </w:tc>
        <w:tc>
          <w:tcPr>
            <w:tcW w:w="1104" w:type="dxa"/>
            <w:hideMark/>
          </w:tcPr>
          <w:p w14:paraId="0657021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15.6</w:t>
            </w:r>
          </w:p>
        </w:tc>
        <w:tc>
          <w:tcPr>
            <w:tcW w:w="1050" w:type="dxa"/>
            <w:hideMark/>
          </w:tcPr>
          <w:p w14:paraId="52F7F92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14.0</w:t>
            </w:r>
          </w:p>
        </w:tc>
        <w:tc>
          <w:tcPr>
            <w:tcW w:w="1010" w:type="dxa"/>
            <w:hideMark/>
          </w:tcPr>
          <w:p w14:paraId="0E1E545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20.9</w:t>
            </w:r>
          </w:p>
        </w:tc>
        <w:tc>
          <w:tcPr>
            <w:tcW w:w="1058" w:type="dxa"/>
            <w:hideMark/>
          </w:tcPr>
          <w:p w14:paraId="3C965B2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16.6</w:t>
            </w:r>
          </w:p>
        </w:tc>
        <w:tc>
          <w:tcPr>
            <w:tcW w:w="951" w:type="dxa"/>
            <w:shd w:val="clear" w:color="auto" w:fill="F2F2F2" w:themeFill="background1" w:themeFillShade="F2"/>
            <w:hideMark/>
          </w:tcPr>
          <w:p w14:paraId="6F33E74B"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7.4</w:t>
            </w:r>
          </w:p>
        </w:tc>
        <w:tc>
          <w:tcPr>
            <w:tcW w:w="964" w:type="dxa"/>
            <w:hideMark/>
          </w:tcPr>
          <w:p w14:paraId="353D1950"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7.1</w:t>
            </w:r>
          </w:p>
        </w:tc>
        <w:tc>
          <w:tcPr>
            <w:tcW w:w="973" w:type="dxa"/>
            <w:hideMark/>
          </w:tcPr>
          <w:p w14:paraId="0400EFA7"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7.0</w:t>
            </w:r>
          </w:p>
        </w:tc>
      </w:tr>
      <w:tr w:rsidR="00507805" w:rsidRPr="008B63B1" w14:paraId="17AC87D3" w14:textId="77777777" w:rsidTr="00507805">
        <w:trPr>
          <w:trHeight w:val="288"/>
        </w:trPr>
        <w:tc>
          <w:tcPr>
            <w:tcW w:w="2780" w:type="dxa"/>
            <w:noWrap/>
            <w:vAlign w:val="center"/>
            <w:hideMark/>
          </w:tcPr>
          <w:p w14:paraId="36D0FEC7"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Ծառայություններ</w:t>
            </w:r>
          </w:p>
        </w:tc>
        <w:tc>
          <w:tcPr>
            <w:tcW w:w="1104" w:type="dxa"/>
            <w:hideMark/>
          </w:tcPr>
          <w:p w14:paraId="0ACAF941"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12.5</w:t>
            </w:r>
          </w:p>
        </w:tc>
        <w:tc>
          <w:tcPr>
            <w:tcW w:w="1050" w:type="dxa"/>
            <w:hideMark/>
          </w:tcPr>
          <w:p w14:paraId="27C8E7BD"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8.0</w:t>
            </w:r>
          </w:p>
        </w:tc>
        <w:tc>
          <w:tcPr>
            <w:tcW w:w="1010" w:type="dxa"/>
            <w:hideMark/>
          </w:tcPr>
          <w:p w14:paraId="616F0F2E"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6.0</w:t>
            </w:r>
          </w:p>
        </w:tc>
        <w:tc>
          <w:tcPr>
            <w:tcW w:w="1058" w:type="dxa"/>
            <w:hideMark/>
          </w:tcPr>
          <w:p w14:paraId="7CA64986"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5.4</w:t>
            </w:r>
          </w:p>
        </w:tc>
        <w:tc>
          <w:tcPr>
            <w:tcW w:w="951" w:type="dxa"/>
            <w:shd w:val="clear" w:color="auto" w:fill="F2F2F2" w:themeFill="background1" w:themeFillShade="F2"/>
            <w:hideMark/>
          </w:tcPr>
          <w:p w14:paraId="125F968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5.5</w:t>
            </w:r>
          </w:p>
        </w:tc>
        <w:tc>
          <w:tcPr>
            <w:tcW w:w="964" w:type="dxa"/>
            <w:hideMark/>
          </w:tcPr>
          <w:p w14:paraId="781DEABD"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6.3</w:t>
            </w:r>
          </w:p>
        </w:tc>
        <w:tc>
          <w:tcPr>
            <w:tcW w:w="973" w:type="dxa"/>
            <w:hideMark/>
          </w:tcPr>
          <w:p w14:paraId="2EC35BFB"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6.1</w:t>
            </w:r>
          </w:p>
        </w:tc>
      </w:tr>
      <w:tr w:rsidR="00507805" w:rsidRPr="008B63B1" w14:paraId="264C8104" w14:textId="77777777" w:rsidTr="00507805">
        <w:trPr>
          <w:trHeight w:val="288"/>
        </w:trPr>
        <w:tc>
          <w:tcPr>
            <w:tcW w:w="2780" w:type="dxa"/>
            <w:noWrap/>
            <w:vAlign w:val="center"/>
            <w:hideMark/>
          </w:tcPr>
          <w:p w14:paraId="50E362BF"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Զուտ հարկեր</w:t>
            </w:r>
          </w:p>
        </w:tc>
        <w:tc>
          <w:tcPr>
            <w:tcW w:w="1104" w:type="dxa"/>
            <w:hideMark/>
          </w:tcPr>
          <w:p w14:paraId="3E5022F6"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671AFC">
              <w:rPr>
                <w:rFonts w:ascii="GHEA Grapalat" w:eastAsia="Times New Roman" w:hAnsi="GHEA Grapalat" w:cs="Times New Roman"/>
                <w:color w:val="404040"/>
                <w:sz w:val="18"/>
                <w:szCs w:val="18"/>
                <w:lang w:val="hy-AM"/>
              </w:rPr>
              <w:t>11.0</w:t>
            </w:r>
          </w:p>
        </w:tc>
        <w:tc>
          <w:tcPr>
            <w:tcW w:w="1050" w:type="dxa"/>
            <w:hideMark/>
          </w:tcPr>
          <w:p w14:paraId="235A0E96"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-1.6</w:t>
            </w:r>
          </w:p>
        </w:tc>
        <w:tc>
          <w:tcPr>
            <w:tcW w:w="1010" w:type="dxa"/>
            <w:hideMark/>
          </w:tcPr>
          <w:p w14:paraId="50EE5474"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10.4</w:t>
            </w:r>
          </w:p>
        </w:tc>
        <w:tc>
          <w:tcPr>
            <w:tcW w:w="1058" w:type="dxa"/>
            <w:hideMark/>
          </w:tcPr>
          <w:p w14:paraId="622AB650"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5.6</w:t>
            </w:r>
          </w:p>
        </w:tc>
        <w:tc>
          <w:tcPr>
            <w:tcW w:w="951" w:type="dxa"/>
            <w:shd w:val="clear" w:color="auto" w:fill="F2F2F2" w:themeFill="background1" w:themeFillShade="F2"/>
            <w:hideMark/>
          </w:tcPr>
          <w:p w14:paraId="1BA1028A"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5.8</w:t>
            </w:r>
          </w:p>
        </w:tc>
        <w:tc>
          <w:tcPr>
            <w:tcW w:w="964" w:type="dxa"/>
            <w:hideMark/>
          </w:tcPr>
          <w:p w14:paraId="0AEB3C0E"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6.1</w:t>
            </w:r>
          </w:p>
        </w:tc>
        <w:tc>
          <w:tcPr>
            <w:tcW w:w="973" w:type="dxa"/>
            <w:hideMark/>
          </w:tcPr>
          <w:p w14:paraId="7D6BA95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6.0</w:t>
            </w:r>
          </w:p>
        </w:tc>
      </w:tr>
      <w:tr w:rsidR="00507805" w:rsidRPr="008B63B1" w14:paraId="39F3A393" w14:textId="77777777" w:rsidTr="00873AE6">
        <w:trPr>
          <w:trHeight w:val="288"/>
        </w:trPr>
        <w:tc>
          <w:tcPr>
            <w:tcW w:w="9890" w:type="dxa"/>
            <w:gridSpan w:val="8"/>
            <w:shd w:val="clear" w:color="auto" w:fill="D5DCE4"/>
            <w:noWrap/>
            <w:vAlign w:val="center"/>
            <w:hideMark/>
          </w:tcPr>
          <w:p w14:paraId="5FFE4D98"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ՀՆԱ ծախսային բաղադրիչների իրական աճերը, %</w:t>
            </w:r>
          </w:p>
        </w:tc>
      </w:tr>
      <w:tr w:rsidR="00507805" w:rsidRPr="008B63B1" w14:paraId="6BC536A7" w14:textId="77777777" w:rsidTr="00507805">
        <w:trPr>
          <w:trHeight w:val="288"/>
        </w:trPr>
        <w:tc>
          <w:tcPr>
            <w:tcW w:w="2780" w:type="dxa"/>
            <w:vAlign w:val="center"/>
            <w:hideMark/>
          </w:tcPr>
          <w:p w14:paraId="52D712B2"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Վերջնական սպառում</w:t>
            </w:r>
          </w:p>
        </w:tc>
        <w:tc>
          <w:tcPr>
            <w:tcW w:w="1104" w:type="dxa"/>
            <w:vAlign w:val="center"/>
          </w:tcPr>
          <w:p w14:paraId="1FF51DC5"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6.9</w:t>
            </w:r>
          </w:p>
        </w:tc>
        <w:tc>
          <w:tcPr>
            <w:tcW w:w="1050" w:type="dxa"/>
            <w:vAlign w:val="center"/>
          </w:tcPr>
          <w:p w14:paraId="1983BFA6"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7.2</w:t>
            </w:r>
          </w:p>
        </w:tc>
        <w:tc>
          <w:tcPr>
            <w:tcW w:w="1010" w:type="dxa"/>
            <w:vAlign w:val="center"/>
          </w:tcPr>
          <w:p w14:paraId="6E5BF5CE"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8.7</w:t>
            </w:r>
          </w:p>
        </w:tc>
        <w:tc>
          <w:tcPr>
            <w:tcW w:w="1058" w:type="dxa"/>
            <w:vAlign w:val="center"/>
          </w:tcPr>
          <w:p w14:paraId="58F1CA02"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4.8</w:t>
            </w:r>
          </w:p>
        </w:tc>
        <w:tc>
          <w:tcPr>
            <w:tcW w:w="951" w:type="dxa"/>
            <w:shd w:val="clear" w:color="auto" w:fill="F2F2F2" w:themeFill="background1" w:themeFillShade="F2"/>
            <w:vAlign w:val="center"/>
          </w:tcPr>
          <w:p w14:paraId="4EDF9767"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5.4</w:t>
            </w:r>
          </w:p>
        </w:tc>
        <w:tc>
          <w:tcPr>
            <w:tcW w:w="964" w:type="dxa"/>
            <w:vAlign w:val="center"/>
          </w:tcPr>
          <w:p w14:paraId="72C01ABD"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4.8</w:t>
            </w:r>
          </w:p>
        </w:tc>
        <w:tc>
          <w:tcPr>
            <w:tcW w:w="973" w:type="dxa"/>
            <w:vAlign w:val="center"/>
          </w:tcPr>
          <w:p w14:paraId="4ECEBA12"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5.3</w:t>
            </w:r>
          </w:p>
        </w:tc>
      </w:tr>
      <w:tr w:rsidR="00507805" w:rsidRPr="008B63B1" w14:paraId="7FA0E5EA" w14:textId="77777777" w:rsidTr="00507805">
        <w:trPr>
          <w:trHeight w:val="288"/>
        </w:trPr>
        <w:tc>
          <w:tcPr>
            <w:tcW w:w="2780" w:type="dxa"/>
            <w:vAlign w:val="center"/>
            <w:hideMark/>
          </w:tcPr>
          <w:p w14:paraId="07CE9703"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Պետական</w:t>
            </w:r>
          </w:p>
        </w:tc>
        <w:tc>
          <w:tcPr>
            <w:tcW w:w="1104" w:type="dxa"/>
            <w:vAlign w:val="center"/>
          </w:tcPr>
          <w:p w14:paraId="1B8408C3"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10.2</w:t>
            </w:r>
          </w:p>
        </w:tc>
        <w:tc>
          <w:tcPr>
            <w:tcW w:w="1050" w:type="dxa"/>
            <w:vAlign w:val="center"/>
          </w:tcPr>
          <w:p w14:paraId="3350DCEF"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-8.2</w:t>
            </w:r>
          </w:p>
        </w:tc>
        <w:tc>
          <w:tcPr>
            <w:tcW w:w="1010" w:type="dxa"/>
            <w:vAlign w:val="center"/>
          </w:tcPr>
          <w:p w14:paraId="40388A3A"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3.7</w:t>
            </w:r>
          </w:p>
        </w:tc>
        <w:tc>
          <w:tcPr>
            <w:tcW w:w="1058" w:type="dxa"/>
            <w:vAlign w:val="center"/>
          </w:tcPr>
          <w:p w14:paraId="541B9EE6"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3.2</w:t>
            </w:r>
          </w:p>
        </w:tc>
        <w:tc>
          <w:tcPr>
            <w:tcW w:w="951" w:type="dxa"/>
            <w:shd w:val="clear" w:color="auto" w:fill="F2F2F2" w:themeFill="background1" w:themeFillShade="F2"/>
            <w:vAlign w:val="center"/>
          </w:tcPr>
          <w:p w14:paraId="42ABB080"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11.5</w:t>
            </w:r>
          </w:p>
        </w:tc>
        <w:tc>
          <w:tcPr>
            <w:tcW w:w="964" w:type="dxa"/>
            <w:vAlign w:val="center"/>
          </w:tcPr>
          <w:p w14:paraId="4F9EFB43"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4.3</w:t>
            </w:r>
          </w:p>
        </w:tc>
        <w:tc>
          <w:tcPr>
            <w:tcW w:w="973" w:type="dxa"/>
            <w:vAlign w:val="center"/>
          </w:tcPr>
          <w:p w14:paraId="211A0E3C"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8.4</w:t>
            </w:r>
          </w:p>
        </w:tc>
      </w:tr>
      <w:tr w:rsidR="00507805" w:rsidRPr="008B63B1" w14:paraId="24BF7CED" w14:textId="77777777" w:rsidTr="00507805">
        <w:trPr>
          <w:trHeight w:val="288"/>
        </w:trPr>
        <w:tc>
          <w:tcPr>
            <w:tcW w:w="2780" w:type="dxa"/>
            <w:vAlign w:val="center"/>
            <w:hideMark/>
          </w:tcPr>
          <w:p w14:paraId="5AA14535"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Մասնավոր</w:t>
            </w:r>
          </w:p>
        </w:tc>
        <w:tc>
          <w:tcPr>
            <w:tcW w:w="1104" w:type="dxa"/>
            <w:vAlign w:val="center"/>
          </w:tcPr>
          <w:p w14:paraId="77E8DE30"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6.4</w:t>
            </w:r>
          </w:p>
        </w:tc>
        <w:tc>
          <w:tcPr>
            <w:tcW w:w="1050" w:type="dxa"/>
            <w:vAlign w:val="center"/>
          </w:tcPr>
          <w:p w14:paraId="3BA0D2C5"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10.0</w:t>
            </w:r>
          </w:p>
        </w:tc>
        <w:tc>
          <w:tcPr>
            <w:tcW w:w="1010" w:type="dxa"/>
            <w:vAlign w:val="center"/>
          </w:tcPr>
          <w:p w14:paraId="23C2A8CF"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9.4</w:t>
            </w:r>
          </w:p>
        </w:tc>
        <w:tc>
          <w:tcPr>
            <w:tcW w:w="1058" w:type="dxa"/>
            <w:vAlign w:val="center"/>
          </w:tcPr>
          <w:p w14:paraId="7DD2CD7C"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5.0</w:t>
            </w:r>
          </w:p>
        </w:tc>
        <w:tc>
          <w:tcPr>
            <w:tcW w:w="951" w:type="dxa"/>
            <w:shd w:val="clear" w:color="auto" w:fill="F2F2F2" w:themeFill="background1" w:themeFillShade="F2"/>
            <w:vAlign w:val="center"/>
          </w:tcPr>
          <w:p w14:paraId="1B220868"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4.5</w:t>
            </w:r>
          </w:p>
        </w:tc>
        <w:tc>
          <w:tcPr>
            <w:tcW w:w="964" w:type="dxa"/>
            <w:vAlign w:val="center"/>
          </w:tcPr>
          <w:p w14:paraId="03A94917"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4.8</w:t>
            </w:r>
          </w:p>
        </w:tc>
        <w:tc>
          <w:tcPr>
            <w:tcW w:w="973" w:type="dxa"/>
            <w:vAlign w:val="center"/>
          </w:tcPr>
          <w:p w14:paraId="10659987"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4.9</w:t>
            </w:r>
          </w:p>
        </w:tc>
      </w:tr>
      <w:tr w:rsidR="00507805" w:rsidRPr="008B63B1" w14:paraId="69A13AC7" w14:textId="77777777" w:rsidTr="00507805">
        <w:trPr>
          <w:trHeight w:val="288"/>
        </w:trPr>
        <w:tc>
          <w:tcPr>
            <w:tcW w:w="2780" w:type="dxa"/>
            <w:vAlign w:val="center"/>
            <w:hideMark/>
          </w:tcPr>
          <w:p w14:paraId="6128625E"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Հիմնական միջոցներում ներդրումներ</w:t>
            </w:r>
            <w:r w:rsidRPr="008B63B1">
              <w:rPr>
                <w:rFonts w:ascii="GHEA Grapalat" w:eastAsia="Times New Roman" w:hAnsi="GHEA Grapalat" w:cs="Times New Roman"/>
                <w:color w:val="404040"/>
                <w:sz w:val="18"/>
                <w:szCs w:val="18"/>
                <w:vertAlign w:val="superscript"/>
              </w:rPr>
              <w:footnoteReference w:id="1"/>
            </w:r>
          </w:p>
        </w:tc>
        <w:tc>
          <w:tcPr>
            <w:tcW w:w="1104" w:type="dxa"/>
            <w:vAlign w:val="center"/>
          </w:tcPr>
          <w:p w14:paraId="65529AEB"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9.0</w:t>
            </w:r>
          </w:p>
        </w:tc>
        <w:tc>
          <w:tcPr>
            <w:tcW w:w="1050" w:type="dxa"/>
            <w:vAlign w:val="center"/>
          </w:tcPr>
          <w:p w14:paraId="2D0E235B"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11.9</w:t>
            </w:r>
          </w:p>
        </w:tc>
        <w:tc>
          <w:tcPr>
            <w:tcW w:w="1010" w:type="dxa"/>
            <w:vAlign w:val="center"/>
          </w:tcPr>
          <w:p w14:paraId="126F28D0"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14.9</w:t>
            </w:r>
          </w:p>
        </w:tc>
        <w:tc>
          <w:tcPr>
            <w:tcW w:w="1058" w:type="dxa"/>
            <w:vAlign w:val="center"/>
          </w:tcPr>
          <w:p w14:paraId="4D7D635E"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15.8</w:t>
            </w:r>
          </w:p>
        </w:tc>
        <w:tc>
          <w:tcPr>
            <w:tcW w:w="951" w:type="dxa"/>
            <w:shd w:val="clear" w:color="auto" w:fill="F2F2F2" w:themeFill="background1" w:themeFillShade="F2"/>
            <w:vAlign w:val="center"/>
          </w:tcPr>
          <w:p w14:paraId="5E59E2A4"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9.1</w:t>
            </w:r>
          </w:p>
        </w:tc>
        <w:tc>
          <w:tcPr>
            <w:tcW w:w="964" w:type="dxa"/>
            <w:vAlign w:val="center"/>
          </w:tcPr>
          <w:p w14:paraId="39589115"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7.6</w:t>
            </w:r>
          </w:p>
        </w:tc>
        <w:tc>
          <w:tcPr>
            <w:tcW w:w="973" w:type="dxa"/>
            <w:vAlign w:val="center"/>
          </w:tcPr>
          <w:p w14:paraId="15C2B4DD"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6.9</w:t>
            </w:r>
          </w:p>
        </w:tc>
      </w:tr>
      <w:tr w:rsidR="00507805" w:rsidRPr="008B63B1" w14:paraId="68E8EC3D" w14:textId="77777777" w:rsidTr="00507805">
        <w:trPr>
          <w:trHeight w:val="288"/>
        </w:trPr>
        <w:tc>
          <w:tcPr>
            <w:tcW w:w="2780" w:type="dxa"/>
            <w:vAlign w:val="center"/>
            <w:hideMark/>
          </w:tcPr>
          <w:p w14:paraId="6958E2D8"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Պետական</w:t>
            </w:r>
          </w:p>
        </w:tc>
        <w:tc>
          <w:tcPr>
            <w:tcW w:w="1104" w:type="dxa"/>
          </w:tcPr>
          <w:p w14:paraId="120370A8"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25.7</w:t>
            </w:r>
          </w:p>
        </w:tc>
        <w:tc>
          <w:tcPr>
            <w:tcW w:w="1050" w:type="dxa"/>
          </w:tcPr>
          <w:p w14:paraId="29059DFF"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11.7</w:t>
            </w:r>
          </w:p>
        </w:tc>
        <w:tc>
          <w:tcPr>
            <w:tcW w:w="1010" w:type="dxa"/>
          </w:tcPr>
          <w:p w14:paraId="578B059E"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28.6</w:t>
            </w:r>
          </w:p>
        </w:tc>
        <w:tc>
          <w:tcPr>
            <w:tcW w:w="1058" w:type="dxa"/>
          </w:tcPr>
          <w:p w14:paraId="0B637144"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0.6</w:t>
            </w:r>
          </w:p>
        </w:tc>
        <w:tc>
          <w:tcPr>
            <w:tcW w:w="951" w:type="dxa"/>
            <w:shd w:val="clear" w:color="auto" w:fill="F2F2F2" w:themeFill="background1" w:themeFillShade="F2"/>
          </w:tcPr>
          <w:p w14:paraId="00FD02A4"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8.1</w:t>
            </w:r>
          </w:p>
        </w:tc>
        <w:tc>
          <w:tcPr>
            <w:tcW w:w="964" w:type="dxa"/>
          </w:tcPr>
          <w:p w14:paraId="055B0541"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8.9</w:t>
            </w:r>
          </w:p>
        </w:tc>
        <w:tc>
          <w:tcPr>
            <w:tcW w:w="973" w:type="dxa"/>
          </w:tcPr>
          <w:p w14:paraId="0FE54085"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7.7</w:t>
            </w:r>
          </w:p>
        </w:tc>
      </w:tr>
      <w:tr w:rsidR="00507805" w:rsidRPr="008B63B1" w14:paraId="5DBCD9B6" w14:textId="77777777" w:rsidTr="00507805">
        <w:trPr>
          <w:trHeight w:val="288"/>
        </w:trPr>
        <w:tc>
          <w:tcPr>
            <w:tcW w:w="2780" w:type="dxa"/>
            <w:vAlign w:val="center"/>
            <w:hideMark/>
          </w:tcPr>
          <w:p w14:paraId="4ABBCA64"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Մասնավոր</w:t>
            </w:r>
          </w:p>
        </w:tc>
        <w:tc>
          <w:tcPr>
            <w:tcW w:w="1104" w:type="dxa"/>
          </w:tcPr>
          <w:p w14:paraId="21502F67"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3.3</w:t>
            </w:r>
          </w:p>
        </w:tc>
        <w:tc>
          <w:tcPr>
            <w:tcW w:w="1050" w:type="dxa"/>
          </w:tcPr>
          <w:p w14:paraId="1C374A6D"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12.0</w:t>
            </w:r>
          </w:p>
        </w:tc>
        <w:tc>
          <w:tcPr>
            <w:tcW w:w="1010" w:type="dxa"/>
          </w:tcPr>
          <w:p w14:paraId="102F006E"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9.2</w:t>
            </w:r>
          </w:p>
        </w:tc>
        <w:tc>
          <w:tcPr>
            <w:tcW w:w="1058" w:type="dxa"/>
          </w:tcPr>
          <w:p w14:paraId="763044B7"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23.3</w:t>
            </w:r>
          </w:p>
        </w:tc>
        <w:tc>
          <w:tcPr>
            <w:tcW w:w="951" w:type="dxa"/>
            <w:shd w:val="clear" w:color="auto" w:fill="F2F2F2" w:themeFill="background1" w:themeFillShade="F2"/>
          </w:tcPr>
          <w:p w14:paraId="34C908A2"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9.6</w:t>
            </w:r>
          </w:p>
        </w:tc>
        <w:tc>
          <w:tcPr>
            <w:tcW w:w="964" w:type="dxa"/>
          </w:tcPr>
          <w:p w14:paraId="1F5CF4E9"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7.1</w:t>
            </w:r>
          </w:p>
        </w:tc>
        <w:tc>
          <w:tcPr>
            <w:tcW w:w="973" w:type="dxa"/>
          </w:tcPr>
          <w:p w14:paraId="4C2C621D"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6.6</w:t>
            </w:r>
          </w:p>
        </w:tc>
      </w:tr>
      <w:tr w:rsidR="00507805" w:rsidRPr="008B63B1" w14:paraId="59E495EF" w14:textId="77777777" w:rsidTr="00507805">
        <w:trPr>
          <w:trHeight w:val="288"/>
        </w:trPr>
        <w:tc>
          <w:tcPr>
            <w:tcW w:w="2780" w:type="dxa"/>
            <w:vAlign w:val="center"/>
            <w:hideMark/>
          </w:tcPr>
          <w:p w14:paraId="30F8F987"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 xml:space="preserve">Արտահանում </w:t>
            </w:r>
          </w:p>
        </w:tc>
        <w:tc>
          <w:tcPr>
            <w:tcW w:w="1104" w:type="dxa"/>
          </w:tcPr>
          <w:p w14:paraId="5A8984C9"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32.3</w:t>
            </w:r>
          </w:p>
        </w:tc>
        <w:tc>
          <w:tcPr>
            <w:tcW w:w="1050" w:type="dxa"/>
          </w:tcPr>
          <w:p w14:paraId="68B7FD91"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27.7</w:t>
            </w:r>
          </w:p>
        </w:tc>
        <w:tc>
          <w:tcPr>
            <w:tcW w:w="1010" w:type="dxa"/>
          </w:tcPr>
          <w:p w14:paraId="758788C0"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-28.3</w:t>
            </w:r>
          </w:p>
        </w:tc>
        <w:tc>
          <w:tcPr>
            <w:tcW w:w="1058" w:type="dxa"/>
          </w:tcPr>
          <w:p w14:paraId="6B962F39"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-11.2</w:t>
            </w:r>
          </w:p>
        </w:tc>
        <w:tc>
          <w:tcPr>
            <w:tcW w:w="951" w:type="dxa"/>
            <w:shd w:val="clear" w:color="auto" w:fill="F2F2F2" w:themeFill="background1" w:themeFillShade="F2"/>
          </w:tcPr>
          <w:p w14:paraId="7B9E991C"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5.0</w:t>
            </w:r>
          </w:p>
        </w:tc>
        <w:tc>
          <w:tcPr>
            <w:tcW w:w="964" w:type="dxa"/>
          </w:tcPr>
          <w:p w14:paraId="0E64CDAC"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6.4</w:t>
            </w:r>
          </w:p>
        </w:tc>
        <w:tc>
          <w:tcPr>
            <w:tcW w:w="973" w:type="dxa"/>
          </w:tcPr>
          <w:p w14:paraId="4C32F4C2"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5.5</w:t>
            </w:r>
          </w:p>
        </w:tc>
      </w:tr>
      <w:tr w:rsidR="00507805" w:rsidRPr="008B63B1" w14:paraId="4308CBE2" w14:textId="77777777" w:rsidTr="00507805">
        <w:trPr>
          <w:trHeight w:val="288"/>
        </w:trPr>
        <w:tc>
          <w:tcPr>
            <w:tcW w:w="2780" w:type="dxa"/>
            <w:vAlign w:val="center"/>
            <w:hideMark/>
          </w:tcPr>
          <w:p w14:paraId="3158DB66"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 xml:space="preserve">Ներմուծում </w:t>
            </w:r>
          </w:p>
        </w:tc>
        <w:tc>
          <w:tcPr>
            <w:tcW w:w="1104" w:type="dxa"/>
          </w:tcPr>
          <w:p w14:paraId="38E5AF46"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32.5</w:t>
            </w:r>
          </w:p>
        </w:tc>
        <w:tc>
          <w:tcPr>
            <w:tcW w:w="1050" w:type="dxa"/>
          </w:tcPr>
          <w:p w14:paraId="5E81D463"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30.4</w:t>
            </w:r>
          </w:p>
        </w:tc>
        <w:tc>
          <w:tcPr>
            <w:tcW w:w="1010" w:type="dxa"/>
          </w:tcPr>
          <w:p w14:paraId="35BDD081"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-21.5</w:t>
            </w:r>
          </w:p>
        </w:tc>
        <w:tc>
          <w:tcPr>
            <w:tcW w:w="1058" w:type="dxa"/>
          </w:tcPr>
          <w:p w14:paraId="4DF4A5FA"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-8.2</w:t>
            </w:r>
          </w:p>
        </w:tc>
        <w:tc>
          <w:tcPr>
            <w:tcW w:w="951" w:type="dxa"/>
            <w:shd w:val="clear" w:color="auto" w:fill="F2F2F2" w:themeFill="background1" w:themeFillShade="F2"/>
          </w:tcPr>
          <w:p w14:paraId="3D903BBE"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4.5</w:t>
            </w:r>
          </w:p>
        </w:tc>
        <w:tc>
          <w:tcPr>
            <w:tcW w:w="964" w:type="dxa"/>
          </w:tcPr>
          <w:p w14:paraId="6150AC48"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3.0</w:t>
            </w:r>
          </w:p>
        </w:tc>
        <w:tc>
          <w:tcPr>
            <w:tcW w:w="973" w:type="dxa"/>
          </w:tcPr>
          <w:p w14:paraId="6EEE3233" w14:textId="77777777" w:rsidR="00507805" w:rsidRPr="005602A6"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5602A6">
              <w:rPr>
                <w:rFonts w:ascii="GHEA Grapalat" w:eastAsia="Times New Roman" w:hAnsi="GHEA Grapalat" w:cs="Times New Roman"/>
                <w:color w:val="404040"/>
                <w:sz w:val="18"/>
                <w:szCs w:val="18"/>
                <w:lang w:val="hy-AM"/>
              </w:rPr>
              <w:t>3.0</w:t>
            </w:r>
          </w:p>
        </w:tc>
      </w:tr>
      <w:tr w:rsidR="00507805" w:rsidRPr="008B63B1" w14:paraId="7E7314B8" w14:textId="77777777" w:rsidTr="00873AE6">
        <w:trPr>
          <w:trHeight w:val="288"/>
        </w:trPr>
        <w:tc>
          <w:tcPr>
            <w:tcW w:w="9890" w:type="dxa"/>
            <w:gridSpan w:val="8"/>
            <w:shd w:val="clear" w:color="auto" w:fill="D5DCE4"/>
            <w:noWrap/>
            <w:vAlign w:val="center"/>
            <w:hideMark/>
          </w:tcPr>
          <w:p w14:paraId="43827298"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Արտաքին հատված (մլն ԱՄՆ դոլար)</w:t>
            </w:r>
          </w:p>
        </w:tc>
      </w:tr>
      <w:tr w:rsidR="00507805" w:rsidRPr="008B63B1" w14:paraId="33925941" w14:textId="77777777" w:rsidTr="00507805">
        <w:trPr>
          <w:trHeight w:val="288"/>
        </w:trPr>
        <w:tc>
          <w:tcPr>
            <w:tcW w:w="2780" w:type="dxa"/>
            <w:vAlign w:val="center"/>
            <w:hideMark/>
          </w:tcPr>
          <w:p w14:paraId="1FEEDF71"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Ընթացիկ հաշիվ</w:t>
            </w:r>
          </w:p>
        </w:tc>
        <w:tc>
          <w:tcPr>
            <w:tcW w:w="1104" w:type="dxa"/>
            <w:vAlign w:val="center"/>
          </w:tcPr>
          <w:p w14:paraId="29FEAAA0"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-857</w:t>
            </w:r>
          </w:p>
        </w:tc>
        <w:tc>
          <w:tcPr>
            <w:tcW w:w="1050" w:type="dxa"/>
            <w:vAlign w:val="center"/>
          </w:tcPr>
          <w:p w14:paraId="29E474EC"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-1,615</w:t>
            </w:r>
          </w:p>
        </w:tc>
        <w:tc>
          <w:tcPr>
            <w:tcW w:w="1010" w:type="dxa"/>
            <w:vAlign w:val="center"/>
          </w:tcPr>
          <w:p w14:paraId="3C664F70"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-2,554</w:t>
            </w:r>
          </w:p>
        </w:tc>
        <w:tc>
          <w:tcPr>
            <w:tcW w:w="1058" w:type="dxa"/>
            <w:vAlign w:val="center"/>
          </w:tcPr>
          <w:p w14:paraId="3C023D07"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-2,073</w:t>
            </w:r>
          </w:p>
        </w:tc>
        <w:tc>
          <w:tcPr>
            <w:tcW w:w="951" w:type="dxa"/>
            <w:shd w:val="clear" w:color="auto" w:fill="F2F2F2" w:themeFill="background1" w:themeFillShade="F2"/>
            <w:vAlign w:val="center"/>
          </w:tcPr>
          <w:p w14:paraId="3CEBF801"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-1,860</w:t>
            </w:r>
          </w:p>
        </w:tc>
        <w:tc>
          <w:tcPr>
            <w:tcW w:w="964" w:type="dxa"/>
            <w:vAlign w:val="center"/>
          </w:tcPr>
          <w:p w14:paraId="43961CA0"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-1,779</w:t>
            </w:r>
          </w:p>
        </w:tc>
        <w:tc>
          <w:tcPr>
            <w:tcW w:w="973" w:type="dxa"/>
            <w:vAlign w:val="center"/>
          </w:tcPr>
          <w:p w14:paraId="70D4ECEE"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-1,768</w:t>
            </w:r>
          </w:p>
        </w:tc>
      </w:tr>
      <w:tr w:rsidR="00507805" w:rsidRPr="008B63B1" w14:paraId="563A405E" w14:textId="77777777" w:rsidTr="00507805">
        <w:trPr>
          <w:trHeight w:val="288"/>
        </w:trPr>
        <w:tc>
          <w:tcPr>
            <w:tcW w:w="2780" w:type="dxa"/>
            <w:vAlign w:val="center"/>
            <w:hideMark/>
          </w:tcPr>
          <w:p w14:paraId="1076D095"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Ապրանքների և ծառայությունների հաշվեկշիռ</w:t>
            </w:r>
          </w:p>
        </w:tc>
        <w:tc>
          <w:tcPr>
            <w:tcW w:w="1104" w:type="dxa"/>
            <w:vAlign w:val="center"/>
          </w:tcPr>
          <w:p w14:paraId="392C9FEC"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-527</w:t>
            </w:r>
          </w:p>
        </w:tc>
        <w:tc>
          <w:tcPr>
            <w:tcW w:w="1050" w:type="dxa"/>
            <w:vAlign w:val="center"/>
          </w:tcPr>
          <w:p w14:paraId="7FFFF89F"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-1,259</w:t>
            </w:r>
          </w:p>
        </w:tc>
        <w:tc>
          <w:tcPr>
            <w:tcW w:w="1010" w:type="dxa"/>
            <w:vAlign w:val="center"/>
          </w:tcPr>
          <w:p w14:paraId="19F1EE70"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-2,055</w:t>
            </w:r>
          </w:p>
        </w:tc>
        <w:tc>
          <w:tcPr>
            <w:tcW w:w="1058" w:type="dxa"/>
            <w:vAlign w:val="center"/>
          </w:tcPr>
          <w:p w14:paraId="71551022"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-1,964</w:t>
            </w:r>
          </w:p>
        </w:tc>
        <w:tc>
          <w:tcPr>
            <w:tcW w:w="951" w:type="dxa"/>
            <w:shd w:val="clear" w:color="auto" w:fill="F2F2F2" w:themeFill="background1" w:themeFillShade="F2"/>
            <w:vAlign w:val="center"/>
          </w:tcPr>
          <w:p w14:paraId="6758D332"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-1,693</w:t>
            </w:r>
          </w:p>
        </w:tc>
        <w:tc>
          <w:tcPr>
            <w:tcW w:w="964" w:type="dxa"/>
            <w:vAlign w:val="center"/>
          </w:tcPr>
          <w:p w14:paraId="55AB2644"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-1,521</w:t>
            </w:r>
          </w:p>
        </w:tc>
        <w:tc>
          <w:tcPr>
            <w:tcW w:w="973" w:type="dxa"/>
            <w:vAlign w:val="center"/>
          </w:tcPr>
          <w:p w14:paraId="21E7D745"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-1,521</w:t>
            </w:r>
          </w:p>
        </w:tc>
      </w:tr>
      <w:tr w:rsidR="00507805" w:rsidRPr="008B63B1" w14:paraId="1AAC8DA3" w14:textId="77777777" w:rsidTr="00507805">
        <w:trPr>
          <w:trHeight w:val="288"/>
        </w:trPr>
        <w:tc>
          <w:tcPr>
            <w:tcW w:w="2780" w:type="dxa"/>
            <w:vAlign w:val="center"/>
            <w:hideMark/>
          </w:tcPr>
          <w:p w14:paraId="13C428DF"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Արտահանում</w:t>
            </w:r>
          </w:p>
        </w:tc>
        <w:tc>
          <w:tcPr>
            <w:tcW w:w="1104" w:type="dxa"/>
            <w:vAlign w:val="center"/>
          </w:tcPr>
          <w:p w14:paraId="6760BADE"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14,680</w:t>
            </w:r>
          </w:p>
        </w:tc>
        <w:tc>
          <w:tcPr>
            <w:tcW w:w="1050" w:type="dxa"/>
            <w:vAlign w:val="center"/>
          </w:tcPr>
          <w:p w14:paraId="04EDB7E9"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19,066</w:t>
            </w:r>
          </w:p>
        </w:tc>
        <w:tc>
          <w:tcPr>
            <w:tcW w:w="1010" w:type="dxa"/>
            <w:vAlign w:val="center"/>
          </w:tcPr>
          <w:p w14:paraId="2EB5104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14,513</w:t>
            </w:r>
          </w:p>
        </w:tc>
        <w:tc>
          <w:tcPr>
            <w:tcW w:w="1058" w:type="dxa"/>
            <w:vAlign w:val="center"/>
          </w:tcPr>
          <w:p w14:paraId="733E5B31"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14,140</w:t>
            </w:r>
          </w:p>
        </w:tc>
        <w:tc>
          <w:tcPr>
            <w:tcW w:w="951" w:type="dxa"/>
            <w:shd w:val="clear" w:color="auto" w:fill="F2F2F2" w:themeFill="background1" w:themeFillShade="F2"/>
            <w:vAlign w:val="center"/>
          </w:tcPr>
          <w:p w14:paraId="3A3D5A1E"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15,257</w:t>
            </w:r>
          </w:p>
        </w:tc>
        <w:tc>
          <w:tcPr>
            <w:tcW w:w="964" w:type="dxa"/>
            <w:vAlign w:val="center"/>
          </w:tcPr>
          <w:p w14:paraId="5EB6F95A"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16,289</w:t>
            </w:r>
          </w:p>
        </w:tc>
        <w:tc>
          <w:tcPr>
            <w:tcW w:w="973" w:type="dxa"/>
            <w:vAlign w:val="center"/>
          </w:tcPr>
          <w:p w14:paraId="2C88E456"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17,168</w:t>
            </w:r>
          </w:p>
        </w:tc>
      </w:tr>
      <w:tr w:rsidR="00507805" w:rsidRPr="008B63B1" w14:paraId="71B3A5CD" w14:textId="77777777" w:rsidTr="00507805">
        <w:trPr>
          <w:trHeight w:val="288"/>
        </w:trPr>
        <w:tc>
          <w:tcPr>
            <w:tcW w:w="2780" w:type="dxa"/>
            <w:vAlign w:val="center"/>
            <w:hideMark/>
          </w:tcPr>
          <w:p w14:paraId="68C26A3F"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Փոփոխություն, %</w:t>
            </w:r>
          </w:p>
        </w:tc>
        <w:tc>
          <w:tcPr>
            <w:tcW w:w="1104" w:type="dxa"/>
            <w:vAlign w:val="center"/>
          </w:tcPr>
          <w:p w14:paraId="0572F065"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41.8</w:t>
            </w:r>
          </w:p>
        </w:tc>
        <w:tc>
          <w:tcPr>
            <w:tcW w:w="1050" w:type="dxa"/>
            <w:vAlign w:val="center"/>
          </w:tcPr>
          <w:p w14:paraId="257D0FAF"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29.9</w:t>
            </w:r>
          </w:p>
        </w:tc>
        <w:tc>
          <w:tcPr>
            <w:tcW w:w="1010" w:type="dxa"/>
            <w:vAlign w:val="center"/>
          </w:tcPr>
          <w:p w14:paraId="49CF80DE"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-23.9</w:t>
            </w:r>
          </w:p>
        </w:tc>
        <w:tc>
          <w:tcPr>
            <w:tcW w:w="1058" w:type="dxa"/>
            <w:vAlign w:val="center"/>
          </w:tcPr>
          <w:p w14:paraId="388FABC0"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-2.6</w:t>
            </w:r>
          </w:p>
        </w:tc>
        <w:tc>
          <w:tcPr>
            <w:tcW w:w="951" w:type="dxa"/>
            <w:shd w:val="clear" w:color="auto" w:fill="F2F2F2" w:themeFill="background1" w:themeFillShade="F2"/>
            <w:vAlign w:val="center"/>
          </w:tcPr>
          <w:p w14:paraId="7ABCBC30"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7.9</w:t>
            </w:r>
          </w:p>
        </w:tc>
        <w:tc>
          <w:tcPr>
            <w:tcW w:w="964" w:type="dxa"/>
            <w:vAlign w:val="center"/>
          </w:tcPr>
          <w:p w14:paraId="358C7CAB"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6.8</w:t>
            </w:r>
          </w:p>
        </w:tc>
        <w:tc>
          <w:tcPr>
            <w:tcW w:w="973" w:type="dxa"/>
            <w:vAlign w:val="center"/>
          </w:tcPr>
          <w:p w14:paraId="69977014"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5.4</w:t>
            </w:r>
          </w:p>
        </w:tc>
      </w:tr>
      <w:tr w:rsidR="00507805" w:rsidRPr="008B63B1" w14:paraId="787FE5DD" w14:textId="77777777" w:rsidTr="00507805">
        <w:trPr>
          <w:trHeight w:val="288"/>
        </w:trPr>
        <w:tc>
          <w:tcPr>
            <w:tcW w:w="2780" w:type="dxa"/>
            <w:vAlign w:val="center"/>
            <w:hideMark/>
          </w:tcPr>
          <w:p w14:paraId="13EC90F4"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Ներմուծում</w:t>
            </w:r>
          </w:p>
        </w:tc>
        <w:tc>
          <w:tcPr>
            <w:tcW w:w="1104" w:type="dxa"/>
            <w:vAlign w:val="center"/>
          </w:tcPr>
          <w:p w14:paraId="75818E45"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15,207</w:t>
            </w:r>
          </w:p>
        </w:tc>
        <w:tc>
          <w:tcPr>
            <w:tcW w:w="1050" w:type="dxa"/>
            <w:vAlign w:val="center"/>
          </w:tcPr>
          <w:p w14:paraId="063BDEA9"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20,325</w:t>
            </w:r>
          </w:p>
        </w:tc>
        <w:tc>
          <w:tcPr>
            <w:tcW w:w="1010" w:type="dxa"/>
            <w:vAlign w:val="center"/>
          </w:tcPr>
          <w:p w14:paraId="41D9BAF5"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16,568</w:t>
            </w:r>
          </w:p>
        </w:tc>
        <w:tc>
          <w:tcPr>
            <w:tcW w:w="1058" w:type="dxa"/>
            <w:vAlign w:val="center"/>
          </w:tcPr>
          <w:p w14:paraId="58E6205E"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16,104</w:t>
            </w:r>
          </w:p>
        </w:tc>
        <w:tc>
          <w:tcPr>
            <w:tcW w:w="951" w:type="dxa"/>
            <w:shd w:val="clear" w:color="auto" w:fill="F2F2F2" w:themeFill="background1" w:themeFillShade="F2"/>
            <w:vAlign w:val="center"/>
          </w:tcPr>
          <w:p w14:paraId="0F74AE69"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16,951</w:t>
            </w:r>
          </w:p>
        </w:tc>
        <w:tc>
          <w:tcPr>
            <w:tcW w:w="964" w:type="dxa"/>
            <w:vAlign w:val="center"/>
          </w:tcPr>
          <w:p w14:paraId="0A53BA14"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17,810</w:t>
            </w:r>
          </w:p>
        </w:tc>
        <w:tc>
          <w:tcPr>
            <w:tcW w:w="973" w:type="dxa"/>
            <w:vAlign w:val="center"/>
          </w:tcPr>
          <w:p w14:paraId="49165321"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18,689</w:t>
            </w:r>
          </w:p>
        </w:tc>
      </w:tr>
      <w:tr w:rsidR="00507805" w:rsidRPr="008B63B1" w14:paraId="3FCD90F0" w14:textId="77777777" w:rsidTr="00507805">
        <w:trPr>
          <w:trHeight w:val="288"/>
        </w:trPr>
        <w:tc>
          <w:tcPr>
            <w:tcW w:w="2780" w:type="dxa"/>
            <w:noWrap/>
            <w:vAlign w:val="center"/>
            <w:hideMark/>
          </w:tcPr>
          <w:p w14:paraId="5DA2370F"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Փոփոխություն, %</w:t>
            </w:r>
          </w:p>
        </w:tc>
        <w:tc>
          <w:tcPr>
            <w:tcW w:w="1104" w:type="dxa"/>
            <w:vAlign w:val="center"/>
          </w:tcPr>
          <w:p w14:paraId="33272A51"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42.3</w:t>
            </w:r>
          </w:p>
        </w:tc>
        <w:tc>
          <w:tcPr>
            <w:tcW w:w="1050" w:type="dxa"/>
            <w:vAlign w:val="center"/>
          </w:tcPr>
          <w:p w14:paraId="008F4689"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33.7</w:t>
            </w:r>
          </w:p>
        </w:tc>
        <w:tc>
          <w:tcPr>
            <w:tcW w:w="1010" w:type="dxa"/>
            <w:vAlign w:val="center"/>
          </w:tcPr>
          <w:p w14:paraId="1391B8D5"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-18.5</w:t>
            </w:r>
          </w:p>
        </w:tc>
        <w:tc>
          <w:tcPr>
            <w:tcW w:w="1058" w:type="dxa"/>
            <w:vAlign w:val="center"/>
          </w:tcPr>
          <w:p w14:paraId="586C8CA9"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-2.8</w:t>
            </w:r>
          </w:p>
        </w:tc>
        <w:tc>
          <w:tcPr>
            <w:tcW w:w="951" w:type="dxa"/>
            <w:shd w:val="clear" w:color="auto" w:fill="F2F2F2" w:themeFill="background1" w:themeFillShade="F2"/>
            <w:vAlign w:val="center"/>
          </w:tcPr>
          <w:p w14:paraId="575D0719"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5.3</w:t>
            </w:r>
          </w:p>
        </w:tc>
        <w:tc>
          <w:tcPr>
            <w:tcW w:w="964" w:type="dxa"/>
            <w:vAlign w:val="center"/>
          </w:tcPr>
          <w:p w14:paraId="26E62832"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5.1</w:t>
            </w:r>
          </w:p>
        </w:tc>
        <w:tc>
          <w:tcPr>
            <w:tcW w:w="973" w:type="dxa"/>
            <w:vAlign w:val="center"/>
          </w:tcPr>
          <w:p w14:paraId="66A0BF0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4.9</w:t>
            </w:r>
          </w:p>
        </w:tc>
      </w:tr>
      <w:tr w:rsidR="00507805" w:rsidRPr="008B63B1" w14:paraId="0097238C" w14:textId="77777777" w:rsidTr="00507805">
        <w:trPr>
          <w:trHeight w:val="288"/>
        </w:trPr>
        <w:tc>
          <w:tcPr>
            <w:tcW w:w="2780" w:type="dxa"/>
            <w:noWrap/>
            <w:vAlign w:val="center"/>
            <w:hideMark/>
          </w:tcPr>
          <w:p w14:paraId="4C3E2AC4"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Դրամական փոխանցումներ</w:t>
            </w:r>
          </w:p>
        </w:tc>
        <w:tc>
          <w:tcPr>
            <w:tcW w:w="1104" w:type="dxa"/>
            <w:vAlign w:val="center"/>
          </w:tcPr>
          <w:p w14:paraId="07FB8A6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1,010</w:t>
            </w:r>
          </w:p>
        </w:tc>
        <w:tc>
          <w:tcPr>
            <w:tcW w:w="1050" w:type="dxa"/>
            <w:vAlign w:val="center"/>
          </w:tcPr>
          <w:p w14:paraId="57F96C2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919</w:t>
            </w:r>
          </w:p>
        </w:tc>
        <w:tc>
          <w:tcPr>
            <w:tcW w:w="1010" w:type="dxa"/>
            <w:vAlign w:val="center"/>
          </w:tcPr>
          <w:p w14:paraId="16B71319"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987</w:t>
            </w:r>
          </w:p>
        </w:tc>
        <w:tc>
          <w:tcPr>
            <w:tcW w:w="1058" w:type="dxa"/>
            <w:vAlign w:val="center"/>
          </w:tcPr>
          <w:p w14:paraId="0864746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1,137</w:t>
            </w:r>
          </w:p>
        </w:tc>
        <w:tc>
          <w:tcPr>
            <w:tcW w:w="951" w:type="dxa"/>
            <w:shd w:val="clear" w:color="auto" w:fill="F2F2F2" w:themeFill="background1" w:themeFillShade="F2"/>
            <w:vAlign w:val="center"/>
          </w:tcPr>
          <w:p w14:paraId="10D1A65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1,175</w:t>
            </w:r>
          </w:p>
        </w:tc>
        <w:tc>
          <w:tcPr>
            <w:tcW w:w="964" w:type="dxa"/>
            <w:vAlign w:val="center"/>
          </w:tcPr>
          <w:p w14:paraId="55E68602"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1,224</w:t>
            </w:r>
          </w:p>
        </w:tc>
        <w:tc>
          <w:tcPr>
            <w:tcW w:w="973" w:type="dxa"/>
            <w:vAlign w:val="center"/>
          </w:tcPr>
          <w:p w14:paraId="07AFDBFD"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1,281</w:t>
            </w:r>
          </w:p>
        </w:tc>
      </w:tr>
      <w:tr w:rsidR="00507805" w:rsidRPr="008B63B1" w14:paraId="20B3AE82" w14:textId="77777777" w:rsidTr="00873AE6">
        <w:trPr>
          <w:trHeight w:val="288"/>
        </w:trPr>
        <w:tc>
          <w:tcPr>
            <w:tcW w:w="9890" w:type="dxa"/>
            <w:gridSpan w:val="8"/>
            <w:shd w:val="clear" w:color="auto" w:fill="D5DCE4"/>
            <w:noWrap/>
            <w:vAlign w:val="center"/>
            <w:hideMark/>
          </w:tcPr>
          <w:p w14:paraId="413B72E6"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ՀՆԱ-ի նկատմամբ %</w:t>
            </w:r>
          </w:p>
        </w:tc>
      </w:tr>
      <w:tr w:rsidR="00507805" w:rsidRPr="008B63B1" w14:paraId="47A09638" w14:textId="77777777" w:rsidTr="00507805">
        <w:trPr>
          <w:trHeight w:val="288"/>
        </w:trPr>
        <w:tc>
          <w:tcPr>
            <w:tcW w:w="2780" w:type="dxa"/>
            <w:noWrap/>
            <w:vAlign w:val="center"/>
            <w:hideMark/>
          </w:tcPr>
          <w:p w14:paraId="283A8513"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 xml:space="preserve">Ընթացիկ հաշիվ </w:t>
            </w:r>
          </w:p>
        </w:tc>
        <w:tc>
          <w:tcPr>
            <w:tcW w:w="1104" w:type="dxa"/>
            <w:vAlign w:val="center"/>
          </w:tcPr>
          <w:p w14:paraId="680FE731"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-3.5</w:t>
            </w:r>
          </w:p>
        </w:tc>
        <w:tc>
          <w:tcPr>
            <w:tcW w:w="1050" w:type="dxa"/>
            <w:vAlign w:val="center"/>
          </w:tcPr>
          <w:p w14:paraId="452532F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-6.2</w:t>
            </w:r>
          </w:p>
        </w:tc>
        <w:tc>
          <w:tcPr>
            <w:tcW w:w="1010" w:type="dxa"/>
            <w:vAlign w:val="center"/>
          </w:tcPr>
          <w:p w14:paraId="3F212AB6"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-8.7</w:t>
            </w:r>
          </w:p>
        </w:tc>
        <w:tc>
          <w:tcPr>
            <w:tcW w:w="1058" w:type="dxa"/>
            <w:vAlign w:val="center"/>
          </w:tcPr>
          <w:p w14:paraId="7670610E"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-6.3</w:t>
            </w:r>
          </w:p>
        </w:tc>
        <w:tc>
          <w:tcPr>
            <w:tcW w:w="951" w:type="dxa"/>
            <w:shd w:val="clear" w:color="auto" w:fill="F2F2F2" w:themeFill="background1" w:themeFillShade="F2"/>
            <w:vAlign w:val="center"/>
          </w:tcPr>
          <w:p w14:paraId="5048473A"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-5.3</w:t>
            </w:r>
          </w:p>
        </w:tc>
        <w:tc>
          <w:tcPr>
            <w:tcW w:w="964" w:type="dxa"/>
            <w:vAlign w:val="center"/>
          </w:tcPr>
          <w:p w14:paraId="7FE160B2"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-4.8</w:t>
            </w:r>
          </w:p>
        </w:tc>
        <w:tc>
          <w:tcPr>
            <w:tcW w:w="973" w:type="dxa"/>
            <w:vAlign w:val="center"/>
          </w:tcPr>
          <w:p w14:paraId="04478AB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-4.4</w:t>
            </w:r>
          </w:p>
        </w:tc>
      </w:tr>
      <w:tr w:rsidR="00507805" w:rsidRPr="008B63B1" w14:paraId="307E0FD2" w14:textId="77777777" w:rsidTr="00507805">
        <w:trPr>
          <w:trHeight w:val="288"/>
        </w:trPr>
        <w:tc>
          <w:tcPr>
            <w:tcW w:w="2780" w:type="dxa"/>
            <w:noWrap/>
            <w:vAlign w:val="center"/>
            <w:hideMark/>
          </w:tcPr>
          <w:p w14:paraId="76AFCE16"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Ապրանքների և ծառայությունների հաշվեկշիռ</w:t>
            </w:r>
          </w:p>
        </w:tc>
        <w:tc>
          <w:tcPr>
            <w:tcW w:w="1104" w:type="dxa"/>
            <w:vAlign w:val="center"/>
          </w:tcPr>
          <w:p w14:paraId="518229D6"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-2.2</w:t>
            </w:r>
          </w:p>
        </w:tc>
        <w:tc>
          <w:tcPr>
            <w:tcW w:w="1050" w:type="dxa"/>
            <w:vAlign w:val="center"/>
          </w:tcPr>
          <w:p w14:paraId="098BDCB9"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-4.8</w:t>
            </w:r>
          </w:p>
        </w:tc>
        <w:tc>
          <w:tcPr>
            <w:tcW w:w="1010" w:type="dxa"/>
            <w:vAlign w:val="center"/>
          </w:tcPr>
          <w:p w14:paraId="559F60D9"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-7.0</w:t>
            </w:r>
          </w:p>
        </w:tc>
        <w:tc>
          <w:tcPr>
            <w:tcW w:w="1058" w:type="dxa"/>
            <w:vAlign w:val="center"/>
          </w:tcPr>
          <w:p w14:paraId="5E535526"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-6.0</w:t>
            </w:r>
          </w:p>
        </w:tc>
        <w:tc>
          <w:tcPr>
            <w:tcW w:w="951" w:type="dxa"/>
            <w:shd w:val="clear" w:color="auto" w:fill="F2F2F2" w:themeFill="background1" w:themeFillShade="F2"/>
            <w:vAlign w:val="center"/>
          </w:tcPr>
          <w:p w14:paraId="3DF6775C"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-4.8</w:t>
            </w:r>
          </w:p>
        </w:tc>
        <w:tc>
          <w:tcPr>
            <w:tcW w:w="964" w:type="dxa"/>
            <w:vAlign w:val="center"/>
          </w:tcPr>
          <w:p w14:paraId="334DD51F"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-4.1</w:t>
            </w:r>
          </w:p>
        </w:tc>
        <w:tc>
          <w:tcPr>
            <w:tcW w:w="973" w:type="dxa"/>
            <w:vAlign w:val="center"/>
          </w:tcPr>
          <w:p w14:paraId="4BF5D1CA"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-3.8</w:t>
            </w:r>
          </w:p>
        </w:tc>
      </w:tr>
      <w:tr w:rsidR="00507805" w:rsidRPr="008B63B1" w14:paraId="496A3B7B" w14:textId="77777777" w:rsidTr="00507805">
        <w:trPr>
          <w:trHeight w:val="288"/>
        </w:trPr>
        <w:tc>
          <w:tcPr>
            <w:tcW w:w="2780" w:type="dxa"/>
            <w:vAlign w:val="center"/>
            <w:hideMark/>
          </w:tcPr>
          <w:p w14:paraId="6F31B22B"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Արտահանում</w:t>
            </w:r>
          </w:p>
        </w:tc>
        <w:tc>
          <w:tcPr>
            <w:tcW w:w="1104" w:type="dxa"/>
            <w:vAlign w:val="center"/>
          </w:tcPr>
          <w:p w14:paraId="608D1561"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60.7</w:t>
            </w:r>
          </w:p>
        </w:tc>
        <w:tc>
          <w:tcPr>
            <w:tcW w:w="1050" w:type="dxa"/>
            <w:vAlign w:val="center"/>
          </w:tcPr>
          <w:p w14:paraId="1F7A0A86"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73.1</w:t>
            </w:r>
          </w:p>
        </w:tc>
        <w:tc>
          <w:tcPr>
            <w:tcW w:w="1010" w:type="dxa"/>
            <w:vAlign w:val="center"/>
          </w:tcPr>
          <w:p w14:paraId="27F279D1"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49.5</w:t>
            </w:r>
          </w:p>
        </w:tc>
        <w:tc>
          <w:tcPr>
            <w:tcW w:w="1058" w:type="dxa"/>
            <w:vAlign w:val="center"/>
          </w:tcPr>
          <w:p w14:paraId="1C38172D"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43.1</w:t>
            </w:r>
          </w:p>
        </w:tc>
        <w:tc>
          <w:tcPr>
            <w:tcW w:w="951" w:type="dxa"/>
            <w:shd w:val="clear" w:color="auto" w:fill="F2F2F2" w:themeFill="background1" w:themeFillShade="F2"/>
            <w:vAlign w:val="center"/>
          </w:tcPr>
          <w:p w14:paraId="2EDDE16E"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43.7</w:t>
            </w:r>
          </w:p>
        </w:tc>
        <w:tc>
          <w:tcPr>
            <w:tcW w:w="964" w:type="dxa"/>
            <w:vAlign w:val="center"/>
          </w:tcPr>
          <w:p w14:paraId="111E08C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43.7</w:t>
            </w:r>
          </w:p>
        </w:tc>
        <w:tc>
          <w:tcPr>
            <w:tcW w:w="973" w:type="dxa"/>
            <w:vAlign w:val="center"/>
          </w:tcPr>
          <w:p w14:paraId="4842E579"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43.2</w:t>
            </w:r>
          </w:p>
        </w:tc>
      </w:tr>
      <w:tr w:rsidR="00507805" w:rsidRPr="008B63B1" w14:paraId="6C7AEBC2" w14:textId="77777777" w:rsidTr="00507805">
        <w:trPr>
          <w:trHeight w:val="288"/>
        </w:trPr>
        <w:tc>
          <w:tcPr>
            <w:tcW w:w="2780" w:type="dxa"/>
            <w:vAlign w:val="center"/>
            <w:hideMark/>
          </w:tcPr>
          <w:p w14:paraId="0B78C670"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Ներմուծում</w:t>
            </w:r>
          </w:p>
        </w:tc>
        <w:tc>
          <w:tcPr>
            <w:tcW w:w="1104" w:type="dxa"/>
            <w:vAlign w:val="center"/>
          </w:tcPr>
          <w:p w14:paraId="3361679E"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62.9</w:t>
            </w:r>
          </w:p>
        </w:tc>
        <w:tc>
          <w:tcPr>
            <w:tcW w:w="1050" w:type="dxa"/>
            <w:vAlign w:val="center"/>
          </w:tcPr>
          <w:p w14:paraId="3AD0E354"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77.9</w:t>
            </w:r>
          </w:p>
        </w:tc>
        <w:tc>
          <w:tcPr>
            <w:tcW w:w="1010" w:type="dxa"/>
            <w:vAlign w:val="center"/>
          </w:tcPr>
          <w:p w14:paraId="7AADD991"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56.5</w:t>
            </w:r>
          </w:p>
        </w:tc>
        <w:tc>
          <w:tcPr>
            <w:tcW w:w="1058" w:type="dxa"/>
            <w:vAlign w:val="center"/>
          </w:tcPr>
          <w:p w14:paraId="7A807786"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49.1</w:t>
            </w:r>
          </w:p>
        </w:tc>
        <w:tc>
          <w:tcPr>
            <w:tcW w:w="951" w:type="dxa"/>
            <w:shd w:val="clear" w:color="auto" w:fill="F2F2F2" w:themeFill="background1" w:themeFillShade="F2"/>
            <w:vAlign w:val="center"/>
          </w:tcPr>
          <w:p w14:paraId="2D764698"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48.5</w:t>
            </w:r>
          </w:p>
        </w:tc>
        <w:tc>
          <w:tcPr>
            <w:tcW w:w="964" w:type="dxa"/>
            <w:vAlign w:val="center"/>
          </w:tcPr>
          <w:p w14:paraId="2D7EF2E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47.7</w:t>
            </w:r>
          </w:p>
        </w:tc>
        <w:tc>
          <w:tcPr>
            <w:tcW w:w="973" w:type="dxa"/>
            <w:vAlign w:val="center"/>
          </w:tcPr>
          <w:p w14:paraId="7A38B4BF"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47.0</w:t>
            </w:r>
          </w:p>
        </w:tc>
      </w:tr>
      <w:tr w:rsidR="00507805" w:rsidRPr="008B63B1" w14:paraId="07132852" w14:textId="77777777" w:rsidTr="00507805">
        <w:trPr>
          <w:trHeight w:val="288"/>
        </w:trPr>
        <w:tc>
          <w:tcPr>
            <w:tcW w:w="2780" w:type="dxa"/>
            <w:vAlign w:val="center"/>
            <w:hideMark/>
          </w:tcPr>
          <w:p w14:paraId="42B372BA" w14:textId="77777777" w:rsidR="00507805" w:rsidRPr="008B63B1" w:rsidRDefault="00507805" w:rsidP="00082769">
            <w:pPr>
              <w:spacing w:before="100" w:beforeAutospacing="1" w:after="100" w:afterAutospacing="1"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Դրամական փոխանցումներ</w:t>
            </w:r>
          </w:p>
        </w:tc>
        <w:tc>
          <w:tcPr>
            <w:tcW w:w="1104" w:type="dxa"/>
            <w:vAlign w:val="center"/>
          </w:tcPr>
          <w:p w14:paraId="79453025"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4.2</w:t>
            </w:r>
          </w:p>
        </w:tc>
        <w:tc>
          <w:tcPr>
            <w:tcW w:w="1050" w:type="dxa"/>
            <w:vAlign w:val="center"/>
          </w:tcPr>
          <w:p w14:paraId="6E54EED4"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3.5</w:t>
            </w:r>
          </w:p>
        </w:tc>
        <w:tc>
          <w:tcPr>
            <w:tcW w:w="1010" w:type="dxa"/>
            <w:vAlign w:val="center"/>
          </w:tcPr>
          <w:p w14:paraId="4B5B30BA"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3.4</w:t>
            </w:r>
          </w:p>
        </w:tc>
        <w:tc>
          <w:tcPr>
            <w:tcW w:w="1058" w:type="dxa"/>
            <w:vAlign w:val="center"/>
          </w:tcPr>
          <w:p w14:paraId="0469373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3.5</w:t>
            </w:r>
          </w:p>
        </w:tc>
        <w:tc>
          <w:tcPr>
            <w:tcW w:w="951" w:type="dxa"/>
            <w:shd w:val="clear" w:color="auto" w:fill="F2F2F2" w:themeFill="background1" w:themeFillShade="F2"/>
            <w:vAlign w:val="center"/>
          </w:tcPr>
          <w:p w14:paraId="53775B05"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3.4</w:t>
            </w:r>
          </w:p>
        </w:tc>
        <w:tc>
          <w:tcPr>
            <w:tcW w:w="964" w:type="dxa"/>
            <w:vAlign w:val="center"/>
          </w:tcPr>
          <w:p w14:paraId="24EBB133"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3.3</w:t>
            </w:r>
          </w:p>
        </w:tc>
        <w:tc>
          <w:tcPr>
            <w:tcW w:w="973" w:type="dxa"/>
            <w:vAlign w:val="center"/>
          </w:tcPr>
          <w:p w14:paraId="00F9B7F7" w14:textId="77777777" w:rsidR="00507805" w:rsidRPr="008B63B1" w:rsidRDefault="00507805" w:rsidP="00082769">
            <w:pPr>
              <w:spacing w:before="100" w:beforeAutospacing="1" w:after="100" w:afterAutospacing="1"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lang w:val="hy-AM"/>
              </w:rPr>
              <w:t>3.2</w:t>
            </w:r>
          </w:p>
        </w:tc>
      </w:tr>
    </w:tbl>
    <w:p w14:paraId="04FE7E00" w14:textId="77777777" w:rsidR="00507805" w:rsidRPr="008B63B1" w:rsidRDefault="00507805" w:rsidP="00082769">
      <w:pPr>
        <w:pBdr>
          <w:bottom w:val="single" w:sz="8" w:space="1" w:color="C3C3C7"/>
        </w:pBdr>
        <w:spacing w:before="480" w:after="360"/>
        <w:outlineLvl w:val="1"/>
        <w:rPr>
          <w:rFonts w:ascii="GHEA Grapalat" w:eastAsia="Times New Roman" w:hAnsi="GHEA Grapalat" w:cs="Times New Roman"/>
          <w:color w:val="A5A6AC"/>
          <w:sz w:val="28"/>
          <w:szCs w:val="20"/>
          <w:lang w:val="hy-AM"/>
        </w:rPr>
      </w:pPr>
      <w:bookmarkStart w:id="150" w:name="_Toc178356563"/>
      <w:bookmarkStart w:id="151" w:name="_Toc178612087"/>
      <w:bookmarkStart w:id="152" w:name="_Toc183801071"/>
      <w:bookmarkStart w:id="153" w:name="_Toc210126078"/>
      <w:bookmarkStart w:id="154" w:name="_Toc241687658"/>
      <w:r w:rsidRPr="008B63B1">
        <w:rPr>
          <w:rFonts w:ascii="GHEA Grapalat" w:eastAsia="Times New Roman" w:hAnsi="GHEA Grapalat" w:cs="Times New Roman"/>
          <w:color w:val="A5A6AC"/>
          <w:sz w:val="28"/>
          <w:szCs w:val="20"/>
          <w:lang w:val="hy-AM"/>
        </w:rPr>
        <w:t>1.2. ՀԱՄԱՇԽԱՐՀԱՅԻՆ ՏՆՏԵՍՈՒԹՅԱՆ ԵՎ ԳՈՐԾԸՆԿԵՐ ԵՐԿՐՆԵՐԻ ԶԱՐԳԱՑՈՒՄՆԵՐ ԵՎ ԿԱՆԽԱՏԵՍՈՒՄՆԵՐ</w:t>
      </w:r>
      <w:bookmarkEnd w:id="143"/>
      <w:bookmarkEnd w:id="144"/>
      <w:bookmarkEnd w:id="145"/>
      <w:bookmarkEnd w:id="146"/>
      <w:bookmarkEnd w:id="147"/>
      <w:bookmarkEnd w:id="148"/>
      <w:bookmarkEnd w:id="149"/>
      <w:bookmarkEnd w:id="150"/>
      <w:bookmarkEnd w:id="151"/>
      <w:bookmarkEnd w:id="152"/>
      <w:bookmarkEnd w:id="153"/>
      <w:bookmarkEnd w:id="154"/>
    </w:p>
    <w:p w14:paraId="32348B6C" w14:textId="77777777" w:rsidR="00507805" w:rsidRPr="008B63B1" w:rsidRDefault="00507805" w:rsidP="00082769">
      <w:pPr>
        <w:spacing w:before="360" w:after="0"/>
        <w:rPr>
          <w:rFonts w:ascii="GHEA Grapalat" w:eastAsia="Times New Roman" w:hAnsi="GHEA Grapalat" w:cs="Times New Roman"/>
          <w:color w:val="A6A6A6"/>
          <w:szCs w:val="20"/>
          <w:lang w:val="hy-AM"/>
        </w:rPr>
      </w:pPr>
      <w:bookmarkStart w:id="155" w:name="_Toc146911024"/>
      <w:bookmarkStart w:id="156" w:name="_Toc115686018"/>
      <w:bookmarkStart w:id="157" w:name="_Toc83972832"/>
      <w:bookmarkStart w:id="158" w:name="_Toc83663896"/>
      <w:bookmarkStart w:id="159" w:name="_Toc57559414"/>
      <w:bookmarkStart w:id="160" w:name="_Toc45705389"/>
      <w:r w:rsidRPr="008B63B1">
        <w:rPr>
          <w:rFonts w:ascii="GHEA Grapalat" w:eastAsia="Times New Roman" w:hAnsi="GHEA Grapalat" w:cs="Times New Roman"/>
          <w:color w:val="A6A6A6"/>
          <w:szCs w:val="20"/>
          <w:lang w:val="hy-AM"/>
        </w:rPr>
        <w:t>ՏՆՏԵՍԱԿԱՆ ԶԱՐԳԱՑՈՒՄՆԵՐ</w:t>
      </w:r>
    </w:p>
    <w:p w14:paraId="24D58005" w14:textId="77777777" w:rsidR="00507805" w:rsidRPr="008B63B1" w:rsidRDefault="00507805" w:rsidP="00082769">
      <w:pPr>
        <w:ind w:right="357"/>
        <w:jc w:val="both"/>
        <w:rPr>
          <w:rFonts w:ascii="GHEA Grapalat" w:eastAsia="Times New Roman" w:hAnsi="GHEA Grapalat" w:cs="Times New Roman"/>
          <w:color w:val="404040"/>
          <w:lang w:val="hy-AM"/>
        </w:rPr>
      </w:pPr>
      <w:r w:rsidRPr="008B63B1">
        <w:rPr>
          <w:rFonts w:ascii="GHEA Grapalat" w:eastAsia="Times New Roman" w:hAnsi="GHEA Grapalat" w:cs="Times New Roman"/>
          <w:b/>
          <w:color w:val="404040"/>
          <w:lang w:val="hy-AM"/>
        </w:rPr>
        <w:t>2025թ. համաշխարհային տնտեսությունը առևտրային լարվածության և աշխարհաքաղաքական բարձր անորոշության պայմաններում պահպանել է կայուն աճ, մինչդեռ ՀՀ հիմնական գործընկեր երկրներում տնտեսական զարգացումները եղել են տարաբնույթ:</w:t>
      </w:r>
      <w:r w:rsidRPr="008B63B1">
        <w:rPr>
          <w:rFonts w:ascii="GHEA Grapalat" w:eastAsia="Times New Roman" w:hAnsi="GHEA Grapalat" w:cs="Times New Roman"/>
          <w:color w:val="404040"/>
          <w:lang w:val="hy-AM"/>
        </w:rPr>
        <w:t xml:space="preserve"> Ռուսաստանի Դաշնությունում և ԱՄՆ-ում տնտեսական աճի տեմպերը դանդաղել են՝ պայմանավորված ներդրումային ակտիվության թուլացմամբ, մինչդեռ Չինաստանում և Եվրագոտում տնտեսական ակտիվությանը նպաստել են առևտրային հոսքերի առաջանցիկ իրականացումը, արտաքին պահանջարկը և առանձին խթանող քաղաքականությունները: Միաժամանակ, գործընկեր երկրներում շարունակվել են գնաճային ճնշումների աստիճանական թուլացումը և հարկաբյուջետային ու դրամավարկային քաղաքականությունների ճշգրտումները:</w:t>
      </w:r>
    </w:p>
    <w:p w14:paraId="2D9D107A" w14:textId="77777777" w:rsidR="00507805" w:rsidRPr="008B63B1" w:rsidRDefault="00507805" w:rsidP="00082769">
      <w:pPr>
        <w:ind w:right="357"/>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Արժույթի միջազգային հիմնադրամի (ԱՄՀ) գնահատականներով 2025թ. համաշխարհային տնտեսական աճը պահպանվել է նախորդ տարվա նույն մակարդակում՝ կազմելով 3.5%, իսկ ՀՀ հիմնական գործընկեր երկրներից ՌԴ-ում գրանցվել է 1% աճ, Եվրագոտում՝ 1.4%, ԱՄՆ-ում՝ 2.1%, Չինաստանում՝ 5%:</w:t>
      </w:r>
    </w:p>
    <w:p w14:paraId="7D8DF38B" w14:textId="77777777" w:rsidR="00507805" w:rsidRPr="008B63B1" w:rsidRDefault="00507805" w:rsidP="00082769">
      <w:pPr>
        <w:ind w:right="357"/>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2026թ. առաջին կիսամյակում ԱՄՆ տնտեսությունը նախորդ տարվա համապատասխան ժամանակահատվածի նկատմամբ գրանցել է միջինում 2.4% աճ</w:t>
      </w:r>
      <w:r w:rsidRPr="008B63B1">
        <w:rPr>
          <w:rFonts w:ascii="GHEA Grapalat" w:eastAsia="Times New Roman" w:hAnsi="GHEA Grapalat" w:cs="Times New Roman"/>
          <w:color w:val="404040"/>
          <w:vertAlign w:val="superscript"/>
        </w:rPr>
        <w:footnoteReference w:id="2"/>
      </w:r>
      <w:r w:rsidRPr="008B63B1">
        <w:rPr>
          <w:rFonts w:ascii="GHEA Grapalat" w:eastAsia="Times New Roman" w:hAnsi="GHEA Grapalat" w:cs="Times New Roman"/>
          <w:color w:val="404040"/>
          <w:lang w:val="hy-AM"/>
        </w:rPr>
        <w:t>. առաջին եռամսյակում աճը կազմել է 2.7%, երկրորդ եռամսյակում՝ 2.1%։ Եթե առաջին եռամսյակում աճի կայուն մակարդակը պահպանվել է արհեստական բանականության ոլորտում կատարված ներդրումների, մասնավոր և պետական սպառման, ինչպես նաև արտահանման աճերի հաշվին, ապա երկրորդ եռամսյակում աճը հիմնականում արտացոլել է սպառողական ծախսերի, ներդրումների և արտահանման աճը, որոնց ազդեցությանը մասամբ հակազդել է պետական սպառման նվազումը:</w:t>
      </w:r>
    </w:p>
    <w:p w14:paraId="49C50E2C" w14:textId="77777777" w:rsidR="00507805" w:rsidRPr="008B63B1" w:rsidRDefault="00507805" w:rsidP="00082769">
      <w:pPr>
        <w:ind w:right="357"/>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Եվրագոտու տնտեսությունն ընթացիկ տարվա առաջին կիսամյակում միջինում գրանցել է 0.8% աճ</w:t>
      </w:r>
      <w:r w:rsidRPr="008B63B1">
        <w:rPr>
          <w:rFonts w:ascii="GHEA Grapalat" w:eastAsia="Times New Roman" w:hAnsi="GHEA Grapalat" w:cs="Times New Roman"/>
          <w:color w:val="404040"/>
          <w:vertAlign w:val="superscript"/>
        </w:rPr>
        <w:footnoteReference w:id="3"/>
      </w:r>
      <w:r w:rsidRPr="008B63B1">
        <w:rPr>
          <w:rFonts w:ascii="GHEA Grapalat" w:eastAsia="Times New Roman" w:hAnsi="GHEA Grapalat" w:cs="Times New Roman"/>
          <w:color w:val="404040"/>
          <w:lang w:val="hy-AM"/>
        </w:rPr>
        <w:t>. առաջին եռամսյակում գրանցված 0.5% աճից հետո երկրորդ եռամսյակում տնտեսական աճն արագացել է՝ կազմելով 1%։ Աճին նպաստել են արհեստական բանականության ոլորտում ներդրումները և կառավարության ծախսերը, որոնք որոշ չափով փոխհատուցել են առաջին եռամսյակի թույլ միտումները և էներգակիրների բարձր գների բացասական ազդեցությունը։</w:t>
      </w:r>
    </w:p>
    <w:p w14:paraId="27BD9B28" w14:textId="77777777" w:rsidR="00507805" w:rsidRPr="008B63B1" w:rsidRDefault="00507805" w:rsidP="00082769">
      <w:pPr>
        <w:ind w:right="357"/>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2026թ</w:t>
      </w:r>
      <w:r w:rsidRPr="008B63B1">
        <w:rPr>
          <w:rFonts w:ascii="Cambria Math" w:eastAsia="Times New Roman" w:hAnsi="Cambria Math" w:cs="Cambria Math"/>
          <w:color w:val="404040"/>
          <w:lang w:val="hy-AM"/>
        </w:rPr>
        <w:t>․</w:t>
      </w:r>
      <w:r w:rsidRPr="008B63B1">
        <w:rPr>
          <w:rFonts w:ascii="GHEA Grapalat" w:eastAsia="Times New Roman" w:hAnsi="GHEA Grapalat" w:cs="Times New Roman"/>
          <w:color w:val="404040"/>
          <w:lang w:val="hy-AM"/>
        </w:rPr>
        <w:t xml:space="preserve"> առաջին կիսամյակում Չինաստանում գրանցվել է միջինում 4.7% տնտեսական աճ</w:t>
      </w:r>
      <w:r w:rsidRPr="008B63B1">
        <w:rPr>
          <w:rFonts w:ascii="GHEA Grapalat" w:eastAsia="Times New Roman" w:hAnsi="GHEA Grapalat" w:cs="Times New Roman"/>
          <w:color w:val="404040"/>
          <w:vertAlign w:val="superscript"/>
          <w:lang w:val="hy-AM"/>
        </w:rPr>
        <w:footnoteReference w:id="4"/>
      </w:r>
      <w:r w:rsidRPr="008B63B1">
        <w:rPr>
          <w:rFonts w:ascii="GHEA Grapalat" w:eastAsia="Times New Roman" w:hAnsi="GHEA Grapalat" w:cs="Times New Roman"/>
          <w:color w:val="404040"/>
          <w:lang w:val="hy-AM"/>
        </w:rPr>
        <w:t>։ Առաջին եռամսյակում տնտեսական աճը կազմել է 5%՝ պայմանավորված արդյունաբերական արտադրանքի և արտահանման աճերով, մինչդեռ երկրորդ եռամսյակում այն դանդաղել է՝ կազմելով 4.3%։ Դանդաղումը հիմնականում պայմանավորված է եղել ներքին պահանջարկի թուլացմամբ, մասնավոր ներդրումների նվազմամբ և անշարժ գույքի ոլորտում շարունակվող անկմամբ, մինչդեռ աճին նպաստել է արհեստական բանականության ոլորտի հետ կապված արտահանման աճը։</w:t>
      </w:r>
    </w:p>
    <w:p w14:paraId="2FF619F6" w14:textId="77777777" w:rsidR="00507805" w:rsidRPr="008B63B1" w:rsidRDefault="00507805" w:rsidP="00082769">
      <w:pPr>
        <w:ind w:right="357"/>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Ռուսաստանի Դաշնությունում առաջին կիսամյակում գրանցվել է 0.6% աճ</w:t>
      </w:r>
      <w:r w:rsidRPr="008B63B1">
        <w:rPr>
          <w:rFonts w:ascii="GHEA Grapalat" w:eastAsia="Times New Roman" w:hAnsi="GHEA Grapalat" w:cs="Times New Roman"/>
          <w:color w:val="404040"/>
          <w:vertAlign w:val="superscript"/>
        </w:rPr>
        <w:footnoteReference w:id="5"/>
      </w:r>
      <w:r w:rsidRPr="008B63B1">
        <w:rPr>
          <w:rFonts w:ascii="GHEA Grapalat" w:eastAsia="Times New Roman" w:hAnsi="GHEA Grapalat" w:cs="Times New Roman"/>
          <w:color w:val="404040"/>
          <w:lang w:val="hy-AM"/>
        </w:rPr>
        <w:t>, ընդ որում՝ առաջին եռամսյակում գրանցվել է 0.2% անկում, մինչդեռ երկրորդ եռամսյակում՝ 1.3% աճ: Առաջին եռամսյակի անկումը հիմնականում պայմանավորված է եղել հունվար և փետրվար ամիսներին մշակող արդյունաբերության և շինարարության ոլորտներում արձանագրված անկմամբ, ինչպես նաև սպառողական պահանջարկի թուլացմամբ։ Երկրորդ եռամսյակում տնտեսական ակտիվության վերականգնմանը նպաստել են արդյունաբերության և առևտրի ոլորտների աճերը, ինչպես նաև շինարարության ոլորտում անկման տեմպի թուլացումը։ Մյուս կողմից, աճին նպաստող գործոններ են հանդիսացել հարկաբյուջետային խթանումը՝ մասնավորապես, ռազմական ոլորտում կառավարության ծախսերի աճը և նավթից ստացվող եկամուտների ժամանակավոր աճը:</w:t>
      </w:r>
    </w:p>
    <w:p w14:paraId="0F4EB056" w14:textId="77777777" w:rsidR="00507805" w:rsidRPr="00A361C5" w:rsidRDefault="00507805" w:rsidP="00A361C5">
      <w:pPr>
        <w:spacing w:after="0" w:line="240" w:lineRule="auto"/>
        <w:contextualSpacing/>
        <w:jc w:val="both"/>
        <w:rPr>
          <w:rFonts w:ascii="GHEA Grapalat" w:eastAsia="Times New Roman" w:hAnsi="GHEA Grapalat" w:cs="Times New Roman"/>
          <w:bCs/>
          <w:color w:val="000000" w:themeColor="text1"/>
          <w:sz w:val="20"/>
          <w:szCs w:val="20"/>
          <w:lang w:val="hy-AM" w:eastAsia="ru-RU"/>
        </w:rPr>
      </w:pPr>
      <w:bookmarkStart w:id="161" w:name="_Toc178595120"/>
      <w:r w:rsidRPr="00A361C5">
        <w:rPr>
          <w:rFonts w:ascii="GHEA Grapalat" w:eastAsia="Times New Roman" w:hAnsi="GHEA Grapalat" w:cs="Times New Roman"/>
          <w:bCs/>
          <w:color w:val="000000" w:themeColor="text1"/>
          <w:sz w:val="20"/>
          <w:szCs w:val="20"/>
          <w:lang w:val="hy-AM" w:eastAsia="ru-RU"/>
        </w:rPr>
        <w:t>Գծապատկեր 1.1. Գործընկեր երկրների տնտեսական աճեր, եռամսյակային, տ/տ, %</w:t>
      </w:r>
      <w:bookmarkEnd w:id="161"/>
    </w:p>
    <w:p w14:paraId="58CF8F09" w14:textId="77777777" w:rsidR="00507805" w:rsidRPr="008B63B1" w:rsidRDefault="00507805" w:rsidP="00082769">
      <w:pPr>
        <w:spacing w:before="40" w:after="60"/>
        <w:jc w:val="both"/>
        <w:rPr>
          <w:rFonts w:ascii="GHEA Grapalat" w:eastAsia="Times New Roman" w:hAnsi="GHEA Grapalat" w:cs="Times New Roman"/>
          <w:lang w:val="hy-AM"/>
        </w:rPr>
      </w:pPr>
      <w:r w:rsidRPr="008B63B1">
        <w:rPr>
          <w:rFonts w:ascii="GHEA Grapalat" w:eastAsia="Times New Roman" w:hAnsi="GHEA Grapalat" w:cs="Sylfaen"/>
          <w:noProof/>
          <w:color w:val="404040"/>
        </w:rPr>
        <w:drawing>
          <wp:inline distT="0" distB="0" distL="0" distR="0" wp14:anchorId="20221F9F" wp14:editId="5823D82C">
            <wp:extent cx="6294474" cy="2247900"/>
            <wp:effectExtent l="0" t="0" r="0" b="0"/>
            <wp:docPr id="56"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AF2429" w14:textId="77777777" w:rsidR="00507805" w:rsidRPr="008B63B1" w:rsidRDefault="00507805" w:rsidP="00082769">
      <w:pPr>
        <w:ind w:right="357"/>
        <w:jc w:val="right"/>
        <w:rPr>
          <w:rFonts w:ascii="GHEA Grapalat" w:eastAsia="Times New Roman" w:hAnsi="GHEA Grapalat" w:cs="Times New Roman"/>
          <w:i/>
          <w:color w:val="A6A6A6"/>
          <w:sz w:val="18"/>
          <w:lang w:val="hy-AM"/>
        </w:rPr>
      </w:pPr>
      <w:r w:rsidRPr="008B63B1">
        <w:rPr>
          <w:rFonts w:ascii="GHEA Grapalat" w:eastAsia="Times New Roman" w:hAnsi="GHEA Grapalat" w:cs="Times New Roman"/>
          <w:i/>
          <w:color w:val="A6A6A6"/>
          <w:sz w:val="18"/>
          <w:lang w:val="hy-AM"/>
        </w:rPr>
        <w:t>Աղբյուրը` ԱՄՆ տնտեսական վերլուծությունների բյուրո, Եվրոստատ, Չինաստանի վիճակագրության ազգային բյուրո, ՌԴ դաշնային պետական վիճակագրական ծառայություն</w:t>
      </w:r>
    </w:p>
    <w:p w14:paraId="330B1535" w14:textId="77777777" w:rsidR="00507805" w:rsidRPr="008B63B1" w:rsidRDefault="00507805" w:rsidP="00082769">
      <w:pPr>
        <w:ind w:right="357"/>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2026թ. փետրվարից Մերձավոր Արևելքում սկիզբ առած հակամարտությունը և դրա հետևանքով էներգակիրների գների աճը հանգեցրել են գնաճի արագացման։ Ընթացիկ տարվա հունվար-օգոստոսին գնաճի տեմպերի արագացմանը զուգահեռ առաջատար տնտեսությունների կենտրոնական բանկերը շարունակել են դրամավարկային քաղաքականության ճշգրտումները՝ հաշվի առնելով գնաճային ճնշումները: ԱՄՆ-ում տարեսկզբին գրանցված գնաճի դանդաղումից հետո մարտից գնաճի տեմպերն արագացել են՝ օգոստոսին կազմելով 3.4%</w:t>
      </w:r>
      <w:r w:rsidRPr="008B63B1">
        <w:rPr>
          <w:rFonts w:ascii="Cambria Math" w:eastAsia="Times New Roman" w:hAnsi="Cambria Math" w:cs="Cambria Math"/>
          <w:color w:val="404040"/>
          <w:lang w:val="hy-AM"/>
        </w:rPr>
        <w:t xml:space="preserve"> </w:t>
      </w:r>
      <w:r w:rsidRPr="008B63B1">
        <w:rPr>
          <w:rFonts w:ascii="GHEA Grapalat" w:eastAsia="Times New Roman" w:hAnsi="GHEA Grapalat" w:cs="Times New Roman"/>
          <w:color w:val="404040"/>
          <w:lang w:val="hy-AM"/>
        </w:rPr>
        <w:t>և շարունակելով գերազանցել թիրախային մակարդակը։ Եվրագոտում ևս գրանցվել է գնաճի արագացում՝ օգոստոսին հասնելով 3.2%-ի։ Չինաստանում տարեսկզբից ի վեր գնաճային միտումները հիմնականում պայմանավորված են եղել ոչ պարենային ապրանքների գների աճով, որի ազդեցությունը մասամբ մեղմվել է պարենային ապրանքների գների նվազմամբ: ՌԴ-ում հունիսից գնաճի տեմպերն արագացել են՝ օգոստոսին կազմելով 6.3% և շարունակելով գերազանցել 4% թիրախային մակարդակը:</w:t>
      </w:r>
    </w:p>
    <w:p w14:paraId="4B3963B3" w14:textId="77777777" w:rsidR="00507805" w:rsidRPr="008B63B1" w:rsidRDefault="00507805" w:rsidP="00082769">
      <w:pPr>
        <w:ind w:right="357"/>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Այս զարգացումներին զուգահեռ՝ ԱՄՆ Դաշնային պահուստային համակարգը և Եվրոպական կենտրոնական բանկը պահպանել են դրամավարկային քաղաքականության զսպող դիրքը։ Դաշնային պահուստային համակարգը մինչև սեպտեմբեր պահպանել է նախորդ տարեվերջին սահմանված քաղաքականության տոկոսադրույքի 3.5-3.75% միջակայքը, իսկ սեպտեմբերի որոշմամբ այն բարձրացրել է 25 բազիսային կետով՝ մինչև 3.75-4%: Որոշումը պայմանավորված է եղել ոչ միայն պահպանվող գնաճային ռիսկերով, այլև գնաճը թիրախին վերադարձնելու անհրաժեշտությամբ: Եվրոպական կենտրոնական բանկը մինչև մայիս պահպանել է հիմնական վերաֆինանսավորման գործառնությունների տոկոսադրույքը 2.15% մակարդակում, այնուհետև հունիսին բարձրացրել է 25, իսկ սեպտեմբերին՝ ևս 25 բազիսային կետով՝ սահմանելով 2.65%: Դրամավարկային քաղաքականության խստացումը պայմանավորված է եղել էներգակիրների բարձր գների ազդեցությամբ և պահպանվող գնաճային ռիսկերով։</w:t>
      </w:r>
    </w:p>
    <w:p w14:paraId="73B2B4DF" w14:textId="77777777" w:rsidR="00507805" w:rsidRPr="008B63B1" w:rsidRDefault="00507805" w:rsidP="00082769">
      <w:pPr>
        <w:ind w:right="357"/>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Արտաքին տնտեսական և աշխարհաքաղաքական բարձր անորոշությունների պայմաններում Չինաստանի ժողովրդական բանկը շարունակել է պահպանել տոկոսադրույքը 3% մակարդակում։ 2026թ. տարեսկզբից ՌԴ կենտրոնական բանկը հինգ անգամ նվազեցրել է քաղաքականության տոկոսադրույքը՝ հունիսին սահմանելով 14.25%, այնուհետև հուլիսից պահպանել է 14% մակարդակում՝ շարունակելով մեղմել քաղաքականության պայմանները՝ հաշվի առնելով միջնաժամկետ գնաճային սպասումների հետ կապված ռիսկերը</w:t>
      </w:r>
      <w:r w:rsidRPr="008B63B1">
        <w:rPr>
          <w:rFonts w:ascii="GHEA Grapalat" w:eastAsia="Times New Roman" w:hAnsi="GHEA Grapalat" w:cs="Times New Roman"/>
          <w:color w:val="404040"/>
          <w:vertAlign w:val="superscript"/>
          <w:lang w:val="hy-AM"/>
        </w:rPr>
        <w:footnoteReference w:id="6"/>
      </w:r>
      <w:r w:rsidRPr="008B63B1">
        <w:rPr>
          <w:rFonts w:ascii="GHEA Grapalat" w:eastAsia="Times New Roman" w:hAnsi="GHEA Grapalat" w:cs="Times New Roman"/>
          <w:color w:val="404040"/>
          <w:lang w:val="hy-AM"/>
        </w:rPr>
        <w:t>։</w:t>
      </w:r>
    </w:p>
    <w:p w14:paraId="29D1CFF7" w14:textId="77777777" w:rsidR="00507805" w:rsidRPr="008B63B1" w:rsidRDefault="00507805" w:rsidP="00082769">
      <w:pPr>
        <w:pBdr>
          <w:bottom w:val="single" w:sz="8" w:space="1" w:color="E1E1E3"/>
        </w:pBd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Կանխատեսում</w:t>
      </w:r>
    </w:p>
    <w:p w14:paraId="7124016E" w14:textId="77777777" w:rsidR="00507805" w:rsidRPr="008B63B1" w:rsidRDefault="00507805" w:rsidP="00082769">
      <w:pPr>
        <w:ind w:right="357"/>
        <w:jc w:val="both"/>
        <w:rPr>
          <w:rFonts w:ascii="GHEA Grapalat" w:eastAsia="Times New Roman" w:hAnsi="GHEA Grapalat" w:cs="Times New Roman"/>
          <w:color w:val="404040"/>
          <w:lang w:val="hy-AM"/>
        </w:rPr>
      </w:pPr>
      <w:r w:rsidRPr="008B63B1">
        <w:rPr>
          <w:rFonts w:ascii="GHEA Grapalat" w:eastAsia="Times New Roman" w:hAnsi="GHEA Grapalat" w:cs="Times New Roman"/>
          <w:b/>
          <w:color w:val="404040"/>
          <w:lang w:val="hy-AM"/>
        </w:rPr>
        <w:t>ԱՄՀ հուլիս ամսվա կանխատեսումների համաձայն համաշխարհային տնտեսական աճը 2026 թվականին կդանդաղի՝ կազմելով 3%, իսկ 2027 թվականին կարագանա՝ հասնելով 3.4%-ի: Տնտեսական աճի չափավոր դանդաղումը պայմանավորված է Մերձավոր Արևելքում ռազմական գործողությունների ազդեցությամբ, որը մասամբ մեղմվել է համաշխարհային տեխնոլոգիական ոլորտում պահանջարկի աճով՝ արհեստական բանականության զարգացման և լայն կիրառման շնորհիվ:</w:t>
      </w:r>
      <w:r w:rsidRPr="008B63B1">
        <w:rPr>
          <w:rFonts w:ascii="GHEA Grapalat" w:eastAsia="Times New Roman" w:hAnsi="GHEA Grapalat" w:cs="Times New Roman"/>
          <w:color w:val="404040"/>
          <w:lang w:val="hy-AM"/>
        </w:rPr>
        <w:t xml:space="preserve"> ՀՀ հիմնական գործընկեր երկրներից ԱՄՆ-ում 2026թ. սպասվում է աճի արագացում՝ պայմանավորված հարկաբյուջետային քաղաքականության խթանող դիրքով, ավելի մեղմ ֆինանսական պայմաններով, ինչպես նաև տեխնոլոգիական ոլորտում շարունակական ներդրումների և արտադրողականության բարձր մակարդակով: Եվրագոտում աճի տեմպը 2026թ. կդանդաղի մինչև 0.9%, իսկ 2027թ. կարագանա մինչև 1.2%՝ պայմանավորված միության անդամ երկրների տնտեսական ակտիվության թույլ մակարդակով, էներգակիրների բարձր գների զսպող ազդեցությամբ և սպառողների վստահության թույլ մակարդակով: Չինաստանի տնտեսական աճը 2026թ. և միջնաժամկետում կդանդաղի՝ պայմանավորված էներգակիրների բարձր գներով և տնտեսության կառուցվածքային խնդիրներով: ՌԴ-ում 2026թ. և միջնաժամկետում աճի թույլ միտումները կպահպանվեն՝ պայմանավորված մասնավոր սպառման և ներդրումների աճի տեմպերի դանդաղմամբ: Ընդ որում, ՀՀ հիմնական գործընկեր երկրների 2026թ. աճի հուլիսյան կանխատեսումները, ապրիլյան կանխատեսումների համեմատ, փոփոխվել են տարբեր ուղղություններով. ՌԴ-ի և ԱՄՆ-ի կանխատեսումները մնացել են անփոփոխ, Եվրագոտու կանխատեսումը վերանայվել է դեպի ներքև, Չինաստանինը՝ դեպի վերև (ավելի մանրամասն տե՛ս Աղյուսակ 1.2-ում): </w:t>
      </w:r>
    </w:p>
    <w:p w14:paraId="0D57DCD7" w14:textId="77777777" w:rsidR="00507805" w:rsidRPr="00A361C5" w:rsidRDefault="00507805" w:rsidP="00082769">
      <w:pPr>
        <w:spacing w:after="0" w:line="240" w:lineRule="auto"/>
        <w:contextualSpacing/>
        <w:jc w:val="both"/>
        <w:rPr>
          <w:rFonts w:ascii="GHEA Grapalat" w:eastAsia="Times New Roman" w:hAnsi="GHEA Grapalat" w:cs="Times New Roman"/>
          <w:bCs/>
          <w:color w:val="000000" w:themeColor="text1"/>
          <w:sz w:val="20"/>
          <w:szCs w:val="20"/>
          <w:lang w:val="hy-AM" w:eastAsia="ru-RU"/>
        </w:rPr>
      </w:pPr>
      <w:r w:rsidRPr="00A361C5">
        <w:rPr>
          <w:rFonts w:ascii="GHEA Grapalat" w:eastAsia="Times New Roman" w:hAnsi="GHEA Grapalat" w:cs="Times New Roman"/>
          <w:bCs/>
          <w:color w:val="000000" w:themeColor="text1"/>
          <w:sz w:val="20"/>
          <w:szCs w:val="20"/>
          <w:lang w:val="hy-AM" w:eastAsia="ru-RU"/>
        </w:rPr>
        <w:t xml:space="preserve">Աղյուսակ 1.2. ԱՄՀ կանխատեսումներ </w:t>
      </w:r>
    </w:p>
    <w:tbl>
      <w:tblPr>
        <w:tblStyle w:val="GridTable1Light-Accent53"/>
        <w:tblW w:w="10271"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2149"/>
        <w:gridCol w:w="829"/>
        <w:gridCol w:w="829"/>
        <w:gridCol w:w="994"/>
        <w:gridCol w:w="829"/>
        <w:gridCol w:w="829"/>
        <w:gridCol w:w="827"/>
        <w:gridCol w:w="996"/>
        <w:gridCol w:w="994"/>
        <w:gridCol w:w="995"/>
      </w:tblGrid>
      <w:tr w:rsidR="00507805" w:rsidRPr="008B63B1" w14:paraId="486ABBD2" w14:textId="77777777" w:rsidTr="00873AE6">
        <w:trPr>
          <w:cnfStyle w:val="100000000000" w:firstRow="1" w:lastRow="0" w:firstColumn="0" w:lastColumn="0" w:oddVBand="0" w:evenVBand="0" w:oddHBand="0"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2149" w:type="dxa"/>
            <w:vMerge w:val="restart"/>
            <w:shd w:val="clear" w:color="auto" w:fill="D5DCE4"/>
            <w:vAlign w:val="center"/>
          </w:tcPr>
          <w:p w14:paraId="7EBFCB97" w14:textId="77777777" w:rsidR="00507805" w:rsidRPr="008B63B1" w:rsidRDefault="00507805" w:rsidP="00082769">
            <w:pPr>
              <w:spacing w:before="100" w:beforeAutospacing="1" w:after="100" w:afterAutospacing="1"/>
              <w:rPr>
                <w:rFonts w:ascii="Arial Narrow" w:eastAsia="Times New Roman" w:hAnsi="Arial Narrow" w:cs="Times New Roman"/>
                <w:color w:val="404040"/>
                <w:sz w:val="20"/>
                <w:szCs w:val="20"/>
                <w:lang w:val="hy-AM"/>
              </w:rPr>
            </w:pPr>
          </w:p>
        </w:tc>
        <w:tc>
          <w:tcPr>
            <w:tcW w:w="829" w:type="dxa"/>
            <w:shd w:val="clear" w:color="auto" w:fill="D5DCE4"/>
          </w:tcPr>
          <w:p w14:paraId="1EF2557F" w14:textId="77777777" w:rsidR="00507805" w:rsidRPr="008B63B1" w:rsidRDefault="00507805" w:rsidP="00082769">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ylfaen" w:eastAsia="Times New Roman" w:hAnsi="Sylfaen" w:cs="Times New Roman"/>
                <w:color w:val="404040"/>
                <w:sz w:val="20"/>
                <w:szCs w:val="20"/>
                <w:lang w:val="hy-AM"/>
              </w:rPr>
            </w:pPr>
            <w:r w:rsidRPr="008B63B1">
              <w:rPr>
                <w:rFonts w:ascii="Arial Narrow" w:eastAsia="Times New Roman" w:hAnsi="Arial Narrow" w:cs="Times New Roman"/>
                <w:color w:val="404040"/>
                <w:sz w:val="20"/>
                <w:szCs w:val="20"/>
                <w:lang w:val="hy-AM"/>
              </w:rPr>
              <w:t>2025</w:t>
            </w:r>
            <w:r w:rsidRPr="008B63B1">
              <w:rPr>
                <w:rFonts w:ascii="GHEA Grapalat" w:eastAsia="Times New Roman" w:hAnsi="GHEA Grapalat" w:cs="Times New Roman"/>
                <w:color w:val="404040"/>
                <w:sz w:val="20"/>
                <w:szCs w:val="20"/>
                <w:lang w:val="hy-AM"/>
              </w:rPr>
              <w:t>թ.</w:t>
            </w:r>
          </w:p>
        </w:tc>
        <w:tc>
          <w:tcPr>
            <w:tcW w:w="2652" w:type="dxa"/>
            <w:gridSpan w:val="3"/>
            <w:shd w:val="clear" w:color="auto" w:fill="D5DCE4"/>
          </w:tcPr>
          <w:p w14:paraId="51C6A381" w14:textId="77777777" w:rsidR="00507805" w:rsidRPr="008B63B1" w:rsidRDefault="00507805" w:rsidP="00082769">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2026</w:t>
            </w:r>
            <w:r w:rsidRPr="008B63B1">
              <w:rPr>
                <w:rFonts w:ascii="GHEA Grapalat" w:eastAsia="Times New Roman" w:hAnsi="GHEA Grapalat" w:cs="Arial"/>
                <w:color w:val="404040"/>
                <w:sz w:val="20"/>
                <w:szCs w:val="20"/>
                <w:lang w:val="hy-AM"/>
              </w:rPr>
              <w:t>թ</w:t>
            </w:r>
            <w:r w:rsidRPr="008B63B1">
              <w:rPr>
                <w:rFonts w:ascii="GHEA Grapalat" w:eastAsia="Times New Roman" w:hAnsi="GHEA Grapalat" w:cs="Times New Roman"/>
                <w:color w:val="404040"/>
                <w:sz w:val="20"/>
                <w:szCs w:val="20"/>
                <w:lang w:val="hy-AM"/>
              </w:rPr>
              <w:t>.-</w:t>
            </w:r>
            <w:r w:rsidRPr="008B63B1">
              <w:rPr>
                <w:rFonts w:ascii="GHEA Grapalat" w:eastAsia="Times New Roman" w:hAnsi="GHEA Grapalat" w:cs="Arial"/>
                <w:color w:val="404040"/>
                <w:sz w:val="20"/>
                <w:szCs w:val="20"/>
                <w:lang w:val="hy-AM"/>
              </w:rPr>
              <w:t>ի</w:t>
            </w:r>
            <w:r w:rsidRPr="008B63B1">
              <w:rPr>
                <w:rFonts w:ascii="GHEA Grapalat" w:eastAsia="Times New Roman" w:hAnsi="GHEA Grapalat" w:cs="Times New Roman"/>
                <w:color w:val="404040"/>
                <w:sz w:val="20"/>
                <w:szCs w:val="20"/>
                <w:lang w:val="hy-AM"/>
              </w:rPr>
              <w:t xml:space="preserve"> </w:t>
            </w:r>
            <w:r w:rsidRPr="008B63B1">
              <w:rPr>
                <w:rFonts w:ascii="GHEA Grapalat" w:eastAsia="Times New Roman" w:hAnsi="GHEA Grapalat" w:cs="Arial"/>
                <w:color w:val="404040"/>
                <w:sz w:val="20"/>
                <w:szCs w:val="20"/>
                <w:lang w:val="hy-AM"/>
              </w:rPr>
              <w:t>կանխատեսում</w:t>
            </w:r>
          </w:p>
        </w:tc>
        <w:tc>
          <w:tcPr>
            <w:tcW w:w="2652" w:type="dxa"/>
            <w:gridSpan w:val="3"/>
            <w:shd w:val="clear" w:color="auto" w:fill="D5DCE4"/>
          </w:tcPr>
          <w:p w14:paraId="4C7B78CF" w14:textId="77777777" w:rsidR="00507805" w:rsidRPr="008B63B1" w:rsidRDefault="00507805" w:rsidP="00082769">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2027</w:t>
            </w:r>
            <w:r w:rsidRPr="008B63B1">
              <w:rPr>
                <w:rFonts w:ascii="GHEA Grapalat" w:eastAsia="Times New Roman" w:hAnsi="GHEA Grapalat" w:cs="Arial"/>
                <w:color w:val="404040"/>
                <w:sz w:val="20"/>
                <w:szCs w:val="20"/>
                <w:lang w:val="hy-AM"/>
              </w:rPr>
              <w:t>թ</w:t>
            </w:r>
            <w:r w:rsidRPr="008B63B1">
              <w:rPr>
                <w:rFonts w:ascii="GHEA Grapalat" w:eastAsia="Times New Roman" w:hAnsi="GHEA Grapalat" w:cs="Times New Roman"/>
                <w:color w:val="404040"/>
                <w:sz w:val="20"/>
                <w:szCs w:val="20"/>
                <w:lang w:val="hy-AM"/>
              </w:rPr>
              <w:t>.-</w:t>
            </w:r>
            <w:r w:rsidRPr="008B63B1">
              <w:rPr>
                <w:rFonts w:ascii="GHEA Grapalat" w:eastAsia="Times New Roman" w:hAnsi="GHEA Grapalat" w:cs="Arial"/>
                <w:color w:val="404040"/>
                <w:sz w:val="20"/>
                <w:szCs w:val="20"/>
                <w:lang w:val="hy-AM"/>
              </w:rPr>
              <w:t>ի</w:t>
            </w:r>
            <w:r w:rsidRPr="008B63B1">
              <w:rPr>
                <w:rFonts w:ascii="GHEA Grapalat" w:eastAsia="Times New Roman" w:hAnsi="GHEA Grapalat" w:cs="Times New Roman"/>
                <w:color w:val="404040"/>
                <w:sz w:val="20"/>
                <w:szCs w:val="20"/>
                <w:lang w:val="hy-AM"/>
              </w:rPr>
              <w:t xml:space="preserve"> </w:t>
            </w:r>
            <w:r w:rsidRPr="008B63B1">
              <w:rPr>
                <w:rFonts w:ascii="GHEA Grapalat" w:eastAsia="Times New Roman" w:hAnsi="GHEA Grapalat" w:cs="Arial"/>
                <w:color w:val="404040"/>
                <w:sz w:val="20"/>
                <w:szCs w:val="20"/>
                <w:lang w:val="hy-AM"/>
              </w:rPr>
              <w:t>կանխատեսում</w:t>
            </w:r>
          </w:p>
        </w:tc>
        <w:tc>
          <w:tcPr>
            <w:tcW w:w="994" w:type="dxa"/>
            <w:shd w:val="clear" w:color="auto" w:fill="D5DCE4"/>
          </w:tcPr>
          <w:p w14:paraId="37D67B16" w14:textId="77777777" w:rsidR="00507805" w:rsidRPr="008B63B1" w:rsidRDefault="00507805" w:rsidP="00082769">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2028</w:t>
            </w:r>
            <w:r w:rsidRPr="008B63B1">
              <w:rPr>
                <w:rFonts w:ascii="GHEA Grapalat" w:eastAsia="Times New Roman" w:hAnsi="GHEA Grapalat" w:cs="Arial"/>
                <w:color w:val="404040"/>
                <w:sz w:val="20"/>
                <w:szCs w:val="20"/>
                <w:lang w:val="hy-AM"/>
              </w:rPr>
              <w:t>թ</w:t>
            </w:r>
            <w:r w:rsidRPr="008B63B1">
              <w:rPr>
                <w:rFonts w:ascii="Cambria Math" w:eastAsia="Times New Roman" w:hAnsi="Cambria Math" w:cs="Cambria Math"/>
                <w:color w:val="404040"/>
                <w:sz w:val="20"/>
                <w:szCs w:val="20"/>
                <w:lang w:val="hy-AM"/>
              </w:rPr>
              <w:t>․</w:t>
            </w:r>
          </w:p>
        </w:tc>
        <w:tc>
          <w:tcPr>
            <w:tcW w:w="995" w:type="dxa"/>
            <w:shd w:val="clear" w:color="auto" w:fill="D5DCE4"/>
          </w:tcPr>
          <w:p w14:paraId="3A3CC552" w14:textId="77777777" w:rsidR="00507805" w:rsidRPr="008B63B1" w:rsidRDefault="00507805" w:rsidP="00082769">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2029</w:t>
            </w:r>
            <w:r w:rsidRPr="008B63B1">
              <w:rPr>
                <w:rFonts w:ascii="GHEA Grapalat" w:eastAsia="Times New Roman" w:hAnsi="GHEA Grapalat" w:cs="Arial"/>
                <w:color w:val="404040"/>
                <w:sz w:val="20"/>
                <w:szCs w:val="20"/>
                <w:lang w:val="hy-AM"/>
              </w:rPr>
              <w:t>թ</w:t>
            </w:r>
            <w:r w:rsidRPr="008B63B1">
              <w:rPr>
                <w:rFonts w:ascii="Cambria Math" w:eastAsia="Times New Roman" w:hAnsi="Cambria Math" w:cs="Cambria Math"/>
                <w:color w:val="404040"/>
                <w:sz w:val="20"/>
                <w:szCs w:val="20"/>
                <w:lang w:val="hy-AM"/>
              </w:rPr>
              <w:t>․</w:t>
            </w:r>
          </w:p>
        </w:tc>
      </w:tr>
      <w:tr w:rsidR="00507805" w:rsidRPr="008B63B1" w14:paraId="58869687" w14:textId="77777777" w:rsidTr="00873AE6">
        <w:trPr>
          <w:trHeight w:val="16"/>
        </w:trPr>
        <w:tc>
          <w:tcPr>
            <w:cnfStyle w:val="001000000000" w:firstRow="0" w:lastRow="0" w:firstColumn="1" w:lastColumn="0" w:oddVBand="0" w:evenVBand="0" w:oddHBand="0" w:evenHBand="0" w:firstRowFirstColumn="0" w:firstRowLastColumn="0" w:lastRowFirstColumn="0" w:lastRowLastColumn="0"/>
            <w:tcW w:w="2149" w:type="dxa"/>
            <w:vMerge/>
            <w:shd w:val="clear" w:color="auto" w:fill="D5DCE4"/>
            <w:vAlign w:val="center"/>
          </w:tcPr>
          <w:p w14:paraId="41B449BF" w14:textId="77777777" w:rsidR="00507805" w:rsidRPr="008B63B1" w:rsidRDefault="00507805" w:rsidP="00082769">
            <w:pPr>
              <w:rPr>
                <w:rFonts w:ascii="Arial Narrow" w:eastAsia="Times New Roman" w:hAnsi="Arial Narrow" w:cs="Times New Roman"/>
                <w:color w:val="404040"/>
                <w:sz w:val="20"/>
                <w:szCs w:val="20"/>
                <w:lang w:val="hy-AM"/>
              </w:rPr>
            </w:pPr>
          </w:p>
        </w:tc>
        <w:tc>
          <w:tcPr>
            <w:tcW w:w="829" w:type="dxa"/>
            <w:shd w:val="clear" w:color="auto" w:fill="D5DCE4"/>
            <w:vAlign w:val="center"/>
          </w:tcPr>
          <w:p w14:paraId="3C7DF1CA" w14:textId="77777777" w:rsidR="00507805" w:rsidRPr="008B63B1" w:rsidRDefault="00507805" w:rsidP="0008276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color w:val="404040"/>
                <w:sz w:val="20"/>
                <w:szCs w:val="20"/>
                <w:lang w:val="hy-AM"/>
              </w:rPr>
            </w:pPr>
            <w:r w:rsidRPr="008B63B1">
              <w:rPr>
                <w:rFonts w:ascii="GHEA Grapalat" w:eastAsia="Times New Roman" w:hAnsi="GHEA Grapalat" w:cs="Arial"/>
                <w:color w:val="404040"/>
                <w:sz w:val="20"/>
                <w:szCs w:val="20"/>
                <w:lang w:val="hy-AM"/>
              </w:rPr>
              <w:t>Փաստ</w:t>
            </w:r>
          </w:p>
        </w:tc>
        <w:tc>
          <w:tcPr>
            <w:tcW w:w="829" w:type="dxa"/>
            <w:shd w:val="clear" w:color="auto" w:fill="D5DCE4"/>
            <w:vAlign w:val="center"/>
          </w:tcPr>
          <w:p w14:paraId="46B19E36" w14:textId="77777777" w:rsidR="00507805" w:rsidRPr="008B63B1" w:rsidRDefault="00507805" w:rsidP="0008276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color w:val="404040"/>
                <w:sz w:val="20"/>
                <w:szCs w:val="20"/>
                <w:lang w:val="hy-AM"/>
              </w:rPr>
            </w:pPr>
            <w:r w:rsidRPr="008B63B1">
              <w:rPr>
                <w:rFonts w:ascii="Arial Narrow" w:eastAsia="Times New Roman" w:hAnsi="Arial Narrow" w:cs="Times New Roman"/>
                <w:color w:val="404040"/>
                <w:sz w:val="20"/>
                <w:szCs w:val="20"/>
                <w:lang w:val="hy-AM"/>
              </w:rPr>
              <w:t>2026</w:t>
            </w:r>
            <w:r w:rsidRPr="008B63B1">
              <w:rPr>
                <w:rFonts w:ascii="GHEA Grapalat" w:eastAsia="Times New Roman" w:hAnsi="GHEA Grapalat" w:cs="Times New Roman"/>
                <w:color w:val="404040"/>
                <w:sz w:val="20"/>
                <w:szCs w:val="20"/>
                <w:lang w:val="hy-AM"/>
              </w:rPr>
              <w:t xml:space="preserve"> </w:t>
            </w:r>
            <w:r w:rsidRPr="008B63B1">
              <w:rPr>
                <w:rFonts w:ascii="GHEA Grapalat" w:eastAsia="Times New Roman" w:hAnsi="GHEA Grapalat" w:cs="Arial"/>
                <w:color w:val="404040"/>
                <w:sz w:val="20"/>
                <w:szCs w:val="20"/>
                <w:lang w:val="hy-AM"/>
              </w:rPr>
              <w:t>Հունվ</w:t>
            </w:r>
            <w:r w:rsidRPr="008B63B1">
              <w:rPr>
                <w:rFonts w:ascii="Cambria Math" w:eastAsia="Times New Roman" w:hAnsi="Cambria Math" w:cs="Cambria Math"/>
                <w:color w:val="404040"/>
                <w:sz w:val="20"/>
                <w:szCs w:val="20"/>
                <w:lang w:val="hy-AM"/>
              </w:rPr>
              <w:t>․</w:t>
            </w:r>
          </w:p>
        </w:tc>
        <w:tc>
          <w:tcPr>
            <w:tcW w:w="994" w:type="dxa"/>
            <w:shd w:val="clear" w:color="auto" w:fill="D5DCE4"/>
            <w:vAlign w:val="center"/>
          </w:tcPr>
          <w:p w14:paraId="270F5091" w14:textId="77777777" w:rsidR="00507805" w:rsidRPr="008B63B1" w:rsidRDefault="00507805" w:rsidP="0008276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color w:val="404040"/>
                <w:sz w:val="20"/>
                <w:szCs w:val="20"/>
                <w:lang w:val="hy-AM"/>
              </w:rPr>
            </w:pPr>
            <w:r w:rsidRPr="008B63B1">
              <w:rPr>
                <w:rFonts w:ascii="Arial Narrow" w:eastAsia="Times New Roman" w:hAnsi="Arial Narrow" w:cs="Times New Roman"/>
                <w:color w:val="404040"/>
                <w:sz w:val="20"/>
                <w:szCs w:val="20"/>
                <w:lang w:val="hy-AM"/>
              </w:rPr>
              <w:t>2026</w:t>
            </w:r>
            <w:r w:rsidRPr="008B63B1">
              <w:rPr>
                <w:rFonts w:ascii="GHEA Grapalat" w:eastAsia="Times New Roman" w:hAnsi="GHEA Grapalat" w:cs="Times New Roman"/>
                <w:color w:val="404040"/>
                <w:sz w:val="20"/>
                <w:szCs w:val="20"/>
                <w:lang w:val="hy-AM"/>
              </w:rPr>
              <w:t xml:space="preserve"> </w:t>
            </w:r>
            <w:r w:rsidRPr="008B63B1">
              <w:rPr>
                <w:rFonts w:ascii="GHEA Grapalat" w:eastAsia="Times New Roman" w:hAnsi="GHEA Grapalat" w:cs="Arial"/>
                <w:color w:val="404040"/>
                <w:sz w:val="20"/>
                <w:szCs w:val="20"/>
                <w:lang w:val="hy-AM"/>
              </w:rPr>
              <w:t>Ապրիլ</w:t>
            </w:r>
          </w:p>
        </w:tc>
        <w:tc>
          <w:tcPr>
            <w:tcW w:w="829" w:type="dxa"/>
            <w:shd w:val="clear" w:color="auto" w:fill="D5DCE4"/>
            <w:vAlign w:val="center"/>
          </w:tcPr>
          <w:p w14:paraId="11928114" w14:textId="77777777" w:rsidR="00507805" w:rsidRPr="008B63B1" w:rsidRDefault="00507805" w:rsidP="00082769">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2026</w:t>
            </w:r>
          </w:p>
          <w:p w14:paraId="3C6E8ACC" w14:textId="77777777" w:rsidR="00507805" w:rsidRPr="008B63B1" w:rsidRDefault="00507805" w:rsidP="0008276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color w:val="404040"/>
                <w:sz w:val="20"/>
                <w:szCs w:val="20"/>
                <w:lang w:val="hy-AM"/>
              </w:rPr>
            </w:pPr>
            <w:r w:rsidRPr="008B63B1">
              <w:rPr>
                <w:rFonts w:ascii="GHEA Grapalat" w:eastAsia="Times New Roman" w:hAnsi="GHEA Grapalat" w:cs="Arial"/>
                <w:color w:val="404040"/>
                <w:sz w:val="20"/>
                <w:szCs w:val="20"/>
                <w:lang w:val="hy-AM"/>
              </w:rPr>
              <w:t>Հուլիս</w:t>
            </w:r>
          </w:p>
        </w:tc>
        <w:tc>
          <w:tcPr>
            <w:tcW w:w="829" w:type="dxa"/>
            <w:shd w:val="clear" w:color="auto" w:fill="D5DCE4"/>
            <w:vAlign w:val="center"/>
          </w:tcPr>
          <w:p w14:paraId="77CF863A" w14:textId="77777777" w:rsidR="00507805" w:rsidRPr="008B63B1" w:rsidRDefault="00507805" w:rsidP="0008276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color w:val="404040"/>
                <w:sz w:val="20"/>
                <w:szCs w:val="20"/>
                <w:lang w:val="hy-AM"/>
              </w:rPr>
            </w:pPr>
            <w:r w:rsidRPr="008B63B1">
              <w:rPr>
                <w:rFonts w:ascii="Arial Narrow" w:eastAsia="Times New Roman" w:hAnsi="Arial Narrow" w:cs="Times New Roman"/>
                <w:color w:val="404040"/>
                <w:sz w:val="20"/>
                <w:szCs w:val="20"/>
                <w:lang w:val="hy-AM"/>
              </w:rPr>
              <w:t>2026</w:t>
            </w:r>
            <w:r w:rsidRPr="008B63B1">
              <w:rPr>
                <w:rFonts w:ascii="GHEA Grapalat" w:eastAsia="Times New Roman" w:hAnsi="GHEA Grapalat" w:cs="Times New Roman"/>
                <w:color w:val="404040"/>
                <w:sz w:val="20"/>
                <w:szCs w:val="20"/>
                <w:lang w:val="hy-AM"/>
              </w:rPr>
              <w:t xml:space="preserve"> </w:t>
            </w:r>
            <w:r w:rsidRPr="008B63B1">
              <w:rPr>
                <w:rFonts w:ascii="GHEA Grapalat" w:eastAsia="Times New Roman" w:hAnsi="GHEA Grapalat" w:cs="Arial"/>
                <w:color w:val="404040"/>
                <w:sz w:val="20"/>
                <w:szCs w:val="20"/>
                <w:lang w:val="hy-AM"/>
              </w:rPr>
              <w:t>Հունվ</w:t>
            </w:r>
            <w:r w:rsidRPr="008B63B1">
              <w:rPr>
                <w:rFonts w:ascii="Cambria Math" w:eastAsia="Times New Roman" w:hAnsi="Cambria Math" w:cs="Cambria Math"/>
                <w:color w:val="404040"/>
                <w:sz w:val="20"/>
                <w:szCs w:val="20"/>
                <w:lang w:val="hy-AM"/>
              </w:rPr>
              <w:t>․</w:t>
            </w:r>
          </w:p>
        </w:tc>
        <w:tc>
          <w:tcPr>
            <w:tcW w:w="827" w:type="dxa"/>
            <w:shd w:val="clear" w:color="auto" w:fill="D5DCE4"/>
            <w:vAlign w:val="center"/>
          </w:tcPr>
          <w:p w14:paraId="6F5D6244" w14:textId="77777777" w:rsidR="00507805" w:rsidRPr="008B63B1" w:rsidRDefault="00507805" w:rsidP="0008276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color w:val="404040"/>
                <w:sz w:val="20"/>
                <w:szCs w:val="20"/>
                <w:lang w:val="hy-AM"/>
              </w:rPr>
            </w:pPr>
            <w:r w:rsidRPr="008B63B1">
              <w:rPr>
                <w:rFonts w:ascii="Arial Narrow" w:eastAsia="Times New Roman" w:hAnsi="Arial Narrow" w:cs="Times New Roman"/>
                <w:color w:val="404040"/>
                <w:sz w:val="20"/>
                <w:szCs w:val="20"/>
                <w:lang w:val="hy-AM"/>
              </w:rPr>
              <w:t>2026</w:t>
            </w:r>
            <w:r w:rsidRPr="008B63B1">
              <w:rPr>
                <w:rFonts w:ascii="GHEA Grapalat" w:eastAsia="Times New Roman" w:hAnsi="GHEA Grapalat" w:cs="Times New Roman"/>
                <w:color w:val="404040"/>
                <w:sz w:val="20"/>
                <w:szCs w:val="20"/>
                <w:lang w:val="hy-AM"/>
              </w:rPr>
              <w:t xml:space="preserve"> </w:t>
            </w:r>
            <w:r w:rsidRPr="008B63B1">
              <w:rPr>
                <w:rFonts w:ascii="GHEA Grapalat" w:eastAsia="Times New Roman" w:hAnsi="GHEA Grapalat" w:cs="Arial"/>
                <w:color w:val="404040"/>
                <w:sz w:val="20"/>
                <w:szCs w:val="20"/>
                <w:lang w:val="hy-AM"/>
              </w:rPr>
              <w:t>Ապրիլ</w:t>
            </w:r>
          </w:p>
        </w:tc>
        <w:tc>
          <w:tcPr>
            <w:tcW w:w="995" w:type="dxa"/>
            <w:shd w:val="clear" w:color="auto" w:fill="D5DCE4"/>
            <w:vAlign w:val="center"/>
          </w:tcPr>
          <w:p w14:paraId="6C8FCD00" w14:textId="77777777" w:rsidR="00507805" w:rsidRPr="008B63B1" w:rsidRDefault="00507805" w:rsidP="00082769">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2026</w:t>
            </w:r>
          </w:p>
          <w:p w14:paraId="63B87468" w14:textId="77777777" w:rsidR="00507805" w:rsidRPr="008B63B1" w:rsidRDefault="00507805" w:rsidP="0008276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color w:val="404040"/>
                <w:sz w:val="20"/>
                <w:szCs w:val="20"/>
                <w:lang w:val="hy-AM"/>
              </w:rPr>
            </w:pPr>
            <w:r w:rsidRPr="008B63B1">
              <w:rPr>
                <w:rFonts w:ascii="GHEA Grapalat" w:eastAsia="Times New Roman" w:hAnsi="GHEA Grapalat" w:cs="Arial"/>
                <w:color w:val="404040"/>
                <w:sz w:val="20"/>
                <w:szCs w:val="20"/>
                <w:lang w:val="hy-AM"/>
              </w:rPr>
              <w:t>Հուլիս</w:t>
            </w:r>
          </w:p>
        </w:tc>
        <w:tc>
          <w:tcPr>
            <w:tcW w:w="994" w:type="dxa"/>
            <w:shd w:val="clear" w:color="auto" w:fill="D5DCE4"/>
            <w:vAlign w:val="center"/>
          </w:tcPr>
          <w:p w14:paraId="365699EA" w14:textId="77777777" w:rsidR="00507805" w:rsidRPr="008B63B1" w:rsidRDefault="00507805" w:rsidP="0008276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color w:val="404040"/>
                <w:sz w:val="20"/>
                <w:szCs w:val="20"/>
                <w:lang w:val="hy-AM"/>
              </w:rPr>
            </w:pPr>
            <w:r w:rsidRPr="008B63B1">
              <w:rPr>
                <w:rFonts w:ascii="Arial Narrow" w:eastAsia="Times New Roman" w:hAnsi="Arial Narrow" w:cs="Times New Roman"/>
                <w:color w:val="404040"/>
                <w:sz w:val="20"/>
                <w:szCs w:val="20"/>
                <w:lang w:val="hy-AM"/>
              </w:rPr>
              <w:t>2026</w:t>
            </w:r>
            <w:r w:rsidRPr="008B63B1">
              <w:rPr>
                <w:rFonts w:ascii="GHEA Grapalat" w:eastAsia="Times New Roman" w:hAnsi="GHEA Grapalat" w:cs="Times New Roman"/>
                <w:color w:val="404040"/>
                <w:sz w:val="20"/>
                <w:szCs w:val="20"/>
                <w:lang w:val="hy-AM"/>
              </w:rPr>
              <w:t xml:space="preserve"> </w:t>
            </w:r>
            <w:r w:rsidRPr="008B63B1">
              <w:rPr>
                <w:rFonts w:ascii="GHEA Grapalat" w:eastAsia="Times New Roman" w:hAnsi="GHEA Grapalat" w:cs="Arial"/>
                <w:color w:val="404040"/>
                <w:sz w:val="20"/>
                <w:szCs w:val="20"/>
                <w:lang w:val="hy-AM"/>
              </w:rPr>
              <w:t>Ապրիլ</w:t>
            </w:r>
          </w:p>
        </w:tc>
        <w:tc>
          <w:tcPr>
            <w:tcW w:w="995" w:type="dxa"/>
            <w:shd w:val="clear" w:color="auto" w:fill="D5DCE4"/>
            <w:vAlign w:val="center"/>
          </w:tcPr>
          <w:p w14:paraId="335B8192" w14:textId="77777777" w:rsidR="00507805" w:rsidRPr="008B63B1" w:rsidRDefault="00507805" w:rsidP="0008276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color w:val="404040"/>
                <w:sz w:val="20"/>
                <w:szCs w:val="20"/>
                <w:lang w:val="hy-AM"/>
              </w:rPr>
            </w:pPr>
            <w:r w:rsidRPr="008B63B1">
              <w:rPr>
                <w:rFonts w:ascii="Arial Narrow" w:eastAsia="Times New Roman" w:hAnsi="Arial Narrow" w:cs="Times New Roman"/>
                <w:color w:val="404040"/>
                <w:sz w:val="20"/>
                <w:szCs w:val="20"/>
                <w:lang w:val="hy-AM"/>
              </w:rPr>
              <w:t>2026</w:t>
            </w:r>
            <w:r w:rsidRPr="008B63B1">
              <w:rPr>
                <w:rFonts w:ascii="GHEA Grapalat" w:eastAsia="Times New Roman" w:hAnsi="GHEA Grapalat" w:cs="Times New Roman"/>
                <w:color w:val="404040"/>
                <w:sz w:val="20"/>
                <w:szCs w:val="20"/>
                <w:lang w:val="hy-AM"/>
              </w:rPr>
              <w:t xml:space="preserve"> </w:t>
            </w:r>
            <w:r w:rsidRPr="008B63B1">
              <w:rPr>
                <w:rFonts w:ascii="GHEA Grapalat" w:eastAsia="Times New Roman" w:hAnsi="GHEA Grapalat" w:cs="Arial"/>
                <w:color w:val="404040"/>
                <w:sz w:val="20"/>
                <w:szCs w:val="20"/>
                <w:lang w:val="hy-AM"/>
              </w:rPr>
              <w:t>Ապրիլ</w:t>
            </w:r>
          </w:p>
        </w:tc>
      </w:tr>
      <w:tr w:rsidR="00507805" w:rsidRPr="008B63B1" w14:paraId="75733035" w14:textId="77777777" w:rsidTr="00873AE6">
        <w:trPr>
          <w:trHeight w:val="16"/>
        </w:trPr>
        <w:tc>
          <w:tcPr>
            <w:cnfStyle w:val="001000000000" w:firstRow="0" w:lastRow="0" w:firstColumn="1" w:lastColumn="0" w:oddVBand="0" w:evenVBand="0" w:oddHBand="0" w:evenHBand="0" w:firstRowFirstColumn="0" w:firstRowLastColumn="0" w:lastRowFirstColumn="0" w:lastRowLastColumn="0"/>
            <w:tcW w:w="2149" w:type="dxa"/>
            <w:vAlign w:val="center"/>
          </w:tcPr>
          <w:p w14:paraId="3E49A6BD" w14:textId="77777777" w:rsidR="00507805" w:rsidRPr="008B63B1" w:rsidRDefault="00507805" w:rsidP="00082769">
            <w:pPr>
              <w:rPr>
                <w:rFonts w:ascii="GHEA Grapalat" w:eastAsia="Times New Roman" w:hAnsi="GHEA Grapalat" w:cs="Times New Roman"/>
                <w:color w:val="404040"/>
                <w:sz w:val="20"/>
                <w:szCs w:val="20"/>
                <w:lang w:val="hy-AM"/>
              </w:rPr>
            </w:pPr>
            <w:r w:rsidRPr="008B63B1">
              <w:rPr>
                <w:rFonts w:ascii="GHEA Grapalat" w:eastAsia="Times New Roman" w:hAnsi="GHEA Grapalat" w:cs="Arial"/>
                <w:color w:val="404040"/>
                <w:sz w:val="20"/>
                <w:szCs w:val="20"/>
                <w:lang w:val="hy-AM"/>
              </w:rPr>
              <w:t>Աշխարհի</w:t>
            </w:r>
            <w:r w:rsidRPr="008B63B1">
              <w:rPr>
                <w:rFonts w:ascii="GHEA Grapalat" w:eastAsia="Times New Roman" w:hAnsi="GHEA Grapalat" w:cs="Times New Roman"/>
                <w:color w:val="404040"/>
                <w:sz w:val="20"/>
                <w:szCs w:val="20"/>
                <w:lang w:val="hy-AM"/>
              </w:rPr>
              <w:t xml:space="preserve"> </w:t>
            </w:r>
            <w:r w:rsidRPr="008B63B1">
              <w:rPr>
                <w:rFonts w:ascii="GHEA Grapalat" w:eastAsia="Times New Roman" w:hAnsi="GHEA Grapalat" w:cs="Arial"/>
                <w:color w:val="404040"/>
                <w:sz w:val="20"/>
                <w:szCs w:val="20"/>
                <w:lang w:val="hy-AM"/>
              </w:rPr>
              <w:t>տնտեսական</w:t>
            </w:r>
            <w:r w:rsidRPr="008B63B1">
              <w:rPr>
                <w:rFonts w:ascii="GHEA Grapalat" w:eastAsia="Times New Roman" w:hAnsi="GHEA Grapalat" w:cs="Times New Roman"/>
                <w:color w:val="404040"/>
                <w:sz w:val="20"/>
                <w:szCs w:val="20"/>
                <w:lang w:val="hy-AM"/>
              </w:rPr>
              <w:t xml:space="preserve"> </w:t>
            </w:r>
          </w:p>
          <w:p w14:paraId="2A8E7781" w14:textId="77777777" w:rsidR="00507805" w:rsidRPr="008B63B1" w:rsidRDefault="00507805" w:rsidP="00082769">
            <w:pPr>
              <w:rPr>
                <w:rFonts w:ascii="GHEA Grapalat" w:eastAsia="Times New Roman" w:hAnsi="GHEA Grapalat" w:cs="Times New Roman"/>
                <w:color w:val="404040"/>
                <w:sz w:val="20"/>
                <w:szCs w:val="20"/>
                <w:lang w:val="hy-AM"/>
              </w:rPr>
            </w:pPr>
            <w:r w:rsidRPr="008B63B1">
              <w:rPr>
                <w:rFonts w:ascii="GHEA Grapalat" w:eastAsia="Times New Roman" w:hAnsi="GHEA Grapalat" w:cs="Arial"/>
                <w:color w:val="404040"/>
                <w:sz w:val="20"/>
                <w:szCs w:val="20"/>
                <w:lang w:val="hy-AM"/>
              </w:rPr>
              <w:t>աճ</w:t>
            </w:r>
            <w:r w:rsidRPr="008B63B1">
              <w:rPr>
                <w:rFonts w:ascii="GHEA Grapalat" w:eastAsia="Times New Roman" w:hAnsi="GHEA Grapalat" w:cs="Times New Roman"/>
                <w:color w:val="404040"/>
                <w:sz w:val="20"/>
                <w:szCs w:val="20"/>
                <w:lang w:val="hy-AM"/>
              </w:rPr>
              <w:t>, %</w:t>
            </w:r>
          </w:p>
        </w:tc>
        <w:tc>
          <w:tcPr>
            <w:tcW w:w="829" w:type="dxa"/>
            <w:vAlign w:val="center"/>
          </w:tcPr>
          <w:p w14:paraId="368B5759"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3.5</w:t>
            </w:r>
          </w:p>
        </w:tc>
        <w:tc>
          <w:tcPr>
            <w:tcW w:w="829" w:type="dxa"/>
            <w:vAlign w:val="center"/>
          </w:tcPr>
          <w:p w14:paraId="1AA2AFC0"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3.3</w:t>
            </w:r>
          </w:p>
        </w:tc>
        <w:tc>
          <w:tcPr>
            <w:tcW w:w="994" w:type="dxa"/>
            <w:vAlign w:val="center"/>
          </w:tcPr>
          <w:p w14:paraId="6E3D17FD"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3.1</w:t>
            </w:r>
          </w:p>
        </w:tc>
        <w:tc>
          <w:tcPr>
            <w:tcW w:w="829" w:type="dxa"/>
            <w:vAlign w:val="center"/>
          </w:tcPr>
          <w:p w14:paraId="38CE2A70"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3.0</w:t>
            </w:r>
          </w:p>
        </w:tc>
        <w:tc>
          <w:tcPr>
            <w:tcW w:w="829" w:type="dxa"/>
            <w:vAlign w:val="center"/>
          </w:tcPr>
          <w:p w14:paraId="583EE952"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3.2</w:t>
            </w:r>
          </w:p>
        </w:tc>
        <w:tc>
          <w:tcPr>
            <w:tcW w:w="827" w:type="dxa"/>
            <w:vAlign w:val="center"/>
          </w:tcPr>
          <w:p w14:paraId="0089D871"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3.2</w:t>
            </w:r>
          </w:p>
        </w:tc>
        <w:tc>
          <w:tcPr>
            <w:tcW w:w="995" w:type="dxa"/>
            <w:vAlign w:val="center"/>
          </w:tcPr>
          <w:p w14:paraId="43411EDF"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3.4</w:t>
            </w:r>
          </w:p>
        </w:tc>
        <w:tc>
          <w:tcPr>
            <w:tcW w:w="994" w:type="dxa"/>
            <w:vAlign w:val="center"/>
          </w:tcPr>
          <w:p w14:paraId="344A3737"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3.2</w:t>
            </w:r>
          </w:p>
        </w:tc>
        <w:tc>
          <w:tcPr>
            <w:tcW w:w="995" w:type="dxa"/>
            <w:vAlign w:val="center"/>
          </w:tcPr>
          <w:p w14:paraId="1E3514FF"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3.2</w:t>
            </w:r>
          </w:p>
        </w:tc>
      </w:tr>
      <w:tr w:rsidR="00507805" w:rsidRPr="008B63B1" w14:paraId="62818EA3" w14:textId="77777777" w:rsidTr="00873AE6">
        <w:trPr>
          <w:trHeight w:val="487"/>
        </w:trPr>
        <w:tc>
          <w:tcPr>
            <w:cnfStyle w:val="001000000000" w:firstRow="0" w:lastRow="0" w:firstColumn="1" w:lastColumn="0" w:oddVBand="0" w:evenVBand="0" w:oddHBand="0" w:evenHBand="0" w:firstRowFirstColumn="0" w:firstRowLastColumn="0" w:lastRowFirstColumn="0" w:lastRowLastColumn="0"/>
            <w:tcW w:w="2149" w:type="dxa"/>
            <w:vAlign w:val="center"/>
          </w:tcPr>
          <w:p w14:paraId="5F0D5C96" w14:textId="77777777" w:rsidR="00507805" w:rsidRPr="008B63B1" w:rsidRDefault="00507805" w:rsidP="00082769">
            <w:pPr>
              <w:spacing w:before="100" w:beforeAutospacing="1" w:after="100" w:afterAutospacing="1"/>
              <w:rPr>
                <w:rFonts w:ascii="GHEA Grapalat" w:eastAsia="Times New Roman" w:hAnsi="GHEA Grapalat" w:cs="Times New Roman"/>
                <w:color w:val="404040"/>
                <w:sz w:val="20"/>
                <w:szCs w:val="20"/>
                <w:lang w:val="hy-AM"/>
              </w:rPr>
            </w:pPr>
            <w:r w:rsidRPr="008B63B1">
              <w:rPr>
                <w:rFonts w:ascii="GHEA Grapalat" w:eastAsia="Times New Roman" w:hAnsi="GHEA Grapalat" w:cs="Arial"/>
                <w:color w:val="404040"/>
                <w:sz w:val="20"/>
                <w:szCs w:val="20"/>
                <w:lang w:val="hy-AM"/>
              </w:rPr>
              <w:t>ՌԴ</w:t>
            </w:r>
          </w:p>
        </w:tc>
        <w:tc>
          <w:tcPr>
            <w:tcW w:w="829" w:type="dxa"/>
            <w:vAlign w:val="center"/>
          </w:tcPr>
          <w:p w14:paraId="1EA5BFBC"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1.0</w:t>
            </w:r>
          </w:p>
        </w:tc>
        <w:tc>
          <w:tcPr>
            <w:tcW w:w="829" w:type="dxa"/>
            <w:vAlign w:val="center"/>
          </w:tcPr>
          <w:p w14:paraId="57B94F96"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0.8</w:t>
            </w:r>
          </w:p>
        </w:tc>
        <w:tc>
          <w:tcPr>
            <w:tcW w:w="994" w:type="dxa"/>
            <w:vAlign w:val="center"/>
          </w:tcPr>
          <w:p w14:paraId="7B2F017C"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1.1</w:t>
            </w:r>
          </w:p>
        </w:tc>
        <w:tc>
          <w:tcPr>
            <w:tcW w:w="829" w:type="dxa"/>
            <w:vAlign w:val="center"/>
          </w:tcPr>
          <w:p w14:paraId="5558E3A3"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1.1</w:t>
            </w:r>
          </w:p>
        </w:tc>
        <w:tc>
          <w:tcPr>
            <w:tcW w:w="829" w:type="dxa"/>
            <w:vAlign w:val="center"/>
          </w:tcPr>
          <w:p w14:paraId="4E21CC24"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1.0</w:t>
            </w:r>
          </w:p>
        </w:tc>
        <w:tc>
          <w:tcPr>
            <w:tcW w:w="827" w:type="dxa"/>
            <w:vAlign w:val="center"/>
          </w:tcPr>
          <w:p w14:paraId="01A15873"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1.1</w:t>
            </w:r>
          </w:p>
        </w:tc>
        <w:tc>
          <w:tcPr>
            <w:tcW w:w="995" w:type="dxa"/>
            <w:vAlign w:val="center"/>
          </w:tcPr>
          <w:p w14:paraId="25CADF50"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1.1</w:t>
            </w:r>
          </w:p>
        </w:tc>
        <w:tc>
          <w:tcPr>
            <w:tcW w:w="994" w:type="dxa"/>
            <w:vAlign w:val="center"/>
          </w:tcPr>
          <w:p w14:paraId="72E5C7FE"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1.0</w:t>
            </w:r>
          </w:p>
        </w:tc>
        <w:tc>
          <w:tcPr>
            <w:tcW w:w="995" w:type="dxa"/>
            <w:vAlign w:val="center"/>
          </w:tcPr>
          <w:p w14:paraId="74364EFF"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1.0</w:t>
            </w:r>
          </w:p>
        </w:tc>
      </w:tr>
      <w:tr w:rsidR="00507805" w:rsidRPr="008B63B1" w14:paraId="7F61590A" w14:textId="77777777" w:rsidTr="00873AE6">
        <w:trPr>
          <w:trHeight w:val="375"/>
        </w:trPr>
        <w:tc>
          <w:tcPr>
            <w:cnfStyle w:val="001000000000" w:firstRow="0" w:lastRow="0" w:firstColumn="1" w:lastColumn="0" w:oddVBand="0" w:evenVBand="0" w:oddHBand="0" w:evenHBand="0" w:firstRowFirstColumn="0" w:firstRowLastColumn="0" w:lastRowFirstColumn="0" w:lastRowLastColumn="0"/>
            <w:tcW w:w="2149" w:type="dxa"/>
            <w:vAlign w:val="center"/>
          </w:tcPr>
          <w:p w14:paraId="1F49E2C0" w14:textId="77777777" w:rsidR="00507805" w:rsidRPr="008B63B1" w:rsidRDefault="00507805" w:rsidP="00082769">
            <w:pPr>
              <w:spacing w:before="100" w:beforeAutospacing="1" w:after="100" w:afterAutospacing="1"/>
              <w:rPr>
                <w:rFonts w:ascii="GHEA Grapalat" w:eastAsia="Times New Roman" w:hAnsi="GHEA Grapalat" w:cs="Times New Roman"/>
                <w:color w:val="404040"/>
                <w:sz w:val="20"/>
                <w:szCs w:val="20"/>
                <w:lang w:val="hy-AM"/>
              </w:rPr>
            </w:pPr>
            <w:r w:rsidRPr="008B63B1">
              <w:rPr>
                <w:rFonts w:ascii="GHEA Grapalat" w:eastAsia="Times New Roman" w:hAnsi="GHEA Grapalat" w:cs="Arial"/>
                <w:color w:val="404040"/>
                <w:sz w:val="20"/>
                <w:szCs w:val="20"/>
                <w:lang w:val="hy-AM"/>
              </w:rPr>
              <w:t>Եվրագոտի</w:t>
            </w:r>
          </w:p>
        </w:tc>
        <w:tc>
          <w:tcPr>
            <w:tcW w:w="829" w:type="dxa"/>
            <w:vAlign w:val="center"/>
          </w:tcPr>
          <w:p w14:paraId="708CA9ED"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1.4</w:t>
            </w:r>
          </w:p>
        </w:tc>
        <w:tc>
          <w:tcPr>
            <w:tcW w:w="829" w:type="dxa"/>
            <w:vAlign w:val="center"/>
          </w:tcPr>
          <w:p w14:paraId="5F5FE28E"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1.3</w:t>
            </w:r>
          </w:p>
        </w:tc>
        <w:tc>
          <w:tcPr>
            <w:tcW w:w="994" w:type="dxa"/>
            <w:vAlign w:val="center"/>
          </w:tcPr>
          <w:p w14:paraId="7C834C5B"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1.1</w:t>
            </w:r>
          </w:p>
        </w:tc>
        <w:tc>
          <w:tcPr>
            <w:tcW w:w="829" w:type="dxa"/>
            <w:vAlign w:val="center"/>
          </w:tcPr>
          <w:p w14:paraId="5415390A"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0.9</w:t>
            </w:r>
          </w:p>
        </w:tc>
        <w:tc>
          <w:tcPr>
            <w:tcW w:w="829" w:type="dxa"/>
            <w:vAlign w:val="center"/>
          </w:tcPr>
          <w:p w14:paraId="4D3A29BF"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1.4</w:t>
            </w:r>
          </w:p>
        </w:tc>
        <w:tc>
          <w:tcPr>
            <w:tcW w:w="827" w:type="dxa"/>
            <w:vAlign w:val="center"/>
          </w:tcPr>
          <w:p w14:paraId="4B605A8E"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1.2</w:t>
            </w:r>
          </w:p>
        </w:tc>
        <w:tc>
          <w:tcPr>
            <w:tcW w:w="995" w:type="dxa"/>
            <w:vAlign w:val="center"/>
          </w:tcPr>
          <w:p w14:paraId="4A7ECF14"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1.2</w:t>
            </w:r>
          </w:p>
        </w:tc>
        <w:tc>
          <w:tcPr>
            <w:tcW w:w="994" w:type="dxa"/>
            <w:vAlign w:val="center"/>
          </w:tcPr>
          <w:p w14:paraId="7DDB15C4"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1.4</w:t>
            </w:r>
          </w:p>
        </w:tc>
        <w:tc>
          <w:tcPr>
            <w:tcW w:w="995" w:type="dxa"/>
            <w:vAlign w:val="center"/>
          </w:tcPr>
          <w:p w14:paraId="58DF08CC"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1.2</w:t>
            </w:r>
          </w:p>
        </w:tc>
      </w:tr>
      <w:tr w:rsidR="00507805" w:rsidRPr="008B63B1" w14:paraId="30100113" w14:textId="77777777" w:rsidTr="00873AE6">
        <w:trPr>
          <w:trHeight w:val="488"/>
        </w:trPr>
        <w:tc>
          <w:tcPr>
            <w:cnfStyle w:val="001000000000" w:firstRow="0" w:lastRow="0" w:firstColumn="1" w:lastColumn="0" w:oddVBand="0" w:evenVBand="0" w:oddHBand="0" w:evenHBand="0" w:firstRowFirstColumn="0" w:firstRowLastColumn="0" w:lastRowFirstColumn="0" w:lastRowLastColumn="0"/>
            <w:tcW w:w="2149" w:type="dxa"/>
            <w:vAlign w:val="center"/>
          </w:tcPr>
          <w:p w14:paraId="54A1DA27" w14:textId="77777777" w:rsidR="00507805" w:rsidRPr="008B63B1" w:rsidRDefault="00507805" w:rsidP="00082769">
            <w:pPr>
              <w:spacing w:before="100" w:beforeAutospacing="1" w:after="100" w:afterAutospacing="1"/>
              <w:rPr>
                <w:rFonts w:ascii="GHEA Grapalat" w:eastAsia="Times New Roman" w:hAnsi="GHEA Grapalat" w:cs="Times New Roman"/>
                <w:color w:val="404040"/>
                <w:sz w:val="20"/>
                <w:szCs w:val="20"/>
                <w:lang w:val="hy-AM"/>
              </w:rPr>
            </w:pPr>
            <w:r w:rsidRPr="008B63B1">
              <w:rPr>
                <w:rFonts w:ascii="GHEA Grapalat" w:eastAsia="Times New Roman" w:hAnsi="GHEA Grapalat" w:cs="Arial"/>
                <w:color w:val="404040"/>
                <w:sz w:val="20"/>
                <w:szCs w:val="20"/>
                <w:lang w:val="hy-AM"/>
              </w:rPr>
              <w:t>Չինաստան</w:t>
            </w:r>
          </w:p>
        </w:tc>
        <w:tc>
          <w:tcPr>
            <w:tcW w:w="829" w:type="dxa"/>
            <w:vAlign w:val="center"/>
          </w:tcPr>
          <w:p w14:paraId="603AFE61"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5.0</w:t>
            </w:r>
          </w:p>
        </w:tc>
        <w:tc>
          <w:tcPr>
            <w:tcW w:w="829" w:type="dxa"/>
            <w:vAlign w:val="center"/>
          </w:tcPr>
          <w:p w14:paraId="523DC4E0"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4.5</w:t>
            </w:r>
          </w:p>
        </w:tc>
        <w:tc>
          <w:tcPr>
            <w:tcW w:w="994" w:type="dxa"/>
            <w:vAlign w:val="center"/>
          </w:tcPr>
          <w:p w14:paraId="26B6A5F6"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4.4</w:t>
            </w:r>
          </w:p>
        </w:tc>
        <w:tc>
          <w:tcPr>
            <w:tcW w:w="829" w:type="dxa"/>
            <w:vAlign w:val="center"/>
          </w:tcPr>
          <w:p w14:paraId="48098703"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4.6</w:t>
            </w:r>
          </w:p>
        </w:tc>
        <w:tc>
          <w:tcPr>
            <w:tcW w:w="829" w:type="dxa"/>
            <w:vAlign w:val="center"/>
          </w:tcPr>
          <w:p w14:paraId="308D6438"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4.0</w:t>
            </w:r>
          </w:p>
        </w:tc>
        <w:tc>
          <w:tcPr>
            <w:tcW w:w="827" w:type="dxa"/>
            <w:vAlign w:val="center"/>
          </w:tcPr>
          <w:p w14:paraId="3B4A81ED"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4.0</w:t>
            </w:r>
          </w:p>
        </w:tc>
        <w:tc>
          <w:tcPr>
            <w:tcW w:w="995" w:type="dxa"/>
            <w:vAlign w:val="center"/>
          </w:tcPr>
          <w:p w14:paraId="346722D0"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4.1</w:t>
            </w:r>
          </w:p>
        </w:tc>
        <w:tc>
          <w:tcPr>
            <w:tcW w:w="994" w:type="dxa"/>
            <w:vAlign w:val="center"/>
          </w:tcPr>
          <w:p w14:paraId="73AF4480"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4.0</w:t>
            </w:r>
          </w:p>
        </w:tc>
        <w:tc>
          <w:tcPr>
            <w:tcW w:w="995" w:type="dxa"/>
            <w:vAlign w:val="center"/>
          </w:tcPr>
          <w:p w14:paraId="25E3D285"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3.7</w:t>
            </w:r>
          </w:p>
        </w:tc>
      </w:tr>
      <w:tr w:rsidR="00507805" w:rsidRPr="008B63B1" w14:paraId="14DE4477" w14:textId="77777777" w:rsidTr="00873AE6">
        <w:trPr>
          <w:trHeight w:val="511"/>
        </w:trPr>
        <w:tc>
          <w:tcPr>
            <w:cnfStyle w:val="001000000000" w:firstRow="0" w:lastRow="0" w:firstColumn="1" w:lastColumn="0" w:oddVBand="0" w:evenVBand="0" w:oddHBand="0" w:evenHBand="0" w:firstRowFirstColumn="0" w:firstRowLastColumn="0" w:lastRowFirstColumn="0" w:lastRowLastColumn="0"/>
            <w:tcW w:w="2149" w:type="dxa"/>
            <w:vAlign w:val="center"/>
          </w:tcPr>
          <w:p w14:paraId="7105F7B0" w14:textId="77777777" w:rsidR="00507805" w:rsidRPr="008B63B1" w:rsidRDefault="00507805" w:rsidP="00082769">
            <w:pPr>
              <w:spacing w:before="100" w:beforeAutospacing="1" w:after="100" w:afterAutospacing="1"/>
              <w:rPr>
                <w:rFonts w:ascii="GHEA Grapalat" w:eastAsia="Times New Roman" w:hAnsi="GHEA Grapalat" w:cs="Times New Roman"/>
                <w:color w:val="404040"/>
                <w:sz w:val="20"/>
                <w:szCs w:val="20"/>
                <w:lang w:val="hy-AM"/>
              </w:rPr>
            </w:pPr>
            <w:r w:rsidRPr="008B63B1">
              <w:rPr>
                <w:rFonts w:ascii="GHEA Grapalat" w:eastAsia="Times New Roman" w:hAnsi="GHEA Grapalat" w:cs="Arial"/>
                <w:color w:val="404040"/>
                <w:sz w:val="20"/>
                <w:szCs w:val="20"/>
                <w:lang w:val="hy-AM"/>
              </w:rPr>
              <w:t>ԱՄՆ</w:t>
            </w:r>
          </w:p>
        </w:tc>
        <w:tc>
          <w:tcPr>
            <w:tcW w:w="829" w:type="dxa"/>
            <w:vAlign w:val="center"/>
          </w:tcPr>
          <w:p w14:paraId="0CFC0736"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2.1</w:t>
            </w:r>
          </w:p>
        </w:tc>
        <w:tc>
          <w:tcPr>
            <w:tcW w:w="829" w:type="dxa"/>
            <w:vAlign w:val="center"/>
          </w:tcPr>
          <w:p w14:paraId="3BAD683A"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2.4</w:t>
            </w:r>
          </w:p>
        </w:tc>
        <w:tc>
          <w:tcPr>
            <w:tcW w:w="994" w:type="dxa"/>
            <w:vAlign w:val="center"/>
          </w:tcPr>
          <w:p w14:paraId="06844919"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2.3</w:t>
            </w:r>
          </w:p>
        </w:tc>
        <w:tc>
          <w:tcPr>
            <w:tcW w:w="829" w:type="dxa"/>
            <w:vAlign w:val="center"/>
          </w:tcPr>
          <w:p w14:paraId="1BF4F743"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2.3</w:t>
            </w:r>
          </w:p>
        </w:tc>
        <w:tc>
          <w:tcPr>
            <w:tcW w:w="829" w:type="dxa"/>
            <w:vAlign w:val="center"/>
          </w:tcPr>
          <w:p w14:paraId="1FBE7B24"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2.0</w:t>
            </w:r>
          </w:p>
        </w:tc>
        <w:tc>
          <w:tcPr>
            <w:tcW w:w="827" w:type="dxa"/>
            <w:vAlign w:val="center"/>
          </w:tcPr>
          <w:p w14:paraId="6986D796"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2.1</w:t>
            </w:r>
          </w:p>
        </w:tc>
        <w:tc>
          <w:tcPr>
            <w:tcW w:w="995" w:type="dxa"/>
            <w:vAlign w:val="center"/>
          </w:tcPr>
          <w:p w14:paraId="75098894"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2.2</w:t>
            </w:r>
          </w:p>
        </w:tc>
        <w:tc>
          <w:tcPr>
            <w:tcW w:w="994" w:type="dxa"/>
            <w:vAlign w:val="center"/>
          </w:tcPr>
          <w:p w14:paraId="09C995F9"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2.1</w:t>
            </w:r>
          </w:p>
        </w:tc>
        <w:tc>
          <w:tcPr>
            <w:tcW w:w="995" w:type="dxa"/>
            <w:vAlign w:val="center"/>
          </w:tcPr>
          <w:p w14:paraId="158B1CD8"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1.9</w:t>
            </w:r>
          </w:p>
        </w:tc>
      </w:tr>
      <w:tr w:rsidR="00507805" w:rsidRPr="008B63B1" w14:paraId="2BE3FFEE" w14:textId="77777777" w:rsidTr="00873AE6">
        <w:trPr>
          <w:trHeight w:val="542"/>
        </w:trPr>
        <w:tc>
          <w:tcPr>
            <w:cnfStyle w:val="001000000000" w:firstRow="0" w:lastRow="0" w:firstColumn="1" w:lastColumn="0" w:oddVBand="0" w:evenVBand="0" w:oddHBand="0" w:evenHBand="0" w:firstRowFirstColumn="0" w:firstRowLastColumn="0" w:lastRowFirstColumn="0" w:lastRowLastColumn="0"/>
            <w:tcW w:w="2149" w:type="dxa"/>
            <w:vAlign w:val="center"/>
          </w:tcPr>
          <w:p w14:paraId="2DF55356" w14:textId="77777777" w:rsidR="00507805" w:rsidRPr="008B63B1" w:rsidRDefault="00507805" w:rsidP="00082769">
            <w:pPr>
              <w:spacing w:before="100" w:beforeAutospacing="1" w:after="100" w:afterAutospacing="1"/>
              <w:rPr>
                <w:rFonts w:ascii="GHEA Grapalat" w:eastAsia="Times New Roman" w:hAnsi="GHEA Grapalat" w:cs="Times New Roman"/>
                <w:color w:val="404040"/>
                <w:sz w:val="20"/>
                <w:szCs w:val="20"/>
                <w:lang w:val="hy-AM"/>
              </w:rPr>
            </w:pPr>
            <w:r w:rsidRPr="008B63B1">
              <w:rPr>
                <w:rFonts w:ascii="GHEA Grapalat" w:eastAsia="Times New Roman" w:hAnsi="GHEA Grapalat" w:cs="Arial"/>
                <w:color w:val="404040"/>
                <w:sz w:val="20"/>
                <w:szCs w:val="20"/>
                <w:lang w:val="hy-AM"/>
              </w:rPr>
              <w:t>Համաշխարհային</w:t>
            </w:r>
            <w:r w:rsidRPr="008B63B1">
              <w:rPr>
                <w:rFonts w:ascii="GHEA Grapalat" w:eastAsia="Times New Roman" w:hAnsi="GHEA Grapalat" w:cs="Times New Roman"/>
                <w:color w:val="404040"/>
                <w:sz w:val="20"/>
                <w:szCs w:val="20"/>
                <w:lang w:val="hy-AM"/>
              </w:rPr>
              <w:t xml:space="preserve"> </w:t>
            </w:r>
            <w:r w:rsidRPr="008B63B1">
              <w:rPr>
                <w:rFonts w:ascii="GHEA Grapalat" w:eastAsia="Times New Roman" w:hAnsi="GHEA Grapalat" w:cs="Arial"/>
                <w:color w:val="404040"/>
                <w:sz w:val="20"/>
                <w:szCs w:val="20"/>
                <w:lang w:val="hy-AM"/>
              </w:rPr>
              <w:t>առևտրի</w:t>
            </w:r>
            <w:r w:rsidRPr="008B63B1">
              <w:rPr>
                <w:rFonts w:ascii="GHEA Grapalat" w:eastAsia="Times New Roman" w:hAnsi="GHEA Grapalat" w:cs="Times New Roman"/>
                <w:color w:val="404040"/>
                <w:sz w:val="20"/>
                <w:szCs w:val="20"/>
                <w:lang w:val="hy-AM"/>
              </w:rPr>
              <w:t xml:space="preserve"> </w:t>
            </w:r>
            <w:r w:rsidRPr="008B63B1">
              <w:rPr>
                <w:rFonts w:ascii="GHEA Grapalat" w:eastAsia="Times New Roman" w:hAnsi="GHEA Grapalat" w:cs="Arial"/>
                <w:color w:val="404040"/>
                <w:sz w:val="20"/>
                <w:szCs w:val="20"/>
                <w:lang w:val="hy-AM"/>
              </w:rPr>
              <w:t>աճ</w:t>
            </w:r>
            <w:r w:rsidRPr="008B63B1">
              <w:rPr>
                <w:rFonts w:ascii="GHEA Grapalat" w:eastAsia="Times New Roman" w:hAnsi="GHEA Grapalat" w:cs="Times New Roman"/>
                <w:color w:val="404040"/>
                <w:sz w:val="20"/>
                <w:szCs w:val="20"/>
                <w:lang w:val="hy-AM"/>
              </w:rPr>
              <w:t>, %</w:t>
            </w:r>
          </w:p>
        </w:tc>
        <w:tc>
          <w:tcPr>
            <w:tcW w:w="829" w:type="dxa"/>
            <w:vAlign w:val="center"/>
          </w:tcPr>
          <w:p w14:paraId="378AD65F"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5.0</w:t>
            </w:r>
          </w:p>
        </w:tc>
        <w:tc>
          <w:tcPr>
            <w:tcW w:w="829" w:type="dxa"/>
            <w:vAlign w:val="center"/>
          </w:tcPr>
          <w:p w14:paraId="644EC2F7"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2.6</w:t>
            </w:r>
          </w:p>
        </w:tc>
        <w:tc>
          <w:tcPr>
            <w:tcW w:w="994" w:type="dxa"/>
            <w:vAlign w:val="center"/>
          </w:tcPr>
          <w:p w14:paraId="3C9A705F"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2.8</w:t>
            </w:r>
          </w:p>
        </w:tc>
        <w:tc>
          <w:tcPr>
            <w:tcW w:w="829" w:type="dxa"/>
            <w:vAlign w:val="center"/>
          </w:tcPr>
          <w:p w14:paraId="0BD5C2E8"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3.5</w:t>
            </w:r>
          </w:p>
        </w:tc>
        <w:tc>
          <w:tcPr>
            <w:tcW w:w="829" w:type="dxa"/>
            <w:vAlign w:val="center"/>
          </w:tcPr>
          <w:p w14:paraId="22A30251"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3.1</w:t>
            </w:r>
          </w:p>
        </w:tc>
        <w:tc>
          <w:tcPr>
            <w:tcW w:w="827" w:type="dxa"/>
            <w:vAlign w:val="center"/>
          </w:tcPr>
          <w:p w14:paraId="629CB491"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3.8</w:t>
            </w:r>
          </w:p>
        </w:tc>
        <w:tc>
          <w:tcPr>
            <w:tcW w:w="995" w:type="dxa"/>
            <w:vAlign w:val="center"/>
          </w:tcPr>
          <w:p w14:paraId="30C80208"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4.3</w:t>
            </w:r>
          </w:p>
        </w:tc>
        <w:tc>
          <w:tcPr>
            <w:tcW w:w="994" w:type="dxa"/>
            <w:vAlign w:val="center"/>
          </w:tcPr>
          <w:p w14:paraId="0402C134"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3.2</w:t>
            </w:r>
          </w:p>
        </w:tc>
        <w:tc>
          <w:tcPr>
            <w:tcW w:w="995" w:type="dxa"/>
            <w:vAlign w:val="center"/>
          </w:tcPr>
          <w:p w14:paraId="78BAA8A0" w14:textId="77777777" w:rsidR="00507805" w:rsidRPr="008B63B1" w:rsidRDefault="00507805" w:rsidP="00082769">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imes New Roman"/>
                <w:color w:val="404040"/>
                <w:sz w:val="20"/>
                <w:szCs w:val="20"/>
                <w:lang w:val="hy-AM"/>
              </w:rPr>
            </w:pPr>
            <w:r w:rsidRPr="008B63B1">
              <w:rPr>
                <w:rFonts w:ascii="Arial Narrow" w:eastAsia="Times New Roman" w:hAnsi="Arial Narrow" w:cs="Times New Roman"/>
                <w:color w:val="404040"/>
                <w:sz w:val="20"/>
                <w:szCs w:val="20"/>
                <w:lang w:val="hy-AM"/>
              </w:rPr>
              <w:t>3.1</w:t>
            </w:r>
          </w:p>
        </w:tc>
      </w:tr>
    </w:tbl>
    <w:p w14:paraId="64DE2666" w14:textId="77777777" w:rsidR="00507805" w:rsidRPr="008B63B1" w:rsidRDefault="00507805" w:rsidP="00082769">
      <w:pPr>
        <w:jc w:val="right"/>
        <w:rPr>
          <w:rFonts w:ascii="GHEA Grapalat" w:eastAsia="Times New Roman" w:hAnsi="GHEA Grapalat" w:cs="Times New Roman"/>
          <w:b/>
          <w:szCs w:val="20"/>
          <w:lang w:val="hy-AM"/>
        </w:rPr>
      </w:pPr>
      <w:r w:rsidRPr="008B63B1">
        <w:rPr>
          <w:rFonts w:ascii="GHEA Grapalat" w:eastAsia="Times New Roman" w:hAnsi="GHEA Grapalat" w:cs="Times New Roman"/>
          <w:i/>
          <w:color w:val="A6A6A6"/>
          <w:sz w:val="18"/>
          <w:lang w:val="hy-AM"/>
        </w:rPr>
        <w:t>Աղբյուրը` ԱՄՀ «Համաշխարհային տնտեսական հեռանկարներ»</w:t>
      </w:r>
    </w:p>
    <w:p w14:paraId="39740832" w14:textId="77777777" w:rsidR="00507805" w:rsidRPr="008B63B1" w:rsidRDefault="00507805" w:rsidP="00082769">
      <w:pPr>
        <w:jc w:val="both"/>
        <w:rPr>
          <w:rFonts w:ascii="GHEA Grapalat" w:eastAsia="Times New Roman" w:hAnsi="GHEA Grapalat" w:cs="Times New Roman"/>
          <w:color w:val="404040"/>
          <w:lang w:val="hy-AM"/>
        </w:rPr>
      </w:pPr>
      <w:r w:rsidRPr="008B63B1">
        <w:rPr>
          <w:rFonts w:ascii="GHEA Grapalat" w:eastAsia="Times New Roman" w:hAnsi="GHEA Grapalat" w:cs="Times New Roman"/>
          <w:b/>
          <w:color w:val="404040"/>
          <w:lang w:val="af-ZA"/>
        </w:rPr>
        <w:t xml:space="preserve">2025թ. </w:t>
      </w:r>
      <w:r w:rsidRPr="008B63B1">
        <w:rPr>
          <w:rFonts w:ascii="GHEA Grapalat" w:eastAsia="Times New Roman" w:hAnsi="GHEA Grapalat" w:cs="Times New Roman"/>
          <w:b/>
          <w:color w:val="404040"/>
          <w:lang w:val="hy-AM"/>
        </w:rPr>
        <w:t>նավթի գները նվազել են՝ համաշխարհային առաջարկի ընդլայնման և պահանջարկի համեմատաբար թույլ աճի պայմաններում,</w:t>
      </w:r>
      <w:r w:rsidRPr="008B63B1">
        <w:rPr>
          <w:rFonts w:ascii="GHEA Grapalat" w:eastAsia="Times New Roman" w:hAnsi="GHEA Grapalat" w:cs="Times New Roman"/>
          <w:b/>
          <w:color w:val="404040"/>
          <w:lang w:val="af-ZA"/>
        </w:rPr>
        <w:t xml:space="preserve"> մինչդեռ պղնձի գներ</w:t>
      </w:r>
      <w:r w:rsidRPr="008B63B1">
        <w:rPr>
          <w:rFonts w:ascii="GHEA Grapalat" w:eastAsia="Times New Roman" w:hAnsi="GHEA Grapalat" w:cs="Times New Roman"/>
          <w:b/>
          <w:color w:val="404040"/>
          <w:lang w:val="hy-AM"/>
        </w:rPr>
        <w:t xml:space="preserve">ը շարունակել են աճել՝ առաջարկի սահմանափակումների և </w:t>
      </w:r>
      <w:r w:rsidRPr="008B63B1">
        <w:rPr>
          <w:rFonts w:ascii="GHEA Grapalat" w:eastAsia="Times New Roman" w:hAnsi="GHEA Grapalat" w:cs="Times New Roman"/>
          <w:b/>
          <w:color w:val="404040"/>
          <w:lang w:val="af-ZA"/>
        </w:rPr>
        <w:t>վերականգնվող էներգիայի</w:t>
      </w:r>
      <w:r w:rsidRPr="008B63B1">
        <w:rPr>
          <w:rFonts w:ascii="GHEA Grapalat" w:eastAsia="Times New Roman" w:hAnsi="GHEA Grapalat" w:cs="Times New Roman"/>
          <w:b/>
          <w:color w:val="404040"/>
          <w:lang w:val="hy-AM"/>
        </w:rPr>
        <w:t>ն անցմամբ պայմանավորված պահանջարկի ազդեցությամբ:</w:t>
      </w:r>
      <w:r w:rsidRPr="008B63B1">
        <w:rPr>
          <w:rFonts w:ascii="GHEA Grapalat" w:eastAsia="Times New Roman" w:hAnsi="GHEA Grapalat" w:cs="Times New Roman"/>
          <w:b/>
          <w:color w:val="404040"/>
          <w:lang w:val="af-ZA"/>
        </w:rPr>
        <w:t xml:space="preserve"> </w:t>
      </w:r>
      <w:r w:rsidRPr="008B63B1">
        <w:rPr>
          <w:rFonts w:ascii="GHEA Grapalat" w:eastAsia="Times New Roman" w:hAnsi="GHEA Grapalat" w:cs="Times New Roman"/>
          <w:color w:val="404040"/>
          <w:lang w:val="af-ZA"/>
        </w:rPr>
        <w:t>Նավթի միջազգային գինը 2025թ. կազմել է 69 դոլար մեկ բարելի դիմաց՝ նախորդ տարվա նկատմամբ նվազելով 14.5%-ով: Պղնձի միջազգային գինը 2025թ. նախորդ տարվա համեմատ աճել է 8.8%-ով՝ կազմելով 9,947 ԱՄՆ դոլար մեկ տոննայի դիմաց, իսկ պարենային ապրանքների միջազգային գինը աճել է 4.3%-ով: Նավթի գների նվազումը պայմանավորող գործոններն են եղել ՕՊԵԿ+ երկրների</w:t>
      </w:r>
      <w:r w:rsidRPr="008B63B1">
        <w:rPr>
          <w:rFonts w:ascii="GHEA Grapalat" w:eastAsia="Times New Roman" w:hAnsi="GHEA Grapalat" w:cs="Times New Roman"/>
          <w:color w:val="404040"/>
          <w:lang w:val="hy-AM"/>
        </w:rPr>
        <w:t xml:space="preserve"> կողմից արտադրության և արդյունահանման սահմանափակումների աստիճանական մեղմացումը, ինչպես նաև ոչ ՕՊԵԿ+ երկրների կողմից առաջարկի աճը, խոշոր տնտեսությունների պահանջարկի դանդաղումը, առևտրային լարվածության արդյունքում ձևավորված անորոշությունները: Պղնձի միջազգային գնի զգալի աճը պայմանավորված է եղել խտանյութի առաջարկի կրճատմամբ, կանաչ էներգիայի անցման և դրա հետևանքով էներգետիկ ոլորտում առկա պահանջարկով, դոլարի դիրքի թուլացմամբ, ինչպես նաև առևտրային քաղաքականության անորոշություններով:</w:t>
      </w:r>
    </w:p>
    <w:p w14:paraId="336B4AA5" w14:textId="77777777" w:rsidR="00507805" w:rsidRPr="008B63B1" w:rsidRDefault="00507805" w:rsidP="00082769">
      <w:pPr>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Մերձավոր Արևելքում ընթացող ռազմական հակամարտության սրումը, դրա հետևանքով էներգակիրների մատակարարման և փոխադրման խափանումները, ինչպես նաև աշխարհաքաղաքական անորոշության աճը 2026թ. ընթացքում նպաստել են միջազգային ապրանքային շուկաներում գների աճին: 2026թ. հունվար-օգոստոսին նավթի միջազգային գինը</w:t>
      </w:r>
      <w:r w:rsidRPr="008B63B1">
        <w:rPr>
          <w:rFonts w:ascii="GHEA Grapalat" w:eastAsia="Times New Roman" w:hAnsi="GHEA Grapalat" w:cs="Times New Roman"/>
          <w:color w:val="404040"/>
          <w:vertAlign w:val="superscript"/>
          <w:lang w:val="hy-AM"/>
        </w:rPr>
        <w:footnoteReference w:id="7"/>
      </w:r>
      <w:r w:rsidRPr="008B63B1">
        <w:rPr>
          <w:rFonts w:ascii="GHEA Grapalat" w:eastAsia="Times New Roman" w:hAnsi="GHEA Grapalat" w:cs="Times New Roman"/>
          <w:color w:val="404040"/>
          <w:lang w:val="hy-AM"/>
        </w:rPr>
        <w:t xml:space="preserve"> 2025թ. նույն ժամանակահատվածի համեմատ աճել է 28%-ով՝ պայմանավորված Մերձավոր Արևելքում սկիզբ առած հակամարտության սրմամբ, դրա հետևանքով նավթի առաջարկի և փոխադրման խափանումներով, ինչպես նաև մատակարարման հետագա սահմանափակումների վերաբերյալ բարձր անորոշությամբ: </w:t>
      </w:r>
    </w:p>
    <w:p w14:paraId="361B65AC" w14:textId="77777777" w:rsidR="00507805" w:rsidRPr="008B63B1" w:rsidRDefault="00507805" w:rsidP="00082769">
      <w:pPr>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Պղնձի միջազգային գինը</w:t>
      </w:r>
      <w:r w:rsidRPr="008B63B1">
        <w:rPr>
          <w:rFonts w:ascii="GHEA Grapalat" w:eastAsia="Times New Roman" w:hAnsi="GHEA Grapalat" w:cs="Times New Roman"/>
          <w:color w:val="404040"/>
          <w:vertAlign w:val="superscript"/>
          <w:lang w:val="hy-AM"/>
        </w:rPr>
        <w:footnoteReference w:id="8"/>
      </w:r>
      <w:r w:rsidRPr="008B63B1">
        <w:rPr>
          <w:rFonts w:ascii="GHEA Grapalat" w:eastAsia="Times New Roman" w:hAnsi="GHEA Grapalat" w:cs="Times New Roman"/>
          <w:color w:val="404040"/>
          <w:lang w:val="hy-AM"/>
        </w:rPr>
        <w:t xml:space="preserve"> 2026թ. հունվար-օգոստոս ամիսներին նախորդ տարվա համապատասխան ժամանակահատվածի նկատմամբ աճել է 39.9%-ով՝ միջինում կազմելով 13,300 ԱՄՆ դոլար մեկ տոննայի դիմաց։ Պղնձի միջազգային գնի զգալի աճին նպաստել են համաշխարհային առաջարկի սահմանափակումները, մատակարարման շղթաների խաթարումները, էներգակիրների բարձր գները, ինչպես նաև պղնձի նկատմամբ կայուն համաշխարհային պահանջարկը:</w:t>
      </w:r>
    </w:p>
    <w:p w14:paraId="54184722" w14:textId="77777777" w:rsidR="00507805" w:rsidRPr="008B63B1" w:rsidRDefault="00507805" w:rsidP="00082769">
      <w:pPr>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Պարենի միջազգային գինը</w:t>
      </w:r>
      <w:r w:rsidRPr="008B63B1">
        <w:rPr>
          <w:rFonts w:ascii="GHEA Grapalat" w:eastAsia="Times New Roman" w:hAnsi="GHEA Grapalat" w:cs="Times New Roman"/>
          <w:color w:val="404040"/>
          <w:vertAlign w:val="superscript"/>
          <w:lang w:val="hy-AM"/>
        </w:rPr>
        <w:footnoteReference w:id="9"/>
      </w:r>
      <w:r w:rsidRPr="008B63B1">
        <w:rPr>
          <w:rFonts w:ascii="GHEA Grapalat" w:eastAsia="Times New Roman" w:hAnsi="GHEA Grapalat" w:cs="Times New Roman"/>
          <w:color w:val="404040"/>
          <w:lang w:val="hy-AM"/>
        </w:rPr>
        <w:t xml:space="preserve"> 2026թ. հունվար-օգոստոս ամիսներին նախորդ տարվա նույն ժամանակահատվածի համեմատ աճել է 1.3%-ով՝ պայմանավորված էներգակիրների գների աճով և Մերձավոր Արևելքում հակամարտության հետևանքով առաջացած խափանումներով՝ նպաստելով արտադրության և տեղափոխման ծախսերի աճին:</w:t>
      </w:r>
    </w:p>
    <w:p w14:paraId="426DC06A" w14:textId="77777777" w:rsidR="00507805" w:rsidRPr="008B63B1" w:rsidRDefault="00507805" w:rsidP="00082769">
      <w:pPr>
        <w:pBdr>
          <w:bottom w:val="single" w:sz="8" w:space="1" w:color="EDEDED"/>
        </w:pBd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Միջազգային տնտեսական և ֆինանսական զարգացումները և կանխատեսումները</w:t>
      </w:r>
    </w:p>
    <w:p w14:paraId="077B6CEA" w14:textId="77777777" w:rsidR="00507805" w:rsidRPr="008B63B1" w:rsidRDefault="00507805" w:rsidP="00082769">
      <w:pPr>
        <w:spacing w:after="0"/>
        <w:jc w:val="both"/>
        <w:rPr>
          <w:rFonts w:ascii="GHEA Grapalat" w:eastAsia="Times New Roman" w:hAnsi="GHEA Grapalat" w:cs="Times New Roman"/>
          <w:color w:val="FF0000"/>
          <w:lang w:val="hy-AM"/>
        </w:rPr>
      </w:pPr>
    </w:p>
    <w:tbl>
      <w:tblPr>
        <w:tblStyle w:val="TableGrid221421"/>
        <w:tblW w:w="9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52"/>
        <w:gridCol w:w="4863"/>
      </w:tblGrid>
      <w:tr w:rsidR="00507805" w:rsidRPr="003612ED" w14:paraId="079A1B71" w14:textId="77777777" w:rsidTr="00873AE6">
        <w:trPr>
          <w:trHeight w:val="3504"/>
        </w:trPr>
        <w:tc>
          <w:tcPr>
            <w:tcW w:w="5052" w:type="dxa"/>
            <w:hideMark/>
          </w:tcPr>
          <w:p w14:paraId="250E0EA6" w14:textId="77777777" w:rsidR="00507805" w:rsidRPr="00A361C5" w:rsidRDefault="00507805" w:rsidP="00082769">
            <w:pPr>
              <w:tabs>
                <w:tab w:val="left" w:pos="0"/>
              </w:tabs>
              <w:contextualSpacing/>
              <w:jc w:val="both"/>
              <w:rPr>
                <w:rFonts w:ascii="GHEA Grapalat" w:eastAsia="Times New Roman" w:hAnsi="GHEA Grapalat"/>
                <w:bCs/>
                <w:color w:val="000000" w:themeColor="text1"/>
                <w:sz w:val="18"/>
                <w:szCs w:val="18"/>
                <w:lang w:val="hy-AM" w:eastAsia="ru-RU"/>
              </w:rPr>
            </w:pPr>
            <w:r w:rsidRPr="00A361C5">
              <w:rPr>
                <w:rFonts w:ascii="GHEA Grapalat" w:eastAsia="Times New Roman" w:hAnsi="GHEA Grapalat"/>
                <w:bCs/>
                <w:noProof/>
                <w:color w:val="000000" w:themeColor="text1"/>
                <w:sz w:val="20"/>
                <w:szCs w:val="20"/>
              </w:rPr>
              <w:drawing>
                <wp:anchor distT="0" distB="0" distL="114300" distR="114300" simplePos="0" relativeHeight="251736064" behindDoc="1" locked="0" layoutInCell="1" allowOverlap="1" wp14:anchorId="7228FFC6" wp14:editId="7D3F982E">
                  <wp:simplePos x="0" y="0"/>
                  <wp:positionH relativeFrom="column">
                    <wp:posOffset>2540</wp:posOffset>
                  </wp:positionH>
                  <wp:positionV relativeFrom="paragraph">
                    <wp:posOffset>471170</wp:posOffset>
                  </wp:positionV>
                  <wp:extent cx="3099435" cy="2040890"/>
                  <wp:effectExtent l="0" t="0" r="5715" b="0"/>
                  <wp:wrapTight wrapText="bothSides">
                    <wp:wrapPolygon edited="0">
                      <wp:start x="0" y="0"/>
                      <wp:lineTo x="0" y="21371"/>
                      <wp:lineTo x="21507" y="21371"/>
                      <wp:lineTo x="21507" y="0"/>
                      <wp:lineTo x="0" y="0"/>
                    </wp:wrapPolygon>
                  </wp:wrapTight>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A361C5">
              <w:rPr>
                <w:rFonts w:ascii="GHEA Grapalat" w:eastAsia="Times New Roman" w:hAnsi="GHEA Grapalat"/>
                <w:bCs/>
                <w:color w:val="000000" w:themeColor="text1"/>
                <w:sz w:val="20"/>
                <w:szCs w:val="20"/>
                <w:lang w:val="hy-AM" w:eastAsia="ru-RU"/>
              </w:rPr>
              <w:t>Գծապատկեր 1.2. Համաշխարհային և գործընկեր երկրների տնտեսական աճերը (%)</w:t>
            </w:r>
          </w:p>
          <w:p w14:paraId="2754AE47" w14:textId="77777777" w:rsidR="00507805" w:rsidRPr="008B63B1" w:rsidRDefault="00507805" w:rsidP="00082769">
            <w:pPr>
              <w:tabs>
                <w:tab w:val="left" w:pos="0"/>
              </w:tabs>
              <w:contextualSpacing/>
              <w:jc w:val="right"/>
              <w:rPr>
                <w:rFonts w:ascii="GHEA Grapalat" w:eastAsia="Times New Roman" w:hAnsi="GHEA Grapalat"/>
                <w:bCs/>
                <w:i/>
                <w:color w:val="404040"/>
                <w:szCs w:val="24"/>
                <w:lang w:val="hy-AM" w:eastAsia="ru-RU"/>
              </w:rPr>
            </w:pPr>
            <w:r w:rsidRPr="008B63B1">
              <w:rPr>
                <w:rFonts w:ascii="GHEA Grapalat" w:eastAsia="Times New Roman" w:hAnsi="GHEA Grapalat"/>
                <w:i/>
                <w:color w:val="A6A6A6"/>
                <w:sz w:val="18"/>
                <w:lang w:val="hy-AM"/>
              </w:rPr>
              <w:t>Աղբյուրը՝ ԱՄՀ</w:t>
            </w:r>
          </w:p>
        </w:tc>
        <w:tc>
          <w:tcPr>
            <w:tcW w:w="4863" w:type="dxa"/>
            <w:hideMark/>
          </w:tcPr>
          <w:p w14:paraId="76AEA791" w14:textId="77777777" w:rsidR="00507805" w:rsidRPr="00A361C5" w:rsidRDefault="00507805" w:rsidP="00082769">
            <w:pPr>
              <w:tabs>
                <w:tab w:val="left" w:pos="0"/>
              </w:tabs>
              <w:contextualSpacing/>
              <w:jc w:val="both"/>
              <w:rPr>
                <w:rFonts w:ascii="GHEA Grapalat" w:eastAsia="Times New Roman" w:hAnsi="GHEA Grapalat"/>
                <w:bCs/>
                <w:color w:val="000000" w:themeColor="text1"/>
                <w:sz w:val="20"/>
                <w:szCs w:val="20"/>
                <w:lang w:val="hy-AM" w:eastAsia="ru-RU"/>
              </w:rPr>
            </w:pPr>
            <w:r w:rsidRPr="00A361C5">
              <w:rPr>
                <w:rFonts w:ascii="GHEA Grapalat" w:eastAsia="Times New Roman" w:hAnsi="GHEA Grapalat"/>
                <w:bCs/>
                <w:color w:val="000000" w:themeColor="text1"/>
                <w:sz w:val="20"/>
                <w:szCs w:val="20"/>
                <w:lang w:val="hy-AM" w:eastAsia="ru-RU"/>
              </w:rPr>
              <w:t>Գծապատկեր 1.3. Հումքային ապրանքների գները (ԱՄՆ դոլար), 2026թ. օգոստոսի դրությամբ</w:t>
            </w:r>
          </w:p>
          <w:p w14:paraId="255F5459" w14:textId="77777777" w:rsidR="00507805" w:rsidRPr="008B63B1" w:rsidRDefault="00507805" w:rsidP="00082769">
            <w:pPr>
              <w:tabs>
                <w:tab w:val="left" w:pos="0"/>
              </w:tabs>
              <w:contextualSpacing/>
              <w:jc w:val="both"/>
              <w:rPr>
                <w:rFonts w:ascii="GHEA Grapalat" w:eastAsia="Times New Roman" w:hAnsi="GHEA Grapalat"/>
                <w:b/>
                <w:bCs/>
                <w:i/>
                <w:color w:val="404040"/>
                <w:sz w:val="18"/>
                <w:szCs w:val="18"/>
                <w:lang w:val="hy-AM" w:eastAsia="ru-RU"/>
              </w:rPr>
            </w:pPr>
            <w:r w:rsidRPr="008B63B1">
              <w:rPr>
                <w:rFonts w:ascii="GHEA Grapalat" w:eastAsia="Times New Roman" w:hAnsi="GHEA Grapalat"/>
                <w:b/>
                <w:noProof/>
                <w:color w:val="404040"/>
              </w:rPr>
              <w:drawing>
                <wp:inline distT="0" distB="0" distL="0" distR="0" wp14:anchorId="76991C94" wp14:editId="6AEA5000">
                  <wp:extent cx="2876550" cy="1881963"/>
                  <wp:effectExtent l="0" t="0" r="0" b="4445"/>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53398BF" w14:textId="77777777" w:rsidR="00507805" w:rsidRPr="008B63B1" w:rsidRDefault="00507805" w:rsidP="00082769">
            <w:pPr>
              <w:tabs>
                <w:tab w:val="left" w:pos="0"/>
              </w:tabs>
              <w:contextualSpacing/>
              <w:jc w:val="right"/>
              <w:rPr>
                <w:rFonts w:ascii="GHEA Grapalat" w:eastAsia="Times New Roman" w:hAnsi="GHEA Grapalat"/>
                <w:i/>
                <w:color w:val="A6A6A6"/>
                <w:sz w:val="18"/>
                <w:lang w:val="hy-AM"/>
              </w:rPr>
            </w:pPr>
          </w:p>
          <w:p w14:paraId="3777BCFE" w14:textId="77777777" w:rsidR="00507805" w:rsidRPr="008B63B1" w:rsidRDefault="00507805" w:rsidP="00082769">
            <w:pPr>
              <w:tabs>
                <w:tab w:val="left" w:pos="0"/>
              </w:tabs>
              <w:contextualSpacing/>
              <w:jc w:val="right"/>
              <w:rPr>
                <w:rFonts w:ascii="GHEA Grapalat" w:eastAsia="Times New Roman" w:hAnsi="GHEA Grapalat"/>
                <w:b/>
                <w:bCs/>
                <w:i/>
                <w:color w:val="404040"/>
                <w:sz w:val="18"/>
                <w:szCs w:val="18"/>
                <w:lang w:val="hy-AM" w:eastAsia="ru-RU"/>
              </w:rPr>
            </w:pPr>
            <w:r w:rsidRPr="008B63B1">
              <w:rPr>
                <w:rFonts w:ascii="GHEA Grapalat" w:eastAsia="Times New Roman" w:hAnsi="GHEA Grapalat"/>
                <w:i/>
                <w:color w:val="A6A6A6"/>
                <w:sz w:val="18"/>
                <w:lang w:val="hy-AM"/>
              </w:rPr>
              <w:t>Աղբյուրը՝ ՀԲ, կանխատեսումները ըստ Բլումբերգի</w:t>
            </w:r>
            <w:r w:rsidRPr="008B63B1">
              <w:rPr>
                <w:rFonts w:ascii="GHEA Grapalat" w:eastAsia="Times New Roman" w:hAnsi="GHEA Grapalat"/>
                <w:i/>
                <w:color w:val="404040"/>
                <w:sz w:val="16"/>
                <w:szCs w:val="16"/>
                <w:lang w:val="hy-AM" w:eastAsia="ru-RU"/>
              </w:rPr>
              <w:t xml:space="preserve"> </w:t>
            </w:r>
          </w:p>
        </w:tc>
      </w:tr>
      <w:tr w:rsidR="00507805" w:rsidRPr="003612ED" w14:paraId="1D5E4F29" w14:textId="77777777" w:rsidTr="00873AE6">
        <w:trPr>
          <w:trHeight w:val="4111"/>
        </w:trPr>
        <w:tc>
          <w:tcPr>
            <w:tcW w:w="5052" w:type="dxa"/>
            <w:hideMark/>
          </w:tcPr>
          <w:p w14:paraId="3E1B763F" w14:textId="77777777" w:rsidR="00507805" w:rsidRPr="001D56CB" w:rsidRDefault="00507805" w:rsidP="00082769">
            <w:pPr>
              <w:tabs>
                <w:tab w:val="left" w:pos="0"/>
              </w:tabs>
              <w:contextualSpacing/>
              <w:jc w:val="both"/>
              <w:rPr>
                <w:rFonts w:ascii="GHEA Grapalat" w:hAnsi="GHEA Grapalat" w:cstheme="minorBidi"/>
                <w:bCs/>
                <w:color w:val="auto"/>
                <w:sz w:val="20"/>
                <w:szCs w:val="18"/>
                <w:lang w:val="hy-AM"/>
              </w:rPr>
            </w:pPr>
            <w:r w:rsidRPr="001D56CB">
              <w:rPr>
                <w:rFonts w:ascii="GHEA Grapalat" w:hAnsi="GHEA Grapalat"/>
                <w:bCs/>
                <w:noProof/>
                <w:color w:val="auto"/>
                <w:sz w:val="20"/>
                <w:szCs w:val="18"/>
              </w:rPr>
              <w:drawing>
                <wp:anchor distT="0" distB="0" distL="114300" distR="114300" simplePos="0" relativeHeight="251737088" behindDoc="1" locked="0" layoutInCell="1" allowOverlap="1" wp14:anchorId="3A0C021E" wp14:editId="79BA04F3">
                  <wp:simplePos x="0" y="0"/>
                  <wp:positionH relativeFrom="column">
                    <wp:posOffset>635</wp:posOffset>
                  </wp:positionH>
                  <wp:positionV relativeFrom="paragraph">
                    <wp:posOffset>455930</wp:posOffset>
                  </wp:positionV>
                  <wp:extent cx="3051810" cy="2051685"/>
                  <wp:effectExtent l="0" t="0" r="0" b="5715"/>
                  <wp:wrapTight wrapText="bothSides">
                    <wp:wrapPolygon edited="0">
                      <wp:start x="0" y="0"/>
                      <wp:lineTo x="0" y="21460"/>
                      <wp:lineTo x="21438" y="21460"/>
                      <wp:lineTo x="21438"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1D56CB">
              <w:rPr>
                <w:rFonts w:ascii="GHEA Grapalat" w:hAnsi="GHEA Grapalat" w:cstheme="minorBidi"/>
                <w:bCs/>
                <w:color w:val="auto"/>
                <w:sz w:val="20"/>
                <w:szCs w:val="18"/>
                <w:lang w:val="hy-AM"/>
              </w:rPr>
              <w:t xml:space="preserve">Գծապատկեր 1.4. Համաշխարհային առևտրի իրական ծավալների աճերը (%) </w:t>
            </w:r>
          </w:p>
          <w:p w14:paraId="3E943191" w14:textId="77777777" w:rsidR="00507805" w:rsidRPr="008B63B1" w:rsidRDefault="00507805" w:rsidP="00082769">
            <w:pPr>
              <w:tabs>
                <w:tab w:val="left" w:pos="0"/>
              </w:tabs>
              <w:contextualSpacing/>
              <w:jc w:val="right"/>
              <w:rPr>
                <w:rFonts w:ascii="GHEA Grapalat" w:eastAsia="Times New Roman" w:hAnsi="GHEA Grapalat"/>
                <w:bCs/>
                <w:i/>
                <w:color w:val="404040"/>
                <w:sz w:val="18"/>
                <w:szCs w:val="18"/>
                <w:lang w:val="hy-AM" w:eastAsia="ru-RU"/>
              </w:rPr>
            </w:pPr>
            <w:r w:rsidRPr="008B63B1">
              <w:rPr>
                <w:rFonts w:ascii="GHEA Grapalat" w:eastAsia="Times New Roman" w:hAnsi="GHEA Grapalat"/>
                <w:i/>
                <w:color w:val="A6A6A6"/>
                <w:sz w:val="18"/>
                <w:lang w:val="hy-AM"/>
              </w:rPr>
              <w:t>Աղբյուրը՝ ԱՄՀ</w:t>
            </w:r>
          </w:p>
        </w:tc>
        <w:tc>
          <w:tcPr>
            <w:tcW w:w="4863" w:type="dxa"/>
          </w:tcPr>
          <w:p w14:paraId="563E69FB" w14:textId="77777777" w:rsidR="00507805" w:rsidRPr="008B63B1" w:rsidRDefault="00507805" w:rsidP="00082769">
            <w:pPr>
              <w:tabs>
                <w:tab w:val="left" w:pos="0"/>
              </w:tabs>
              <w:contextualSpacing/>
              <w:jc w:val="both"/>
              <w:rPr>
                <w:rFonts w:ascii="GHEA Grapalat" w:eastAsia="Times New Roman" w:hAnsi="GHEA Grapalat"/>
                <w:b/>
                <w:bCs/>
                <w:i/>
                <w:color w:val="404040"/>
                <w:sz w:val="18"/>
                <w:szCs w:val="18"/>
                <w:lang w:val="hy-AM" w:eastAsia="ru-RU"/>
              </w:rPr>
            </w:pPr>
            <w:r w:rsidRPr="001D56CB">
              <w:rPr>
                <w:rFonts w:ascii="GHEA Grapalat" w:hAnsi="GHEA Grapalat"/>
                <w:bCs/>
                <w:noProof/>
                <w:color w:val="auto"/>
                <w:sz w:val="20"/>
                <w:szCs w:val="18"/>
              </w:rPr>
              <w:drawing>
                <wp:anchor distT="0" distB="0" distL="114300" distR="114300" simplePos="0" relativeHeight="251735040" behindDoc="1" locked="0" layoutInCell="1" allowOverlap="1" wp14:anchorId="705CC620" wp14:editId="3229B08A">
                  <wp:simplePos x="0" y="0"/>
                  <wp:positionH relativeFrom="margin">
                    <wp:posOffset>-5080</wp:posOffset>
                  </wp:positionH>
                  <wp:positionV relativeFrom="paragraph">
                    <wp:posOffset>409575</wp:posOffset>
                  </wp:positionV>
                  <wp:extent cx="2934335" cy="2092960"/>
                  <wp:effectExtent l="0" t="0" r="0" b="2540"/>
                  <wp:wrapTight wrapText="bothSides">
                    <wp:wrapPolygon edited="0">
                      <wp:start x="0" y="0"/>
                      <wp:lineTo x="0" y="21430"/>
                      <wp:lineTo x="21455" y="21430"/>
                      <wp:lineTo x="21455" y="0"/>
                      <wp:lineTo x="0" y="0"/>
                    </wp:wrapPolygon>
                  </wp:wrapTight>
                  <wp:docPr id="1545876420" name="Chart 15458764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Pr="001D56CB">
              <w:rPr>
                <w:rFonts w:ascii="GHEA Grapalat" w:hAnsi="GHEA Grapalat" w:cstheme="minorBidi"/>
                <w:bCs/>
                <w:color w:val="auto"/>
                <w:sz w:val="20"/>
                <w:szCs w:val="18"/>
                <w:lang w:val="hy-AM"/>
              </w:rPr>
              <w:t>Գծապատկեր 1.5. Զարգացող երկրների ազգային արժույթների դոլարի նկատմամբ փոփոխությունները</w:t>
            </w:r>
            <w:r w:rsidRPr="008B63B1">
              <w:rPr>
                <w:rFonts w:ascii="GHEA Grapalat" w:eastAsia="Times New Roman" w:hAnsi="GHEA Grapalat"/>
                <w:bCs/>
                <w:color w:val="5B9BD5"/>
                <w:sz w:val="18"/>
                <w:szCs w:val="18"/>
                <w:vertAlign w:val="superscript"/>
                <w:lang w:val="hy-AM" w:eastAsia="ru-RU"/>
              </w:rPr>
              <w:footnoteReference w:id="10"/>
            </w:r>
          </w:p>
          <w:p w14:paraId="3374A803" w14:textId="77777777" w:rsidR="00507805" w:rsidRPr="008B63B1" w:rsidRDefault="00507805" w:rsidP="00082769">
            <w:pPr>
              <w:tabs>
                <w:tab w:val="left" w:pos="0"/>
              </w:tabs>
              <w:contextualSpacing/>
              <w:jc w:val="right"/>
              <w:rPr>
                <w:rFonts w:ascii="GHEA Grapalat" w:eastAsia="Times New Roman" w:hAnsi="GHEA Grapalat"/>
                <w:i/>
                <w:color w:val="404040"/>
                <w:sz w:val="16"/>
                <w:szCs w:val="16"/>
                <w:lang w:val="hy-AM" w:eastAsia="ru-RU"/>
              </w:rPr>
            </w:pPr>
            <w:r w:rsidRPr="008B63B1">
              <w:rPr>
                <w:rFonts w:ascii="GHEA Grapalat" w:eastAsia="Times New Roman" w:hAnsi="GHEA Grapalat"/>
                <w:i/>
                <w:color w:val="404040"/>
                <w:sz w:val="16"/>
                <w:szCs w:val="16"/>
                <w:lang w:val="hy-AM" w:eastAsia="ru-RU"/>
              </w:rPr>
              <w:t xml:space="preserve">  </w:t>
            </w:r>
            <w:r w:rsidRPr="008B63B1">
              <w:rPr>
                <w:rFonts w:ascii="GHEA Grapalat" w:eastAsia="Times New Roman" w:hAnsi="GHEA Grapalat"/>
                <w:i/>
                <w:color w:val="A6A6A6"/>
                <w:sz w:val="18"/>
                <w:lang w:val="hy-AM"/>
              </w:rPr>
              <w:t>Աղբյուրը՝ Բլումբերգ, ՀՀ ԿԲ, ՀՀ ՖՆ հաշվարկներ</w:t>
            </w:r>
          </w:p>
        </w:tc>
      </w:tr>
      <w:tr w:rsidR="00507805" w:rsidRPr="008B63B1" w14:paraId="602E73B8" w14:textId="77777777" w:rsidTr="00873AE6">
        <w:trPr>
          <w:trHeight w:val="52"/>
        </w:trPr>
        <w:tc>
          <w:tcPr>
            <w:tcW w:w="5052" w:type="dxa"/>
            <w:hideMark/>
          </w:tcPr>
          <w:p w14:paraId="460FAA17" w14:textId="77777777" w:rsidR="00507805" w:rsidRPr="001D56CB" w:rsidRDefault="00507805" w:rsidP="001D56CB">
            <w:pPr>
              <w:pStyle w:val="Charts"/>
              <w:ind w:right="-22"/>
              <w:rPr>
                <w:rFonts w:cstheme="minorBidi"/>
                <w:b w:val="0"/>
                <w:bCs/>
                <w:color w:val="auto"/>
                <w:sz w:val="20"/>
                <w:szCs w:val="18"/>
              </w:rPr>
            </w:pPr>
            <w:r w:rsidRPr="001D56CB">
              <w:rPr>
                <w:rFonts w:cstheme="minorBidi"/>
                <w:b w:val="0"/>
                <w:bCs/>
                <w:color w:val="auto"/>
                <w:sz w:val="20"/>
                <w:szCs w:val="18"/>
              </w:rPr>
              <w:t xml:space="preserve">Գծապատկեր 1.6. Գործընկեր երկրների բաժնետոմսերի շուկաների ինդեքսները  </w:t>
            </w:r>
          </w:p>
          <w:p w14:paraId="61FD1829" w14:textId="77777777" w:rsidR="00507805" w:rsidRPr="008B63B1" w:rsidRDefault="00507805" w:rsidP="00082769">
            <w:pPr>
              <w:tabs>
                <w:tab w:val="left" w:pos="0"/>
              </w:tabs>
              <w:contextualSpacing/>
              <w:jc w:val="both"/>
              <w:rPr>
                <w:rFonts w:ascii="GHEA Grapalat" w:eastAsia="Times New Roman" w:hAnsi="GHEA Grapalat"/>
                <w:b/>
                <w:i/>
                <w:color w:val="404040"/>
                <w:sz w:val="18"/>
                <w:szCs w:val="18"/>
                <w:lang w:val="hy-AM" w:eastAsia="ru-RU"/>
              </w:rPr>
            </w:pPr>
            <w:r w:rsidRPr="008B63B1">
              <w:rPr>
                <w:rFonts w:ascii="GHEA Grapalat" w:eastAsia="Times New Roman" w:hAnsi="GHEA Grapalat"/>
                <w:b/>
                <w:noProof/>
                <w:color w:val="404040"/>
                <w:sz w:val="24"/>
                <w:szCs w:val="24"/>
              </w:rPr>
              <w:drawing>
                <wp:inline distT="0" distB="0" distL="0" distR="0" wp14:anchorId="04665BCE" wp14:editId="65DC8DC1">
                  <wp:extent cx="3083708" cy="1838960"/>
                  <wp:effectExtent l="0" t="0" r="2540" b="8890"/>
                  <wp:docPr id="1545876421" name="Chart 15458764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594B4A3" w14:textId="77777777" w:rsidR="00507805" w:rsidRPr="008B63B1" w:rsidRDefault="00507805" w:rsidP="00082769">
            <w:pPr>
              <w:tabs>
                <w:tab w:val="left" w:pos="0"/>
              </w:tabs>
              <w:contextualSpacing/>
              <w:jc w:val="right"/>
              <w:rPr>
                <w:rFonts w:ascii="GHEA Grapalat" w:eastAsia="Times New Roman" w:hAnsi="GHEA Grapalat"/>
                <w:i/>
                <w:color w:val="404040"/>
                <w:sz w:val="18"/>
                <w:szCs w:val="18"/>
                <w:lang w:val="hy-AM" w:eastAsia="ru-RU"/>
              </w:rPr>
            </w:pPr>
            <w:r w:rsidRPr="008B63B1">
              <w:rPr>
                <w:rFonts w:ascii="GHEA Grapalat" w:eastAsia="Times New Roman" w:hAnsi="GHEA Grapalat"/>
                <w:i/>
                <w:color w:val="A6A6A6"/>
                <w:sz w:val="18"/>
                <w:lang w:val="hy-AM"/>
              </w:rPr>
              <w:t>Աղբյուրը՝ Բլումբերգ, ՀՀ ՖՆ հաշվարկներ</w:t>
            </w:r>
          </w:p>
        </w:tc>
        <w:tc>
          <w:tcPr>
            <w:tcW w:w="4863" w:type="dxa"/>
          </w:tcPr>
          <w:p w14:paraId="74E29F96" w14:textId="77777777" w:rsidR="00507805" w:rsidRPr="001D56CB" w:rsidRDefault="00507805" w:rsidP="001D56CB">
            <w:pPr>
              <w:pStyle w:val="Charts"/>
              <w:ind w:right="-22"/>
              <w:rPr>
                <w:rFonts w:cstheme="minorBidi"/>
                <w:b w:val="0"/>
                <w:bCs/>
                <w:color w:val="auto"/>
                <w:sz w:val="20"/>
                <w:szCs w:val="18"/>
              </w:rPr>
            </w:pPr>
            <w:r w:rsidRPr="001D56CB">
              <w:rPr>
                <w:rFonts w:cstheme="minorBidi"/>
                <w:b w:val="0"/>
                <w:bCs/>
                <w:color w:val="auto"/>
                <w:sz w:val="20"/>
                <w:szCs w:val="18"/>
              </w:rPr>
              <w:t>Գծապատկեր 1.7. ՀՀ համադրելի երկրների ռիսկի հավելավճարները (սփրեդ</w:t>
            </w:r>
            <w:r w:rsidRPr="001D56CB">
              <w:rPr>
                <w:rFonts w:cstheme="minorBidi"/>
                <w:b w:val="0"/>
                <w:bCs/>
                <w:color w:val="auto"/>
                <w:sz w:val="20"/>
                <w:szCs w:val="18"/>
              </w:rPr>
              <w:footnoteReference w:id="11"/>
            </w:r>
            <w:r w:rsidRPr="001D56CB">
              <w:rPr>
                <w:rFonts w:cstheme="minorBidi"/>
                <w:b w:val="0"/>
                <w:bCs/>
                <w:color w:val="auto"/>
                <w:sz w:val="20"/>
                <w:szCs w:val="18"/>
              </w:rPr>
              <w:t xml:space="preserve">), բազիսային կետ </w:t>
            </w:r>
          </w:p>
          <w:p w14:paraId="35113D8C" w14:textId="77777777" w:rsidR="00507805" w:rsidRPr="008B63B1" w:rsidRDefault="00507805" w:rsidP="00082769">
            <w:pPr>
              <w:tabs>
                <w:tab w:val="left" w:pos="0"/>
              </w:tabs>
              <w:contextualSpacing/>
              <w:jc w:val="both"/>
              <w:rPr>
                <w:rFonts w:ascii="GHEA Grapalat" w:eastAsia="Times New Roman" w:hAnsi="GHEA Grapalat"/>
                <w:b/>
                <w:i/>
                <w:color w:val="404040"/>
                <w:sz w:val="18"/>
                <w:szCs w:val="18"/>
                <w:lang w:val="hy-AM" w:eastAsia="ru-RU"/>
              </w:rPr>
            </w:pPr>
            <w:r w:rsidRPr="008B63B1">
              <w:rPr>
                <w:rFonts w:ascii="GHEA Grapalat" w:eastAsia="Times New Roman" w:hAnsi="GHEA Grapalat"/>
                <w:b/>
                <w:i/>
                <w:noProof/>
                <w:color w:val="404040"/>
                <w:sz w:val="18"/>
                <w:szCs w:val="18"/>
              </w:rPr>
              <w:drawing>
                <wp:inline distT="0" distB="0" distL="0" distR="0" wp14:anchorId="59370D7D" wp14:editId="300D4F39">
                  <wp:extent cx="2950845" cy="1818167"/>
                  <wp:effectExtent l="0" t="0" r="190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172E7AB" w14:textId="77777777" w:rsidR="00507805" w:rsidRPr="008B63B1" w:rsidRDefault="00507805" w:rsidP="00082769">
            <w:pPr>
              <w:tabs>
                <w:tab w:val="left" w:pos="0"/>
              </w:tabs>
              <w:contextualSpacing/>
              <w:jc w:val="right"/>
              <w:rPr>
                <w:rFonts w:ascii="GHEA Grapalat" w:eastAsia="Times New Roman" w:hAnsi="GHEA Grapalat"/>
                <w:noProof/>
                <w:color w:val="404040"/>
                <w:sz w:val="18"/>
                <w:szCs w:val="18"/>
                <w:lang w:val="hy-AM" w:eastAsia="ru-RU"/>
              </w:rPr>
            </w:pPr>
            <w:r w:rsidRPr="008B63B1">
              <w:rPr>
                <w:rFonts w:ascii="GHEA Grapalat" w:eastAsia="Times New Roman" w:hAnsi="GHEA Grapalat"/>
                <w:i/>
                <w:color w:val="A6A6A6"/>
                <w:sz w:val="18"/>
                <w:lang w:val="hy-AM"/>
              </w:rPr>
              <w:t>Աղբյուրը՝ Բլումբերգ</w:t>
            </w:r>
          </w:p>
        </w:tc>
      </w:tr>
    </w:tbl>
    <w:p w14:paraId="711A498F"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«Բլումբերգ» միջազգային կազմակերպության 2026թ. օգոստոսի կանխատեսումներով՝ փետրվարի գնահատականների համեմատ 202</w:t>
      </w:r>
      <w:r w:rsidRPr="008B63B1">
        <w:rPr>
          <w:rFonts w:ascii="GHEA Grapalat" w:eastAsia="Times New Roman" w:hAnsi="GHEA Grapalat" w:cs="Times New Roman"/>
          <w:color w:val="404040"/>
          <w:szCs w:val="20"/>
        </w:rPr>
        <w:t>6</w:t>
      </w:r>
      <w:r w:rsidRPr="008B63B1">
        <w:rPr>
          <w:rFonts w:ascii="GHEA Grapalat" w:eastAsia="Times New Roman" w:hAnsi="GHEA Grapalat" w:cs="Times New Roman"/>
          <w:color w:val="404040"/>
          <w:szCs w:val="20"/>
          <w:lang w:val="hy-AM"/>
        </w:rPr>
        <w:t>-2028թթ. նավթի և պղնձի միջազգային գների կանխատեսումները վերանայվել են դեպի վերև։ Նավթի գնի կանխատեսման հիմնարար գործոն է հանդիսացել Մերձավոր Արևելքում հակամարտության սրումը և Հորմուզի նեղուցով նավթի փոխադրումների սահմանափակումները: Պղնձի միջազգային գնի կանխատեսման հիմնարար գործոններն են եղել պաշարների կրճատումը, հանքաքարի առաջարկի սահմանափակումները, ինչպես նաև արհեստական բանականության և վերականգնվող էներգիայի ոլորտների զարգացմամբ պայմանավորված՝ պղնձի նկատմամբ պահանջարկի աճը:</w:t>
      </w:r>
    </w:p>
    <w:p w14:paraId="1884EC7C" w14:textId="77777777" w:rsidR="00507805" w:rsidRPr="008B63B1" w:rsidRDefault="00507805" w:rsidP="00082769">
      <w:pPr>
        <w:jc w:val="both"/>
        <w:rPr>
          <w:rFonts w:ascii="GHEA Grapalat" w:eastAsia="Times New Roman" w:hAnsi="GHEA Grapalat" w:cs="Times New Roman"/>
          <w:color w:val="404040"/>
          <w:lang w:val="hy-AM"/>
        </w:rPr>
      </w:pPr>
      <w:r w:rsidRPr="008B63B1">
        <w:rPr>
          <w:rFonts w:ascii="GHEA Grapalat" w:eastAsia="Times New Roman" w:hAnsi="GHEA Grapalat" w:cs="Times New Roman"/>
          <w:b/>
          <w:color w:val="404040"/>
          <w:lang w:val="hy-AM"/>
        </w:rPr>
        <w:t>Միջազգային ապրանքային, արժութային և ֆինանսական շուկաներում էական տատանումներ են գրանցվել:</w:t>
      </w:r>
      <w:r w:rsidRPr="008B63B1">
        <w:rPr>
          <w:rFonts w:ascii="GHEA Grapalat" w:eastAsia="Times New Roman" w:hAnsi="GHEA Grapalat" w:cs="Times New Roman"/>
          <w:color w:val="404040"/>
          <w:lang w:val="hy-AM"/>
        </w:rPr>
        <w:t xml:space="preserve"> Համաշխարհային առևտրի տեմպերը 2025թ. նախորդ տարվա համեմատ որոշ չափով վերականգնվել են, սակայն կանխատեսվող հորիզոնում աճի տեմպերը դանդաղում են: Ֆինանսական շուկաներում, հատկապես՝ ամերիկյան և եվրոպական, նկատվում է բաժնետոմսերի գների վերականգնում, ռուսական բաժնետոմսերի թույլ միտումները պահպանվել են: ԱՄՆ դոլարի դիրքի թուլացման միտումները պահպանվել են: Այս համապատկերում պահպանվել են զարգացող երկրների արժույթների՝ ԱՄՆ դոլարի նկատմամբ ամրապնդման միտումները: Չնայած որոշակի տատանումներին, ռուսական ռուբլու արժևորման միտումները պահպանվել են: Այս պայմաններում ՀՀ համադրելի զարգացող երկրների, այդ թվում՝ տարածաշրջանի երկրների ռիսկի հավելավճարները նվազել են: </w:t>
      </w:r>
    </w:p>
    <w:p w14:paraId="145F30F8" w14:textId="77777777" w:rsidR="00507805" w:rsidRPr="008B63B1" w:rsidRDefault="00507805" w:rsidP="00082769">
      <w:pPr>
        <w:pBdr>
          <w:bottom w:val="single" w:sz="8" w:space="1" w:color="C3C3C7"/>
        </w:pBdr>
        <w:spacing w:before="480" w:after="360"/>
        <w:outlineLvl w:val="1"/>
        <w:rPr>
          <w:rFonts w:ascii="GHEA Grapalat" w:eastAsia="Times New Roman" w:hAnsi="GHEA Grapalat" w:cs="Times New Roman"/>
          <w:color w:val="A5A6AC"/>
          <w:sz w:val="28"/>
          <w:szCs w:val="20"/>
          <w:lang w:val="hy-AM"/>
        </w:rPr>
      </w:pPr>
      <w:bookmarkStart w:id="162" w:name="_Toc178356564"/>
      <w:bookmarkStart w:id="163" w:name="_Toc178612088"/>
      <w:bookmarkStart w:id="164" w:name="_Toc183801072"/>
      <w:bookmarkStart w:id="165" w:name="_Toc210126079"/>
      <w:bookmarkStart w:id="166" w:name="_Toc241687659"/>
      <w:r w:rsidRPr="008B63B1">
        <w:rPr>
          <w:rFonts w:ascii="GHEA Grapalat" w:eastAsia="Times New Roman" w:hAnsi="GHEA Grapalat" w:cs="Times New Roman"/>
          <w:color w:val="A5A6AC"/>
          <w:sz w:val="28"/>
          <w:szCs w:val="20"/>
          <w:lang w:val="hy-AM"/>
        </w:rPr>
        <w:t>1.3. ՀՀ ՄԱԿՐՈՏՆՏԵՍԱԿԱՆ ԶԱՐԳԱՑՈՒՄՆԵՐ ԵՎ ԿԱՆԽԱՏԵՍՈՒՄՆԵՐ</w:t>
      </w:r>
      <w:bookmarkEnd w:id="155"/>
      <w:bookmarkEnd w:id="156"/>
      <w:bookmarkEnd w:id="157"/>
      <w:bookmarkEnd w:id="158"/>
      <w:bookmarkEnd w:id="159"/>
      <w:bookmarkEnd w:id="162"/>
      <w:bookmarkEnd w:id="163"/>
      <w:bookmarkEnd w:id="164"/>
      <w:bookmarkEnd w:id="165"/>
      <w:bookmarkEnd w:id="166"/>
    </w:p>
    <w:p w14:paraId="22E66519" w14:textId="77777777" w:rsidR="00507805" w:rsidRPr="008B63B1" w:rsidRDefault="00507805" w:rsidP="00082769">
      <w:pPr>
        <w:spacing w:before="360" w:after="0"/>
        <w:outlineLvl w:val="2"/>
        <w:rPr>
          <w:rFonts w:ascii="GHEA Grapalat" w:eastAsia="Times New Roman" w:hAnsi="GHEA Grapalat" w:cs="Times New Roman"/>
          <w:color w:val="A6A6A6"/>
          <w:szCs w:val="20"/>
          <w:lang w:val="hy-AM"/>
        </w:rPr>
      </w:pPr>
      <w:bookmarkStart w:id="167" w:name="_Toc170926293"/>
      <w:bookmarkStart w:id="168" w:name="_Toc170750532"/>
      <w:bookmarkStart w:id="169" w:name="_Toc170743028"/>
      <w:bookmarkStart w:id="170" w:name="_Toc210126080"/>
      <w:bookmarkStart w:id="171" w:name="_Toc241687660"/>
      <w:bookmarkStart w:id="172" w:name="_Toc146911025"/>
      <w:bookmarkStart w:id="173" w:name="_Toc115686019"/>
      <w:bookmarkStart w:id="174" w:name="_Toc83972833"/>
      <w:bookmarkStart w:id="175" w:name="_Toc83663897"/>
      <w:bookmarkStart w:id="176" w:name="_Toc57559415"/>
      <w:bookmarkStart w:id="177" w:name="_Toc52452088"/>
      <w:bookmarkStart w:id="178" w:name="_Toc51947415"/>
      <w:bookmarkStart w:id="179" w:name="_Toc46760406"/>
      <w:bookmarkEnd w:id="160"/>
      <w:r w:rsidRPr="008B63B1">
        <w:rPr>
          <w:rFonts w:ascii="GHEA Grapalat" w:eastAsia="Times New Roman" w:hAnsi="GHEA Grapalat" w:cs="Times New Roman"/>
          <w:color w:val="A6A6A6"/>
          <w:szCs w:val="20"/>
          <w:lang w:val="hy-AM"/>
        </w:rPr>
        <w:t>1.3.1. ՀՆԱ ԵՎ ՏՆՏԵՍԱԿԱՆ ԱՃ</w:t>
      </w:r>
      <w:bookmarkEnd w:id="167"/>
      <w:bookmarkEnd w:id="168"/>
      <w:bookmarkEnd w:id="169"/>
      <w:bookmarkEnd w:id="170"/>
      <w:bookmarkEnd w:id="171"/>
    </w:p>
    <w:p w14:paraId="7BC14319" w14:textId="77777777" w:rsidR="00507805" w:rsidRPr="008B63B1" w:rsidRDefault="00507805" w:rsidP="00082769">
      <w:pPr>
        <w:jc w:val="both"/>
        <w:rPr>
          <w:rFonts w:ascii="GHEA Grapalat" w:eastAsia="Times New Roman" w:hAnsi="GHEA Grapalat" w:cs="Times New Roman"/>
          <w:color w:val="404040"/>
          <w:szCs w:val="20"/>
          <w:highlight w:val="yellow"/>
          <w:lang w:val="hy-AM"/>
        </w:rPr>
      </w:pPr>
      <w:r w:rsidRPr="008B63B1">
        <w:rPr>
          <w:rFonts w:ascii="GHEA Grapalat" w:eastAsia="Times New Roman" w:hAnsi="GHEA Grapalat" w:cs="Times New Roman"/>
          <w:b/>
          <w:color w:val="404040"/>
          <w:szCs w:val="20"/>
          <w:lang w:val="hy-AM"/>
        </w:rPr>
        <w:t>2023-2025 թվականներին ՀՀ-ում միջինում գրանցվել է 7.1% տնտեսական աճ՝</w:t>
      </w:r>
      <w:r w:rsidRPr="008B63B1">
        <w:rPr>
          <w:rFonts w:ascii="GHEA Grapalat" w:eastAsia="Times New Roman" w:hAnsi="GHEA Grapalat" w:cs="Times New Roman"/>
          <w:color w:val="404040"/>
          <w:szCs w:val="20"/>
          <w:lang w:val="hy-AM"/>
        </w:rPr>
        <w:t xml:space="preserve"> կրելով դեռևս 2022 թվականի փետրվարի վերջերից սկիզբ առած ռուս-ուկրաինական հակամարտության և Ռուսաստանի դեմ կիրառված պատժամիջոցների հետևանքով դեպի Հայաստան մարդկանց ներհոսքի, զբոսաշրջության զգալի ավելացման, տեղեկատվական տեխնոլոգիաների ոլորտի ընկերությունների ՀՀ տեղափոխման, ՀՀ-ից դեպի Ռուսաստան արտահանման պահանջարկի ավելացման, ինչպես նաև տնտեսությունում իրականացվող մեծածավալ բնակարանային շինարարության, պետական բյուջեից կատարվող կապիտալ ծախսերի և Ղարաբաղից ՀՀ բռնի տեղահանված մեր հայրենակիցների ՀՀ տնտեսությանն ինտեգրման ազդեցությունները:</w:t>
      </w:r>
      <w:r w:rsidRPr="008B63B1">
        <w:rPr>
          <w:rFonts w:ascii="GHEA Grapalat" w:eastAsia="Times New Roman" w:hAnsi="GHEA Grapalat" w:cs="Times New Roman"/>
          <w:b/>
          <w:color w:val="404040"/>
          <w:szCs w:val="20"/>
          <w:lang w:val="hy-AM"/>
        </w:rPr>
        <w:t xml:space="preserve"> </w:t>
      </w:r>
    </w:p>
    <w:p w14:paraId="4038202D"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2023-2025 թվականներին ծառայությունների և շինարարության աճի տեմպերը հիմնականում գերազանցել են տնտեսական աճի տեմպը: Արդյունքում տնտեսական աճը պայմանավորված է եղել հիմնականում ծառայությունների և շինարարության աճերով (նպաստումները՝ համապատասխանաբար՝ միջինում՝ 5.0 և 1.2 տոկոսային կետ): Տնտեսական աճին նպաստել են նաև գյուղատնտեսության և արդյունաբերության աճերը (նպաստումները՝ համապատասխանաբար՝ միջինում՝ 0.2 և 0.1 տոկոսային կետ): Պահանջարկի տեսանկյունից աճին նպաստել է ինչպես ներքին պահանջարկի (հիմնականում մասնավոր սպառման և պետական ու մասնավոր ներդրումների), այնպես էլ արտահանման աճը:</w:t>
      </w:r>
    </w:p>
    <w:p w14:paraId="44372F32" w14:textId="77777777" w:rsidR="00507805" w:rsidRPr="008B63B1" w:rsidRDefault="00507805" w:rsidP="00082769">
      <w:pPr>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2026 թվականի առաջին կիսամյակում ՀՆԱ-ի իրական աճը կազմել է 6.0%: Տնտեսական աճը պայմանավորված է եղել հիմնականում ծառայությունների, արդյունաբերության և շինարարության աճերով (նպաստումները՝ համապատասխանաբար՝ 4.0, 1.0 և 1.0 տոկոսային կետ): Ծառայությունների 5.8% աճը պայմանավորված է եղել հիմնականում ֆինանսական և ապահովագրական գործունեության (8.8%), տեղեկատվության և կապի (11.5%), ինչպես նաև փոխադրումների և պահեստային տնտեսության (17.5%) ենթաճյուղերի աճերով։ Արդյունաբերության 6.6% աճին հիմնականում նպաստել է հանքագործական արդյունաբերության և բացահանքերի շահագործման 27.6% աճը։ Միաժամանակ, գյուղատնտեսության ճյուղը հունվար-հունիսի արդյունքներով նվազել է 11.0%-ով։</w:t>
      </w:r>
    </w:p>
    <w:tbl>
      <w:tblPr>
        <w:tblW w:w="0" w:type="auto"/>
        <w:tblLook w:val="04A0" w:firstRow="1" w:lastRow="0" w:firstColumn="1" w:lastColumn="0" w:noHBand="0" w:noVBand="1"/>
      </w:tblPr>
      <w:tblGrid>
        <w:gridCol w:w="9828"/>
        <w:gridCol w:w="222"/>
      </w:tblGrid>
      <w:tr w:rsidR="00507805" w:rsidRPr="003612ED" w14:paraId="3AC4941D" w14:textId="77777777" w:rsidTr="00873AE6">
        <w:trPr>
          <w:trHeight w:val="3430"/>
        </w:trPr>
        <w:tc>
          <w:tcPr>
            <w:tcW w:w="9828" w:type="dxa"/>
          </w:tcPr>
          <w:tbl>
            <w:tblPr>
              <w:tblW w:w="0" w:type="auto"/>
              <w:tblLook w:val="04A0" w:firstRow="1" w:lastRow="0" w:firstColumn="1" w:lastColumn="0" w:noHBand="0" w:noVBand="1"/>
            </w:tblPr>
            <w:tblGrid>
              <w:gridCol w:w="4806"/>
              <w:gridCol w:w="4806"/>
            </w:tblGrid>
            <w:tr w:rsidR="00507805" w:rsidRPr="003612ED" w14:paraId="15758A94" w14:textId="77777777" w:rsidTr="00873AE6">
              <w:trPr>
                <w:trHeight w:val="3430"/>
              </w:trPr>
              <w:tc>
                <w:tcPr>
                  <w:tcW w:w="4654" w:type="dxa"/>
                  <w:hideMark/>
                </w:tcPr>
                <w:p w14:paraId="141A6AA2" w14:textId="77777777" w:rsidR="00507805" w:rsidRPr="001D56CB" w:rsidRDefault="00507805" w:rsidP="001D56CB">
                  <w:pPr>
                    <w:pStyle w:val="Charts"/>
                    <w:ind w:right="-22"/>
                    <w:rPr>
                      <w:b w:val="0"/>
                      <w:bCs/>
                      <w:color w:val="auto"/>
                      <w:sz w:val="20"/>
                      <w:szCs w:val="18"/>
                    </w:rPr>
                  </w:pPr>
                  <w:bookmarkStart w:id="180" w:name="_Toc178595127"/>
                  <w:r w:rsidRPr="001D56CB">
                    <w:rPr>
                      <w:b w:val="0"/>
                      <w:bCs/>
                      <w:color w:val="auto"/>
                      <w:sz w:val="20"/>
                      <w:szCs w:val="18"/>
                    </w:rPr>
                    <w:t>Գծապատկեր 1.8. ՀՆԱ աճ (%) և ճյուղերի նպաստումները ՀՆԱ աճին (տ.կ.)</w:t>
                  </w:r>
                  <w:bookmarkEnd w:id="180"/>
                </w:p>
                <w:p w14:paraId="547977AE" w14:textId="77777777" w:rsidR="00507805" w:rsidRPr="008B63B1" w:rsidRDefault="00507805" w:rsidP="00082769">
                  <w:pPr>
                    <w:rPr>
                      <w:rFonts w:ascii="GHEA Grapalat" w:eastAsia="Times New Roman" w:hAnsi="GHEA Grapalat" w:cs="Times New Roman"/>
                      <w:i/>
                      <w:color w:val="A6A6A6"/>
                      <w:sz w:val="18"/>
                      <w:lang w:val="hy-AM"/>
                    </w:rPr>
                  </w:pPr>
                  <w:r w:rsidRPr="008B63B1">
                    <w:rPr>
                      <w:rFonts w:ascii="GHEA Grapalat" w:eastAsia="Times New Roman" w:hAnsi="GHEA Grapalat" w:cs="Times New Roman"/>
                      <w:i/>
                      <w:noProof/>
                      <w:color w:val="A6A6A6"/>
                      <w:sz w:val="20"/>
                    </w:rPr>
                    <w:drawing>
                      <wp:anchor distT="0" distB="0" distL="114300" distR="114300" simplePos="0" relativeHeight="251739136" behindDoc="0" locked="0" layoutInCell="1" allowOverlap="1" wp14:anchorId="09A51D3F" wp14:editId="1E5F9DB4">
                        <wp:simplePos x="0" y="0"/>
                        <wp:positionH relativeFrom="column">
                          <wp:posOffset>-59994</wp:posOffset>
                        </wp:positionH>
                        <wp:positionV relativeFrom="paragraph">
                          <wp:posOffset>281967</wp:posOffset>
                        </wp:positionV>
                        <wp:extent cx="2910840" cy="1752600"/>
                        <wp:effectExtent l="0" t="0" r="3810" b="0"/>
                        <wp:wrapTopAndBottom/>
                        <wp:docPr id="1545876430" name="Chart 1545876430">
                          <a:extLst xmlns:a="http://schemas.openxmlformats.org/drawingml/2006/main">
                            <a:ext uri="{FF2B5EF4-FFF2-40B4-BE49-F238E27FC236}">
                              <a16:creationId xmlns:a16="http://schemas.microsoft.com/office/drawing/2014/main" id="{B706C3B2-915B-4C24-A125-9A8A708CD2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V relativeFrom="margin">
                          <wp14:pctHeight>0</wp14:pctHeight>
                        </wp14:sizeRelV>
                      </wp:anchor>
                    </w:drawing>
                  </w:r>
                </w:p>
                <w:p w14:paraId="52F13C34" w14:textId="77777777" w:rsidR="00507805" w:rsidRPr="008B63B1" w:rsidRDefault="00507805" w:rsidP="00082769">
                  <w:pPr>
                    <w:rPr>
                      <w:rFonts w:ascii="GHEA Grapalat" w:eastAsia="Times New Roman" w:hAnsi="GHEA Grapalat" w:cs="Times New Roman"/>
                      <w:i/>
                      <w:color w:val="A6A6A6"/>
                      <w:sz w:val="18"/>
                      <w:lang w:val="hy-AM"/>
                    </w:rPr>
                  </w:pPr>
                  <w:r w:rsidRPr="008B63B1">
                    <w:rPr>
                      <w:rFonts w:ascii="GHEA Grapalat" w:eastAsia="Times New Roman" w:hAnsi="GHEA Grapalat" w:cs="Times New Roman"/>
                      <w:i/>
                      <w:color w:val="A6A6A6"/>
                      <w:sz w:val="18"/>
                      <w:lang w:val="hy-AM"/>
                    </w:rPr>
                    <w:t xml:space="preserve">Աղբյուրը՝ ՀՀ ՎԿ, ՀՀ ՖՆ հաշվարկներ </w:t>
                  </w:r>
                </w:p>
              </w:tc>
              <w:tc>
                <w:tcPr>
                  <w:tcW w:w="4654" w:type="dxa"/>
                  <w:hideMark/>
                </w:tcPr>
                <w:p w14:paraId="0B9F899C" w14:textId="77777777" w:rsidR="00507805" w:rsidRPr="001D56CB" w:rsidRDefault="00507805" w:rsidP="001D56CB">
                  <w:pPr>
                    <w:pStyle w:val="Charts"/>
                    <w:ind w:right="-22"/>
                    <w:rPr>
                      <w:b w:val="0"/>
                      <w:bCs/>
                      <w:color w:val="auto"/>
                      <w:sz w:val="20"/>
                      <w:szCs w:val="18"/>
                    </w:rPr>
                  </w:pPr>
                  <w:bookmarkStart w:id="181" w:name="_Toc178595128"/>
                  <w:r w:rsidRPr="001D56CB">
                    <w:rPr>
                      <w:b w:val="0"/>
                      <w:bCs/>
                      <w:color w:val="auto"/>
                      <w:sz w:val="20"/>
                      <w:szCs w:val="18"/>
                    </w:rPr>
                    <w:t>Գծապատկեր 1.9. ՀՆԱ աճ (%) և պահանջարկի բաղադրիչների նպաստումները ՀՆԱ աճին (տ.կ.)</w:t>
                  </w:r>
                  <w:bookmarkEnd w:id="181"/>
                </w:p>
                <w:p w14:paraId="026EDCAC" w14:textId="77777777" w:rsidR="00507805" w:rsidRPr="008B63B1" w:rsidRDefault="00507805" w:rsidP="00082769">
                  <w:pPr>
                    <w:rPr>
                      <w:rFonts w:ascii="GHEA Grapalat" w:eastAsia="Times New Roman" w:hAnsi="GHEA Grapalat" w:cs="Times New Roman"/>
                      <w:i/>
                      <w:color w:val="A6A6A6"/>
                      <w:sz w:val="18"/>
                      <w:lang w:val="hy-AM"/>
                    </w:rPr>
                  </w:pPr>
                  <w:r w:rsidRPr="008B63B1">
                    <w:rPr>
                      <w:rFonts w:ascii="GHEA Grapalat" w:eastAsia="Times New Roman" w:hAnsi="GHEA Grapalat" w:cs="Times New Roman"/>
                      <w:b/>
                      <w:i/>
                      <w:smallCaps/>
                      <w:noProof/>
                      <w:color w:val="5B9BD5"/>
                      <w:sz w:val="18"/>
                      <w:szCs w:val="18"/>
                    </w:rPr>
                    <w:drawing>
                      <wp:anchor distT="0" distB="0" distL="114300" distR="114300" simplePos="0" relativeHeight="251738112" behindDoc="0" locked="0" layoutInCell="1" allowOverlap="1" wp14:anchorId="5531D57C" wp14:editId="73D7E0BE">
                        <wp:simplePos x="0" y="0"/>
                        <wp:positionH relativeFrom="column">
                          <wp:posOffset>-17725</wp:posOffset>
                        </wp:positionH>
                        <wp:positionV relativeFrom="paragraph">
                          <wp:posOffset>260157</wp:posOffset>
                        </wp:positionV>
                        <wp:extent cx="2910840" cy="1752600"/>
                        <wp:effectExtent l="0" t="0" r="3810" b="0"/>
                        <wp:wrapTopAndBottom/>
                        <wp:docPr id="1545876431" name="Chart 1545876431">
                          <a:extLst xmlns:a="http://schemas.openxmlformats.org/drawingml/2006/main">
                            <a:ext uri="{FF2B5EF4-FFF2-40B4-BE49-F238E27FC236}">
                              <a16:creationId xmlns:a16="http://schemas.microsoft.com/office/drawing/2014/main" id="{B706C3B2-915B-4C24-A125-9A8A708CD2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V relativeFrom="margin">
                          <wp14:pctHeight>0</wp14:pctHeight>
                        </wp14:sizeRelV>
                      </wp:anchor>
                    </w:drawing>
                  </w:r>
                </w:p>
                <w:p w14:paraId="72147265" w14:textId="77777777" w:rsidR="00507805" w:rsidRPr="008B63B1" w:rsidRDefault="00507805" w:rsidP="00082769">
                  <w:pPr>
                    <w:rPr>
                      <w:rFonts w:ascii="GHEA Grapalat" w:eastAsia="Times New Roman" w:hAnsi="GHEA Grapalat" w:cs="Times New Roman"/>
                      <w:i/>
                      <w:color w:val="A6A6A6"/>
                      <w:sz w:val="18"/>
                      <w:lang w:val="hy-AM"/>
                    </w:rPr>
                  </w:pPr>
                  <w:r w:rsidRPr="008B63B1">
                    <w:rPr>
                      <w:rFonts w:ascii="GHEA Grapalat" w:eastAsia="Times New Roman" w:hAnsi="GHEA Grapalat" w:cs="Times New Roman"/>
                      <w:i/>
                      <w:color w:val="A6A6A6"/>
                      <w:sz w:val="18"/>
                      <w:lang w:val="hy-AM"/>
                    </w:rPr>
                    <w:t>Աղբյուրը՝ ՀՀ ՎԿ, ՀՀ ՖՆ հաշվարկներ</w:t>
                  </w:r>
                </w:p>
              </w:tc>
            </w:tr>
          </w:tbl>
          <w:p w14:paraId="5951F9F3" w14:textId="77777777" w:rsidR="00507805" w:rsidRPr="008B63B1" w:rsidRDefault="00507805" w:rsidP="00082769">
            <w:pPr>
              <w:jc w:val="right"/>
              <w:rPr>
                <w:rFonts w:ascii="GHEA Grapalat" w:eastAsia="Times New Roman" w:hAnsi="GHEA Grapalat" w:cs="Times New Roman"/>
                <w:i/>
                <w:color w:val="A6A6A6"/>
                <w:sz w:val="18"/>
                <w:highlight w:val="yellow"/>
                <w:lang w:val="hy-AM"/>
              </w:rPr>
            </w:pPr>
          </w:p>
        </w:tc>
        <w:tc>
          <w:tcPr>
            <w:tcW w:w="222" w:type="dxa"/>
          </w:tcPr>
          <w:p w14:paraId="38EEC33C" w14:textId="77777777" w:rsidR="00507805" w:rsidRPr="008B63B1" w:rsidRDefault="00507805" w:rsidP="00082769">
            <w:pPr>
              <w:jc w:val="right"/>
              <w:rPr>
                <w:rFonts w:ascii="GHEA Grapalat" w:eastAsia="Times New Roman" w:hAnsi="GHEA Grapalat" w:cs="Times New Roman"/>
                <w:i/>
                <w:color w:val="A6A6A6"/>
                <w:sz w:val="18"/>
                <w:highlight w:val="yellow"/>
                <w:lang w:val="hy-AM"/>
              </w:rPr>
            </w:pPr>
          </w:p>
        </w:tc>
      </w:tr>
    </w:tbl>
    <w:p w14:paraId="2272E2AC" w14:textId="77777777" w:rsidR="00507805" w:rsidRPr="008B63B1" w:rsidRDefault="00507805" w:rsidP="00082769">
      <w:pPr>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Հուլիս-օգոստոսին, չնայած տնտեսական ակտիվության աճի որոշակի դանդաղմանը, աճի բարձր տեմպերը պահպանվել են: Ծառայությունների և շինարարության ճյուղերի աճերը շարունակել են պայմանավորել տնտեսական ակտիվության աճը: Արդյունքում 2026 թվականի հունվար-օգոստոսին արձանագրվել է տնտեսական ակտիվության ցուցանիշի (ՏԱՑ) 7.3% աճ՝ պայմանավորված հիմնականում ծառայությունների, շինարարության և արդյունաբերության աճերով (նպաստումները՝ համապատասխանաբար՝ 6.6, 1.8 և 1.3 տոկոսային կետ</w:t>
      </w:r>
      <w:r w:rsidRPr="008B63B1">
        <w:rPr>
          <w:rFonts w:ascii="GHEA Grapalat" w:eastAsia="Times New Roman" w:hAnsi="GHEA Grapalat" w:cs="Times New Roman"/>
          <w:b/>
          <w:color w:val="404040"/>
          <w:sz w:val="20"/>
          <w:szCs w:val="20"/>
          <w:vertAlign w:val="superscript"/>
        </w:rPr>
        <w:footnoteReference w:id="12"/>
      </w:r>
      <w:r w:rsidRPr="008B63B1">
        <w:rPr>
          <w:rFonts w:ascii="GHEA Grapalat" w:eastAsia="Times New Roman" w:hAnsi="GHEA Grapalat" w:cs="Times New Roman"/>
          <w:color w:val="404040"/>
          <w:lang w:val="hy-AM"/>
        </w:rPr>
        <w:t>)։ Առևտրի աճը ևս նպաստել է տնտեսական ակտիվությանը (նպաստումը՝ 0.1 տոկոսային կետ):</w:t>
      </w:r>
    </w:p>
    <w:tbl>
      <w:tblPr>
        <w:tblW w:w="10110" w:type="dxa"/>
        <w:tblLook w:val="04A0" w:firstRow="1" w:lastRow="0" w:firstColumn="1" w:lastColumn="0" w:noHBand="0" w:noVBand="1"/>
      </w:tblPr>
      <w:tblGrid>
        <w:gridCol w:w="9888"/>
        <w:gridCol w:w="222"/>
      </w:tblGrid>
      <w:tr w:rsidR="00507805" w:rsidRPr="003612ED" w14:paraId="3DA213E3" w14:textId="77777777" w:rsidTr="00873AE6">
        <w:trPr>
          <w:trHeight w:val="4129"/>
        </w:trPr>
        <w:tc>
          <w:tcPr>
            <w:tcW w:w="9888" w:type="dxa"/>
          </w:tcPr>
          <w:tbl>
            <w:tblPr>
              <w:tblW w:w="0" w:type="auto"/>
              <w:tblLook w:val="04A0" w:firstRow="1" w:lastRow="0" w:firstColumn="1" w:lastColumn="0" w:noHBand="0" w:noVBand="1"/>
            </w:tblPr>
            <w:tblGrid>
              <w:gridCol w:w="4836"/>
              <w:gridCol w:w="4824"/>
            </w:tblGrid>
            <w:tr w:rsidR="00507805" w:rsidRPr="008B63B1" w14:paraId="22E9CF7D" w14:textId="77777777" w:rsidTr="00873AE6">
              <w:trPr>
                <w:trHeight w:val="4129"/>
              </w:trPr>
              <w:tc>
                <w:tcPr>
                  <w:tcW w:w="4836" w:type="dxa"/>
                  <w:hideMark/>
                </w:tcPr>
                <w:p w14:paraId="2C6E9490" w14:textId="77777777" w:rsidR="00507805" w:rsidRPr="001D56CB" w:rsidRDefault="00507805" w:rsidP="00082769">
                  <w:pPr>
                    <w:spacing w:line="240" w:lineRule="auto"/>
                    <w:jc w:val="both"/>
                    <w:rPr>
                      <w:rFonts w:ascii="GHEA Grapalat" w:hAnsi="GHEA Grapalat"/>
                      <w:bCs/>
                      <w:color w:val="auto"/>
                      <w:sz w:val="20"/>
                      <w:szCs w:val="18"/>
                      <w:lang w:val="hy-AM"/>
                    </w:rPr>
                  </w:pPr>
                  <w:bookmarkStart w:id="182" w:name="_Toc178595129"/>
                  <w:r w:rsidRPr="001D56CB">
                    <w:rPr>
                      <w:rFonts w:ascii="GHEA Grapalat" w:hAnsi="GHEA Grapalat"/>
                      <w:bCs/>
                      <w:noProof/>
                      <w:color w:val="auto"/>
                      <w:sz w:val="20"/>
                      <w:szCs w:val="18"/>
                    </w:rPr>
                    <w:drawing>
                      <wp:anchor distT="0" distB="0" distL="114300" distR="114300" simplePos="0" relativeHeight="251749376" behindDoc="0" locked="0" layoutInCell="1" allowOverlap="1" wp14:anchorId="3BD5CC0A" wp14:editId="14016E95">
                        <wp:simplePos x="0" y="0"/>
                        <wp:positionH relativeFrom="column">
                          <wp:posOffset>-48233</wp:posOffset>
                        </wp:positionH>
                        <wp:positionV relativeFrom="paragraph">
                          <wp:posOffset>635497</wp:posOffset>
                        </wp:positionV>
                        <wp:extent cx="2926080" cy="1645920"/>
                        <wp:effectExtent l="0" t="0" r="0" b="0"/>
                        <wp:wrapTopAndBottom/>
                        <wp:docPr id="1545876433" name="Chart 15458764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anchor>
                    </w:drawing>
                  </w:r>
                  <w:r w:rsidRPr="001D56CB">
                    <w:rPr>
                      <w:rFonts w:ascii="GHEA Grapalat" w:hAnsi="GHEA Grapalat"/>
                      <w:bCs/>
                      <w:color w:val="auto"/>
                      <w:sz w:val="20"/>
                      <w:szCs w:val="18"/>
                      <w:lang w:val="hy-AM"/>
                    </w:rPr>
                    <w:t>Գծապատկեր 1.10. ՏԱՑ-ի և տնտեսության ճյուղերի իրական աճերը նախորդ տարվա նույն ժամանակահատվածի նկատմամբ (կուտակային, %)</w:t>
                  </w:r>
                  <w:bookmarkEnd w:id="182"/>
                </w:p>
                <w:p w14:paraId="29461502" w14:textId="77777777" w:rsidR="00507805" w:rsidRPr="008B63B1" w:rsidRDefault="00507805" w:rsidP="00082769">
                  <w:pPr>
                    <w:rPr>
                      <w:rFonts w:ascii="GHEA Grapalat" w:eastAsia="Times New Roman" w:hAnsi="GHEA Grapalat" w:cs="Times New Roman"/>
                      <w:i/>
                      <w:color w:val="A6A6A6"/>
                      <w:sz w:val="18"/>
                    </w:rPr>
                  </w:pPr>
                  <w:r w:rsidRPr="008B63B1">
                    <w:rPr>
                      <w:rFonts w:ascii="GHEA Grapalat" w:eastAsia="Times New Roman" w:hAnsi="GHEA Grapalat" w:cs="Times New Roman"/>
                      <w:i/>
                      <w:color w:val="A6A6A6"/>
                      <w:sz w:val="18"/>
                    </w:rPr>
                    <w:t>Աղբյուրը՝ ՀՀ ՎԿ</w:t>
                  </w:r>
                </w:p>
              </w:tc>
              <w:tc>
                <w:tcPr>
                  <w:tcW w:w="4321" w:type="dxa"/>
                  <w:hideMark/>
                </w:tcPr>
                <w:p w14:paraId="00A0A627" w14:textId="77777777" w:rsidR="00507805" w:rsidRPr="001D56CB" w:rsidRDefault="00507805" w:rsidP="00082769">
                  <w:pPr>
                    <w:spacing w:line="240" w:lineRule="auto"/>
                    <w:jc w:val="both"/>
                    <w:rPr>
                      <w:rFonts w:ascii="GHEA Grapalat" w:hAnsi="GHEA Grapalat"/>
                      <w:bCs/>
                      <w:color w:val="auto"/>
                      <w:sz w:val="20"/>
                      <w:szCs w:val="18"/>
                      <w:lang w:val="hy-AM"/>
                    </w:rPr>
                  </w:pPr>
                  <w:bookmarkStart w:id="183" w:name="_Toc178595130"/>
                  <w:r w:rsidRPr="001D56CB">
                    <w:rPr>
                      <w:rFonts w:ascii="GHEA Grapalat" w:hAnsi="GHEA Grapalat"/>
                      <w:bCs/>
                      <w:noProof/>
                      <w:color w:val="auto"/>
                      <w:sz w:val="20"/>
                      <w:szCs w:val="18"/>
                    </w:rPr>
                    <w:drawing>
                      <wp:anchor distT="0" distB="0" distL="114300" distR="114300" simplePos="0" relativeHeight="251748352" behindDoc="1" locked="0" layoutInCell="1" allowOverlap="1" wp14:anchorId="15FC0088" wp14:editId="7FAD0FEF">
                        <wp:simplePos x="0" y="0"/>
                        <wp:positionH relativeFrom="column">
                          <wp:posOffset>55548</wp:posOffset>
                        </wp:positionH>
                        <wp:positionV relativeFrom="paragraph">
                          <wp:posOffset>646954</wp:posOffset>
                        </wp:positionV>
                        <wp:extent cx="2926080" cy="1645920"/>
                        <wp:effectExtent l="0" t="0" r="0" b="0"/>
                        <wp:wrapTopAndBottom/>
                        <wp:docPr id="1545876435" name="Chart 15458764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margin">
                          <wp14:pctHeight>0</wp14:pctHeight>
                        </wp14:sizeRelV>
                      </wp:anchor>
                    </w:drawing>
                  </w:r>
                  <w:r w:rsidRPr="001D56CB">
                    <w:rPr>
                      <w:rFonts w:ascii="GHEA Grapalat" w:hAnsi="GHEA Grapalat"/>
                      <w:bCs/>
                      <w:color w:val="auto"/>
                      <w:sz w:val="20"/>
                      <w:szCs w:val="18"/>
                      <w:lang w:val="hy-AM"/>
                    </w:rPr>
                    <w:t>Գծապատկեր 1.11. ՏԱՑ և տնտեսության ճյուղերի իրական աճերը նախորդ տարվա նույն ամսվա նկատմամբ (ամսական, %)</w:t>
                  </w:r>
                  <w:bookmarkEnd w:id="183"/>
                </w:p>
                <w:p w14:paraId="2E12D107" w14:textId="77777777" w:rsidR="00507805" w:rsidRPr="008B63B1" w:rsidRDefault="00507805" w:rsidP="00082769">
                  <w:pPr>
                    <w:rPr>
                      <w:rFonts w:ascii="GHEA Grapalat" w:eastAsia="Times New Roman" w:hAnsi="GHEA Grapalat" w:cs="Times New Roman"/>
                      <w:i/>
                      <w:color w:val="A6A6A6"/>
                      <w:sz w:val="18"/>
                    </w:rPr>
                  </w:pPr>
                  <w:r w:rsidRPr="008B63B1">
                    <w:rPr>
                      <w:rFonts w:ascii="GHEA Grapalat" w:eastAsia="Times New Roman" w:hAnsi="GHEA Grapalat" w:cs="Times New Roman"/>
                      <w:i/>
                      <w:color w:val="A6A6A6"/>
                      <w:sz w:val="18"/>
                    </w:rPr>
                    <w:t xml:space="preserve">Աղբյուրը՝ ՀՀ ՎԿ </w:t>
                  </w:r>
                </w:p>
              </w:tc>
            </w:tr>
            <w:tr w:rsidR="00507805" w:rsidRPr="003612ED" w14:paraId="3699F0FD" w14:textId="77777777" w:rsidTr="00873AE6">
              <w:trPr>
                <w:trHeight w:val="3672"/>
              </w:trPr>
              <w:tc>
                <w:tcPr>
                  <w:tcW w:w="4836" w:type="dxa"/>
                  <w:hideMark/>
                </w:tcPr>
                <w:p w14:paraId="7EC9BA7F" w14:textId="77777777" w:rsidR="00507805" w:rsidRPr="001D56CB" w:rsidRDefault="00507805" w:rsidP="001D56CB">
                  <w:pPr>
                    <w:pStyle w:val="Charts"/>
                    <w:ind w:right="-22"/>
                    <w:rPr>
                      <w:b w:val="0"/>
                      <w:bCs/>
                      <w:color w:val="auto"/>
                      <w:sz w:val="20"/>
                      <w:szCs w:val="18"/>
                    </w:rPr>
                  </w:pPr>
                  <w:r w:rsidRPr="001D56CB">
                    <w:rPr>
                      <w:b w:val="0"/>
                      <w:bCs/>
                      <w:noProof/>
                      <w:color w:val="auto"/>
                      <w:sz w:val="20"/>
                      <w:szCs w:val="18"/>
                      <w:lang w:val="en-US"/>
                    </w:rPr>
                    <w:drawing>
                      <wp:anchor distT="0" distB="0" distL="114300" distR="114300" simplePos="0" relativeHeight="251750400" behindDoc="0" locked="0" layoutInCell="1" allowOverlap="1" wp14:anchorId="2D493C4F" wp14:editId="6D9B7F88">
                        <wp:simplePos x="0" y="0"/>
                        <wp:positionH relativeFrom="column">
                          <wp:posOffset>0</wp:posOffset>
                        </wp:positionH>
                        <wp:positionV relativeFrom="paragraph">
                          <wp:posOffset>742950</wp:posOffset>
                        </wp:positionV>
                        <wp:extent cx="2926080" cy="1645920"/>
                        <wp:effectExtent l="0" t="0" r="0" b="0"/>
                        <wp:wrapTopAndBottom/>
                        <wp:docPr id="1545876436" name="Chart 15458764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Pr="001D56CB">
                    <w:rPr>
                      <w:b w:val="0"/>
                      <w:bCs/>
                      <w:color w:val="auto"/>
                      <w:sz w:val="20"/>
                      <w:szCs w:val="18"/>
                    </w:rPr>
                    <w:t>Գծապատկեր 1.12. Տնտեսության ճյուղերի նպաստումները ՏԱՑ-ին (կուտակային, տ.կ.)</w:t>
                  </w:r>
                  <w:r w:rsidRPr="001D56CB">
                    <w:rPr>
                      <w:b w:val="0"/>
                      <w:bCs/>
                      <w:color w:val="auto"/>
                      <w:sz w:val="20"/>
                      <w:szCs w:val="18"/>
                    </w:rPr>
                    <w:footnoteReference w:id="13"/>
                  </w:r>
                  <w:r w:rsidRPr="001D56CB">
                    <w:rPr>
                      <w:b w:val="0"/>
                      <w:bCs/>
                      <w:color w:val="auto"/>
                      <w:sz w:val="20"/>
                      <w:szCs w:val="18"/>
                    </w:rPr>
                    <w:t xml:space="preserve"> </w:t>
                  </w:r>
                </w:p>
                <w:p w14:paraId="1C0498A8" w14:textId="77777777" w:rsidR="00507805" w:rsidRPr="001D56CB" w:rsidRDefault="00507805" w:rsidP="00082769">
                  <w:pPr>
                    <w:jc w:val="both"/>
                    <w:rPr>
                      <w:rFonts w:ascii="GHEA Grapalat" w:hAnsi="GHEA Grapalat"/>
                      <w:bCs/>
                      <w:color w:val="auto"/>
                      <w:sz w:val="20"/>
                      <w:szCs w:val="18"/>
                      <w:lang w:val="hy-AM"/>
                    </w:rPr>
                  </w:pPr>
                </w:p>
                <w:p w14:paraId="7761204C" w14:textId="77777777" w:rsidR="00507805" w:rsidRPr="001D56CB" w:rsidRDefault="00507805" w:rsidP="00082769">
                  <w:pPr>
                    <w:rPr>
                      <w:rFonts w:ascii="GHEA Grapalat" w:hAnsi="GHEA Grapalat"/>
                      <w:bCs/>
                      <w:color w:val="auto"/>
                      <w:sz w:val="20"/>
                      <w:szCs w:val="18"/>
                      <w:lang w:val="hy-AM"/>
                    </w:rPr>
                  </w:pPr>
                  <w:r w:rsidRPr="001D56CB">
                    <w:rPr>
                      <w:rFonts w:ascii="GHEA Grapalat" w:hAnsi="GHEA Grapalat"/>
                      <w:bCs/>
                      <w:color w:val="auto"/>
                      <w:sz w:val="20"/>
                      <w:szCs w:val="18"/>
                      <w:lang w:val="hy-AM"/>
                    </w:rPr>
                    <w:t xml:space="preserve">Աղբյուրը՝ ՀՀ ՎԿ, ՀՀ ՖՆ հաշվարկներ </w:t>
                  </w:r>
                </w:p>
              </w:tc>
              <w:tc>
                <w:tcPr>
                  <w:tcW w:w="4321" w:type="dxa"/>
                  <w:hideMark/>
                </w:tcPr>
                <w:p w14:paraId="6420F772" w14:textId="2C5F7FA2" w:rsidR="00507805" w:rsidRPr="008B63B1" w:rsidRDefault="001D56CB" w:rsidP="001D56CB">
                  <w:pPr>
                    <w:pStyle w:val="Charts"/>
                    <w:ind w:right="-22"/>
                    <w:rPr>
                      <w:rFonts w:eastAsia="Times New Roman" w:cs="Times New Roman"/>
                      <w:b w:val="0"/>
                      <w:color w:val="404040"/>
                      <w:sz w:val="20"/>
                    </w:rPr>
                  </w:pPr>
                  <w:r w:rsidRPr="001D56CB">
                    <w:rPr>
                      <w:b w:val="0"/>
                      <w:bCs/>
                      <w:noProof/>
                      <w:color w:val="auto"/>
                      <w:sz w:val="20"/>
                      <w:szCs w:val="18"/>
                      <w:lang w:val="en-US"/>
                    </w:rPr>
                    <w:drawing>
                      <wp:anchor distT="0" distB="0" distL="114300" distR="114300" simplePos="0" relativeHeight="251751424" behindDoc="0" locked="0" layoutInCell="1" allowOverlap="1" wp14:anchorId="017886A3" wp14:editId="13FF2533">
                        <wp:simplePos x="0" y="0"/>
                        <wp:positionH relativeFrom="column">
                          <wp:posOffset>-2540</wp:posOffset>
                        </wp:positionH>
                        <wp:positionV relativeFrom="paragraph">
                          <wp:posOffset>875030</wp:posOffset>
                        </wp:positionV>
                        <wp:extent cx="2926080" cy="1645920"/>
                        <wp:effectExtent l="0" t="0" r="0" b="0"/>
                        <wp:wrapTopAndBottom/>
                        <wp:docPr id="1545876437" name="Chart 15458764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sidR="00507805" w:rsidRPr="001D56CB">
                    <w:rPr>
                      <w:b w:val="0"/>
                      <w:bCs/>
                      <w:color w:val="auto"/>
                      <w:sz w:val="20"/>
                      <w:szCs w:val="18"/>
                    </w:rPr>
                    <w:t>Գծապատկեր</w:t>
                  </w:r>
                  <w:r w:rsidR="00507805" w:rsidRPr="008B63B1">
                    <w:rPr>
                      <w:rFonts w:eastAsia="Times New Roman" w:cs="Times New Roman"/>
                      <w:bCs/>
                      <w:color w:val="5B9BD5"/>
                      <w:sz w:val="18"/>
                      <w:szCs w:val="18"/>
                      <w:lang w:eastAsia="ru-RU"/>
                    </w:rPr>
                    <w:t xml:space="preserve"> </w:t>
                  </w:r>
                  <w:r w:rsidR="00507805" w:rsidRPr="001D56CB">
                    <w:rPr>
                      <w:b w:val="0"/>
                      <w:bCs/>
                      <w:color w:val="auto"/>
                      <w:sz w:val="20"/>
                      <w:szCs w:val="18"/>
                    </w:rPr>
                    <w:t xml:space="preserve">1.13. Տնտեսության ճյուղերի նպաստումները ՏԱՑ-ին նախորդ տարվա նույն ամսվա նկատմամբ (ամսական, տ.կ.) </w:t>
                  </w:r>
                  <w:r w:rsidR="00507805" w:rsidRPr="001D56CB">
                    <w:rPr>
                      <w:b w:val="0"/>
                      <w:bCs/>
                      <w:color w:val="auto"/>
                      <w:sz w:val="20"/>
                      <w:szCs w:val="18"/>
                    </w:rPr>
                    <w:footnoteReference w:id="14"/>
                  </w:r>
                </w:p>
                <w:p w14:paraId="31820F18" w14:textId="75FA26AD" w:rsidR="001D56CB" w:rsidRDefault="001D56CB" w:rsidP="00082769">
                  <w:pPr>
                    <w:rPr>
                      <w:rFonts w:ascii="GHEA Grapalat" w:eastAsia="Times New Roman" w:hAnsi="GHEA Grapalat" w:cs="Times New Roman"/>
                      <w:i/>
                      <w:color w:val="A6A6A6"/>
                      <w:sz w:val="18"/>
                      <w:lang w:val="hy-AM"/>
                    </w:rPr>
                  </w:pPr>
                </w:p>
                <w:p w14:paraId="5FC1C9B9" w14:textId="7B9C0B04" w:rsidR="00507805" w:rsidRPr="001D56CB" w:rsidRDefault="00507805" w:rsidP="00082769">
                  <w:pPr>
                    <w:rPr>
                      <w:rFonts w:ascii="GHEA Grapalat" w:eastAsia="Times New Roman" w:hAnsi="GHEA Grapalat" w:cs="Times New Roman"/>
                      <w:i/>
                      <w:color w:val="A6A6A6"/>
                      <w:sz w:val="18"/>
                      <w:lang w:val="hy-AM"/>
                    </w:rPr>
                  </w:pPr>
                  <w:r w:rsidRPr="001D56CB">
                    <w:rPr>
                      <w:rFonts w:ascii="GHEA Grapalat" w:eastAsia="Times New Roman" w:hAnsi="GHEA Grapalat" w:cs="Times New Roman"/>
                      <w:i/>
                      <w:color w:val="A6A6A6"/>
                      <w:sz w:val="18"/>
                      <w:lang w:val="hy-AM"/>
                    </w:rPr>
                    <w:t>Աղբյուրը՝ ՀՀ ՎԿ, ՀՀ ՖՆ հաշվարկներ</w:t>
                  </w:r>
                </w:p>
                <w:p w14:paraId="28649AF8" w14:textId="77777777" w:rsidR="00507805" w:rsidRPr="001D56CB" w:rsidRDefault="00507805" w:rsidP="00082769">
                  <w:pPr>
                    <w:ind w:right="-403"/>
                    <w:rPr>
                      <w:rFonts w:ascii="GHEA Grapalat" w:eastAsia="Times New Roman" w:hAnsi="GHEA Grapalat" w:cs="Times New Roman"/>
                      <w:i/>
                      <w:color w:val="A6A6A6"/>
                      <w:sz w:val="18"/>
                      <w:lang w:val="hy-AM"/>
                    </w:rPr>
                  </w:pPr>
                </w:p>
              </w:tc>
            </w:tr>
          </w:tbl>
          <w:p w14:paraId="4ABEEC08" w14:textId="77777777" w:rsidR="00507805" w:rsidRPr="001D56CB" w:rsidRDefault="00507805" w:rsidP="00082769">
            <w:pPr>
              <w:jc w:val="right"/>
              <w:rPr>
                <w:rFonts w:ascii="GHEA Grapalat" w:eastAsia="Times New Roman" w:hAnsi="GHEA Grapalat" w:cs="Times New Roman"/>
                <w:i/>
                <w:color w:val="A6A6A6"/>
                <w:sz w:val="18"/>
                <w:lang w:val="hy-AM"/>
              </w:rPr>
            </w:pPr>
          </w:p>
        </w:tc>
        <w:tc>
          <w:tcPr>
            <w:tcW w:w="222" w:type="dxa"/>
          </w:tcPr>
          <w:p w14:paraId="1971CBBF" w14:textId="77777777" w:rsidR="00507805" w:rsidRPr="001D56CB" w:rsidRDefault="00507805" w:rsidP="00082769">
            <w:pPr>
              <w:jc w:val="right"/>
              <w:rPr>
                <w:rFonts w:ascii="GHEA Grapalat" w:eastAsia="Times New Roman" w:hAnsi="GHEA Grapalat" w:cs="Times New Roman"/>
                <w:i/>
                <w:color w:val="A6A6A6"/>
                <w:sz w:val="18"/>
                <w:lang w:val="hy-AM"/>
              </w:rPr>
            </w:pPr>
          </w:p>
        </w:tc>
      </w:tr>
      <w:tr w:rsidR="00507805" w:rsidRPr="003612ED" w14:paraId="167FB265" w14:textId="77777777" w:rsidTr="00873AE6">
        <w:trPr>
          <w:trHeight w:val="80"/>
        </w:trPr>
        <w:tc>
          <w:tcPr>
            <w:tcW w:w="9888" w:type="dxa"/>
          </w:tcPr>
          <w:p w14:paraId="0DE1B978" w14:textId="77777777" w:rsidR="00507805" w:rsidRPr="001D56CB" w:rsidRDefault="00507805" w:rsidP="00082769">
            <w:pPr>
              <w:ind w:right="-124"/>
              <w:jc w:val="right"/>
              <w:rPr>
                <w:rFonts w:ascii="GHEA Grapalat" w:eastAsia="Times New Roman" w:hAnsi="GHEA Grapalat" w:cs="Times New Roman"/>
                <w:i/>
                <w:color w:val="A6A6A6"/>
                <w:sz w:val="18"/>
                <w:lang w:val="hy-AM"/>
              </w:rPr>
            </w:pPr>
          </w:p>
        </w:tc>
        <w:tc>
          <w:tcPr>
            <w:tcW w:w="222" w:type="dxa"/>
          </w:tcPr>
          <w:p w14:paraId="2794E771" w14:textId="77777777" w:rsidR="00507805" w:rsidRPr="001D56CB" w:rsidRDefault="00507805" w:rsidP="00082769">
            <w:pPr>
              <w:jc w:val="right"/>
              <w:rPr>
                <w:rFonts w:ascii="GHEA Grapalat" w:eastAsia="Times New Roman" w:hAnsi="GHEA Grapalat" w:cs="Times New Roman"/>
                <w:i/>
                <w:color w:val="A6A6A6"/>
                <w:sz w:val="18"/>
                <w:lang w:val="hy-AM"/>
              </w:rPr>
            </w:pPr>
          </w:p>
        </w:tc>
      </w:tr>
    </w:tbl>
    <w:p w14:paraId="3BEB8616" w14:textId="77777777" w:rsidR="00507805" w:rsidRPr="008B63B1" w:rsidRDefault="00507805" w:rsidP="00082769">
      <w:pPr>
        <w:jc w:val="both"/>
        <w:rPr>
          <w:rFonts w:ascii="GHEA Grapalat" w:eastAsia="Times New Roman" w:hAnsi="GHEA Grapalat" w:cs="Times New Roman"/>
          <w:color w:val="404040"/>
          <w:szCs w:val="20"/>
          <w:lang w:val="hy-AM" w:eastAsia="ru-RU"/>
        </w:rPr>
      </w:pPr>
      <w:r w:rsidRPr="0010028E">
        <w:rPr>
          <w:rFonts w:ascii="GHEA Grapalat" w:eastAsia="Times New Roman" w:hAnsi="GHEA Grapalat" w:cs="Times New Roman"/>
          <w:b/>
          <w:color w:val="404040"/>
          <w:lang w:val="hy-AM"/>
        </w:rPr>
        <w:t>Ներքին պահանջարկի աճը շարունակվել է նաև 2026 թվականի առաջին կիսամյակ</w:t>
      </w:r>
      <w:r w:rsidRPr="008B63B1">
        <w:rPr>
          <w:rFonts w:ascii="GHEA Grapalat" w:eastAsia="Times New Roman" w:hAnsi="GHEA Grapalat" w:cs="Times New Roman"/>
          <w:b/>
          <w:color w:val="404040"/>
          <w:lang w:val="hy-AM"/>
        </w:rPr>
        <w:t>ի ընթացքում</w:t>
      </w:r>
      <w:r w:rsidRPr="0010028E">
        <w:rPr>
          <w:rFonts w:ascii="GHEA Grapalat" w:eastAsia="Times New Roman" w:hAnsi="GHEA Grapalat" w:cs="Times New Roman"/>
          <w:b/>
          <w:color w:val="404040"/>
          <w:lang w:val="hy-AM"/>
        </w:rPr>
        <w:t xml:space="preserve">։ </w:t>
      </w:r>
      <w:r w:rsidRPr="0010028E">
        <w:rPr>
          <w:rFonts w:ascii="GHEA Grapalat" w:eastAsia="Times New Roman" w:hAnsi="GHEA Grapalat" w:cs="Times New Roman"/>
          <w:color w:val="404040"/>
          <w:lang w:val="hy-AM"/>
        </w:rPr>
        <w:t xml:space="preserve">Տնտեսական աճը պայմանավորված է եղել հիմնականում </w:t>
      </w:r>
      <w:r w:rsidRPr="008B63B1">
        <w:rPr>
          <w:rFonts w:ascii="GHEA Grapalat" w:eastAsia="Times New Roman" w:hAnsi="GHEA Grapalat" w:cs="Times New Roman"/>
          <w:color w:val="404040"/>
          <w:lang w:val="hy-AM"/>
        </w:rPr>
        <w:t xml:space="preserve">ներքին </w:t>
      </w:r>
      <w:r w:rsidRPr="0010028E">
        <w:rPr>
          <w:rFonts w:ascii="GHEA Grapalat" w:eastAsia="Times New Roman" w:hAnsi="GHEA Grapalat" w:cs="Times New Roman"/>
          <w:color w:val="404040"/>
          <w:lang w:val="hy-AM"/>
        </w:rPr>
        <w:t xml:space="preserve">մասնավոր </w:t>
      </w:r>
      <w:r w:rsidRPr="008B63B1">
        <w:rPr>
          <w:rFonts w:ascii="GHEA Grapalat" w:eastAsia="Times New Roman" w:hAnsi="GHEA Grapalat" w:cs="Times New Roman"/>
          <w:color w:val="404040"/>
          <w:lang w:val="hy-AM"/>
        </w:rPr>
        <w:t xml:space="preserve">պահանջարկի </w:t>
      </w:r>
      <w:r w:rsidRPr="0010028E">
        <w:rPr>
          <w:rFonts w:ascii="GHEA Grapalat" w:eastAsia="Times New Roman" w:hAnsi="GHEA Grapalat" w:cs="Times New Roman"/>
          <w:color w:val="404040"/>
          <w:lang w:val="hy-AM"/>
        </w:rPr>
        <w:t xml:space="preserve">(սպառման և ներդրումների) աճով։ Պետական սպառումը նույնպես դրական է նպաստել ներքին պահանջարկի աճին, մինչդեռ պետական ներդրումների նվազումը </w:t>
      </w:r>
      <w:r w:rsidRPr="008B63B1">
        <w:rPr>
          <w:rFonts w:ascii="GHEA Grapalat" w:eastAsia="Times New Roman" w:hAnsi="GHEA Grapalat" w:cs="Times New Roman"/>
          <w:color w:val="404040"/>
          <w:lang w:val="hy-AM"/>
        </w:rPr>
        <w:t>հակազդ</w:t>
      </w:r>
      <w:r w:rsidRPr="0010028E">
        <w:rPr>
          <w:rFonts w:ascii="GHEA Grapalat" w:eastAsia="Times New Roman" w:hAnsi="GHEA Grapalat" w:cs="Times New Roman"/>
          <w:color w:val="404040"/>
          <w:lang w:val="hy-AM"/>
        </w:rPr>
        <w:t xml:space="preserve">ել է </w:t>
      </w:r>
      <w:r w:rsidRPr="008B63B1">
        <w:rPr>
          <w:rFonts w:ascii="GHEA Grapalat" w:eastAsia="Times New Roman" w:hAnsi="GHEA Grapalat" w:cs="Times New Roman"/>
          <w:color w:val="404040"/>
          <w:lang w:val="hy-AM"/>
        </w:rPr>
        <w:t>ներքին պահանջարկի աճին</w:t>
      </w:r>
      <w:r w:rsidRPr="0010028E">
        <w:rPr>
          <w:rFonts w:ascii="GHEA Grapalat" w:eastAsia="Times New Roman" w:hAnsi="GHEA Grapalat" w:cs="Times New Roman"/>
          <w:color w:val="404040"/>
          <w:lang w:val="hy-AM"/>
        </w:rPr>
        <w:t xml:space="preserve">։ Նույն ժամանակահատվածում գրանցվել են արտահանման և ներմուծման </w:t>
      </w:r>
      <w:r w:rsidRPr="008B63B1">
        <w:rPr>
          <w:rFonts w:ascii="GHEA Grapalat" w:eastAsia="Times New Roman" w:hAnsi="GHEA Grapalat" w:cs="Times New Roman"/>
          <w:color w:val="404040"/>
          <w:lang w:val="hy-AM"/>
        </w:rPr>
        <w:t>նվազումներ՝ պայմանավորված վերամշակման և վերաարտահանման նպատակով ներմուծված թանկարժեք մետաղների գործոնի որոշակի չեզոքացմամբ: Արտահանման նվազման գործոններից են եղել նաև հայկական ծագման որոշակի ապրանքատեսակների արտահանման խոչընդոտները: Սակայն</w:t>
      </w:r>
      <w:r w:rsidRPr="0010028E">
        <w:rPr>
          <w:rFonts w:ascii="GHEA Grapalat" w:eastAsia="Times New Roman" w:hAnsi="GHEA Grapalat" w:cs="Times New Roman"/>
          <w:color w:val="404040"/>
          <w:lang w:val="hy-AM"/>
        </w:rPr>
        <w:t xml:space="preserve"> </w:t>
      </w:r>
      <w:r w:rsidRPr="0010028E">
        <w:rPr>
          <w:rFonts w:ascii="GHEA Grapalat" w:eastAsia="Times New Roman" w:hAnsi="GHEA Grapalat" w:cs="Times New Roman"/>
          <w:color w:val="404040"/>
          <w:szCs w:val="20"/>
          <w:lang w:val="hy-AM"/>
        </w:rPr>
        <w:t>զուտ արտահանում</w:t>
      </w:r>
      <w:r w:rsidRPr="008B63B1">
        <w:rPr>
          <w:rFonts w:ascii="GHEA Grapalat" w:eastAsia="Times New Roman" w:hAnsi="GHEA Grapalat" w:cs="Times New Roman"/>
          <w:color w:val="404040"/>
          <w:szCs w:val="20"/>
          <w:lang w:val="hy-AM"/>
        </w:rPr>
        <w:t>ը</w:t>
      </w:r>
      <w:r w:rsidRPr="0010028E">
        <w:rPr>
          <w:rFonts w:ascii="GHEA Grapalat" w:eastAsia="Times New Roman" w:hAnsi="GHEA Grapalat" w:cs="Times New Roman"/>
          <w:color w:val="404040"/>
          <w:szCs w:val="20"/>
          <w:lang w:val="hy-AM"/>
        </w:rPr>
        <w:t xml:space="preserve"> </w:t>
      </w:r>
      <w:r w:rsidRPr="008B63B1">
        <w:rPr>
          <w:rFonts w:ascii="GHEA Grapalat" w:eastAsia="Times New Roman" w:hAnsi="GHEA Grapalat" w:cs="Times New Roman"/>
          <w:color w:val="404040"/>
          <w:szCs w:val="20"/>
          <w:lang w:val="hy-AM"/>
        </w:rPr>
        <w:t>դր</w:t>
      </w:r>
      <w:r w:rsidRPr="0010028E">
        <w:rPr>
          <w:rFonts w:ascii="GHEA Grapalat" w:eastAsia="Times New Roman" w:hAnsi="GHEA Grapalat" w:cs="Times New Roman"/>
          <w:color w:val="404040"/>
          <w:szCs w:val="20"/>
          <w:lang w:val="hy-AM"/>
        </w:rPr>
        <w:t xml:space="preserve">ական նպաստում </w:t>
      </w:r>
      <w:r w:rsidRPr="008B63B1">
        <w:rPr>
          <w:rFonts w:ascii="GHEA Grapalat" w:eastAsia="Times New Roman" w:hAnsi="GHEA Grapalat" w:cs="Times New Roman"/>
          <w:color w:val="404040"/>
          <w:szCs w:val="20"/>
          <w:lang w:val="hy-AM"/>
        </w:rPr>
        <w:t xml:space="preserve">է ունեցել </w:t>
      </w:r>
      <w:r w:rsidRPr="0010028E">
        <w:rPr>
          <w:rFonts w:ascii="GHEA Grapalat" w:eastAsia="Times New Roman" w:hAnsi="GHEA Grapalat" w:cs="Times New Roman"/>
          <w:color w:val="404040"/>
          <w:szCs w:val="20"/>
          <w:lang w:val="hy-AM"/>
        </w:rPr>
        <w:t>ՀՆԱ-ի իրական աճին:</w:t>
      </w:r>
    </w:p>
    <w:p w14:paraId="5583D913"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Տնտեսության ներքին պահանջարկի աճի միտումները շարունակվել են նաև հուլիս-օգոստոսին՝ պայմանավորված տնօրինվող եկամտի, հիփոթեքային և սպառողական վարկավորման աճերով: Սպառման և ներդրումների աճերի մասին են վկայում ծառայությունների և շինարարության թողարկումների շարունակվող աճերը:</w:t>
      </w:r>
    </w:p>
    <w:p w14:paraId="3E2B9B00" w14:textId="77777777" w:rsidR="00507805" w:rsidRPr="008B63B1" w:rsidRDefault="00507805" w:rsidP="00082769">
      <w:pPr>
        <w:pBdr>
          <w:bottom w:val="single" w:sz="8" w:space="1" w:color="E1E1E3"/>
        </w:pBd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Կանխատեսում</w:t>
      </w:r>
    </w:p>
    <w:p w14:paraId="29E61476"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color w:val="404040"/>
          <w:szCs w:val="20"/>
          <w:lang w:val="hy-AM"/>
        </w:rPr>
        <w:t>Ընթացիկ տնտեսական զարգացումների պայմաններում 2026 թվականի համար սպասվում է շուրջ 5.6% տնտեսական աճ: Պետական կապիտալ ծախսերի դերի պահպանման, Ամուլսարի նախատեսված ծավալներով շահագործման, ինչպես նաև կառուցվածքային բարեփոխումների (առավել մանրամասն տե՛ս 1</w:t>
      </w:r>
      <w:r w:rsidRPr="008B63B1">
        <w:rPr>
          <w:rFonts w:ascii="Cambria Math" w:eastAsia="Times New Roman" w:hAnsi="Cambria Math" w:cs="Cambria Math"/>
          <w:b/>
          <w:color w:val="404040"/>
          <w:szCs w:val="20"/>
          <w:lang w:val="hy-AM"/>
        </w:rPr>
        <w:t>․</w:t>
      </w:r>
      <w:r w:rsidRPr="008B63B1">
        <w:rPr>
          <w:rFonts w:ascii="GHEA Grapalat" w:eastAsia="Times New Roman" w:hAnsi="GHEA Grapalat" w:cs="Times New Roman"/>
          <w:b/>
          <w:color w:val="404040"/>
          <w:szCs w:val="20"/>
          <w:lang w:val="hy-AM"/>
        </w:rPr>
        <w:t xml:space="preserve">4 բաժնում) հնարավոր ազդեցությունների արդյունքում 2027 թվականի համար կանխատեսվում է շուրջ 5.8% տնտեսական աճ, իսկ 2028 և 2029 թվականների համար՝ համապատասխանաբար՝ 6.1% և 5.9%: 2026 և 2027 թվականներին, ինչպես նաև միջնաժամկետում տնտեսական աճը պայմանավորված կլինի հիմնականում ծառայությունների աճով: </w:t>
      </w:r>
      <w:r w:rsidRPr="008B63B1">
        <w:rPr>
          <w:rFonts w:ascii="GHEA Grapalat" w:eastAsia="Times New Roman" w:hAnsi="GHEA Grapalat" w:cs="Times New Roman"/>
          <w:color w:val="404040"/>
          <w:szCs w:val="20"/>
          <w:lang w:val="hy-AM"/>
        </w:rPr>
        <w:t>Տնտեսական աճին իրենց նպաստումը կունենան նաև արդյունաբերության և շինարարության ճյուղերի աճերը, ինչը համահունչ է կառավարության նպատակադրած արտահանման խթանման և ներդրումային միջավայրի բարելավմանն ուղղված քաղաքականություններին: Գյուղատնտեսությունը 2026 թվականին կնվազի, սակայն 2027 թվականին և միջնաժամկետում կաճի՝ դրական ազդեցություն ունենալով տնտեսական աճի վրա: Ամբողջական պահանջարկը նույնպես կաճի՝ հիմնականում պայմանավորված ներքին սպառողական և ներդրումային պահանջարկի աճով:</w:t>
      </w:r>
    </w:p>
    <w:p w14:paraId="7AABB4F3"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bCs/>
          <w:color w:val="404040"/>
          <w:szCs w:val="20"/>
          <w:lang w:val="hy-AM"/>
        </w:rPr>
        <w:t>2026 և 2027 թվականներին, ինչպես նաև 2028-2029 թվականներին ՀՆԱ-ի դեֆլյատորը կաճի՝ պայմանավորված ՍԳԻ-ի և ապրանքների միջազգային գների զարգացումներով</w:t>
      </w:r>
      <w:r w:rsidRPr="008B63B1">
        <w:rPr>
          <w:rFonts w:ascii="GHEA Grapalat" w:eastAsia="Times New Roman" w:hAnsi="GHEA Grapalat" w:cs="Times New Roman"/>
          <w:color w:val="404040"/>
          <w:szCs w:val="20"/>
          <w:lang w:val="hy-AM"/>
        </w:rPr>
        <w:t>:</w:t>
      </w:r>
    </w:p>
    <w:p w14:paraId="2849D66C" w14:textId="77777777" w:rsidR="00507805" w:rsidRPr="008B63B1" w:rsidRDefault="00507805" w:rsidP="00082769">
      <w:pPr>
        <w:jc w:val="both"/>
        <w:rPr>
          <w:rFonts w:ascii="GHEA Grapalat" w:eastAsia="Times New Roman" w:hAnsi="GHEA Grapalat" w:cs="Times New Roman"/>
          <w:color w:val="404040"/>
          <w:szCs w:val="20"/>
          <w:highlight w:val="yellow"/>
          <w:lang w:val="hy-AM"/>
        </w:rPr>
      </w:pPr>
      <w:r w:rsidRPr="008B63B1">
        <w:rPr>
          <w:rFonts w:ascii="GHEA Grapalat" w:eastAsia="Times New Roman" w:hAnsi="GHEA Grapalat" w:cs="Times New Roman"/>
          <w:color w:val="404040"/>
          <w:szCs w:val="20"/>
          <w:lang w:val="hy-AM"/>
        </w:rPr>
        <w:t>Վերոնշյալ զարգացումների պայմաններում անվանական ՀՆԱ-ն 2026 թվականին կկազմի 12,465.1 մլրդ ՀՀ դրամ՝ 131.9 մլրդ ՀՀ դրամով ավել լինելով 2027-2029թթ. ՄԺԾԾ-ով կանխատեսվող և 531.4 մլրդ ՀՀ դրամով ավել` 2026 թվականի բյուջեով ծրագրված ցուցանիշից: Իսկ 2027 թվականին անվանական ՀՆԱ-ն կկազմի 13,613.9 մլրդ ՀՀ դրամ՝ շուրջ 198.1 մլրդ ՀՀ դրամով ավել լինելով 2027-2029 թվականների ՄԺԾԾ-ով կանխատեսվող ցուցանիշից: 2028-2029 թվականներին անվանական ՀՆԱ-ն կաճի միջինում 9.2%-ով՝ 2029 թվականին հասնելով 16,234.0 մլրդ ՀՀ դրամի։</w:t>
      </w:r>
      <w:r w:rsidRPr="008B63B1">
        <w:rPr>
          <w:rFonts w:ascii="GHEA Grapalat" w:eastAsia="Times New Roman" w:hAnsi="GHEA Grapalat" w:cs="Times New Roman"/>
          <w:color w:val="404040"/>
          <w:szCs w:val="20"/>
          <w:highlight w:val="yellow"/>
          <w:lang w:val="hy-AM"/>
        </w:rPr>
        <w:t xml:space="preserve"> </w:t>
      </w:r>
    </w:p>
    <w:p w14:paraId="33B3C8B9" w14:textId="77777777" w:rsidR="00507805" w:rsidRPr="001D56CB" w:rsidRDefault="00507805" w:rsidP="00082769">
      <w:pPr>
        <w:spacing w:before="360" w:line="240" w:lineRule="auto"/>
        <w:jc w:val="both"/>
        <w:rPr>
          <w:rFonts w:ascii="GHEA Grapalat" w:hAnsi="GHEA Grapalat"/>
          <w:bCs/>
          <w:color w:val="auto"/>
          <w:sz w:val="20"/>
          <w:szCs w:val="18"/>
          <w:lang w:val="hy-AM"/>
        </w:rPr>
      </w:pPr>
      <w:bookmarkStart w:id="184" w:name="_Toc178595131"/>
      <w:r w:rsidRPr="001D56CB">
        <w:rPr>
          <w:rFonts w:ascii="GHEA Grapalat" w:hAnsi="GHEA Grapalat"/>
          <w:bCs/>
          <w:noProof/>
          <w:color w:val="auto"/>
          <w:sz w:val="20"/>
          <w:szCs w:val="18"/>
        </w:rPr>
        <w:drawing>
          <wp:anchor distT="0" distB="0" distL="114300" distR="114300" simplePos="0" relativeHeight="251740160" behindDoc="0" locked="0" layoutInCell="1" allowOverlap="1" wp14:anchorId="1532C227" wp14:editId="574F0767">
            <wp:simplePos x="0" y="0"/>
            <wp:positionH relativeFrom="margin">
              <wp:align>left</wp:align>
            </wp:positionH>
            <wp:positionV relativeFrom="paragraph">
              <wp:posOffset>412888</wp:posOffset>
            </wp:positionV>
            <wp:extent cx="6392545" cy="2004060"/>
            <wp:effectExtent l="0" t="0" r="0" b="0"/>
            <wp:wrapSquare wrapText="bothSides"/>
            <wp:docPr id="1545876438" name="Chart 15458764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Pr="001D56CB">
        <w:rPr>
          <w:rFonts w:ascii="GHEA Grapalat" w:hAnsi="GHEA Grapalat"/>
          <w:bCs/>
          <w:color w:val="auto"/>
          <w:sz w:val="20"/>
          <w:szCs w:val="18"/>
          <w:lang w:val="hy-AM"/>
        </w:rPr>
        <w:t>Գծապատկեր 1.14. Անվանական ՀՆԱ և տնտեսական աճ</w:t>
      </w:r>
      <w:bookmarkEnd w:id="184"/>
    </w:p>
    <w:p w14:paraId="132832BB" w14:textId="77777777" w:rsidR="00507805" w:rsidRPr="008B63B1" w:rsidRDefault="00507805" w:rsidP="00082769">
      <w:pPr>
        <w:jc w:val="right"/>
        <w:rPr>
          <w:rFonts w:ascii="GHEA Grapalat" w:eastAsia="Times New Roman" w:hAnsi="GHEA Grapalat" w:cs="Times New Roman"/>
          <w:i/>
          <w:color w:val="A6A6A6"/>
          <w:sz w:val="18"/>
          <w:lang w:val="hy-AM"/>
        </w:rPr>
      </w:pPr>
      <w:r w:rsidRPr="008B63B1">
        <w:rPr>
          <w:rFonts w:ascii="GHEA Grapalat" w:eastAsia="Times New Roman" w:hAnsi="GHEA Grapalat" w:cs="Times New Roman"/>
          <w:i/>
          <w:color w:val="A6A6A6"/>
          <w:sz w:val="18"/>
          <w:lang w:val="hy-AM"/>
        </w:rPr>
        <w:t>Աղբյուրը՝ ՀՀ ՎԿ, ՀՀ ՖՆ հաշվարկներ և կանխատեսումներ</w:t>
      </w:r>
      <w:r w:rsidRPr="008B63B1">
        <w:rPr>
          <w:rFonts w:ascii="GHEA Grapalat" w:eastAsia="Times New Roman" w:hAnsi="GHEA Grapalat" w:cs="Times New Roman"/>
          <w:i/>
          <w:noProof/>
          <w:color w:val="A6A6A6"/>
          <w:sz w:val="18"/>
          <w:lang w:val="hy-AM"/>
        </w:rPr>
        <w:t xml:space="preserve"> </w:t>
      </w:r>
    </w:p>
    <w:tbl>
      <w:tblPr>
        <w:tblW w:w="0" w:type="auto"/>
        <w:tblLook w:val="04A0" w:firstRow="1" w:lastRow="0" w:firstColumn="1" w:lastColumn="0" w:noHBand="0" w:noVBand="1"/>
      </w:tblPr>
      <w:tblGrid>
        <w:gridCol w:w="9876"/>
        <w:gridCol w:w="222"/>
      </w:tblGrid>
      <w:tr w:rsidR="00507805" w:rsidRPr="003612ED" w14:paraId="3A95748C" w14:textId="77777777" w:rsidTr="00873AE6">
        <w:trPr>
          <w:trHeight w:val="628"/>
        </w:trPr>
        <w:tc>
          <w:tcPr>
            <w:tcW w:w="9876" w:type="dxa"/>
          </w:tcPr>
          <w:p w14:paraId="082EFB64" w14:textId="77777777" w:rsidR="00507805" w:rsidRPr="006608A2" w:rsidRDefault="00507805" w:rsidP="00082769">
            <w:pPr>
              <w:rPr>
                <w:lang w:val="hy-AM"/>
              </w:rPr>
            </w:pPr>
          </w:p>
          <w:tbl>
            <w:tblPr>
              <w:tblW w:w="0" w:type="auto"/>
              <w:tblLook w:val="04A0" w:firstRow="1" w:lastRow="0" w:firstColumn="1" w:lastColumn="0" w:noHBand="0" w:noVBand="1"/>
            </w:tblPr>
            <w:tblGrid>
              <w:gridCol w:w="4824"/>
              <w:gridCol w:w="4836"/>
            </w:tblGrid>
            <w:tr w:rsidR="00507805" w:rsidRPr="003612ED" w14:paraId="19F73B46" w14:textId="77777777" w:rsidTr="00873AE6">
              <w:trPr>
                <w:trHeight w:val="628"/>
              </w:trPr>
              <w:tc>
                <w:tcPr>
                  <w:tcW w:w="4824" w:type="dxa"/>
                  <w:hideMark/>
                </w:tcPr>
                <w:p w14:paraId="0D6EDB6F" w14:textId="77777777" w:rsidR="00507805" w:rsidRPr="001D56CB" w:rsidRDefault="00507805" w:rsidP="00082769">
                  <w:pPr>
                    <w:spacing w:line="240" w:lineRule="auto"/>
                    <w:jc w:val="both"/>
                    <w:rPr>
                      <w:rFonts w:ascii="GHEA Grapalat" w:hAnsi="GHEA Grapalat"/>
                      <w:bCs/>
                      <w:color w:val="auto"/>
                      <w:sz w:val="20"/>
                      <w:szCs w:val="18"/>
                      <w:lang w:val="hy-AM"/>
                    </w:rPr>
                  </w:pPr>
                  <w:bookmarkStart w:id="185" w:name="_Toc178595132"/>
                  <w:r w:rsidRPr="001D56CB">
                    <w:rPr>
                      <w:rFonts w:ascii="GHEA Grapalat" w:hAnsi="GHEA Grapalat"/>
                      <w:bCs/>
                      <w:noProof/>
                      <w:color w:val="auto"/>
                      <w:sz w:val="20"/>
                      <w:szCs w:val="18"/>
                    </w:rPr>
                    <w:drawing>
                      <wp:anchor distT="0" distB="0" distL="114300" distR="114300" simplePos="0" relativeHeight="251741184" behindDoc="0" locked="0" layoutInCell="1" allowOverlap="1" wp14:anchorId="0DDBE994" wp14:editId="489C84D1">
                        <wp:simplePos x="0" y="0"/>
                        <wp:positionH relativeFrom="column">
                          <wp:posOffset>-64135</wp:posOffset>
                        </wp:positionH>
                        <wp:positionV relativeFrom="paragraph">
                          <wp:posOffset>436245</wp:posOffset>
                        </wp:positionV>
                        <wp:extent cx="2926080" cy="1760855"/>
                        <wp:effectExtent l="0" t="0" r="0" b="0"/>
                        <wp:wrapTopAndBottom/>
                        <wp:docPr id="1545876439" name="Chart 15458764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V relativeFrom="margin">
                          <wp14:pctHeight>0</wp14:pctHeight>
                        </wp14:sizeRelV>
                      </wp:anchor>
                    </w:drawing>
                  </w:r>
                  <w:r w:rsidRPr="001D56CB">
                    <w:rPr>
                      <w:rFonts w:ascii="GHEA Grapalat" w:hAnsi="GHEA Grapalat"/>
                      <w:bCs/>
                      <w:color w:val="auto"/>
                      <w:sz w:val="20"/>
                      <w:szCs w:val="18"/>
                      <w:lang w:val="hy-AM"/>
                    </w:rPr>
                    <w:t>Գծապատկեր 1.15. Տնտեսության առանձին ճյուղերի նպաստումները տնտեսական աճին</w:t>
                  </w:r>
                  <w:bookmarkEnd w:id="185"/>
                  <w:r w:rsidRPr="001D56CB">
                    <w:rPr>
                      <w:rFonts w:ascii="GHEA Grapalat" w:hAnsi="GHEA Grapalat"/>
                      <w:bCs/>
                      <w:color w:val="auto"/>
                      <w:sz w:val="20"/>
                      <w:szCs w:val="18"/>
                      <w:lang w:val="hy-AM"/>
                    </w:rPr>
                    <w:t xml:space="preserve"> </w:t>
                  </w:r>
                </w:p>
                <w:p w14:paraId="70E4FC53" w14:textId="77777777" w:rsidR="00507805" w:rsidRPr="008B63B1" w:rsidRDefault="00507805" w:rsidP="00082769">
                  <w:pPr>
                    <w:jc w:val="right"/>
                    <w:rPr>
                      <w:rFonts w:ascii="GHEA Grapalat" w:eastAsia="Times New Roman" w:hAnsi="GHEA Grapalat" w:cs="Times New Roman"/>
                      <w:i/>
                      <w:color w:val="A6A6A6"/>
                      <w:sz w:val="16"/>
                      <w:szCs w:val="16"/>
                      <w:highlight w:val="yellow"/>
                      <w:lang w:val="hy-AM"/>
                    </w:rPr>
                  </w:pPr>
                  <w:r w:rsidRPr="008B63B1">
                    <w:rPr>
                      <w:rFonts w:ascii="GHEA Grapalat" w:eastAsia="Times New Roman" w:hAnsi="GHEA Grapalat" w:cs="Times New Roman"/>
                      <w:i/>
                      <w:color w:val="A6A6A6"/>
                      <w:sz w:val="16"/>
                      <w:szCs w:val="16"/>
                      <w:lang w:val="hy-AM"/>
                    </w:rPr>
                    <w:t>Աղբյուրը՝ ՀՀ ՎԿ, ՀՀ ՖՆ հաշվարկներ և կանխատեսումներ</w:t>
                  </w:r>
                </w:p>
              </w:tc>
              <w:tc>
                <w:tcPr>
                  <w:tcW w:w="4836" w:type="dxa"/>
                  <w:hideMark/>
                </w:tcPr>
                <w:p w14:paraId="1BB0F58A" w14:textId="77777777" w:rsidR="00507805" w:rsidRPr="001D56CB" w:rsidRDefault="00507805" w:rsidP="00082769">
                  <w:pPr>
                    <w:spacing w:line="240" w:lineRule="auto"/>
                    <w:ind w:right="-43"/>
                    <w:jc w:val="both"/>
                    <w:rPr>
                      <w:rFonts w:ascii="GHEA Grapalat" w:hAnsi="GHEA Grapalat"/>
                      <w:bCs/>
                      <w:color w:val="auto"/>
                      <w:sz w:val="20"/>
                      <w:szCs w:val="18"/>
                      <w:lang w:val="hy-AM"/>
                    </w:rPr>
                  </w:pPr>
                  <w:bookmarkStart w:id="186" w:name="_Toc178595133"/>
                  <w:r w:rsidRPr="001D56CB">
                    <w:rPr>
                      <w:rFonts w:ascii="GHEA Grapalat" w:hAnsi="GHEA Grapalat"/>
                      <w:bCs/>
                      <w:noProof/>
                      <w:color w:val="auto"/>
                      <w:sz w:val="20"/>
                      <w:szCs w:val="18"/>
                    </w:rPr>
                    <w:drawing>
                      <wp:anchor distT="0" distB="0" distL="114300" distR="114300" simplePos="0" relativeHeight="251753472" behindDoc="0" locked="0" layoutInCell="1" allowOverlap="1" wp14:anchorId="37A02CA7" wp14:editId="16DDDDA2">
                        <wp:simplePos x="0" y="0"/>
                        <wp:positionH relativeFrom="column">
                          <wp:posOffset>63500</wp:posOffset>
                        </wp:positionH>
                        <wp:positionV relativeFrom="paragraph">
                          <wp:posOffset>483870</wp:posOffset>
                        </wp:positionV>
                        <wp:extent cx="2926080" cy="1713230"/>
                        <wp:effectExtent l="0" t="0" r="7620" b="1270"/>
                        <wp:wrapTopAndBottom/>
                        <wp:docPr id="1545876432" name="Chart 15458764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V relativeFrom="margin">
                          <wp14:pctHeight>0</wp14:pctHeight>
                        </wp14:sizeRelV>
                      </wp:anchor>
                    </w:drawing>
                  </w:r>
                  <w:r w:rsidRPr="001D56CB">
                    <w:rPr>
                      <w:rFonts w:ascii="GHEA Grapalat" w:hAnsi="GHEA Grapalat"/>
                      <w:bCs/>
                      <w:color w:val="auto"/>
                      <w:sz w:val="20"/>
                      <w:szCs w:val="18"/>
                      <w:lang w:val="hy-AM"/>
                    </w:rPr>
                    <w:t>Գծապատկեր</w:t>
                  </w:r>
                  <w:r w:rsidRPr="008B63B1">
                    <w:rPr>
                      <w:rFonts w:ascii="GHEA Grapalat" w:eastAsia="Times New Roman" w:hAnsi="GHEA Grapalat" w:cs="Times New Roman"/>
                      <w:bCs/>
                      <w:color w:val="5B9BD5"/>
                      <w:sz w:val="18"/>
                      <w:szCs w:val="18"/>
                      <w:lang w:val="hy-AM" w:eastAsia="ru-RU"/>
                    </w:rPr>
                    <w:t xml:space="preserve"> </w:t>
                  </w:r>
                  <w:r w:rsidRPr="001D56CB">
                    <w:rPr>
                      <w:rFonts w:ascii="GHEA Grapalat" w:hAnsi="GHEA Grapalat"/>
                      <w:bCs/>
                      <w:color w:val="auto"/>
                      <w:sz w:val="20"/>
                      <w:szCs w:val="18"/>
                      <w:lang w:val="hy-AM"/>
                    </w:rPr>
                    <w:t>1.16. Տնտեսական աճին պահանջարկի բաղադրիչների նպաստումները</w:t>
                  </w:r>
                  <w:bookmarkEnd w:id="186"/>
                </w:p>
                <w:p w14:paraId="6EC86C7F" w14:textId="77777777" w:rsidR="00507805" w:rsidRPr="008B63B1" w:rsidRDefault="00507805" w:rsidP="00082769">
                  <w:pPr>
                    <w:jc w:val="right"/>
                    <w:rPr>
                      <w:rFonts w:ascii="GHEA Grapalat" w:eastAsia="Times New Roman" w:hAnsi="GHEA Grapalat" w:cs="Times New Roman"/>
                      <w:i/>
                      <w:color w:val="A6A6A6"/>
                      <w:sz w:val="16"/>
                      <w:szCs w:val="16"/>
                      <w:highlight w:val="yellow"/>
                      <w:lang w:val="hy-AM"/>
                    </w:rPr>
                  </w:pPr>
                  <w:r w:rsidRPr="008B63B1">
                    <w:rPr>
                      <w:rFonts w:ascii="GHEA Grapalat" w:eastAsia="Times New Roman" w:hAnsi="GHEA Grapalat" w:cs="Times New Roman"/>
                      <w:i/>
                      <w:color w:val="A6A6A6"/>
                      <w:sz w:val="16"/>
                      <w:szCs w:val="16"/>
                      <w:lang w:val="hy-AM"/>
                    </w:rPr>
                    <w:t>Աղբյուրը՝ ՀՀ ՎԿ, ՀՀ ՖՆ հաշվարկներ և կանխատեսումներ</w:t>
                  </w:r>
                </w:p>
              </w:tc>
            </w:tr>
          </w:tbl>
          <w:p w14:paraId="3CA9BF13" w14:textId="77777777" w:rsidR="00507805" w:rsidRPr="008B63B1" w:rsidRDefault="00507805" w:rsidP="00082769">
            <w:pPr>
              <w:jc w:val="right"/>
              <w:rPr>
                <w:rFonts w:ascii="GHEA Grapalat" w:eastAsia="Times New Roman" w:hAnsi="GHEA Grapalat" w:cs="Times New Roman"/>
                <w:i/>
                <w:color w:val="A6A6A6"/>
                <w:sz w:val="16"/>
                <w:szCs w:val="16"/>
                <w:highlight w:val="yellow"/>
                <w:lang w:val="hy-AM"/>
              </w:rPr>
            </w:pPr>
          </w:p>
        </w:tc>
        <w:tc>
          <w:tcPr>
            <w:tcW w:w="222" w:type="dxa"/>
          </w:tcPr>
          <w:p w14:paraId="57142327" w14:textId="77777777" w:rsidR="00507805" w:rsidRPr="008B63B1" w:rsidRDefault="00507805" w:rsidP="00082769">
            <w:pPr>
              <w:jc w:val="right"/>
              <w:rPr>
                <w:rFonts w:ascii="GHEA Grapalat" w:eastAsia="Times New Roman" w:hAnsi="GHEA Grapalat" w:cs="Times New Roman"/>
                <w:i/>
                <w:color w:val="A6A6A6"/>
                <w:sz w:val="16"/>
                <w:szCs w:val="16"/>
                <w:highlight w:val="yellow"/>
                <w:lang w:val="hy-AM"/>
              </w:rPr>
            </w:pPr>
          </w:p>
        </w:tc>
      </w:tr>
    </w:tbl>
    <w:p w14:paraId="12A4EF7C" w14:textId="77777777" w:rsidR="00507805" w:rsidRPr="008B63B1" w:rsidRDefault="00507805" w:rsidP="00082769">
      <w:pPr>
        <w:pBdr>
          <w:bottom w:val="single" w:sz="8" w:space="1" w:color="E1E1E3"/>
        </w:pBd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Համախառն առաջարկի կանխատեսում</w:t>
      </w:r>
    </w:p>
    <w:p w14:paraId="5C842C9B" w14:textId="77777777" w:rsidR="00507805" w:rsidRPr="008B63B1" w:rsidRDefault="00507805" w:rsidP="00082769">
      <w:pPr>
        <w:jc w:val="both"/>
        <w:rPr>
          <w:rFonts w:ascii="GHEA Grapalat" w:eastAsia="Times New Roman" w:hAnsi="GHEA Grapalat" w:cs="Times New Roman"/>
          <w:color w:val="404040"/>
          <w:szCs w:val="20"/>
          <w:lang w:val="hy-AM" w:eastAsia="ru-RU"/>
        </w:rPr>
      </w:pPr>
      <w:r w:rsidRPr="008B63B1">
        <w:rPr>
          <w:rFonts w:ascii="GHEA Grapalat" w:eastAsia="Times New Roman" w:hAnsi="GHEA Grapalat" w:cs="Times New Roman"/>
          <w:b/>
          <w:color w:val="404040"/>
          <w:szCs w:val="20"/>
          <w:lang w:val="hy-AM"/>
        </w:rPr>
        <w:t>2026 և 2027 թվականներին շինարարության և արդյունաբերության աճերն առաջանցիկ կլինեն տնտեսական աճից, սակայն տնտեսական աճը պայմանավորված կլինի հիմնականում ծառայությունների աճով:</w:t>
      </w:r>
      <w:r w:rsidRPr="008B63B1">
        <w:rPr>
          <w:rFonts w:ascii="GHEA Grapalat" w:eastAsia="Times New Roman" w:hAnsi="GHEA Grapalat" w:cs="Times New Roman"/>
          <w:color w:val="404040"/>
          <w:szCs w:val="20"/>
          <w:lang w:val="hy-AM"/>
        </w:rPr>
        <w:t xml:space="preserve"> 2026 թվականին շինարարությունը կաճի 16.6%-ով, արդյունաբերությունը՝ 5.9%-ով, ծառայությունները՝ 5.4%-ով, իսկ գյուղատնտեսությունը կնվազի 3.5%-ով: 2027 թվականին արդյունաբերությունը և շինարարությունը կաճեն 7.4%-ով, ծառայությունները՝ 5.5%-ով, իսկ գյուղատնտեսությունը՝ 3.2%-ով: 2028-2029 թվականներին, պայմանավորված ներքին և արտաքին պահանջարկի աճով, տնտեսությունում իրականացվող պետական և մասնավոր ներդրումներով, ինչպես նաև ՀՀ կառավարության կողմից արտահանման ու ներդրումների խթանմանն ուղղված քաղաքականություններով, արդյունաբերությունը միջինում կաճի 6.1%-ով (ճյուղի աճին կնպաստի նաև Ամուլսարի շահագործումը), ծառայությունները՝ միջինում 6.2%-ով (ծառայությունների աճը կշարունակի պայմանավորվել ՏՏ, տուրիզմի և ֆինանսական ծառայությունների աճերով), շինարարությունը՝ միջինում՝ 7.1%-ով (պայմանավորված պետական կապիտալ ծախսերի (հիմնականում ենթակառուցվածքներում ներդրումների) և բնակարանային շինարարության աճերով), իսկ գյուղատնտեսությունը՝ 3.3%-ով (պետական օժանդակության ծրագրերով պայմանավորված ոլորտի աճով): </w:t>
      </w:r>
    </w:p>
    <w:tbl>
      <w:tblPr>
        <w:tblW w:w="0" w:type="auto"/>
        <w:tblLook w:val="04A0" w:firstRow="1" w:lastRow="0" w:firstColumn="1" w:lastColumn="0" w:noHBand="0" w:noVBand="1"/>
      </w:tblPr>
      <w:tblGrid>
        <w:gridCol w:w="9885"/>
        <w:gridCol w:w="461"/>
      </w:tblGrid>
      <w:tr w:rsidR="00507805" w:rsidRPr="003612ED" w14:paraId="6A9411E7" w14:textId="77777777" w:rsidTr="00873AE6">
        <w:trPr>
          <w:trHeight w:val="3783"/>
        </w:trPr>
        <w:tc>
          <w:tcPr>
            <w:tcW w:w="5215" w:type="dxa"/>
          </w:tcPr>
          <w:tbl>
            <w:tblPr>
              <w:tblW w:w="9669" w:type="dxa"/>
              <w:jc w:val="center"/>
              <w:tblLook w:val="04A0" w:firstRow="1" w:lastRow="0" w:firstColumn="1" w:lastColumn="0" w:noHBand="0" w:noVBand="1"/>
            </w:tblPr>
            <w:tblGrid>
              <w:gridCol w:w="4845"/>
              <w:gridCol w:w="4824"/>
            </w:tblGrid>
            <w:tr w:rsidR="00507805" w:rsidRPr="003612ED" w14:paraId="3E2FBBB3" w14:textId="77777777" w:rsidTr="00873AE6">
              <w:trPr>
                <w:trHeight w:val="3783"/>
                <w:jc w:val="center"/>
              </w:trPr>
              <w:tc>
                <w:tcPr>
                  <w:tcW w:w="4845" w:type="dxa"/>
                  <w:hideMark/>
                </w:tcPr>
                <w:p w14:paraId="55B017DD" w14:textId="77777777" w:rsidR="00507805" w:rsidRPr="001D56CB" w:rsidRDefault="00507805" w:rsidP="00082769">
                  <w:pPr>
                    <w:spacing w:before="360" w:line="240" w:lineRule="auto"/>
                    <w:jc w:val="both"/>
                    <w:rPr>
                      <w:rFonts w:ascii="GHEA Grapalat" w:hAnsi="GHEA Grapalat"/>
                      <w:bCs/>
                      <w:color w:val="auto"/>
                      <w:sz w:val="20"/>
                      <w:szCs w:val="18"/>
                      <w:lang w:val="hy-AM"/>
                    </w:rPr>
                  </w:pPr>
                  <w:bookmarkStart w:id="187" w:name="_Toc178595134"/>
                  <w:r w:rsidRPr="001D56CB">
                    <w:rPr>
                      <w:rFonts w:ascii="GHEA Grapalat" w:hAnsi="GHEA Grapalat"/>
                      <w:bCs/>
                      <w:noProof/>
                      <w:color w:val="auto"/>
                      <w:sz w:val="20"/>
                      <w:szCs w:val="18"/>
                    </w:rPr>
                    <w:drawing>
                      <wp:anchor distT="0" distB="0" distL="114300" distR="114300" simplePos="0" relativeHeight="251752448" behindDoc="0" locked="0" layoutInCell="1" allowOverlap="1" wp14:anchorId="588C56F5" wp14:editId="1AF0DD4F">
                        <wp:simplePos x="0" y="0"/>
                        <wp:positionH relativeFrom="column">
                          <wp:posOffset>-19050</wp:posOffset>
                        </wp:positionH>
                        <wp:positionV relativeFrom="paragraph">
                          <wp:posOffset>817880</wp:posOffset>
                        </wp:positionV>
                        <wp:extent cx="2926080" cy="1645920"/>
                        <wp:effectExtent l="0" t="0" r="0" b="0"/>
                        <wp:wrapTopAndBottom/>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margin">
                          <wp14:pctHeight>0</wp14:pctHeight>
                        </wp14:sizeRelV>
                      </wp:anchor>
                    </w:drawing>
                  </w:r>
                  <w:r w:rsidRPr="001D56CB">
                    <w:rPr>
                      <w:rFonts w:ascii="GHEA Grapalat" w:hAnsi="GHEA Grapalat"/>
                      <w:bCs/>
                      <w:color w:val="auto"/>
                      <w:sz w:val="20"/>
                      <w:szCs w:val="18"/>
                      <w:lang w:val="hy-AM"/>
                    </w:rPr>
                    <w:t>Գծապատկեր 1.17. Ծախսային բաղադրիչների տեսակարար կշիռները ՀՆԱ-ի կազմում</w:t>
                  </w:r>
                  <w:bookmarkEnd w:id="187"/>
                </w:p>
                <w:p w14:paraId="5F906628" w14:textId="77777777" w:rsidR="00507805" w:rsidRPr="008B63B1" w:rsidRDefault="00507805" w:rsidP="00082769">
                  <w:pPr>
                    <w:spacing w:before="360" w:line="240" w:lineRule="auto"/>
                    <w:jc w:val="both"/>
                    <w:rPr>
                      <w:rFonts w:ascii="GHEA Grapalat" w:eastAsia="Times New Roman" w:hAnsi="GHEA Grapalat" w:cs="Times New Roman"/>
                      <w:bCs/>
                      <w:color w:val="5B9BD5"/>
                      <w:sz w:val="18"/>
                      <w:szCs w:val="18"/>
                      <w:lang w:val="hy-AM" w:eastAsia="ru-RU"/>
                    </w:rPr>
                  </w:pPr>
                </w:p>
                <w:p w14:paraId="41ABE373" w14:textId="77777777" w:rsidR="00507805" w:rsidRPr="008B63B1" w:rsidRDefault="00507805" w:rsidP="00082769">
                  <w:pPr>
                    <w:jc w:val="right"/>
                    <w:rPr>
                      <w:rFonts w:ascii="GHEA Grapalat" w:eastAsia="Times New Roman" w:hAnsi="GHEA Grapalat" w:cs="Times New Roman"/>
                      <w:i/>
                      <w:color w:val="A6A6A6"/>
                      <w:sz w:val="16"/>
                      <w:szCs w:val="16"/>
                      <w:highlight w:val="yellow"/>
                      <w:lang w:val="hy-AM"/>
                    </w:rPr>
                  </w:pPr>
                  <w:r w:rsidRPr="008B63B1">
                    <w:rPr>
                      <w:rFonts w:ascii="GHEA Grapalat" w:eastAsia="Times New Roman" w:hAnsi="GHEA Grapalat" w:cs="Times New Roman"/>
                      <w:i/>
                      <w:color w:val="A6A6A6"/>
                      <w:sz w:val="16"/>
                      <w:szCs w:val="16"/>
                      <w:lang w:val="hy-AM"/>
                    </w:rPr>
                    <w:t>Աղբյուրը՝ ՀՀ ՎԿ, ՀՀ ՖՆ հաշվարկներ և կանխատեսումներ</w:t>
                  </w:r>
                </w:p>
              </w:tc>
              <w:tc>
                <w:tcPr>
                  <w:tcW w:w="4824" w:type="dxa"/>
                  <w:hideMark/>
                </w:tcPr>
                <w:p w14:paraId="7A418139" w14:textId="77777777" w:rsidR="00507805" w:rsidRPr="001D56CB" w:rsidRDefault="00507805" w:rsidP="00082769">
                  <w:pPr>
                    <w:spacing w:before="360" w:line="240" w:lineRule="auto"/>
                    <w:jc w:val="both"/>
                    <w:rPr>
                      <w:rFonts w:ascii="GHEA Grapalat" w:hAnsi="GHEA Grapalat"/>
                      <w:bCs/>
                      <w:color w:val="auto"/>
                      <w:sz w:val="20"/>
                      <w:szCs w:val="18"/>
                      <w:lang w:val="hy-AM"/>
                    </w:rPr>
                  </w:pPr>
                  <w:bookmarkStart w:id="188" w:name="_Toc178595135"/>
                  <w:r w:rsidRPr="001D56CB">
                    <w:rPr>
                      <w:rFonts w:ascii="GHEA Grapalat" w:hAnsi="GHEA Grapalat"/>
                      <w:bCs/>
                      <w:noProof/>
                      <w:color w:val="auto"/>
                      <w:sz w:val="20"/>
                      <w:szCs w:val="18"/>
                    </w:rPr>
                    <w:drawing>
                      <wp:anchor distT="0" distB="0" distL="114300" distR="114300" simplePos="0" relativeHeight="251742208" behindDoc="0" locked="0" layoutInCell="1" allowOverlap="1" wp14:anchorId="2566CD2F" wp14:editId="73DA415D">
                        <wp:simplePos x="0" y="0"/>
                        <wp:positionH relativeFrom="column">
                          <wp:posOffset>19119</wp:posOffset>
                        </wp:positionH>
                        <wp:positionV relativeFrom="paragraph">
                          <wp:posOffset>743585</wp:posOffset>
                        </wp:positionV>
                        <wp:extent cx="2926080" cy="1645920"/>
                        <wp:effectExtent l="0" t="0" r="0" b="0"/>
                        <wp:wrapTopAndBottom/>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margin">
                          <wp14:pctHeight>0</wp14:pctHeight>
                        </wp14:sizeRelV>
                      </wp:anchor>
                    </w:drawing>
                  </w:r>
                  <w:r w:rsidRPr="001D56CB">
                    <w:rPr>
                      <w:rFonts w:ascii="GHEA Grapalat" w:hAnsi="GHEA Grapalat"/>
                      <w:bCs/>
                      <w:color w:val="auto"/>
                      <w:sz w:val="20"/>
                      <w:szCs w:val="18"/>
                      <w:lang w:val="hy-AM"/>
                    </w:rPr>
                    <w:t>Գծապատկեր 1.18. Ճյուղերի տեսակարար կշիռները ՀՆԱ-ի կազմում</w:t>
                  </w:r>
                  <w:bookmarkEnd w:id="188"/>
                </w:p>
                <w:p w14:paraId="3E076EBA" w14:textId="77777777" w:rsidR="00507805" w:rsidRPr="008B63B1" w:rsidRDefault="00507805" w:rsidP="00082769">
                  <w:pPr>
                    <w:jc w:val="right"/>
                    <w:rPr>
                      <w:rFonts w:ascii="GHEA Grapalat" w:eastAsia="Times New Roman" w:hAnsi="GHEA Grapalat" w:cs="Times New Roman"/>
                      <w:i/>
                      <w:color w:val="A6A6A6"/>
                      <w:sz w:val="16"/>
                      <w:szCs w:val="16"/>
                      <w:highlight w:val="yellow"/>
                      <w:lang w:val="hy-AM"/>
                    </w:rPr>
                  </w:pPr>
                  <w:r w:rsidRPr="008B63B1">
                    <w:rPr>
                      <w:rFonts w:ascii="GHEA Grapalat" w:eastAsia="Times New Roman" w:hAnsi="GHEA Grapalat" w:cs="Times New Roman"/>
                      <w:i/>
                      <w:color w:val="A6A6A6"/>
                      <w:sz w:val="16"/>
                      <w:szCs w:val="16"/>
                      <w:lang w:val="hy-AM"/>
                    </w:rPr>
                    <w:t>Աղբյուրը՝ ՀՀ ՎԿ, ՀՀ ՖՆ հաշվարկներ և կանխատեսումներ</w:t>
                  </w:r>
                </w:p>
              </w:tc>
            </w:tr>
          </w:tbl>
          <w:p w14:paraId="48408B9B" w14:textId="77777777" w:rsidR="00507805" w:rsidRPr="008B63B1" w:rsidRDefault="00507805" w:rsidP="00082769">
            <w:pPr>
              <w:jc w:val="right"/>
              <w:rPr>
                <w:rFonts w:ascii="GHEA Grapalat" w:eastAsia="Times New Roman" w:hAnsi="GHEA Grapalat" w:cs="Times New Roman"/>
                <w:i/>
                <w:color w:val="A6A6A6"/>
                <w:sz w:val="16"/>
                <w:szCs w:val="16"/>
                <w:highlight w:val="yellow"/>
                <w:lang w:val="hy-AM"/>
              </w:rPr>
            </w:pPr>
          </w:p>
        </w:tc>
        <w:tc>
          <w:tcPr>
            <w:tcW w:w="5030" w:type="dxa"/>
          </w:tcPr>
          <w:p w14:paraId="6F38A162" w14:textId="77777777" w:rsidR="00507805" w:rsidRPr="008B63B1" w:rsidRDefault="00507805" w:rsidP="00082769">
            <w:pPr>
              <w:jc w:val="right"/>
              <w:rPr>
                <w:rFonts w:ascii="GHEA Grapalat" w:eastAsia="Times New Roman" w:hAnsi="GHEA Grapalat" w:cs="Times New Roman"/>
                <w:i/>
                <w:color w:val="A6A6A6"/>
                <w:sz w:val="16"/>
                <w:szCs w:val="16"/>
                <w:highlight w:val="yellow"/>
                <w:lang w:val="hy-AM"/>
              </w:rPr>
            </w:pPr>
          </w:p>
        </w:tc>
      </w:tr>
    </w:tbl>
    <w:p w14:paraId="4D7FBAEF" w14:textId="77777777" w:rsidR="00507805" w:rsidRPr="008B63B1" w:rsidRDefault="00507805" w:rsidP="00082769">
      <w:pPr>
        <w:pBdr>
          <w:bottom w:val="single" w:sz="8" w:space="1" w:color="E1E1E3"/>
        </w:pBd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Համախառն պահանջարկի կանխատեսում</w:t>
      </w:r>
    </w:p>
    <w:p w14:paraId="383351DE" w14:textId="77777777" w:rsidR="00507805" w:rsidRPr="008B63B1" w:rsidRDefault="00507805" w:rsidP="00082769">
      <w:pPr>
        <w:jc w:val="both"/>
        <w:rPr>
          <w:rFonts w:ascii="GHEA Grapalat" w:eastAsia="Times New Roman" w:hAnsi="GHEA Grapalat" w:cs="Times New Roman"/>
          <w:color w:val="000000"/>
          <w:szCs w:val="20"/>
          <w:lang w:val="hy-AM"/>
        </w:rPr>
      </w:pPr>
      <w:r w:rsidRPr="008B63B1">
        <w:rPr>
          <w:rFonts w:ascii="GHEA Grapalat" w:eastAsia="Times New Roman" w:hAnsi="GHEA Grapalat" w:cs="Times New Roman"/>
          <w:color w:val="000000"/>
          <w:szCs w:val="20"/>
          <w:lang w:val="hy-AM"/>
        </w:rPr>
        <w:t xml:space="preserve">Ընթացիկ զարգացումների պայմաններում 2026 թվականին վերջնական սպառումը իրական արտահայտությամբ կաճի </w:t>
      </w:r>
      <w:r>
        <w:rPr>
          <w:rFonts w:ascii="GHEA Grapalat" w:eastAsia="Times New Roman" w:hAnsi="GHEA Grapalat" w:cs="Times New Roman"/>
          <w:color w:val="000000"/>
          <w:szCs w:val="20"/>
          <w:lang w:val="hy-AM"/>
        </w:rPr>
        <w:t>4.8</w:t>
      </w:r>
      <w:r w:rsidRPr="008B63B1">
        <w:rPr>
          <w:rFonts w:ascii="GHEA Grapalat" w:eastAsia="Times New Roman" w:hAnsi="GHEA Grapalat" w:cs="Times New Roman"/>
          <w:color w:val="000000"/>
          <w:szCs w:val="20"/>
          <w:lang w:val="hy-AM"/>
        </w:rPr>
        <w:t xml:space="preserve">%-ով, իսկ ներդրումները՝ </w:t>
      </w:r>
      <w:r>
        <w:rPr>
          <w:rFonts w:ascii="GHEA Grapalat" w:eastAsia="Times New Roman" w:hAnsi="GHEA Grapalat" w:cs="Times New Roman"/>
          <w:color w:val="000000"/>
          <w:szCs w:val="20"/>
          <w:lang w:val="hy-AM"/>
        </w:rPr>
        <w:t>15.8</w:t>
      </w:r>
      <w:r w:rsidRPr="008B63B1">
        <w:rPr>
          <w:rFonts w:ascii="GHEA Grapalat" w:eastAsia="Times New Roman" w:hAnsi="GHEA Grapalat" w:cs="Times New Roman"/>
          <w:color w:val="000000"/>
          <w:szCs w:val="20"/>
          <w:lang w:val="hy-AM"/>
        </w:rPr>
        <w:t>%-ով։ Սպառման և ներդրումների աճին կնպաստեն տնօրինվող եկամտի և բնակարանային շինարարության հետագա աճերը, ինչպես նաև ներդրումային միջավայրի բարելավմանն ուղղված պետական քաղաքա</w:t>
      </w:r>
      <w:r w:rsidRPr="008B63B1">
        <w:rPr>
          <w:rFonts w:ascii="GHEA Grapalat" w:eastAsia="Times New Roman" w:hAnsi="GHEA Grapalat" w:cs="Times New Roman"/>
          <w:color w:val="000000"/>
          <w:szCs w:val="20"/>
          <w:lang w:val="hy-AM"/>
        </w:rPr>
        <w:softHyphen/>
        <w:t xml:space="preserve">կանությունը։ 2027 թվականին սպառման և ներդրումների աճերը կշարունակվեն համապատասխանաբար՝ </w:t>
      </w:r>
      <w:r>
        <w:rPr>
          <w:rFonts w:ascii="GHEA Grapalat" w:eastAsia="Times New Roman" w:hAnsi="GHEA Grapalat" w:cs="Times New Roman"/>
          <w:color w:val="000000"/>
          <w:szCs w:val="20"/>
          <w:lang w:val="hy-AM"/>
        </w:rPr>
        <w:t>5.4</w:t>
      </w:r>
      <w:r w:rsidRPr="008B63B1">
        <w:rPr>
          <w:rFonts w:ascii="GHEA Grapalat" w:eastAsia="Times New Roman" w:hAnsi="GHEA Grapalat" w:cs="Times New Roman"/>
          <w:color w:val="000000"/>
          <w:szCs w:val="20"/>
          <w:lang w:val="hy-AM"/>
        </w:rPr>
        <w:t xml:space="preserve">%-ով և </w:t>
      </w:r>
      <w:r>
        <w:rPr>
          <w:rFonts w:ascii="GHEA Grapalat" w:eastAsia="Times New Roman" w:hAnsi="GHEA Grapalat" w:cs="Times New Roman"/>
          <w:color w:val="000000"/>
          <w:szCs w:val="20"/>
          <w:lang w:val="hy-AM"/>
        </w:rPr>
        <w:t>9.1</w:t>
      </w:r>
      <w:r w:rsidRPr="008B63B1">
        <w:rPr>
          <w:rFonts w:ascii="GHEA Grapalat" w:eastAsia="Times New Roman" w:hAnsi="GHEA Grapalat" w:cs="Times New Roman"/>
          <w:color w:val="000000"/>
          <w:szCs w:val="20"/>
          <w:lang w:val="hy-AM"/>
        </w:rPr>
        <w:t xml:space="preserve">%-ով: 2028-2029 թվականներին սպառումը միջինում կաճի </w:t>
      </w:r>
      <w:r w:rsidRPr="006D61EA">
        <w:rPr>
          <w:rFonts w:ascii="GHEA Grapalat" w:eastAsia="Times New Roman" w:hAnsi="GHEA Grapalat" w:cs="Times New Roman"/>
          <w:color w:val="000000"/>
          <w:szCs w:val="20"/>
          <w:lang w:val="hy-AM"/>
        </w:rPr>
        <w:t>5</w:t>
      </w:r>
      <w:r w:rsidRPr="008B63B1">
        <w:rPr>
          <w:rFonts w:ascii="GHEA Grapalat" w:eastAsia="Times New Roman" w:hAnsi="GHEA Grapalat" w:cs="Times New Roman"/>
          <w:color w:val="000000"/>
          <w:szCs w:val="20"/>
          <w:lang w:val="hy-AM"/>
        </w:rPr>
        <w:t xml:space="preserve">%-ով, իսկ ներդրումները՝ </w:t>
      </w:r>
      <w:r w:rsidRPr="006D61EA">
        <w:rPr>
          <w:rFonts w:ascii="GHEA Grapalat" w:eastAsia="Times New Roman" w:hAnsi="GHEA Grapalat" w:cs="Times New Roman"/>
          <w:color w:val="000000"/>
          <w:szCs w:val="20"/>
          <w:lang w:val="hy-AM"/>
        </w:rPr>
        <w:t>7.2</w:t>
      </w:r>
      <w:r w:rsidRPr="008B63B1">
        <w:rPr>
          <w:rFonts w:ascii="GHEA Grapalat" w:eastAsia="Times New Roman" w:hAnsi="GHEA Grapalat" w:cs="Times New Roman"/>
          <w:color w:val="000000"/>
          <w:szCs w:val="20"/>
          <w:lang w:val="hy-AM"/>
        </w:rPr>
        <w:t>%-ով: Ներդրումների վրա դրական ազդեցություն կունենան ՀՀ կառավարության կողմից ենթակառուցվածքներում ներդրումների շարունակական աճը և մասնավոր ներդրումների խթանմանն ուղղված միջոցառումները, իսկ սպառումը պայմանավորված կլինի տնօրինվող եկամտի աճով։</w:t>
      </w:r>
    </w:p>
    <w:p w14:paraId="23D892D5" w14:textId="77777777" w:rsidR="00507805" w:rsidRPr="008B63B1" w:rsidRDefault="00507805" w:rsidP="00082769">
      <w:pPr>
        <w:jc w:val="both"/>
        <w:rPr>
          <w:rFonts w:ascii="GHEA Grapalat" w:eastAsia="Times New Roman" w:hAnsi="GHEA Grapalat" w:cs="Times New Roman"/>
          <w:color w:val="000000"/>
          <w:szCs w:val="20"/>
          <w:lang w:val="hy-AM"/>
        </w:rPr>
      </w:pPr>
      <w:r w:rsidRPr="008B63B1">
        <w:rPr>
          <w:rFonts w:ascii="GHEA Grapalat" w:eastAsia="Times New Roman" w:hAnsi="GHEA Grapalat" w:cs="Times New Roman"/>
          <w:color w:val="000000"/>
          <w:szCs w:val="20"/>
          <w:lang w:val="hy-AM"/>
        </w:rPr>
        <w:t>2026 թվականին արտահանումը և ներմուծումը իրական արտահայտութ</w:t>
      </w:r>
      <w:r>
        <w:rPr>
          <w:rFonts w:ascii="GHEA Grapalat" w:eastAsia="Times New Roman" w:hAnsi="GHEA Grapalat" w:cs="Times New Roman"/>
          <w:color w:val="000000"/>
          <w:szCs w:val="20"/>
          <w:lang w:val="hy-AM"/>
        </w:rPr>
        <w:t>յամբ կնվազեն համապատասխանաբար՝ 11.</w:t>
      </w:r>
      <w:r w:rsidRPr="006D61EA">
        <w:rPr>
          <w:rFonts w:ascii="GHEA Grapalat" w:eastAsia="Times New Roman" w:hAnsi="GHEA Grapalat" w:cs="Times New Roman"/>
          <w:color w:val="000000"/>
          <w:szCs w:val="20"/>
          <w:lang w:val="hy-AM"/>
        </w:rPr>
        <w:t>2</w:t>
      </w:r>
      <w:r w:rsidRPr="008B63B1">
        <w:rPr>
          <w:rFonts w:ascii="GHEA Grapalat" w:eastAsia="Times New Roman" w:hAnsi="GHEA Grapalat" w:cs="Times New Roman"/>
          <w:color w:val="000000"/>
          <w:szCs w:val="20"/>
          <w:lang w:val="hy-AM"/>
        </w:rPr>
        <w:t xml:space="preserve">%-ով և </w:t>
      </w:r>
      <w:r w:rsidRPr="006D61EA">
        <w:rPr>
          <w:rFonts w:ascii="GHEA Grapalat" w:eastAsia="Times New Roman" w:hAnsi="GHEA Grapalat" w:cs="Times New Roman"/>
          <w:color w:val="000000"/>
          <w:szCs w:val="20"/>
          <w:lang w:val="hy-AM"/>
        </w:rPr>
        <w:t>8.2</w:t>
      </w:r>
      <w:r w:rsidRPr="008B63B1">
        <w:rPr>
          <w:rFonts w:ascii="GHEA Grapalat" w:eastAsia="Times New Roman" w:hAnsi="GHEA Grapalat" w:cs="Times New Roman"/>
          <w:color w:val="000000"/>
          <w:szCs w:val="20"/>
          <w:lang w:val="hy-AM"/>
        </w:rPr>
        <w:t xml:space="preserve">%-ով: Արտահանման </w:t>
      </w:r>
      <w:r>
        <w:rPr>
          <w:rFonts w:ascii="GHEA Grapalat" w:eastAsia="Times New Roman" w:hAnsi="GHEA Grapalat" w:cs="Times New Roman"/>
          <w:color w:val="000000"/>
          <w:szCs w:val="20"/>
          <w:lang w:val="hy-AM"/>
        </w:rPr>
        <w:t xml:space="preserve">և ներմուծման </w:t>
      </w:r>
      <w:r w:rsidRPr="008B63B1">
        <w:rPr>
          <w:rFonts w:ascii="GHEA Grapalat" w:eastAsia="Times New Roman" w:hAnsi="GHEA Grapalat" w:cs="Times New Roman"/>
          <w:color w:val="000000"/>
          <w:szCs w:val="20"/>
          <w:lang w:val="hy-AM"/>
        </w:rPr>
        <w:t>աճի տեմպ</w:t>
      </w:r>
      <w:r>
        <w:rPr>
          <w:rFonts w:ascii="GHEA Grapalat" w:eastAsia="Times New Roman" w:hAnsi="GHEA Grapalat" w:cs="Times New Roman"/>
          <w:color w:val="000000"/>
          <w:szCs w:val="20"/>
          <w:lang w:val="hy-AM"/>
        </w:rPr>
        <w:t>եր</w:t>
      </w:r>
      <w:r w:rsidRPr="008B63B1">
        <w:rPr>
          <w:rFonts w:ascii="GHEA Grapalat" w:eastAsia="Times New Roman" w:hAnsi="GHEA Grapalat" w:cs="Times New Roman"/>
          <w:color w:val="000000"/>
          <w:szCs w:val="20"/>
          <w:lang w:val="hy-AM"/>
        </w:rPr>
        <w:t>ը կվերականգնվ</w:t>
      </w:r>
      <w:r>
        <w:rPr>
          <w:rFonts w:ascii="GHEA Grapalat" w:eastAsia="Times New Roman" w:hAnsi="GHEA Grapalat" w:cs="Times New Roman"/>
          <w:color w:val="000000"/>
          <w:szCs w:val="20"/>
          <w:lang w:val="hy-AM"/>
        </w:rPr>
        <w:t>են</w:t>
      </w:r>
      <w:r w:rsidRPr="008B63B1">
        <w:rPr>
          <w:rFonts w:ascii="GHEA Grapalat" w:eastAsia="Times New Roman" w:hAnsi="GHEA Grapalat" w:cs="Times New Roman"/>
          <w:color w:val="000000"/>
          <w:szCs w:val="20"/>
          <w:lang w:val="hy-AM"/>
        </w:rPr>
        <w:t xml:space="preserve"> 2027 թվականին՝ գրանցելով </w:t>
      </w:r>
      <w:r w:rsidRPr="006D61EA">
        <w:rPr>
          <w:rFonts w:ascii="GHEA Grapalat" w:eastAsia="Times New Roman" w:hAnsi="GHEA Grapalat" w:cs="Times New Roman"/>
          <w:color w:val="000000"/>
          <w:szCs w:val="20"/>
          <w:lang w:val="hy-AM"/>
        </w:rPr>
        <w:t>5</w:t>
      </w:r>
      <w:r>
        <w:rPr>
          <w:rFonts w:ascii="GHEA Grapalat" w:eastAsia="Times New Roman" w:hAnsi="GHEA Grapalat" w:cs="Times New Roman"/>
          <w:color w:val="000000"/>
          <w:szCs w:val="20"/>
          <w:lang w:val="hy-AM"/>
        </w:rPr>
        <w:t>% և 4.5</w:t>
      </w:r>
      <w:r w:rsidRPr="008B63B1">
        <w:rPr>
          <w:rFonts w:ascii="GHEA Grapalat" w:eastAsia="Times New Roman" w:hAnsi="GHEA Grapalat" w:cs="Times New Roman"/>
          <w:color w:val="000000"/>
          <w:szCs w:val="20"/>
          <w:lang w:val="hy-AM"/>
        </w:rPr>
        <w:t>%</w:t>
      </w:r>
      <w:r>
        <w:rPr>
          <w:rFonts w:ascii="GHEA Grapalat" w:eastAsia="Times New Roman" w:hAnsi="GHEA Grapalat" w:cs="Times New Roman"/>
          <w:color w:val="000000"/>
          <w:szCs w:val="20"/>
          <w:lang w:val="hy-AM"/>
        </w:rPr>
        <w:t xml:space="preserve"> աճեր, համապատասխանաբար</w:t>
      </w:r>
      <w:r w:rsidRPr="008B63B1">
        <w:rPr>
          <w:rFonts w:ascii="GHEA Grapalat" w:eastAsia="Times New Roman" w:hAnsi="GHEA Grapalat" w:cs="Times New Roman"/>
          <w:color w:val="000000"/>
          <w:szCs w:val="20"/>
          <w:lang w:val="hy-AM"/>
        </w:rPr>
        <w:t xml:space="preserve">: ՀՀ և համաշխարհային տնտեսական աճերի, ՀՀ տնտեսության արտահանելի հատվածի զարգացումների, տնօրինվող եկամտի և զբոսաշրջության աճի, ինչպես նաև արտահանման խրախուսմանն ուղղված ՀՀ կառավարության քաղաքականության պայմաններում 2028-2029 թվականներին արտահանումը և ներմուծումը միջինում կաճեն՝ համապատասխանաբար՝ </w:t>
      </w:r>
      <w:r w:rsidRPr="006D61EA">
        <w:rPr>
          <w:rFonts w:ascii="GHEA Grapalat" w:eastAsia="Times New Roman" w:hAnsi="GHEA Grapalat" w:cs="Times New Roman"/>
          <w:color w:val="000000"/>
          <w:szCs w:val="20"/>
          <w:lang w:val="hy-AM"/>
        </w:rPr>
        <w:t>5.9</w:t>
      </w:r>
      <w:r w:rsidRPr="008B63B1">
        <w:rPr>
          <w:rFonts w:ascii="GHEA Grapalat" w:eastAsia="Times New Roman" w:hAnsi="GHEA Grapalat" w:cs="Times New Roman"/>
          <w:color w:val="000000"/>
          <w:szCs w:val="20"/>
          <w:lang w:val="hy-AM"/>
        </w:rPr>
        <w:t xml:space="preserve">%-ով և </w:t>
      </w:r>
      <w:r w:rsidRPr="006D61EA">
        <w:rPr>
          <w:rFonts w:ascii="GHEA Grapalat" w:eastAsia="Times New Roman" w:hAnsi="GHEA Grapalat" w:cs="Times New Roman"/>
          <w:color w:val="000000"/>
          <w:szCs w:val="20"/>
          <w:lang w:val="hy-AM"/>
        </w:rPr>
        <w:t>3</w:t>
      </w:r>
      <w:r w:rsidRPr="008B63B1">
        <w:rPr>
          <w:rFonts w:ascii="GHEA Grapalat" w:eastAsia="Times New Roman" w:hAnsi="GHEA Grapalat" w:cs="Times New Roman"/>
          <w:color w:val="000000"/>
          <w:szCs w:val="20"/>
          <w:lang w:val="hy-AM"/>
        </w:rPr>
        <w:t>%-ով։</w:t>
      </w:r>
    </w:p>
    <w:p w14:paraId="4685BF68" w14:textId="77777777" w:rsidR="00507805" w:rsidRPr="008B63B1" w:rsidRDefault="00507805" w:rsidP="00082769">
      <w:pPr>
        <w:spacing w:before="360" w:after="0"/>
        <w:outlineLvl w:val="2"/>
        <w:rPr>
          <w:rFonts w:ascii="GHEA Grapalat" w:eastAsia="Times New Roman" w:hAnsi="GHEA Grapalat" w:cs="Times New Roman"/>
          <w:color w:val="A6A6A6"/>
          <w:szCs w:val="20"/>
          <w:lang w:val="hy-AM"/>
        </w:rPr>
      </w:pPr>
      <w:bookmarkStart w:id="189" w:name="_Toc170926295"/>
      <w:bookmarkStart w:id="190" w:name="_Toc170750534"/>
      <w:bookmarkStart w:id="191" w:name="_Toc170743030"/>
      <w:bookmarkStart w:id="192" w:name="_Toc210126081"/>
      <w:bookmarkStart w:id="193" w:name="_Toc241687661"/>
      <w:r w:rsidRPr="008B63B1">
        <w:rPr>
          <w:rFonts w:ascii="GHEA Grapalat" w:eastAsia="Times New Roman" w:hAnsi="GHEA Grapalat" w:cs="Times New Roman"/>
          <w:color w:val="A6A6A6"/>
          <w:szCs w:val="20"/>
          <w:lang w:val="hy-AM"/>
        </w:rPr>
        <w:t>1.3.2. ԱՇԽԱՏԱՆՔԻ ՇՈՒԿԱ</w:t>
      </w:r>
      <w:bookmarkEnd w:id="189"/>
      <w:bookmarkEnd w:id="190"/>
      <w:bookmarkEnd w:id="191"/>
      <w:bookmarkEnd w:id="192"/>
      <w:bookmarkEnd w:id="193"/>
    </w:p>
    <w:p w14:paraId="140CE44E" w14:textId="77777777" w:rsidR="00507805" w:rsidRPr="008B63B1" w:rsidRDefault="00507805" w:rsidP="00082769">
      <w:pPr>
        <w:spacing w:after="0"/>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color w:val="404040"/>
          <w:szCs w:val="20"/>
          <w:lang w:val="hy-AM"/>
        </w:rPr>
        <w:t>2023-2025 թվականներին գործազրկությունը (բացառությամբ 2024 թվականի) նվազել է՝ ուղեկցվելով զբաղվածության և վարձու աշխատողների թվաքանակի շարունակական աճով։</w:t>
      </w:r>
      <w:r w:rsidRPr="008B63B1">
        <w:rPr>
          <w:rFonts w:ascii="GHEA Grapalat" w:eastAsia="Times New Roman" w:hAnsi="GHEA Grapalat" w:cs="Times New Roman"/>
          <w:color w:val="404040"/>
          <w:szCs w:val="20"/>
          <w:lang w:val="hy-AM"/>
        </w:rPr>
        <w:t xml:space="preserve"> 2025 թվականին գործազուրկների թվաքանակը 2024 թվականի համեմատ նվազել է 4.9%-ով, իսկ գործազրկության մակարդակը՝ 0.6 տոկոսային կետով՝ կազմելով 12.8%: </w:t>
      </w:r>
    </w:p>
    <w:p w14:paraId="4D9F50EA"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2023-2025 թվականներին զբաղվածների թվաքանակը միջինում աճել է 1.2%-ով, իսկ վարձու աշխատողներինը՝ 5.1%-ով` կրելով տնտեսական աճի, նոր կազմակերպությունների ստեղծման, ինչպես նաև ստվերի կրճատման ազդեցությունները։ Միաժամանակ, աշխատուժի մասնակցության մակարդակը 2023 թվականի 60.3%-ից 2025 թվականին նվազել է մինչև 58.0%:</w:t>
      </w:r>
    </w:p>
    <w:p w14:paraId="73EFECE8"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color w:val="404040"/>
          <w:szCs w:val="20"/>
          <w:lang w:val="hy-AM"/>
        </w:rPr>
        <w:t xml:space="preserve">2026 թվականին աշխատանքի շուկայում արձանագրվել են տարաբնույթ զարգացումներ։ </w:t>
      </w:r>
      <w:r w:rsidRPr="008B63B1">
        <w:rPr>
          <w:rFonts w:ascii="GHEA Grapalat" w:eastAsia="Times New Roman" w:hAnsi="GHEA Grapalat" w:cs="Times New Roman"/>
          <w:color w:val="404040"/>
          <w:szCs w:val="20"/>
          <w:lang w:val="hy-AM"/>
        </w:rPr>
        <w:t>2026 թվականի առաջին եռամսյակում գործազրկության մակարդակը կազմել է 13.7%` նախորդ տարվա նույն ժամանակահատվածի նկատմամբ նվազելով 0.3 տոկոսային կետով: Ընդ որում՝ գործազրկության մակարդակի նվազմանը նպաստել է գործազուրկների թվաքանակի նվազումը (3.8%՝ կազմելով 181.0 հազ. մարդ): Միաժամանակ, գործազուրկների թվաքանակի նվազումը չի ուղեկցվել զբաղվածների թվաքանակի աճով: Զբաղվածների թվաքանակը նվազել է 1.9%-ով՝ կազմելով 1,137.7 հազ. մարդ, իսկ զբաղվածության մակարդակը նվազել է 1.6 տոկոսային կետով և կազմել 48.5%: Նույն ժամանակահատվածում աճել է աշխատուժից դուրս բնակչության թվաքանակը՝ պայմանավորված ինչպես աշխատանքային ռեսուրսների ավելացմամբ, այնպես էլ աշխատուժի առաջարկի կրճատմամբ։ Արդյունքում աշխատուժի մասնակցության մակարդակը նվազել է՝ 58.2%-ից իջնելով 56.2%-ի:</w:t>
      </w:r>
    </w:p>
    <w:p w14:paraId="5660808F" w14:textId="77777777" w:rsidR="00507805" w:rsidRPr="008B63B1" w:rsidRDefault="00507805" w:rsidP="00082769">
      <w:pPr>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2026 թվականի հունվար-հունիսին պաշտոնապես գրանցված գործազուրկների միջին ամսական թվաքանակը նախորդ տարվա նույն ժամանակահատվածի նկատմամբ նվազել է 27.4%-ով՝ կազմելով 26,843 մարդ: Հունվար-հուլիսին 3.5%-ով աճել է վարձու աշխատողների թվաքանակը, որին հիմնականում նպաստել են կացության և հանրային սննդի կազմակերպում, կրթություն, մասնագիտական, գիտական և տեխնիկական գործունեություն, մեծածախ և մանրածախ առևտուր, ինչպես նաև մշակող արդյունաբերություն ոլորտներում աշխատողների թվաքանակի աճը։</w:t>
      </w:r>
    </w:p>
    <w:p w14:paraId="4F30C697"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color w:val="404040"/>
          <w:szCs w:val="20"/>
          <w:lang w:val="hy-AM"/>
        </w:rPr>
        <w:t xml:space="preserve">2023-2025 թվականներին տնտեսական աճն ուղեկցվել է աշխատավարձերի աճով։ </w:t>
      </w:r>
      <w:r w:rsidRPr="008B63B1">
        <w:rPr>
          <w:rFonts w:ascii="GHEA Grapalat" w:eastAsia="Times New Roman" w:hAnsi="GHEA Grapalat" w:cs="Times New Roman"/>
          <w:color w:val="404040"/>
          <w:szCs w:val="20"/>
          <w:lang w:val="hy-AM"/>
        </w:rPr>
        <w:t>Վերջին երեք տարիներին անվանական աշխատավարձը միջինում աճել է 8.8%-ով, իսկ իրական աշխատավարձը՝ 6.9%-ով:</w:t>
      </w:r>
    </w:p>
    <w:p w14:paraId="1D3F6420"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2026 թվականի հունվար-հուլիսին տնտեսությունում միջին ամսական անվանական աշխատավարձն աճել է 5.5%-ով՝ կազմելով 312,238 դրամ, ինչը հիմնականում պայմանավորված է եղել առևտրի, կրթության, մշակող արդյունաբերության, ինչպես նաև առողջապահություն և բնակչության սոցիալական սպասարկում ոլորտներում աշխատավարձերի ֆոնդերի աճով: Պետական հատվածում միջին ամսական անվանական աշխատավարձն աճել է 8.9%-ով՝ կազմելով 247,621 դրամ, մասնավոր հատվածում՝ 4.3%-ով՝ կազմելով 336,684 դրամ: Միաժամանակ, սպառողական գների ինդեքսի 4.5% աճի պայմաններում իրական աշխատավարձն աճել է շուրջ 0.9%-ով:</w:t>
      </w:r>
    </w:p>
    <w:p w14:paraId="23F0EE3A" w14:textId="77777777" w:rsidR="00507805" w:rsidRPr="008B63B1" w:rsidRDefault="00507805" w:rsidP="00082769">
      <w:pPr>
        <w:rPr>
          <w:rFonts w:ascii="GHEA Grapalat" w:eastAsia="Times New Roman" w:hAnsi="GHEA Grapalat" w:cs="Times New Roman"/>
          <w:color w:val="404040"/>
          <w:lang w:val="hy-AM"/>
        </w:rPr>
      </w:pPr>
    </w:p>
    <w:p w14:paraId="6CEFEF4C" w14:textId="77777777" w:rsidR="00507805" w:rsidRPr="008B63B1" w:rsidRDefault="00507805" w:rsidP="00082769">
      <w:pPr>
        <w:pBdr>
          <w:bottom w:val="single" w:sz="8" w:space="1" w:color="E1E1E3"/>
        </w:pBd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Աշխատանքի շուկայի կանխատեսումներ</w:t>
      </w:r>
    </w:p>
    <w:p w14:paraId="4BBC3AB5" w14:textId="77777777" w:rsidR="00507805" w:rsidRPr="008B63B1" w:rsidRDefault="00507805" w:rsidP="00082769">
      <w:pPr>
        <w:spacing w:after="0"/>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color w:val="404040"/>
          <w:szCs w:val="20"/>
          <w:lang w:val="hy-AM"/>
        </w:rPr>
        <w:t>2026-2027 թվականներին և միջնաժամկետում տնտեսական աճի պայմաններում աշխատանքի շուկայում ակնկալվում են դրական զարգացումներ՝ գործազրկության նվազում, զբաղվածության և վարձու աշխատողների թվաքանակի աճ, ինչպես նաև միջին ամսական անվանական աշխատավարձի շարունակական բարձրացում:</w:t>
      </w:r>
      <w:r w:rsidRPr="008B63B1">
        <w:rPr>
          <w:rFonts w:ascii="GHEA Grapalat" w:eastAsia="Times New Roman" w:hAnsi="GHEA Grapalat" w:cs="Times New Roman"/>
          <w:color w:val="404040"/>
          <w:lang w:val="hy-AM"/>
        </w:rPr>
        <w:t xml:space="preserve"> </w:t>
      </w:r>
      <w:r w:rsidRPr="008B63B1">
        <w:rPr>
          <w:rFonts w:ascii="GHEA Grapalat" w:eastAsia="Times New Roman" w:hAnsi="GHEA Grapalat" w:cs="Times New Roman"/>
          <w:color w:val="404040"/>
          <w:szCs w:val="20"/>
          <w:lang w:val="hy-AM"/>
        </w:rPr>
        <w:t>2026 թվականին գործազրկության մակարդակը կնվազի 0.3 տոկոսային կետով՝ կազմելով 12.5%: Գործազուրկների թվաքանակի նվազումը կուղեկցվի զբաղվածների թվաքանակի շուրջ 0.3% աճով: Գործազրկության նվազումը կշարունակվի նաև 2027-2029 թվականներին: 2027 թվականին գործազրկության մակարդակը կնվազի 0.4 տոկոսային կետով՝ զբաղվածների թվաքանակի շուրջ 0.5% աճի պայմաններում: 2028-2029 թվականներին գործազրկության մակարդակը կշարունակի նվազել՝ 2029 թվականին հասնելով 11.3%-ի, իսկ զբաղվածության միջին տարեկան աճը կկազմի շուրջ 0.6%:</w:t>
      </w:r>
    </w:p>
    <w:p w14:paraId="0F251496" w14:textId="77777777" w:rsidR="00507805" w:rsidRPr="008B63B1" w:rsidRDefault="00507805" w:rsidP="00082769">
      <w:pPr>
        <w:spacing w:after="0"/>
        <w:jc w:val="both"/>
        <w:rPr>
          <w:rFonts w:ascii="GHEA Grapalat" w:eastAsia="Times New Roman" w:hAnsi="GHEA Grapalat" w:cs="Times New Roman"/>
          <w:color w:val="404040"/>
          <w:lang w:val="hy-AM"/>
        </w:rPr>
      </w:pPr>
    </w:p>
    <w:tbl>
      <w:tblPr>
        <w:tblStyle w:val="TableGrid1211"/>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00"/>
      </w:tblGrid>
      <w:tr w:rsidR="00507805" w:rsidRPr="003612ED" w14:paraId="7FA1E211" w14:textId="77777777" w:rsidTr="00873AE6">
        <w:trPr>
          <w:trHeight w:val="4675"/>
        </w:trPr>
        <w:tc>
          <w:tcPr>
            <w:tcW w:w="9918" w:type="dxa"/>
          </w:tcPr>
          <w:p w14:paraId="1C938860" w14:textId="77777777" w:rsidR="00507805" w:rsidRPr="001D56CB" w:rsidRDefault="00507805" w:rsidP="001D56CB">
            <w:pPr>
              <w:pStyle w:val="Charts"/>
              <w:ind w:right="-22"/>
              <w:rPr>
                <w:b w:val="0"/>
                <w:bCs/>
                <w:color w:val="auto"/>
                <w:sz w:val="20"/>
                <w:szCs w:val="18"/>
              </w:rPr>
            </w:pPr>
            <w:r w:rsidRPr="001D56CB">
              <w:rPr>
                <w:b w:val="0"/>
                <w:bCs/>
                <w:color w:val="auto"/>
                <w:sz w:val="20"/>
                <w:szCs w:val="18"/>
              </w:rPr>
              <w:t>Գծապատկեր 1.19. Գործազրկություն և զբաղվածություն</w:t>
            </w:r>
          </w:p>
          <w:p w14:paraId="62E38218" w14:textId="77777777" w:rsidR="00507805" w:rsidRPr="008B63B1" w:rsidRDefault="00507805" w:rsidP="00082769">
            <w:pPr>
              <w:rPr>
                <w:rFonts w:ascii="GHEA Grapalat" w:hAnsi="GHEA Grapalat" w:cs="Times New Roman"/>
                <w:color w:val="244061"/>
                <w:lang w:val="hy-AM"/>
              </w:rPr>
            </w:pPr>
            <w:r w:rsidRPr="008B63B1">
              <w:rPr>
                <w:rFonts w:ascii="GHEA Grapalat" w:hAnsi="GHEA Grapalat" w:cs="Times New Roman"/>
                <w:noProof/>
                <w:color w:val="244061"/>
              </w:rPr>
              <w:drawing>
                <wp:inline distT="0" distB="0" distL="0" distR="0" wp14:anchorId="170A7CF5" wp14:editId="08687356">
                  <wp:extent cx="6276442" cy="2381250"/>
                  <wp:effectExtent l="0" t="0" r="0" b="0"/>
                  <wp:docPr id="1545876448" name="Chart 15458764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D02CDE6" w14:textId="77777777" w:rsidR="00507805" w:rsidRPr="008B63B1" w:rsidRDefault="00507805" w:rsidP="00082769">
            <w:pPr>
              <w:rPr>
                <w:rFonts w:ascii="GHEA Grapalat" w:hAnsi="GHEA Grapalat" w:cs="Times New Roman"/>
                <w:i/>
                <w:color w:val="404040"/>
                <w:sz w:val="16"/>
                <w:szCs w:val="16"/>
                <w:lang w:val="hy-AM"/>
              </w:rPr>
            </w:pPr>
            <w:r w:rsidRPr="008B63B1">
              <w:rPr>
                <w:rFonts w:ascii="GHEA Grapalat" w:hAnsi="GHEA Grapalat" w:cs="Times New Roman"/>
                <w:i/>
                <w:color w:val="404040"/>
                <w:sz w:val="18"/>
                <w:szCs w:val="16"/>
                <w:lang w:val="hy-AM"/>
              </w:rPr>
              <w:t>Աղբյուրը՝ ՀՀ ՎԿ, ՀՀ ՖՆ կանխատեսումներ</w:t>
            </w:r>
          </w:p>
        </w:tc>
      </w:tr>
    </w:tbl>
    <w:p w14:paraId="006AAD80" w14:textId="77777777" w:rsidR="00507805" w:rsidRPr="008B63B1" w:rsidRDefault="00507805" w:rsidP="00082769">
      <w:pPr>
        <w:spacing w:after="0"/>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2026 թվականին վարձու աշխատողների թվաքանակի աճը կկազմի 3.4%, իսկ միջին ամսական անվանական աշխատավարձի աճը՝ 5.5%: 2027-2029 թվականներին վարձու աշխատողների թվաքանակը և միջին ամսական անվանական աշխատավարձը կշարունակեն աճել: 2027 թվականին վարձու աշխատողների թվաքանակը կաճի 3.1%-ով, իսկ միջին ամսական անվանական աշխատավարձը՝ 5.4%-ով: 2028-2029 թվականներին վարձու աշխատողների թվաքանակի և միջին ամսական անվանական աշխատավարձի աճերը կդանդաղեն՝ միջինում կազմելով համապատասխանաբար՝ 2.9% և 5.0%:</w:t>
      </w:r>
    </w:p>
    <w:p w14:paraId="178EBCC7" w14:textId="77777777" w:rsidR="00507805" w:rsidRPr="008B63B1" w:rsidRDefault="00507805" w:rsidP="00082769">
      <w:pPr>
        <w:spacing w:after="0"/>
        <w:jc w:val="both"/>
        <w:rPr>
          <w:rFonts w:ascii="GHEA Grapalat" w:eastAsia="Times New Roman" w:hAnsi="GHEA Grapalat" w:cs="Times New Roman"/>
          <w:color w:val="404040"/>
          <w:szCs w:val="20"/>
          <w:lang w:val="hy-AM"/>
        </w:rPr>
      </w:pPr>
    </w:p>
    <w:tbl>
      <w:tblPr>
        <w:tblStyle w:val="TableGrid12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4"/>
        <w:gridCol w:w="5020"/>
      </w:tblGrid>
      <w:tr w:rsidR="00507805" w:rsidRPr="003612ED" w14:paraId="119C997C" w14:textId="77777777" w:rsidTr="00873AE6">
        <w:trPr>
          <w:trHeight w:val="4675"/>
        </w:trPr>
        <w:tc>
          <w:tcPr>
            <w:tcW w:w="5004" w:type="dxa"/>
          </w:tcPr>
          <w:p w14:paraId="59ECD763" w14:textId="77777777" w:rsidR="00507805" w:rsidRPr="001D56CB" w:rsidRDefault="00507805" w:rsidP="001D56CB">
            <w:pPr>
              <w:pStyle w:val="Charts"/>
              <w:ind w:right="-22"/>
              <w:rPr>
                <w:b w:val="0"/>
                <w:bCs/>
                <w:color w:val="auto"/>
                <w:sz w:val="20"/>
                <w:szCs w:val="18"/>
              </w:rPr>
            </w:pPr>
            <w:r w:rsidRPr="001D56CB">
              <w:rPr>
                <w:b w:val="0"/>
                <w:bCs/>
                <w:color w:val="auto"/>
                <w:sz w:val="20"/>
                <w:szCs w:val="18"/>
              </w:rPr>
              <w:t>Գծապատկեր 1.20. Վարձու աշխատողներ</w:t>
            </w:r>
          </w:p>
          <w:p w14:paraId="6E0FE60A" w14:textId="77777777" w:rsidR="00507805" w:rsidRPr="008B63B1" w:rsidRDefault="00507805" w:rsidP="00082769">
            <w:pPr>
              <w:rPr>
                <w:rFonts w:ascii="GHEA Grapalat" w:hAnsi="GHEA Grapalat" w:cs="Times New Roman"/>
                <w:color w:val="244061"/>
                <w:lang w:val="hy-AM"/>
              </w:rPr>
            </w:pPr>
            <w:r w:rsidRPr="008B63B1">
              <w:rPr>
                <w:rFonts w:ascii="GHEA Grapalat" w:hAnsi="GHEA Grapalat" w:cs="Times New Roman"/>
                <w:noProof/>
                <w:color w:val="244061"/>
              </w:rPr>
              <w:drawing>
                <wp:inline distT="0" distB="0" distL="0" distR="0" wp14:anchorId="2A1D63CA" wp14:editId="448A030A">
                  <wp:extent cx="2971800" cy="238125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2F8F388" w14:textId="77777777" w:rsidR="00507805" w:rsidRPr="008B63B1" w:rsidRDefault="00507805" w:rsidP="00082769">
            <w:pPr>
              <w:rPr>
                <w:rFonts w:ascii="GHEA Grapalat" w:hAnsi="GHEA Grapalat" w:cs="Times New Roman"/>
                <w:i/>
                <w:color w:val="404040"/>
                <w:sz w:val="16"/>
                <w:szCs w:val="16"/>
                <w:lang w:val="hy-AM"/>
              </w:rPr>
            </w:pPr>
            <w:r w:rsidRPr="008B63B1">
              <w:rPr>
                <w:rFonts w:ascii="GHEA Grapalat" w:hAnsi="GHEA Grapalat" w:cs="Times New Roman"/>
                <w:i/>
                <w:color w:val="404040"/>
                <w:sz w:val="18"/>
                <w:szCs w:val="16"/>
                <w:lang w:val="hy-AM"/>
              </w:rPr>
              <w:t>Աղբյուրը՝ ՀՀ ՎԿ, ՀՀ ՖՆ կանխատեսումներ</w:t>
            </w:r>
          </w:p>
        </w:tc>
        <w:tc>
          <w:tcPr>
            <w:tcW w:w="5020" w:type="dxa"/>
            <w:hideMark/>
          </w:tcPr>
          <w:p w14:paraId="53A3A9CE" w14:textId="77777777" w:rsidR="00507805" w:rsidRPr="008B63B1" w:rsidRDefault="00507805" w:rsidP="00082769">
            <w:pPr>
              <w:rPr>
                <w:rFonts w:ascii="GHEA Grapalat" w:eastAsia="Times New Roman" w:hAnsi="GHEA Grapalat" w:cs="Times New Roman"/>
                <w:bCs/>
                <w:color w:val="5B9BD5"/>
                <w:sz w:val="18"/>
                <w:szCs w:val="18"/>
                <w:lang w:val="hy-AM" w:eastAsia="ru-RU"/>
              </w:rPr>
            </w:pPr>
            <w:r w:rsidRPr="001D56CB">
              <w:rPr>
                <w:rFonts w:ascii="GHEA Grapalat" w:hAnsi="GHEA Grapalat"/>
                <w:bCs/>
                <w:noProof/>
                <w:color w:val="auto"/>
                <w:sz w:val="20"/>
                <w:szCs w:val="18"/>
              </w:rPr>
              <w:drawing>
                <wp:anchor distT="0" distB="0" distL="114300" distR="114300" simplePos="0" relativeHeight="251743232" behindDoc="1" locked="0" layoutInCell="1" allowOverlap="1" wp14:anchorId="7DA37B7C" wp14:editId="03C5309F">
                  <wp:simplePos x="0" y="0"/>
                  <wp:positionH relativeFrom="column">
                    <wp:posOffset>-8255</wp:posOffset>
                  </wp:positionH>
                  <wp:positionV relativeFrom="paragraph">
                    <wp:posOffset>403860</wp:posOffset>
                  </wp:positionV>
                  <wp:extent cx="2980055" cy="2196000"/>
                  <wp:effectExtent l="0" t="0" r="0" b="0"/>
                  <wp:wrapTight wrapText="bothSides">
                    <wp:wrapPolygon edited="0">
                      <wp:start x="0" y="0"/>
                      <wp:lineTo x="0" y="21363"/>
                      <wp:lineTo x="21402" y="21363"/>
                      <wp:lineTo x="21402" y="0"/>
                      <wp:lineTo x="0" y="0"/>
                    </wp:wrapPolygon>
                  </wp:wrapTight>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margin">
                    <wp14:pctHeight>0</wp14:pctHeight>
                  </wp14:sizeRelV>
                </wp:anchor>
              </w:drawing>
            </w:r>
            <w:r w:rsidRPr="001D56CB">
              <w:rPr>
                <w:rFonts w:ascii="GHEA Grapalat" w:hAnsi="GHEA Grapalat"/>
                <w:bCs/>
                <w:color w:val="auto"/>
                <w:sz w:val="20"/>
                <w:szCs w:val="18"/>
                <w:lang w:val="hy-AM"/>
              </w:rPr>
              <w:t>Գծապատկեր 1.21. Միջին ամսական անվանական</w:t>
            </w:r>
            <w:r w:rsidRPr="008B63B1">
              <w:rPr>
                <w:rFonts w:ascii="GHEA Grapalat" w:eastAsia="Times New Roman" w:hAnsi="GHEA Grapalat" w:cs="Times New Roman"/>
                <w:bCs/>
                <w:color w:val="5B9BD5"/>
                <w:sz w:val="18"/>
                <w:szCs w:val="18"/>
                <w:lang w:val="hy-AM" w:eastAsia="ru-RU"/>
              </w:rPr>
              <w:t xml:space="preserve"> աշխատավարձ </w:t>
            </w:r>
          </w:p>
          <w:p w14:paraId="48B63859" w14:textId="77777777" w:rsidR="00507805" w:rsidRPr="008B63B1" w:rsidRDefault="00507805" w:rsidP="00082769">
            <w:pPr>
              <w:rPr>
                <w:rFonts w:ascii="GHEA Grapalat" w:hAnsi="GHEA Grapalat" w:cs="Times New Roman"/>
                <w:i/>
                <w:color w:val="404040"/>
                <w:sz w:val="16"/>
                <w:szCs w:val="16"/>
                <w:lang w:val="hy-AM"/>
              </w:rPr>
            </w:pPr>
            <w:r w:rsidRPr="008B63B1">
              <w:rPr>
                <w:rFonts w:ascii="GHEA Grapalat" w:hAnsi="GHEA Grapalat" w:cs="Times New Roman"/>
                <w:i/>
                <w:color w:val="404040"/>
                <w:sz w:val="18"/>
                <w:szCs w:val="16"/>
                <w:lang w:val="hy-AM"/>
              </w:rPr>
              <w:t>Աղբյուրը՝ ՀՀ ՎԿ, ՀՀ ՖՆ կանխատեսումներ</w:t>
            </w:r>
          </w:p>
        </w:tc>
      </w:tr>
    </w:tbl>
    <w:p w14:paraId="3FB8D3C8" w14:textId="77777777" w:rsidR="00507805" w:rsidRPr="008B63B1" w:rsidRDefault="00507805" w:rsidP="00082769">
      <w:pPr>
        <w:spacing w:before="360" w:after="0"/>
        <w:outlineLvl w:val="2"/>
        <w:rPr>
          <w:rFonts w:ascii="GHEA Grapalat" w:eastAsia="Times New Roman" w:hAnsi="GHEA Grapalat" w:cs="Times New Roman"/>
          <w:color w:val="A6A6A6"/>
          <w:szCs w:val="20"/>
          <w:lang w:val="hy-AM"/>
        </w:rPr>
      </w:pPr>
      <w:bookmarkStart w:id="194" w:name="_Toc170926296"/>
      <w:bookmarkStart w:id="195" w:name="_Toc170750535"/>
      <w:bookmarkStart w:id="196" w:name="_Toc170743031"/>
      <w:bookmarkStart w:id="197" w:name="_Toc210126082"/>
      <w:bookmarkStart w:id="198" w:name="_Toc241687662"/>
      <w:r w:rsidRPr="008B63B1">
        <w:rPr>
          <w:rFonts w:ascii="GHEA Grapalat" w:eastAsia="Times New Roman" w:hAnsi="GHEA Grapalat" w:cs="Times New Roman"/>
          <w:color w:val="A6A6A6"/>
          <w:szCs w:val="20"/>
          <w:lang w:val="hy-AM"/>
        </w:rPr>
        <w:t>1.3.3. ՀՀ ՎՃԱՐԱՅԻՆ ՀԱՇՎԵԿՇԻՌ, ԱՐՏԱՀԱՆՈՒՄ և ՆԵՐՄՈՒԾՈՒՄ</w:t>
      </w:r>
      <w:bookmarkEnd w:id="194"/>
      <w:bookmarkEnd w:id="195"/>
      <w:bookmarkEnd w:id="196"/>
      <w:bookmarkEnd w:id="197"/>
      <w:bookmarkEnd w:id="198"/>
      <w:r w:rsidRPr="008B63B1">
        <w:rPr>
          <w:rFonts w:ascii="GHEA Grapalat" w:eastAsia="Times New Roman" w:hAnsi="GHEA Grapalat" w:cs="Times New Roman"/>
          <w:color w:val="A6A6A6"/>
          <w:szCs w:val="20"/>
          <w:lang w:val="hy-AM"/>
        </w:rPr>
        <w:t xml:space="preserve"> </w:t>
      </w:r>
    </w:p>
    <w:p w14:paraId="30A1802A" w14:textId="77777777" w:rsidR="00507805" w:rsidRPr="008B63B1" w:rsidRDefault="00507805" w:rsidP="00082769">
      <w:pPr>
        <w:tabs>
          <w:tab w:val="num" w:pos="720"/>
        </w:tabs>
        <w:spacing w:after="0"/>
        <w:contextualSpacing/>
        <w:jc w:val="both"/>
        <w:rPr>
          <w:rFonts w:ascii="GHEA Grapalat" w:eastAsia="Times New Roman" w:hAnsi="GHEA Grapalat" w:cs="Sylfaen"/>
          <w:color w:val="404040"/>
          <w:lang w:val="hy-AM"/>
        </w:rPr>
      </w:pPr>
      <w:bookmarkStart w:id="199" w:name="_Toc170926297"/>
      <w:bookmarkStart w:id="200" w:name="_Toc170750536"/>
      <w:bookmarkStart w:id="201" w:name="_Toc170743032"/>
      <w:bookmarkStart w:id="202" w:name="_Toc170926298"/>
      <w:bookmarkStart w:id="203" w:name="_Toc170750537"/>
      <w:bookmarkStart w:id="204" w:name="_Toc170743033"/>
      <w:r w:rsidRPr="008B63B1">
        <w:rPr>
          <w:rFonts w:ascii="GHEA Grapalat" w:eastAsia="Times New Roman" w:hAnsi="GHEA Grapalat" w:cs="Times New Roman"/>
          <w:b/>
          <w:color w:val="404040"/>
          <w:lang w:val="hy-AM"/>
        </w:rPr>
        <w:t>2023-2025թթ. վճարային հաշվեկշռի ընթացիկ հաշվի պակասուրդը նախորդ երեք տարիների համեմատ ավելացել է` միջինում կազմելով ՀՆԱ-ի 6.1%-ը:</w:t>
      </w:r>
      <w:r w:rsidRPr="008B63B1">
        <w:rPr>
          <w:rFonts w:ascii="GHEA Grapalat" w:eastAsia="Times New Roman" w:hAnsi="GHEA Grapalat" w:cs="Times New Roman"/>
          <w:color w:val="404040"/>
          <w:lang w:val="hy-AM"/>
        </w:rPr>
        <w:t xml:space="preserve"> </w:t>
      </w:r>
      <w:r w:rsidRPr="008B63B1">
        <w:rPr>
          <w:rFonts w:ascii="GHEA Grapalat" w:eastAsia="Calibri" w:hAnsi="GHEA Grapalat" w:cs="Times New Roman"/>
          <w:color w:val="404040"/>
          <w:lang w:val="hy-AM"/>
        </w:rPr>
        <w:t xml:space="preserve">2023թ. ընթացիկ հաշիվը հիմնականում բնութագրվել է դրամական փոխանցումների ծավալների կրճատմամբ և ապրանքների հաշվեկշռի որոշակի վատթարացմամբ։ 2024թ. </w:t>
      </w:r>
      <w:r w:rsidRPr="008B63B1">
        <w:rPr>
          <w:rFonts w:ascii="GHEA Grapalat" w:eastAsia="Times New Roman" w:hAnsi="GHEA Grapalat" w:cs="Sylfaen"/>
          <w:color w:val="404040"/>
          <w:lang w:val="hy-AM"/>
        </w:rPr>
        <w:t>ընթացիկ հաշվի վատթարացումը հիմնականում պայմանավորված է եղել ծառայությունների հաշվեկշռի վատթարացմամբ, ինչպես նաև դրամական փոխանցումների նվազմամբ:</w:t>
      </w:r>
    </w:p>
    <w:p w14:paraId="3EBEA34D" w14:textId="77777777" w:rsidR="00507805" w:rsidRPr="008B63B1" w:rsidRDefault="00507805" w:rsidP="00082769">
      <w:pPr>
        <w:tabs>
          <w:tab w:val="num" w:pos="720"/>
        </w:tabs>
        <w:spacing w:after="0"/>
        <w:contextualSpacing/>
        <w:jc w:val="both"/>
        <w:rPr>
          <w:rFonts w:ascii="GHEA Grapalat" w:eastAsia="Times New Roman" w:hAnsi="GHEA Grapalat" w:cs="Times New Roman"/>
          <w:color w:val="404040"/>
          <w:lang w:val="hy-AM"/>
        </w:rPr>
      </w:pPr>
      <w:r w:rsidRPr="008B63B1">
        <w:rPr>
          <w:rFonts w:ascii="GHEA Grapalat" w:eastAsia="Times New Roman" w:hAnsi="GHEA Grapalat" w:cs="Sylfaen"/>
          <w:color w:val="404040"/>
          <w:lang w:val="hy-AM"/>
        </w:rPr>
        <w:t xml:space="preserve"> </w:t>
      </w:r>
      <w:r w:rsidRPr="008B63B1">
        <w:rPr>
          <w:rFonts w:ascii="GHEA Grapalat" w:eastAsia="Times New Roman" w:hAnsi="GHEA Grapalat" w:cs="Times New Roman"/>
          <w:b/>
          <w:bCs/>
          <w:color w:val="404040"/>
          <w:lang w:val="hy-AM"/>
        </w:rPr>
        <w:t>202</w:t>
      </w:r>
      <w:r w:rsidRPr="008B63B1">
        <w:rPr>
          <w:rFonts w:ascii="GHEA Grapalat" w:eastAsia="Times New Roman" w:hAnsi="GHEA Grapalat" w:cs="Times New Roman"/>
          <w:b/>
          <w:bCs/>
          <w:color w:val="404040"/>
          <w:lang w:val="de-AT"/>
        </w:rPr>
        <w:t>5</w:t>
      </w:r>
      <w:r w:rsidRPr="008B63B1">
        <w:rPr>
          <w:rFonts w:ascii="GHEA Grapalat" w:eastAsia="Times New Roman" w:hAnsi="GHEA Grapalat" w:cs="Times New Roman"/>
          <w:b/>
          <w:bCs/>
          <w:color w:val="404040"/>
          <w:lang w:val="hy-AM"/>
        </w:rPr>
        <w:t>թ. ընթացիկ հաշվի պակասուրդը նախորդ տարվա համեմատ ավելացել է՝ կազմելով ՀՆԱ-ի 8.7%-ը:</w:t>
      </w:r>
      <w:r w:rsidRPr="008B63B1">
        <w:rPr>
          <w:rFonts w:ascii="GHEA Grapalat" w:eastAsia="Times New Roman" w:hAnsi="GHEA Grapalat" w:cs="Times New Roman"/>
          <w:color w:val="404040"/>
          <w:lang w:val="hy-AM"/>
        </w:rPr>
        <w:t xml:space="preserve"> Ընթացիկ հաշվի վատթարացումը հիմնականում պայմանավորված է եղել ապրանքների հաշվեկշռի վատթարացմամբ, ինչպես նաև ծառայությունների հաշվեկշռի և զուտ դրամական փոխանցումների դերի նվազմամբ: Ապրանքների և ծառայությունների բացասական հաշվեկշիռը կազմել է ՀՆԱ-ի 7.0%-ը` նախորդ տարվա համեմատ վատթարանալով 2.2 տոկոսային կետով, ինչը հիմնականում պայմանավորված է ապրանքների հաշվեկշռի՝ ՀՆԱ-ում 1.6 տոկոսային կետ վատթարացմամբ (հիմնականում պայմանավորված վերաարտահանման ծավալների նվազմամբ): Տնտեսություն ներհոսող դրամական զուտ փոխանցումները 2025թ. աճել են շուրջ 7.5%-ով` պայմանավորված հատկապես ՌԴ</w:t>
      </w:r>
      <w:r w:rsidRPr="008B63B1">
        <w:rPr>
          <w:rFonts w:ascii="GHEA Grapalat" w:eastAsia="Times New Roman" w:hAnsi="GHEA Grapalat" w:cs="Times New Roman"/>
          <w:color w:val="404040"/>
          <w:lang w:val="hy-AM"/>
        </w:rPr>
        <w:noBreakHyphen/>
        <w:t>-ից ներհոսքի աճով: Նշված զարգացումների արդյունքում 2025թ. նախորդ տարվա համեմատ ՀՆԱ</w:t>
      </w:r>
      <w:r w:rsidRPr="008B63B1">
        <w:rPr>
          <w:rFonts w:ascii="GHEA Grapalat" w:eastAsia="Times New Roman" w:hAnsi="GHEA Grapalat" w:cs="Times New Roman"/>
          <w:color w:val="404040"/>
          <w:lang w:val="hy-AM"/>
        </w:rPr>
        <w:noBreakHyphen/>
        <w:t>-ում ընթացիկ հաշվի պակասուրդն ավելացել է 2.5 տոկոսային կետով:</w:t>
      </w:r>
    </w:p>
    <w:p w14:paraId="328B84DC"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bCs/>
          <w:color w:val="404040"/>
          <w:szCs w:val="20"/>
          <w:lang w:val="hy-AM"/>
        </w:rPr>
        <w:t>2026թ. հունվար-օգոստոս ամիսներին առևտրային հաշվեկշռի բացասական մնացորդը, պայմանավորված արտահանման ծավալների նվազմամբ և ներմուծման ծավալների աճով, նախորդ տարվա նույն ժամանակաշրջանի նկատմամբ վատթարացել է:</w:t>
      </w:r>
      <w:r w:rsidRPr="008B63B1">
        <w:rPr>
          <w:rFonts w:ascii="GHEA Grapalat" w:eastAsia="Times New Roman" w:hAnsi="GHEA Grapalat" w:cs="Times New Roman"/>
          <w:color w:val="404040"/>
          <w:szCs w:val="20"/>
          <w:lang w:val="hy-AM"/>
        </w:rPr>
        <w:t xml:space="preserve"> Միաժամանակ, վերը նշված ժամանակահատվածում ՀՀ այցելած զբոսաշրջիկների թվաքանակը նվազել է, որն իր բացասական ազդեցություն է ունեցել ծառայությունների հաշվեկշռի վրա: Իսկ ՀՀ բանկերի միջոցով ֆիզիկական անձանց անունով արտերկրից ստացված ոչ առևտրային բնույթի զուտ դրամական փոխանցումները հունվար-հուլիս ամիսներին աճել են 25.1%-ով:</w:t>
      </w:r>
    </w:p>
    <w:p w14:paraId="2D74B521"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ab/>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5106"/>
      </w:tblGrid>
      <w:tr w:rsidR="00507805" w:rsidRPr="003612ED" w14:paraId="7E8B3FD1" w14:textId="77777777" w:rsidTr="00873AE6">
        <w:trPr>
          <w:trHeight w:val="5794"/>
        </w:trPr>
        <w:tc>
          <w:tcPr>
            <w:tcW w:w="4956" w:type="dxa"/>
          </w:tcPr>
          <w:p w14:paraId="71557838" w14:textId="77777777" w:rsidR="00507805" w:rsidRPr="001D56CB" w:rsidRDefault="00507805" w:rsidP="001D56CB">
            <w:pPr>
              <w:pStyle w:val="Charts"/>
              <w:ind w:right="-22"/>
              <w:rPr>
                <w:b w:val="0"/>
                <w:bCs/>
                <w:color w:val="auto"/>
                <w:sz w:val="20"/>
                <w:szCs w:val="18"/>
              </w:rPr>
            </w:pPr>
            <w:r w:rsidRPr="001D56CB">
              <w:rPr>
                <w:b w:val="0"/>
                <w:bCs/>
                <w:color w:val="auto"/>
                <w:sz w:val="20"/>
                <w:szCs w:val="18"/>
              </w:rPr>
              <w:t>Գծապատկեր 1.22. Ընթացիկ հաշվի և դրա բաղադրատարրերի դինամիկան, % ՀՆԱ-ում</w:t>
            </w:r>
          </w:p>
          <w:p w14:paraId="76F1F640" w14:textId="77777777" w:rsidR="00507805" w:rsidRPr="008B63B1" w:rsidRDefault="00507805" w:rsidP="00082769">
            <w:pPr>
              <w:keepNext/>
              <w:spacing w:after="0"/>
              <w:contextualSpacing/>
              <w:rPr>
                <w:rFonts w:ascii="GHEA Grapalat" w:eastAsia="GHEA Grapalat" w:hAnsi="GHEA Grapalat" w:cs="GHEA Grapalat"/>
                <w:i/>
                <w:color w:val="404040"/>
                <w:sz w:val="18"/>
                <w:szCs w:val="18"/>
                <w:lang w:val="hy-AM"/>
              </w:rPr>
            </w:pPr>
            <w:r w:rsidRPr="008B63B1">
              <w:rPr>
                <w:rFonts w:ascii="GHEA Grapalat" w:eastAsia="Times New Roman" w:hAnsi="GHEA Grapalat" w:cs="Times New Roman"/>
                <w:noProof/>
                <w:color w:val="404040"/>
                <w:sz w:val="20"/>
                <w:szCs w:val="20"/>
              </w:rPr>
              <w:drawing>
                <wp:inline distT="0" distB="0" distL="0" distR="0" wp14:anchorId="3EE6FEE1" wp14:editId="3ECCE3A4">
                  <wp:extent cx="3002400" cy="2519680"/>
                  <wp:effectExtent l="0" t="0" r="7620" b="13970"/>
                  <wp:docPr id="20" name="Char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Pr="008B63B1">
              <w:rPr>
                <w:rFonts w:ascii="GHEA Grapalat" w:eastAsia="GHEA Grapalat" w:hAnsi="GHEA Grapalat" w:cs="GHEA Grapalat"/>
                <w:i/>
                <w:color w:val="404040"/>
                <w:sz w:val="16"/>
                <w:szCs w:val="16"/>
                <w:lang w:val="hy-AM"/>
              </w:rPr>
              <w:t>Աղբյուրը՝ ՀՀ ՎԿ, ՀՀ ՖՆ հաշվարկներ</w:t>
            </w:r>
          </w:p>
          <w:p w14:paraId="3B80E378" w14:textId="77777777" w:rsidR="00507805" w:rsidRPr="001D56CB" w:rsidRDefault="00507805" w:rsidP="001D56CB">
            <w:pPr>
              <w:pStyle w:val="Charts"/>
              <w:ind w:right="-22"/>
              <w:rPr>
                <w:b w:val="0"/>
                <w:bCs/>
                <w:color w:val="auto"/>
                <w:sz w:val="20"/>
                <w:szCs w:val="18"/>
              </w:rPr>
            </w:pPr>
            <w:r w:rsidRPr="001D56CB">
              <w:rPr>
                <w:b w:val="0"/>
                <w:bCs/>
                <w:color w:val="auto"/>
                <w:sz w:val="20"/>
                <w:szCs w:val="18"/>
              </w:rPr>
              <w:t>Գծապատկեր 1.24. Ծառայությունների արտահանում, ներմուծում և հաշվեկշռի դինամիկան, մլն ԱՄՆ դոլար</w:t>
            </w:r>
          </w:p>
          <w:p w14:paraId="5AA353ED" w14:textId="77777777" w:rsidR="00507805" w:rsidRPr="008B63B1" w:rsidRDefault="00507805" w:rsidP="00082769">
            <w:pPr>
              <w:keepNext/>
              <w:spacing w:after="0"/>
              <w:contextualSpacing/>
              <w:rPr>
                <w:rFonts w:ascii="GHEA Grapalat" w:eastAsia="GHEA Grapalat" w:hAnsi="GHEA Grapalat" w:cs="GHEA Grapalat"/>
                <w:b/>
                <w:i/>
                <w:color w:val="404040"/>
                <w:sz w:val="20"/>
                <w:szCs w:val="20"/>
              </w:rPr>
            </w:pPr>
            <w:r w:rsidRPr="008B63B1">
              <w:rPr>
                <w:rFonts w:ascii="GHEA Grapalat" w:eastAsia="Times New Roman" w:hAnsi="GHEA Grapalat" w:cs="Times New Roman"/>
                <w:noProof/>
                <w:color w:val="404040"/>
              </w:rPr>
              <w:drawing>
                <wp:inline distT="0" distB="0" distL="0" distR="0" wp14:anchorId="5545E59D" wp14:editId="7586AC79">
                  <wp:extent cx="2995200" cy="2355850"/>
                  <wp:effectExtent l="0" t="0" r="15240" b="6350"/>
                  <wp:docPr id="21"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6D78310" w14:textId="77777777" w:rsidR="00507805" w:rsidRPr="008B63B1" w:rsidRDefault="00507805" w:rsidP="00082769">
            <w:pPr>
              <w:keepNext/>
              <w:spacing w:after="0"/>
              <w:contextualSpacing/>
              <w:rPr>
                <w:rFonts w:ascii="GHEA Grapalat" w:eastAsia="GHEA Grapalat" w:hAnsi="GHEA Grapalat" w:cs="GHEA Grapalat"/>
                <w:b/>
                <w:i/>
                <w:color w:val="404040"/>
                <w:sz w:val="16"/>
                <w:szCs w:val="16"/>
              </w:rPr>
            </w:pPr>
            <w:r w:rsidRPr="008B63B1">
              <w:rPr>
                <w:rFonts w:ascii="GHEA Grapalat" w:eastAsia="GHEA Grapalat" w:hAnsi="GHEA Grapalat" w:cs="GHEA Grapalat"/>
                <w:i/>
                <w:color w:val="404040"/>
                <w:sz w:val="16"/>
                <w:szCs w:val="16"/>
              </w:rPr>
              <w:t>Աղբյուրը՝ ՀՀ ՎԿ, ՀՀ ՖՆ հաշվարկներ</w:t>
            </w:r>
          </w:p>
        </w:tc>
        <w:tc>
          <w:tcPr>
            <w:tcW w:w="5029" w:type="dxa"/>
          </w:tcPr>
          <w:p w14:paraId="54CBE017" w14:textId="77777777" w:rsidR="00507805" w:rsidRPr="008B63B1" w:rsidRDefault="00507805" w:rsidP="00082769">
            <w:pPr>
              <w:keepNext/>
              <w:keepLines/>
              <w:tabs>
                <w:tab w:val="left" w:pos="0"/>
                <w:tab w:val="left" w:pos="284"/>
                <w:tab w:val="left" w:pos="1276"/>
                <w:tab w:val="left" w:pos="1888"/>
              </w:tabs>
              <w:autoSpaceDE w:val="0"/>
              <w:autoSpaceDN w:val="0"/>
              <w:adjustRightInd w:val="0"/>
              <w:spacing w:after="0"/>
              <w:contextualSpacing/>
              <w:rPr>
                <w:rFonts w:ascii="GHEA Grapalat" w:eastAsia="GHEA Grapalat" w:hAnsi="GHEA Grapalat" w:cs="GHEA Grapalat"/>
                <w:i/>
                <w:color w:val="404040"/>
                <w:sz w:val="16"/>
                <w:szCs w:val="16"/>
                <w:lang w:val="hy-AM"/>
              </w:rPr>
            </w:pPr>
            <w:r w:rsidRPr="001D56CB">
              <w:rPr>
                <w:rFonts w:ascii="GHEA Grapalat" w:hAnsi="GHEA Grapalat"/>
                <w:bCs/>
                <w:color w:val="auto"/>
                <w:sz w:val="20"/>
                <w:szCs w:val="18"/>
                <w:lang w:val="hy-AM"/>
              </w:rPr>
              <w:t>Գծապատկեր 1.23. Ապրանքների արտահանման, ներմուծման և առևտրային հաշվի դինամիկան, մլն ԱՄՆ դոլար</w:t>
            </w:r>
            <w:r w:rsidRPr="008B63B1">
              <w:rPr>
                <w:rFonts w:ascii="GHEA Grapalat" w:eastAsia="GHEA Grapalat" w:hAnsi="GHEA Grapalat" w:cs="GHEA Grapalat"/>
                <w:bCs/>
                <w:i/>
                <w:color w:val="404040"/>
                <w:sz w:val="18"/>
                <w:lang w:val="hy-AM"/>
              </w:rPr>
              <w:t xml:space="preserve"> </w:t>
            </w:r>
            <w:r w:rsidRPr="008B63B1">
              <w:rPr>
                <w:rFonts w:ascii="GHEA Grapalat" w:eastAsia="Calibri" w:hAnsi="GHEA Grapalat" w:cs="Sylfaen"/>
                <w:i/>
                <w:noProof/>
                <w:color w:val="404040"/>
                <w:sz w:val="18"/>
              </w:rPr>
              <w:drawing>
                <wp:inline distT="0" distB="0" distL="0" distR="0" wp14:anchorId="4A938223" wp14:editId="17F44D03">
                  <wp:extent cx="3044825" cy="2400300"/>
                  <wp:effectExtent l="0" t="0" r="3175" b="0"/>
                  <wp:docPr id="22" name="Chart 4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Pr="008B63B1">
              <w:rPr>
                <w:rFonts w:ascii="GHEA Grapalat" w:eastAsia="GHEA Grapalat" w:hAnsi="GHEA Grapalat" w:cs="GHEA Grapalat"/>
                <w:i/>
                <w:color w:val="404040"/>
                <w:sz w:val="16"/>
                <w:szCs w:val="16"/>
                <w:lang w:val="hy-AM"/>
              </w:rPr>
              <w:t>Աղբյուրը՝ ՀՀ ՎԿ, ՀՀ ՖՆ հաշվարկներ</w:t>
            </w:r>
          </w:p>
          <w:p w14:paraId="2C60C60C" w14:textId="77777777" w:rsidR="00507805" w:rsidRPr="008B63B1" w:rsidRDefault="00507805" w:rsidP="00082769">
            <w:pPr>
              <w:keepNext/>
              <w:keepLines/>
              <w:tabs>
                <w:tab w:val="left" w:pos="0"/>
                <w:tab w:val="left" w:pos="284"/>
                <w:tab w:val="left" w:pos="1276"/>
                <w:tab w:val="left" w:pos="1888"/>
              </w:tabs>
              <w:autoSpaceDE w:val="0"/>
              <w:autoSpaceDN w:val="0"/>
              <w:adjustRightInd w:val="0"/>
              <w:spacing w:after="0"/>
              <w:contextualSpacing/>
              <w:rPr>
                <w:rFonts w:ascii="GHEA Grapalat" w:eastAsia="GHEA Grapalat" w:hAnsi="GHEA Grapalat" w:cs="GHEA Grapalat"/>
                <w:i/>
                <w:color w:val="404040"/>
                <w:sz w:val="16"/>
                <w:szCs w:val="16"/>
                <w:lang w:val="hy-AM"/>
              </w:rPr>
            </w:pPr>
          </w:p>
          <w:p w14:paraId="179A7F39" w14:textId="77777777" w:rsidR="00507805" w:rsidRPr="001D56CB" w:rsidRDefault="00507805" w:rsidP="001D56CB">
            <w:pPr>
              <w:pStyle w:val="Charts"/>
              <w:ind w:right="-22"/>
              <w:rPr>
                <w:b w:val="0"/>
                <w:bCs/>
                <w:color w:val="auto"/>
                <w:sz w:val="20"/>
                <w:szCs w:val="18"/>
              </w:rPr>
            </w:pPr>
            <w:r w:rsidRPr="001D56CB">
              <w:rPr>
                <w:b w:val="0"/>
                <w:bCs/>
                <w:color w:val="auto"/>
                <w:sz w:val="20"/>
                <w:szCs w:val="18"/>
              </w:rPr>
              <w:t>Գծապատկեր 1.25. Զուտ դրամական փոխանցումների դինամիկան, մլն ԱՄՆ դոլար</w:t>
            </w:r>
          </w:p>
          <w:p w14:paraId="1D0F5E6A" w14:textId="77777777" w:rsidR="00507805" w:rsidRPr="008B63B1" w:rsidRDefault="00507805" w:rsidP="00082769">
            <w:pPr>
              <w:keepNext/>
              <w:spacing w:after="0"/>
              <w:contextualSpacing/>
              <w:rPr>
                <w:rFonts w:ascii="GHEA Grapalat" w:eastAsia="GHEA Grapalat" w:hAnsi="GHEA Grapalat" w:cs="GHEA Grapalat"/>
                <w:b/>
                <w:i/>
                <w:color w:val="404040"/>
                <w:szCs w:val="24"/>
                <w:lang w:val="hy-AM"/>
              </w:rPr>
            </w:pPr>
            <w:r w:rsidRPr="008B63B1">
              <w:rPr>
                <w:rFonts w:ascii="GHEA Grapalat" w:eastAsia="GHEA Grapalat" w:hAnsi="GHEA Grapalat" w:cs="GHEA Grapalat"/>
                <w:i/>
                <w:noProof/>
                <w:color w:val="404040"/>
                <w:sz w:val="20"/>
                <w:szCs w:val="20"/>
              </w:rPr>
              <w:drawing>
                <wp:inline distT="0" distB="0" distL="0" distR="0" wp14:anchorId="123B2CD5" wp14:editId="03339876">
                  <wp:extent cx="3090672" cy="2353945"/>
                  <wp:effectExtent l="0" t="0" r="14605" b="8255"/>
                  <wp:docPr id="23" name="Chart 4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1A5BE87" w14:textId="77777777" w:rsidR="00507805" w:rsidRPr="008B63B1" w:rsidRDefault="00507805" w:rsidP="00082769">
            <w:pPr>
              <w:keepNext/>
              <w:spacing w:after="0"/>
              <w:contextualSpacing/>
              <w:rPr>
                <w:rFonts w:ascii="GHEA Grapalat" w:eastAsia="GHEA Grapalat" w:hAnsi="GHEA Grapalat" w:cs="GHEA Grapalat"/>
                <w:i/>
                <w:color w:val="404040"/>
                <w:sz w:val="16"/>
                <w:szCs w:val="16"/>
                <w:lang w:val="hy-AM"/>
              </w:rPr>
            </w:pPr>
            <w:r w:rsidRPr="008B63B1">
              <w:rPr>
                <w:rFonts w:ascii="GHEA Grapalat" w:eastAsia="GHEA Grapalat" w:hAnsi="GHEA Grapalat" w:cs="GHEA Grapalat"/>
                <w:i/>
                <w:color w:val="404040"/>
                <w:sz w:val="16"/>
                <w:szCs w:val="16"/>
                <w:lang w:val="hy-AM"/>
              </w:rPr>
              <w:t>Աղբյուրը՝ ՀՀ ՎԿ, ՀՀ ՖՆ հաշվարկներ</w:t>
            </w:r>
          </w:p>
        </w:tc>
      </w:tr>
    </w:tbl>
    <w:p w14:paraId="3F1C4204" w14:textId="77777777" w:rsidR="00507805" w:rsidRPr="008B63B1" w:rsidRDefault="00507805" w:rsidP="00082769">
      <w:pPr>
        <w:jc w:val="both"/>
        <w:rPr>
          <w:rFonts w:ascii="GHEA Grapalat" w:eastAsia="Times New Roman" w:hAnsi="GHEA Grapalat" w:cs="Times New Roman"/>
          <w:color w:val="404040"/>
          <w:szCs w:val="20"/>
          <w:lang w:val="hy-AM"/>
        </w:rPr>
      </w:pPr>
    </w:p>
    <w:p w14:paraId="3A1D6E7E" w14:textId="77777777" w:rsidR="00507805" w:rsidRPr="008B63B1" w:rsidRDefault="00507805" w:rsidP="00082769">
      <w:pPr>
        <w:pBdr>
          <w:bottom w:val="single" w:sz="8" w:space="1" w:color="E1E1E3"/>
        </w:pBd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Կանխատեսում</w:t>
      </w:r>
    </w:p>
    <w:p w14:paraId="1624A5DA" w14:textId="77777777" w:rsidR="00507805" w:rsidRPr="008B63B1" w:rsidRDefault="00507805" w:rsidP="00082769">
      <w:pPr>
        <w:spacing w:after="0"/>
        <w:contextualSpacing/>
        <w:jc w:val="both"/>
        <w:rPr>
          <w:rFonts w:ascii="GHEA Grapalat" w:eastAsia="Calibri" w:hAnsi="GHEA Grapalat" w:cs="Sylfaen"/>
          <w:color w:val="404040"/>
          <w:lang w:val="hy-AM"/>
        </w:rPr>
      </w:pPr>
      <w:r w:rsidRPr="008B63B1">
        <w:rPr>
          <w:rFonts w:ascii="GHEA Grapalat" w:eastAsia="Calibri" w:hAnsi="GHEA Grapalat" w:cs="Sylfaen"/>
          <w:b/>
          <w:color w:val="404040"/>
          <w:lang w:val="hy-AM"/>
        </w:rPr>
        <w:t xml:space="preserve">Պայմանավորված ծառայությունների հաշվեկշռի բարելավմամբ, ինչպես նաև դրամական փոխանցումների ավելացմամբ՝ 2026թ. ընթացիկ հաշվի պակասուրդը կնվազի՝ </w:t>
      </w:r>
      <w:r w:rsidRPr="008B63B1">
        <w:rPr>
          <w:rFonts w:ascii="GHEA Grapalat" w:eastAsia="Calibri" w:hAnsi="GHEA Grapalat" w:cs="Sylfaen"/>
          <w:color w:val="404040"/>
          <w:lang w:val="hy-AM"/>
        </w:rPr>
        <w:t>հասնելով ՀՆԱ-ում 6.3% մակարդակի: Միջնաժամկետում 2022-2025թթ. գործոնների ազդեցությունների չեզոքացման (մասնավորապես, վերաարտահանման գործոնի չեզոքացման, ՌԴ-ից զբոսաշրջիկների հոսքերի կայունացման) պայմաններում ընթացիկ հաշվի պակասուրդը կկայունանա իր երկարաժամկետ հավասարակշիռ մակարդակի շուրջ:</w:t>
      </w:r>
    </w:p>
    <w:p w14:paraId="16FB5A04" w14:textId="77777777" w:rsidR="00507805" w:rsidRPr="008B63B1" w:rsidRDefault="00507805" w:rsidP="00082769">
      <w:pPr>
        <w:rPr>
          <w:rFonts w:ascii="GHEA Grapalat" w:eastAsia="Times New Roman" w:hAnsi="GHEA Grapalat" w:cs="Times New Roman"/>
          <w:color w:val="404040"/>
          <w:lang w:val="hy-AM"/>
        </w:rPr>
      </w:pPr>
    </w:p>
    <w:p w14:paraId="43B8F94F" w14:textId="77777777" w:rsidR="00507805" w:rsidRPr="008B63B1" w:rsidRDefault="00507805" w:rsidP="00082769">
      <w:pPr>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Արտահանում</w:t>
      </w:r>
    </w:p>
    <w:p w14:paraId="2A412BD5" w14:textId="77777777" w:rsidR="00507805" w:rsidRPr="008B63B1" w:rsidRDefault="00507805" w:rsidP="00082769">
      <w:pPr>
        <w:spacing w:after="0"/>
        <w:contextualSpacing/>
        <w:jc w:val="both"/>
        <w:rPr>
          <w:rFonts w:ascii="GHEA Grapalat" w:eastAsia="Calibri" w:hAnsi="GHEA Grapalat" w:cs="Sylfaen"/>
          <w:color w:val="404040"/>
          <w:lang w:val="hy-AM"/>
        </w:rPr>
      </w:pPr>
      <w:bookmarkStart w:id="205" w:name="_Toc178595142"/>
      <w:r w:rsidRPr="008B63B1">
        <w:rPr>
          <w:rFonts w:ascii="GHEA Grapalat" w:eastAsia="Calibri" w:hAnsi="GHEA Grapalat" w:cs="Sylfaen"/>
          <w:b/>
          <w:color w:val="404040"/>
          <w:lang w:val="hy-AM"/>
        </w:rPr>
        <w:t xml:space="preserve">2023-2025թթ. միջինում արձանագրվել է ապրանքների և ծառայությունների դոլարային արտահանման 15.9% աճ: </w:t>
      </w:r>
      <w:r w:rsidRPr="008B63B1">
        <w:rPr>
          <w:rFonts w:ascii="GHEA Grapalat" w:eastAsia="Calibri" w:hAnsi="GHEA Grapalat" w:cs="Sylfaen"/>
          <w:color w:val="404040"/>
          <w:lang w:val="hy-AM"/>
        </w:rPr>
        <w:t xml:space="preserve">Ապրանքների արտահանումը 2023-25թթ. միջինում աճել է 21%-ով, որը հիմնականում պայմանավորվել է արտաքին որոշ շուկաներում (հատկապես՝ ՌԴ-ում և ԱՄԷ-ում) ՀՀ ապրանքների նկատմամբ պահանջարկի ավելացմամբ և վերաարտահանմամբ: Իսկ 2023-2025թթ. ծառայությունների արտահանումը միջինում աճել է 11.8%-ով՝ հիմնականում պայմանավորված ՀՀ այցելած զբոսաշրջիկների թվաքանակի աճով, որին մեծ նպաստում է ունեցել ռուս-ուկրաինական հակամարտության արդյունքում ռուս զբոսաշրջիկների թվաքանակի կտրուկ աճը: Ծառայությունների արտահանմանը նպաստել են նաև տեղեկատվական և ֆինանսական ծառայությունների արտահանման աճերը: </w:t>
      </w:r>
    </w:p>
    <w:p w14:paraId="213B65F2" w14:textId="77777777" w:rsidR="00507805" w:rsidRPr="008B63B1" w:rsidRDefault="00507805" w:rsidP="00082769">
      <w:pPr>
        <w:spacing w:after="0"/>
        <w:contextualSpacing/>
        <w:jc w:val="both"/>
        <w:rPr>
          <w:rFonts w:ascii="GHEA Grapalat" w:eastAsia="Calibri" w:hAnsi="GHEA Grapalat" w:cs="Sylfaen"/>
          <w:color w:val="404040"/>
          <w:lang w:val="hy-AM"/>
        </w:rPr>
      </w:pPr>
      <w:r w:rsidRPr="008B63B1">
        <w:rPr>
          <w:rFonts w:ascii="GHEA Grapalat" w:eastAsia="Calibri" w:hAnsi="GHEA Grapalat" w:cs="Sylfaen"/>
          <w:color w:val="404040"/>
          <w:lang w:val="hy-AM"/>
        </w:rPr>
        <w:t>2025թ. ապրանքների</w:t>
      </w:r>
      <w:r w:rsidRPr="008B63B1">
        <w:rPr>
          <w:rFonts w:ascii="GHEA Grapalat" w:eastAsia="Times New Roman" w:hAnsi="GHEA Grapalat" w:cs="Times New Roman"/>
          <w:b/>
          <w:i/>
          <w:color w:val="404040"/>
          <w:vertAlign w:val="superscript"/>
        </w:rPr>
        <w:footnoteReference w:id="15"/>
      </w:r>
      <w:r w:rsidRPr="008B63B1">
        <w:rPr>
          <w:rFonts w:ascii="GHEA Grapalat" w:eastAsia="Calibri" w:hAnsi="GHEA Grapalat" w:cs="Sylfaen"/>
          <w:color w:val="404040"/>
          <w:lang w:val="hy-AM"/>
        </w:rPr>
        <w:t xml:space="preserve"> </w:t>
      </w:r>
      <w:r w:rsidRPr="008B63B1">
        <w:rPr>
          <w:rFonts w:ascii="GHEA Grapalat" w:eastAsia="Times New Roman" w:hAnsi="GHEA Grapalat" w:cs="Times New Roman"/>
          <w:color w:val="404040"/>
          <w:lang w:val="hy-AM"/>
        </w:rPr>
        <w:t>արտահանումը նվազել է 36.7%-ով՝ պայմանավորված վերաարտահանման ծավալների կրճատմամբ:</w:t>
      </w:r>
      <w:r w:rsidRPr="008B63B1">
        <w:rPr>
          <w:rFonts w:ascii="GHEA Grapalat" w:eastAsia="Times New Roman" w:hAnsi="GHEA Grapalat" w:cs="Times New Roman"/>
          <w:b/>
          <w:color w:val="404040"/>
          <w:lang w:val="hy-AM"/>
        </w:rPr>
        <w:t xml:space="preserve"> </w:t>
      </w:r>
      <w:r w:rsidRPr="008B63B1">
        <w:rPr>
          <w:rFonts w:ascii="GHEA Grapalat" w:eastAsia="GHEA Grapalat" w:hAnsi="GHEA Grapalat" w:cs="GHEA Grapalat"/>
          <w:bCs/>
          <w:color w:val="404040"/>
          <w:lang w:val="hy-AM"/>
        </w:rPr>
        <w:t xml:space="preserve">2025թ. ծառայությունների արտահանումն աճել է 3.8%-ով: Ծառայությունների արտահանման աճին </w:t>
      </w:r>
      <w:r w:rsidRPr="008B63B1">
        <w:rPr>
          <w:rFonts w:ascii="GHEA Grapalat" w:eastAsia="GHEA Grapalat" w:hAnsi="GHEA Grapalat" w:cs="GHEA Grapalat"/>
          <w:color w:val="404040"/>
          <w:lang w:val="hy-AM"/>
        </w:rPr>
        <w:t>հիմնականում</w:t>
      </w:r>
      <w:r w:rsidRPr="008B63B1">
        <w:rPr>
          <w:rFonts w:ascii="GHEA Grapalat" w:eastAsia="GHEA Grapalat" w:hAnsi="GHEA Grapalat" w:cs="GHEA Grapalat"/>
          <w:bCs/>
          <w:color w:val="404040"/>
          <w:lang w:val="hy-AM"/>
        </w:rPr>
        <w:t xml:space="preserve"> նպաստել են «Հեռահաղորդակցության, համակարգչային և տեղեկատվական ծառայություններ», «Ճանապարհորդություն» և «Ֆինանսական ծառայություններ» ծառայությունների աճերը: </w:t>
      </w:r>
    </w:p>
    <w:p w14:paraId="7EC2A70A" w14:textId="77777777" w:rsidR="00507805" w:rsidRPr="008B63B1" w:rsidRDefault="00507805" w:rsidP="00082769">
      <w:pPr>
        <w:jc w:val="both"/>
        <w:rPr>
          <w:rFonts w:ascii="GHEA Grapalat" w:eastAsia="Times New Roman" w:hAnsi="GHEA Grapalat" w:cs="Times New Roman"/>
          <w:color w:val="404040"/>
          <w:lang w:val="hy-AM"/>
        </w:rPr>
      </w:pPr>
      <w:r w:rsidRPr="008B63B1">
        <w:rPr>
          <w:rFonts w:ascii="GHEA Grapalat" w:eastAsia="Times New Roman" w:hAnsi="GHEA Grapalat" w:cs="Times New Roman"/>
          <w:b/>
          <w:color w:val="404040"/>
          <w:lang w:val="hy-AM"/>
        </w:rPr>
        <w:t>Ապրանքների արտահանումը 2026թ. հունվար-օգոստոս ամիսներին</w:t>
      </w:r>
      <w:r w:rsidRPr="008B63B1">
        <w:rPr>
          <w:rFonts w:ascii="GHEA Grapalat" w:eastAsia="Times New Roman" w:hAnsi="GHEA Grapalat" w:cs="Times New Roman"/>
          <w:color w:val="404040"/>
          <w:lang w:val="hy-AM"/>
        </w:rPr>
        <w:t xml:space="preserve"> </w:t>
      </w:r>
      <w:r w:rsidRPr="008B63B1">
        <w:rPr>
          <w:rFonts w:ascii="GHEA Grapalat" w:eastAsia="Times New Roman" w:hAnsi="GHEA Grapalat" w:cs="Times New Roman"/>
          <w:b/>
          <w:color w:val="404040"/>
          <w:lang w:val="hy-AM"/>
        </w:rPr>
        <w:t>նախորդ տարվա նույն ժամանակաշրջանի համեմատ նվազել է 6.5%-ով</w:t>
      </w:r>
      <w:r w:rsidRPr="008B63B1">
        <w:rPr>
          <w:rFonts w:ascii="GHEA Grapalat" w:eastAsia="Times New Roman" w:hAnsi="GHEA Grapalat" w:cs="Times New Roman"/>
          <w:color w:val="404040"/>
          <w:lang w:val="hy-AM"/>
        </w:rPr>
        <w:t>: Արտահանման նվազումը պայմանավորվել է հիմնականում վերաարտահանման նվազմամբ և հայկական ծագման որոշ ապրանքատեսակների արտահանման սահմանափակումներով: Իսկ հայկական ծագման ապրանքների արտահանումն ընթացիկ տարվա ութ ամիսներին գրանցել է երկնիշ աճ՝ պայմանավորված հիմնականում հանքահումքային ապրանքատեսակների արտահանման բարձր աճով:</w:t>
      </w:r>
    </w:p>
    <w:p w14:paraId="0C8F1855" w14:textId="77777777" w:rsidR="00507805" w:rsidRPr="001D56CB" w:rsidRDefault="00507805" w:rsidP="001D56CB">
      <w:pPr>
        <w:pStyle w:val="Charts"/>
        <w:ind w:right="-22"/>
        <w:rPr>
          <w:b w:val="0"/>
          <w:bCs/>
          <w:color w:val="auto"/>
          <w:sz w:val="20"/>
          <w:szCs w:val="18"/>
        </w:rPr>
      </w:pPr>
      <w:r w:rsidRPr="001D56CB">
        <w:rPr>
          <w:b w:val="0"/>
          <w:bCs/>
          <w:noProof/>
          <w:color w:val="auto"/>
          <w:sz w:val="20"/>
          <w:szCs w:val="18"/>
          <w:lang w:val="en-US"/>
        </w:rPr>
        <w:drawing>
          <wp:anchor distT="0" distB="0" distL="114300" distR="114300" simplePos="0" relativeHeight="251745280" behindDoc="0" locked="0" layoutInCell="1" allowOverlap="1" wp14:anchorId="6D6C995E" wp14:editId="7A449552">
            <wp:simplePos x="0" y="0"/>
            <wp:positionH relativeFrom="column">
              <wp:posOffset>329184</wp:posOffset>
            </wp:positionH>
            <wp:positionV relativeFrom="paragraph">
              <wp:posOffset>423926</wp:posOffset>
            </wp:positionV>
            <wp:extent cx="2926080" cy="1828800"/>
            <wp:effectExtent l="0" t="0" r="7620" b="0"/>
            <wp:wrapTopAndBottom/>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Pr="001D56CB">
        <w:rPr>
          <w:b w:val="0"/>
          <w:bCs/>
          <w:noProof/>
          <w:color w:val="auto"/>
          <w:sz w:val="20"/>
          <w:szCs w:val="18"/>
          <w:lang w:val="en-US"/>
        </w:rPr>
        <w:drawing>
          <wp:anchor distT="0" distB="0" distL="114300" distR="114300" simplePos="0" relativeHeight="251744256" behindDoc="0" locked="0" layoutInCell="1" allowOverlap="1" wp14:anchorId="34216A65" wp14:editId="00FB650F">
            <wp:simplePos x="0" y="0"/>
            <wp:positionH relativeFrom="column">
              <wp:posOffset>3514268</wp:posOffset>
            </wp:positionH>
            <wp:positionV relativeFrom="paragraph">
              <wp:posOffset>389255</wp:posOffset>
            </wp:positionV>
            <wp:extent cx="2926080" cy="1828800"/>
            <wp:effectExtent l="0" t="0" r="7620" b="0"/>
            <wp:wrapTopAndBottom/>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sidRPr="001D56CB">
        <w:rPr>
          <w:b w:val="0"/>
          <w:bCs/>
          <w:color w:val="auto"/>
          <w:sz w:val="20"/>
          <w:szCs w:val="18"/>
        </w:rPr>
        <w:t>Գծապատկեր 1.26</w:t>
      </w:r>
      <w:r w:rsidRPr="001D56CB">
        <w:rPr>
          <w:rFonts w:hint="eastAsia"/>
          <w:b w:val="0"/>
          <w:bCs/>
          <w:color w:val="auto"/>
          <w:sz w:val="20"/>
          <w:szCs w:val="18"/>
        </w:rPr>
        <w:t xml:space="preserve"> </w:t>
      </w:r>
      <w:r w:rsidRPr="001D56CB">
        <w:rPr>
          <w:b w:val="0"/>
          <w:bCs/>
          <w:color w:val="auto"/>
          <w:sz w:val="20"/>
          <w:szCs w:val="18"/>
        </w:rPr>
        <w:t>2026 թ. հունվար–հուլիսին ապրանքների արտահանման միտումները, %</w:t>
      </w:r>
      <w:bookmarkEnd w:id="205"/>
    </w:p>
    <w:p w14:paraId="68A5255B" w14:textId="77777777" w:rsidR="00507805" w:rsidRPr="008B63B1" w:rsidRDefault="00507805" w:rsidP="00082769">
      <w:pPr>
        <w:ind w:right="116"/>
        <w:jc w:val="right"/>
        <w:rPr>
          <w:rFonts w:ascii="GHEA Grapalat" w:eastAsia="Times New Roman" w:hAnsi="GHEA Grapalat" w:cs="Times New Roman"/>
          <w:i/>
          <w:color w:val="A6A6A6"/>
          <w:sz w:val="18"/>
          <w:lang w:val="hy-AM"/>
        </w:rPr>
      </w:pPr>
      <w:r w:rsidRPr="008B63B1">
        <w:rPr>
          <w:rFonts w:ascii="GHEA Grapalat" w:eastAsia="Times New Roman" w:hAnsi="GHEA Grapalat" w:cs="Times New Roman"/>
          <w:i/>
          <w:color w:val="A6A6A6"/>
          <w:sz w:val="18"/>
          <w:lang w:val="hy-AM"/>
        </w:rPr>
        <w:t>Աղբյուրը՝ ՀՀ ՎԿ և ՀՀ ՖՆ հաշվարկներ</w:t>
      </w:r>
    </w:p>
    <w:p w14:paraId="229701E8" w14:textId="5956447F"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2026 թվականի ութ ամիսներին ՀՀ այցելած զբոսաշրջիկների թվաքանակը</w:t>
      </w:r>
      <w:r w:rsidRPr="008B63B1">
        <w:rPr>
          <w:rFonts w:ascii="GHEA Grapalat" w:eastAsia="Times New Roman" w:hAnsi="GHEA Grapalat" w:cs="Times New Roman"/>
          <w:color w:val="404040"/>
          <w:szCs w:val="20"/>
          <w:vertAlign w:val="superscript"/>
          <w:lang w:val="hy-AM"/>
        </w:rPr>
        <w:footnoteReference w:id="16"/>
      </w:r>
      <w:r w:rsidRPr="008B63B1">
        <w:rPr>
          <w:rFonts w:ascii="GHEA Grapalat" w:eastAsia="Times New Roman" w:hAnsi="GHEA Grapalat" w:cs="Times New Roman"/>
          <w:color w:val="404040"/>
          <w:szCs w:val="20"/>
          <w:lang w:val="hy-AM"/>
        </w:rPr>
        <w:t xml:space="preserve"> նախորդ տարվա նույն ժամանակահատվածի նկատմամբ նվազել է 2.5%-ով, որին ՌԴ զբոսաշրջիկների թվաքանակի նվազման բացասական նպաստումը կազմել է շուրջ 1.6</w:t>
      </w:r>
      <w:r w:rsidR="00177C18" w:rsidRPr="0010028E">
        <w:rPr>
          <w:rFonts w:ascii="GHEA Grapalat" w:eastAsia="Times New Roman" w:hAnsi="GHEA Grapalat" w:cs="Times New Roman"/>
          <w:color w:val="404040"/>
          <w:szCs w:val="20"/>
          <w:lang w:val="hy-AM"/>
        </w:rPr>
        <w:t xml:space="preserve"> </w:t>
      </w:r>
      <w:r w:rsidRPr="008B63B1">
        <w:rPr>
          <w:rFonts w:ascii="GHEA Grapalat" w:eastAsia="Times New Roman" w:hAnsi="GHEA Grapalat" w:cs="Times New Roman"/>
          <w:color w:val="404040"/>
          <w:szCs w:val="20"/>
          <w:lang w:val="hy-AM"/>
        </w:rPr>
        <w:t xml:space="preserve">տոկոսային կետ: Իսկ նվազմանը հակազդել են Վրաստանից, Իրանից և այլ երկրներից ժամանած զբոսաշրջիկների թվաքանակի աճերը: </w:t>
      </w:r>
    </w:p>
    <w:p w14:paraId="1630DFB3" w14:textId="77777777" w:rsidR="00507805" w:rsidRPr="008B63B1" w:rsidRDefault="00507805" w:rsidP="00082769">
      <w:pPr>
        <w:pBdr>
          <w:bottom w:val="single" w:sz="8" w:space="1" w:color="E1E1E3"/>
        </w:pBd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Կանխատեսում</w:t>
      </w:r>
    </w:p>
    <w:p w14:paraId="6C029544" w14:textId="77777777" w:rsidR="00507805" w:rsidRPr="008B63B1" w:rsidRDefault="00507805" w:rsidP="00082769">
      <w:pPr>
        <w:spacing w:after="0"/>
        <w:contextualSpacing/>
        <w:jc w:val="both"/>
        <w:rPr>
          <w:rFonts w:ascii="GHEA Grapalat" w:eastAsia="Calibri" w:hAnsi="GHEA Grapalat" w:cs="Sylfaen"/>
          <w:color w:val="404040"/>
          <w:lang w:val="hy-AM"/>
        </w:rPr>
      </w:pPr>
      <w:r w:rsidRPr="008B63B1">
        <w:rPr>
          <w:rFonts w:ascii="GHEA Grapalat" w:eastAsia="Times New Roman" w:hAnsi="GHEA Grapalat" w:cs="Times New Roman"/>
          <w:b/>
          <w:color w:val="404040"/>
          <w:lang w:val="hy-AM"/>
        </w:rPr>
        <w:t>Առանց վերաարտահանման գործոնի ազդեցության 2026թ. ապրանքների արտահանումը կաճի շուրջ 18.7%-ով, 2027թ. աճը փոքր-ինչ կդանդաղի՝ կազմելով 16.2%, իսկ 2028-29թթ. սպասվում են միջինում շուրջ 7.9% ապրանքների արտահանման աճեր</w:t>
      </w:r>
      <w:r w:rsidRPr="008B63B1">
        <w:rPr>
          <w:rFonts w:ascii="GHEA Grapalat" w:eastAsia="Times New Roman" w:hAnsi="GHEA Grapalat" w:cs="Times New Roman"/>
          <w:color w:val="404040"/>
          <w:lang w:val="hy-AM"/>
        </w:rPr>
        <w:t xml:space="preserve">: </w:t>
      </w:r>
      <w:r w:rsidRPr="008B63B1">
        <w:rPr>
          <w:rFonts w:ascii="GHEA Grapalat" w:eastAsia="Calibri" w:hAnsi="GHEA Grapalat" w:cs="Sylfaen"/>
          <w:color w:val="404040"/>
          <w:lang w:val="hy-AM"/>
        </w:rPr>
        <w:t xml:space="preserve">Մինչդեռ վերաարտահանման գործոնի նվազման պայմաններում 2026թ. </w:t>
      </w:r>
      <w:r w:rsidRPr="008B63B1">
        <w:rPr>
          <w:rFonts w:ascii="GHEA Grapalat" w:eastAsia="Calibri" w:hAnsi="GHEA Grapalat" w:cs="Times New Roman"/>
          <w:color w:val="404040"/>
          <w:lang w:val="hy-AM"/>
        </w:rPr>
        <w:t xml:space="preserve">սպասվում է ապրանքների արտահանման անկում, իսկ 2027թ. սպասվում է 8.3% աճ, իսկ 2028-29թթ.՝ միջինում 4.8% արտահանման աճ։ Այսպիսով, </w:t>
      </w:r>
      <w:r w:rsidRPr="008B63B1">
        <w:rPr>
          <w:rFonts w:ascii="GHEA Grapalat" w:eastAsia="Calibri" w:hAnsi="GHEA Grapalat" w:cs="Sylfaen"/>
          <w:color w:val="404040"/>
          <w:lang w:val="hy-AM"/>
        </w:rPr>
        <w:t xml:space="preserve">պայմանավորված որոշ ապրանքների վերաարտահանման (հատկապես՝ ոսկու, մեքենաների և սարքավորումների) կրճատմամբ և </w:t>
      </w:r>
      <w:r w:rsidRPr="008B63B1">
        <w:rPr>
          <w:rFonts w:ascii="GHEA Grapalat" w:eastAsia="Times New Roman" w:hAnsi="GHEA Grapalat" w:cs="Times New Roman"/>
          <w:color w:val="404040"/>
          <w:lang w:val="hy-AM"/>
        </w:rPr>
        <w:t>հայկական ծագման որոշ ապրանքատեսակների արտահանման սահմանափակումներով</w:t>
      </w:r>
      <w:r w:rsidRPr="008B63B1">
        <w:rPr>
          <w:rFonts w:ascii="GHEA Grapalat" w:eastAsia="Calibri" w:hAnsi="GHEA Grapalat" w:cs="Sylfaen"/>
          <w:color w:val="404040"/>
          <w:lang w:val="hy-AM"/>
        </w:rPr>
        <w:t xml:space="preserve">, 2026թ. սպասվում է շուրջ 13.9% ապրանքների արտահանման անկում։ Միջնաժամկետում, ռուս-ուկրաինական պատերազմի հետևանքով 2022-25թթ. առաջացած դրական գործոնների թուլացման, մասնավորապես վերաարտահանման գործոնի չեզոքացման, ոսկու նոր հանքավայրի՝ Ամուլսարի շահագործման և զբոսաշրջիկների հոսքերի կայունացման պայմաններում, 2027թ. սպասվում է ապրանքների և ծառայությունների դոլարային արտահանման շուրջ 7.9% աճ, իսկ 2028-29թթ.՝ արտահանումը կաճի՝ միջինում շուրջ 6.1%-ով: </w:t>
      </w:r>
    </w:p>
    <w:p w14:paraId="3A25373B" w14:textId="77777777" w:rsidR="00507805" w:rsidRPr="008B63B1" w:rsidRDefault="00507805" w:rsidP="00082769">
      <w:pPr>
        <w:rPr>
          <w:rFonts w:ascii="GHEA Grapalat" w:eastAsia="Times New Roman" w:hAnsi="GHEA Grapalat" w:cs="Times New Roman"/>
          <w:color w:val="404040"/>
          <w:lang w:val="hy-AM"/>
        </w:rPr>
      </w:pPr>
    </w:p>
    <w:p w14:paraId="40C4B111" w14:textId="77777777" w:rsidR="00507805" w:rsidRPr="008B63B1" w:rsidRDefault="00507805" w:rsidP="00082769">
      <w:pPr>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Ներմուծում</w:t>
      </w:r>
    </w:p>
    <w:p w14:paraId="54C9C2D3" w14:textId="77777777" w:rsidR="00507805" w:rsidRPr="008B63B1" w:rsidRDefault="00507805" w:rsidP="00082769">
      <w:pPr>
        <w:tabs>
          <w:tab w:val="left" w:pos="0"/>
        </w:tabs>
        <w:spacing w:after="0"/>
        <w:contextualSpacing/>
        <w:jc w:val="both"/>
        <w:rPr>
          <w:rFonts w:ascii="GHEA Grapalat" w:eastAsia="GHEA Grapalat" w:hAnsi="GHEA Grapalat" w:cs="GHEA Grapalat"/>
          <w:b/>
          <w:color w:val="404040"/>
          <w:lang w:val="hy-AM"/>
        </w:rPr>
      </w:pPr>
      <w:bookmarkStart w:id="206" w:name="_Toc178595143"/>
      <w:r w:rsidRPr="008B63B1">
        <w:rPr>
          <w:rFonts w:ascii="GHEA Grapalat" w:eastAsia="Calibri" w:hAnsi="GHEA Grapalat" w:cs="Sylfaen"/>
          <w:b/>
          <w:color w:val="404040"/>
          <w:lang w:val="hy-AM"/>
        </w:rPr>
        <w:t xml:space="preserve">2023-25թթ. միջինում արձանագրվել է ապրանքների և ծառայությունների ներմուծման դոլարային 19.2% աճ: </w:t>
      </w:r>
      <w:r w:rsidRPr="008B63B1">
        <w:rPr>
          <w:rFonts w:ascii="GHEA Grapalat" w:eastAsia="GHEA Grapalat" w:hAnsi="GHEA Grapalat" w:cs="GHEA Grapalat"/>
          <w:color w:val="404040"/>
          <w:lang w:val="hy-AM"/>
        </w:rPr>
        <w:t xml:space="preserve">2023-25թթ. գրանցվել է ապրանքների ներմուծման աճ՝ </w:t>
      </w:r>
      <w:r w:rsidRPr="008B63B1">
        <w:rPr>
          <w:rFonts w:ascii="GHEA Grapalat" w:eastAsia="GHEA Grapalat" w:hAnsi="GHEA Grapalat" w:cs="GHEA Grapalat"/>
          <w:bCs/>
          <w:color w:val="404040"/>
          <w:lang w:val="hy-AM"/>
        </w:rPr>
        <w:t>պայմանավորված ներքին պահանջարկով, տնտեսական ակտիվությամբ և վերաարտահանման նպատակով իրականացված ներմուծմամբ:</w:t>
      </w:r>
      <w:r w:rsidRPr="008B63B1">
        <w:rPr>
          <w:rFonts w:ascii="GHEA Grapalat" w:eastAsia="GHEA Grapalat" w:hAnsi="GHEA Grapalat" w:cs="GHEA Grapalat"/>
          <w:color w:val="404040"/>
          <w:lang w:val="hy-AM"/>
        </w:rPr>
        <w:t xml:space="preserve"> Նշված ժամանակահատվածում ծառայությունների ներմուծման աճի բարձր տեմպը պայմանավորվել է </w:t>
      </w:r>
      <w:r w:rsidRPr="008B63B1">
        <w:rPr>
          <w:rFonts w:ascii="GHEA Grapalat" w:eastAsia="Calibri" w:hAnsi="GHEA Grapalat" w:cs="Sylfaen"/>
          <w:color w:val="404040"/>
          <w:lang w:val="hy-AM"/>
        </w:rPr>
        <w:t>բնակչության տնօրինվող եկամտի ավելացման արդյունքում՝ զբոսաշրջային ծառայությունների նկատմամբ պահանջարկի աճով:</w:t>
      </w:r>
    </w:p>
    <w:p w14:paraId="5B43F6D6" w14:textId="77777777" w:rsidR="00507805" w:rsidRPr="008B63B1" w:rsidRDefault="00507805" w:rsidP="00082769">
      <w:pPr>
        <w:tabs>
          <w:tab w:val="left" w:pos="0"/>
        </w:tabs>
        <w:spacing w:after="0"/>
        <w:contextualSpacing/>
        <w:jc w:val="both"/>
        <w:rPr>
          <w:rFonts w:ascii="GHEA Grapalat" w:eastAsia="GHEA Grapalat" w:hAnsi="GHEA Grapalat" w:cs="GHEA Grapalat"/>
          <w:bCs/>
          <w:color w:val="404040"/>
          <w:lang w:val="hy-AM"/>
        </w:rPr>
      </w:pPr>
      <w:r w:rsidRPr="008B63B1">
        <w:rPr>
          <w:rFonts w:ascii="GHEA Grapalat" w:eastAsia="GHEA Grapalat" w:hAnsi="GHEA Grapalat" w:cs="GHEA Grapalat"/>
          <w:b/>
          <w:bCs/>
          <w:color w:val="404040"/>
          <w:lang w:val="hy-AM"/>
        </w:rPr>
        <w:t>2025թ. արձանագրվել է ապրանքների ներմուծման ծավալների նվազում (23.9%)՝ հիմնականում պայմանավորված վերաարտահանման նպատակով ներմուծվող թանկարժեք մետաղների ներմուծման ծավալների կտրուկ անկմամբ:</w:t>
      </w:r>
      <w:r w:rsidRPr="008B63B1">
        <w:rPr>
          <w:rFonts w:ascii="GHEA Grapalat" w:eastAsia="GHEA Grapalat" w:hAnsi="GHEA Grapalat" w:cs="GHEA Grapalat"/>
          <w:color w:val="404040"/>
          <w:lang w:val="hy-AM"/>
        </w:rPr>
        <w:t xml:space="preserve"> 2025թ. սեպտեմբեր ամսից արձանագրվել է ներմուծման նվազման տեմպերի կտրուկ դանդաղում՝ պայմանավորված վերը նշված վերաարտահանման գործոններով: </w:t>
      </w:r>
      <w:r w:rsidRPr="008B63B1">
        <w:rPr>
          <w:rFonts w:ascii="GHEA Grapalat" w:eastAsia="GHEA Grapalat" w:hAnsi="GHEA Grapalat" w:cs="GHEA Grapalat"/>
          <w:bCs/>
          <w:color w:val="404040"/>
          <w:lang w:val="hy-AM"/>
        </w:rPr>
        <w:t>Իսկ 2025թ. ծառայությունների ներմուծումն աճել է 4.3%-ով, որին ամենամեծ նպաստումն են ունեցել ճանապարհորդության և ֆինանսական ծառայությունների աճերը:</w:t>
      </w:r>
    </w:p>
    <w:p w14:paraId="596155F1" w14:textId="77777777" w:rsidR="00507805" w:rsidRPr="008B63B1" w:rsidRDefault="00507805" w:rsidP="00082769">
      <w:pPr>
        <w:tabs>
          <w:tab w:val="left" w:pos="0"/>
        </w:tabs>
        <w:spacing w:after="0"/>
        <w:contextualSpacing/>
        <w:jc w:val="both"/>
        <w:rPr>
          <w:rFonts w:ascii="GHEA Grapalat" w:eastAsia="GHEA Grapalat" w:hAnsi="GHEA Grapalat" w:cs="GHEA Grapalat"/>
          <w:bCs/>
          <w:color w:val="404040"/>
          <w:lang w:val="hy-AM"/>
        </w:rPr>
      </w:pPr>
      <w:r w:rsidRPr="008B63B1">
        <w:rPr>
          <w:rFonts w:ascii="GHEA Grapalat" w:eastAsia="GHEA Grapalat" w:hAnsi="GHEA Grapalat" w:cs="GHEA Grapalat"/>
          <w:b/>
          <w:color w:val="404040"/>
          <w:lang w:val="hy-AM"/>
        </w:rPr>
        <w:t xml:space="preserve">2026թ. հունվար-օգոստոս ամիսներին արձանագրվել է ապրանքների ներմուծման ծավալների 9.3% աճ՝ հիմնականում պայմանավորված ներքին պահանջարկի ընդլայնմամբ: </w:t>
      </w:r>
      <w:r w:rsidRPr="008B63B1">
        <w:rPr>
          <w:rFonts w:ascii="GHEA Grapalat" w:eastAsia="GHEA Grapalat" w:hAnsi="GHEA Grapalat" w:cs="GHEA Grapalat"/>
          <w:bCs/>
          <w:color w:val="404040"/>
          <w:lang w:val="hy-AM"/>
        </w:rPr>
        <w:t>Վերջին երեք ամիսներին արձանագրվել է ներմուծման տեմպերի կտրուկ արագացում: 2026թ. հունվար-հունիս ամիսներին ՀՀ-ից մեկնած զբոսաշրջիկների թվաքանակը նախորդ տարվա նույն ժամանակահատվածի համեմատ նվազել է:</w:t>
      </w:r>
    </w:p>
    <w:p w14:paraId="062AF577" w14:textId="77777777" w:rsidR="00507805" w:rsidRPr="001D56CB" w:rsidRDefault="00507805" w:rsidP="00082769">
      <w:pPr>
        <w:spacing w:before="360" w:line="240" w:lineRule="auto"/>
        <w:jc w:val="both"/>
        <w:rPr>
          <w:rFonts w:ascii="GHEA Grapalat" w:hAnsi="GHEA Grapalat"/>
          <w:bCs/>
          <w:color w:val="auto"/>
          <w:sz w:val="20"/>
          <w:szCs w:val="18"/>
          <w:lang w:val="hy-AM"/>
        </w:rPr>
      </w:pPr>
      <w:r w:rsidRPr="001D56CB">
        <w:rPr>
          <w:rFonts w:ascii="GHEA Grapalat" w:hAnsi="GHEA Grapalat"/>
          <w:bCs/>
          <w:noProof/>
          <w:color w:val="auto"/>
          <w:sz w:val="20"/>
          <w:szCs w:val="18"/>
        </w:rPr>
        <w:drawing>
          <wp:anchor distT="0" distB="0" distL="114300" distR="114300" simplePos="0" relativeHeight="251747328" behindDoc="0" locked="0" layoutInCell="1" allowOverlap="1" wp14:anchorId="4760A50C" wp14:editId="61A8AAD4">
            <wp:simplePos x="0" y="0"/>
            <wp:positionH relativeFrom="page">
              <wp:posOffset>3912145</wp:posOffset>
            </wp:positionH>
            <wp:positionV relativeFrom="paragraph">
              <wp:posOffset>400429</wp:posOffset>
            </wp:positionV>
            <wp:extent cx="2926080" cy="1828800"/>
            <wp:effectExtent l="0" t="0" r="7620" b="0"/>
            <wp:wrapTopAndBottom/>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r w:rsidRPr="001D56CB">
        <w:rPr>
          <w:rFonts w:ascii="GHEA Grapalat" w:hAnsi="GHEA Grapalat"/>
          <w:bCs/>
          <w:noProof/>
          <w:color w:val="auto"/>
          <w:sz w:val="20"/>
          <w:szCs w:val="18"/>
        </w:rPr>
        <w:drawing>
          <wp:anchor distT="0" distB="0" distL="114300" distR="114300" simplePos="0" relativeHeight="251746304" behindDoc="0" locked="0" layoutInCell="1" allowOverlap="1" wp14:anchorId="1EAE7AC8" wp14:editId="26A9167C">
            <wp:simplePos x="0" y="0"/>
            <wp:positionH relativeFrom="margin">
              <wp:posOffset>79795</wp:posOffset>
            </wp:positionH>
            <wp:positionV relativeFrom="paragraph">
              <wp:posOffset>423735</wp:posOffset>
            </wp:positionV>
            <wp:extent cx="2926080" cy="1828800"/>
            <wp:effectExtent l="0" t="0" r="7620" b="0"/>
            <wp:wrapTopAndBottom/>
            <wp:docPr id="1545876451" name="Chart 154587645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r w:rsidRPr="001D56CB">
        <w:rPr>
          <w:rFonts w:ascii="GHEA Grapalat" w:hAnsi="GHEA Grapalat"/>
          <w:bCs/>
          <w:color w:val="auto"/>
          <w:sz w:val="20"/>
          <w:szCs w:val="18"/>
          <w:lang w:val="hy-AM"/>
        </w:rPr>
        <w:t>Գծապատկեր 1.27</w:t>
      </w:r>
      <w:r w:rsidRPr="001D56CB">
        <w:rPr>
          <w:rFonts w:ascii="Cambria Math" w:hAnsi="Cambria Math" w:cs="Cambria Math"/>
          <w:bCs/>
          <w:color w:val="auto"/>
          <w:sz w:val="20"/>
          <w:szCs w:val="18"/>
          <w:lang w:val="hy-AM"/>
        </w:rPr>
        <w:t>․</w:t>
      </w:r>
      <w:r w:rsidRPr="001D56CB">
        <w:rPr>
          <w:rFonts w:ascii="GHEA Grapalat" w:hAnsi="GHEA Grapalat"/>
          <w:bCs/>
          <w:color w:val="auto"/>
          <w:sz w:val="20"/>
          <w:szCs w:val="18"/>
          <w:lang w:val="hy-AM"/>
        </w:rPr>
        <w:t xml:space="preserve"> 2026թ. ապրանքների ներմուծման միտումները, %</w:t>
      </w:r>
      <w:bookmarkEnd w:id="206"/>
    </w:p>
    <w:p w14:paraId="391793D3" w14:textId="77777777" w:rsidR="00507805" w:rsidRPr="008B63B1" w:rsidRDefault="00507805" w:rsidP="00082769">
      <w:pPr>
        <w:ind w:right="26"/>
        <w:jc w:val="right"/>
        <w:rPr>
          <w:rFonts w:ascii="GHEA Grapalat" w:eastAsia="Times New Roman" w:hAnsi="GHEA Grapalat" w:cs="Times New Roman"/>
          <w:i/>
          <w:color w:val="A6A6A6"/>
          <w:sz w:val="18"/>
          <w:lang w:val="hy-AM"/>
        </w:rPr>
      </w:pPr>
      <w:r w:rsidRPr="008B63B1">
        <w:rPr>
          <w:rFonts w:ascii="GHEA Grapalat" w:eastAsia="Times New Roman" w:hAnsi="GHEA Grapalat" w:cs="Times New Roman"/>
          <w:i/>
          <w:color w:val="A6A6A6"/>
          <w:sz w:val="18"/>
          <w:lang w:val="hy-AM"/>
        </w:rPr>
        <w:t>Աղբյուրը՝ ՀՀ ՎԿ և ՀՀ ՖՆ հաշվարկներ</w:t>
      </w:r>
    </w:p>
    <w:p w14:paraId="588EC4F7" w14:textId="77777777" w:rsidR="00507805" w:rsidRPr="008B63B1" w:rsidRDefault="00507805" w:rsidP="00082769">
      <w:pPr>
        <w:pBdr>
          <w:bottom w:val="single" w:sz="8" w:space="1" w:color="E1E1E3"/>
        </w:pBd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Կանխատեսում</w:t>
      </w:r>
    </w:p>
    <w:p w14:paraId="78272439" w14:textId="77777777" w:rsidR="00507805" w:rsidRPr="008B63B1" w:rsidRDefault="00507805" w:rsidP="00082769">
      <w:pPr>
        <w:jc w:val="both"/>
        <w:rPr>
          <w:rFonts w:ascii="GHEA Grapalat" w:eastAsia="Calibri" w:hAnsi="GHEA Grapalat" w:cs="Sylfaen"/>
          <w:color w:val="404040"/>
          <w:szCs w:val="20"/>
          <w:lang w:val="hy-AM"/>
        </w:rPr>
      </w:pPr>
      <w:r w:rsidRPr="008B63B1">
        <w:rPr>
          <w:rFonts w:ascii="GHEA Grapalat" w:eastAsia="Calibri" w:hAnsi="GHEA Grapalat" w:cs="Sylfaen"/>
          <w:b/>
          <w:color w:val="404040"/>
          <w:szCs w:val="20"/>
          <w:lang w:val="hy-AM"/>
        </w:rPr>
        <w:t xml:space="preserve">Փաստացի և կանխատեսվող հորիզոնում վերաարտահանման գործոնի ազդեցության բացառման պայմաններում </w:t>
      </w:r>
      <w:r w:rsidRPr="008B63B1">
        <w:rPr>
          <w:rFonts w:ascii="GHEA Grapalat" w:eastAsia="Calibri" w:hAnsi="GHEA Grapalat" w:cs="Times New Roman"/>
          <w:b/>
          <w:color w:val="404040"/>
          <w:szCs w:val="20"/>
          <w:lang w:val="hy-AM"/>
        </w:rPr>
        <w:t>միջնաժամկետում սպասվում են ներքին պահանջարկին և տնտեսական ակտիվությանը համահունչ ներմուծման աճեր։</w:t>
      </w:r>
      <w:r w:rsidRPr="008B63B1">
        <w:rPr>
          <w:rFonts w:ascii="GHEA Grapalat" w:eastAsia="Calibri" w:hAnsi="GHEA Grapalat" w:cs="Times New Roman"/>
          <w:color w:val="404040"/>
          <w:szCs w:val="20"/>
          <w:lang w:val="hy-AM"/>
        </w:rPr>
        <w:t xml:space="preserve"> Ս</w:t>
      </w:r>
      <w:r w:rsidRPr="008B63B1">
        <w:rPr>
          <w:rFonts w:ascii="GHEA Grapalat" w:eastAsia="Calibri" w:hAnsi="GHEA Grapalat" w:cs="Sylfaen"/>
          <w:color w:val="404040"/>
          <w:szCs w:val="20"/>
          <w:lang w:val="hy-AM"/>
        </w:rPr>
        <w:t>պասվող տնտեսական աճի և վերաարտահանման գործոնների նվազումով պայմանավորված, 2026թ. սպասվում է շուրջ 5% ապրանքների դոլարային ներմուծման անկում: 2027թ. վերաարտահանման գործոնի զգալի չեզոքացման արդյունքում կարձանագրվի ապրանքների դոլարային ներմուծման շուրջ 5% աճ: 2028-29թթ. պայմանավորված ներքին պահանջարկի աճով, ինչպես նաև ՀՀ կառավարության կողմից նախատեսվող պետական ներդրումների իրականացման և մասնավոր ներդրումների խթանման միջոցառումների ազդեցությամբ ապրանքների դոլարային ներմուծման աճը միջինում կկազմի մոտ 4.6%: 2026թ. ապրանքների և ծառայությունների դոլարային ներմուծումը կնվազի 2.8%-ով, իսկ 2027-29թթ. միջինում կաճի 5.1%-ով:</w:t>
      </w:r>
    </w:p>
    <w:p w14:paraId="10A59F83" w14:textId="77777777" w:rsidR="00507805" w:rsidRPr="008B63B1" w:rsidRDefault="00507805" w:rsidP="00082769">
      <w:pPr>
        <w:spacing w:before="360" w:after="0"/>
        <w:outlineLvl w:val="2"/>
        <w:rPr>
          <w:rFonts w:ascii="GHEA Grapalat" w:eastAsia="Times New Roman" w:hAnsi="GHEA Grapalat" w:cs="Times New Roman"/>
          <w:color w:val="A6A6A6"/>
          <w:szCs w:val="20"/>
          <w:lang w:val="hy-AM"/>
        </w:rPr>
      </w:pPr>
      <w:bookmarkStart w:id="207" w:name="_Toc210126083"/>
      <w:bookmarkStart w:id="208" w:name="_Toc241687663"/>
      <w:bookmarkStart w:id="209" w:name="_Toc171671627"/>
      <w:bookmarkEnd w:id="199"/>
      <w:bookmarkEnd w:id="200"/>
      <w:bookmarkEnd w:id="201"/>
      <w:r w:rsidRPr="008B63B1">
        <w:rPr>
          <w:rFonts w:ascii="GHEA Grapalat" w:eastAsia="Times New Roman" w:hAnsi="GHEA Grapalat" w:cs="Times New Roman"/>
          <w:color w:val="A6A6A6"/>
          <w:szCs w:val="20"/>
          <w:lang w:val="hy-AM"/>
        </w:rPr>
        <w:t>1.3.4. ԱՐԺՈՒԹԱՅԻՆ ՇՈՒԿԱ ԵՎ ՓՈԽԱՐԺԵՔՆԵՐ</w:t>
      </w:r>
      <w:bookmarkEnd w:id="207"/>
      <w:bookmarkEnd w:id="208"/>
    </w:p>
    <w:p w14:paraId="3CE5215B" w14:textId="77777777" w:rsidR="00507805" w:rsidRPr="008B63B1" w:rsidRDefault="00507805" w:rsidP="00082769">
      <w:pPr>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Ֆիզիկական անձանց փոխանցումներ</w:t>
      </w:r>
    </w:p>
    <w:p w14:paraId="3D3D85D0" w14:textId="77777777" w:rsidR="00507805" w:rsidRPr="008B63B1" w:rsidRDefault="00507805" w:rsidP="00082769">
      <w:pPr>
        <w:spacing w:after="0"/>
        <w:ind w:right="357"/>
        <w:jc w:val="both"/>
        <w:rPr>
          <w:rFonts w:ascii="GHEA Grapalat" w:eastAsia="Times New Roman" w:hAnsi="GHEA Grapalat" w:cs="Times New Roman"/>
          <w:b/>
          <w:color w:val="404040"/>
          <w:lang w:val="hy-AM"/>
        </w:rPr>
      </w:pPr>
      <w:r w:rsidRPr="008B63B1">
        <w:rPr>
          <w:rFonts w:ascii="GHEA Grapalat" w:eastAsia="Times New Roman" w:hAnsi="GHEA Grapalat" w:cs="Times New Roman"/>
          <w:b/>
          <w:color w:val="404040"/>
          <w:lang w:val="hy-AM"/>
        </w:rPr>
        <w:t>Դեպի ՀՀ ֆիզիկական անձանց զուտ փոխանցումները 2023-2025թթ</w:t>
      </w:r>
      <w:r w:rsidRPr="008B63B1">
        <w:rPr>
          <w:rFonts w:ascii="Cambria Math" w:eastAsia="Times New Roman" w:hAnsi="Cambria Math" w:cs="Cambria Math"/>
          <w:b/>
          <w:color w:val="404040"/>
          <w:lang w:val="hy-AM"/>
        </w:rPr>
        <w:t>․</w:t>
      </w:r>
      <w:r w:rsidRPr="008B63B1">
        <w:rPr>
          <w:rFonts w:ascii="GHEA Grapalat" w:eastAsia="Times New Roman" w:hAnsi="GHEA Grapalat" w:cs="Times New Roman"/>
          <w:b/>
          <w:color w:val="404040"/>
          <w:lang w:val="hy-AM"/>
        </w:rPr>
        <w:t xml:space="preserve"> պահպանվել են բարձր մակարդակում՝ պայմանավորված, մասնավորապես, ՌԴ-ից փոխանցումների բարձր ներհոսքով։</w:t>
      </w:r>
    </w:p>
    <w:p w14:paraId="7C4349A9" w14:textId="77777777" w:rsidR="00507805" w:rsidRPr="008B63B1" w:rsidRDefault="00507805" w:rsidP="00082769">
      <w:pPr>
        <w:spacing w:after="0"/>
        <w:ind w:right="357"/>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2023թ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lang w:val="hy-AM"/>
        </w:rPr>
        <w:t xml:space="preserve"> առաջին եռամսյակում արձանագրված բարձր աճից հետո ՀՀ բանկերի միջոցով ֆիզիկական անձանց անունով արտերկրից մուտք եղած և ՀՀ-ից արտերկիր կատարված առևտրային և ոչ առևտրային նպատակով զուտ փոխանցումները սկսել են նվազել մինչև 2024թ. երրորդ եռամսյակ, այնուհետև 2024թ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lang w:val="hy-AM"/>
        </w:rPr>
        <w:t xml:space="preserve"> չորրորդ եռամսյակի աճից հետո կրկին նվազել են։ 2025թ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lang w:val="hy-AM"/>
        </w:rPr>
        <w:t xml:space="preserve"> առաջին եռամսյակում գրանցված նվազումից հետո փոխանցումների աճը վերականգնվել է երկրորդ և երրորդ եռամսյակներում։ 2025թ. զուտ փոխանցումները հասել են 1.6 մլրդ դոլարի՝ 2024թ. 1.5 մլրդ դոլարի համեմատ աճելով 8.6%-ով: Ընդ որում, ՌԴ-ից զուտ փոխանցումները 2025թ. կազմել են 3 մլրդ 128 մլն դոլար՝ նախորդ տարվա 3 մլրդ 133 մլն դոլարի համեմատ նվազելով շուրջ 0.2%-ով։</w:t>
      </w:r>
    </w:p>
    <w:p w14:paraId="3C6DD513" w14:textId="77777777" w:rsidR="00507805" w:rsidRPr="008B63B1" w:rsidRDefault="00507805" w:rsidP="00082769">
      <w:pPr>
        <w:spacing w:after="0"/>
        <w:ind w:right="357"/>
        <w:jc w:val="both"/>
        <w:rPr>
          <w:rFonts w:ascii="GHEA Grapalat" w:eastAsia="Times New Roman" w:hAnsi="GHEA Grapalat" w:cs="Times New Roman"/>
          <w:color w:val="404040"/>
          <w:lang w:val="hy-AM"/>
        </w:rPr>
      </w:pPr>
      <w:r w:rsidRPr="008B63B1">
        <w:rPr>
          <w:rFonts w:ascii="GHEA Grapalat" w:eastAsia="Times New Roman" w:hAnsi="GHEA Grapalat" w:cs="Times New Roman"/>
          <w:b/>
          <w:color w:val="404040"/>
          <w:lang w:val="hy-AM"/>
        </w:rPr>
        <w:t>2026թ. հունվար-հուլիս ամիսներին դեպի ՀՀ ֆիզիկական անձանց փոխանցումների ծավալները նախորդ տարվա համապատասխան ժամանակահատվածի նկատմամբ աճել են</w:t>
      </w:r>
      <w:r w:rsidRPr="008B63B1">
        <w:rPr>
          <w:rFonts w:ascii="GHEA Grapalat" w:eastAsia="Times New Roman" w:hAnsi="GHEA Grapalat" w:cs="Times New Roman"/>
          <w:color w:val="404040"/>
          <w:lang w:val="hy-AM"/>
        </w:rPr>
        <w:t>։</w:t>
      </w:r>
    </w:p>
    <w:p w14:paraId="5C941D55" w14:textId="77777777" w:rsidR="00507805" w:rsidRPr="008B63B1" w:rsidRDefault="00507805" w:rsidP="00082769">
      <w:pPr>
        <w:spacing w:after="0"/>
        <w:ind w:right="357"/>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2026 թվականի հունվար-հուլիս</w:t>
      </w:r>
      <w:r w:rsidRPr="008B63B1">
        <w:rPr>
          <w:rFonts w:ascii="GHEA Grapalat" w:eastAsia="Times New Roman" w:hAnsi="GHEA Grapalat" w:cs="Times New Roman"/>
          <w:b/>
          <w:color w:val="404040"/>
          <w:lang w:val="hy-AM"/>
        </w:rPr>
        <w:t xml:space="preserve"> </w:t>
      </w:r>
      <w:r w:rsidRPr="008B63B1">
        <w:rPr>
          <w:rFonts w:ascii="GHEA Grapalat" w:eastAsia="Times New Roman" w:hAnsi="GHEA Grapalat" w:cs="Times New Roman"/>
          <w:color w:val="404040"/>
          <w:lang w:val="hy-AM"/>
        </w:rPr>
        <w:t>ամիսներին փոխանցումների զուտ ներհոսքը կազմել է նախորդ տարվա նույն ժամանակահատվածի մակարդակի 2.6-ապատիկը՝ կազմելով 1,868 մլն դոլար, ընդ որում՝ ներհոսքն ավելացել է 36.0%-ով, իսկ արտահոսքը՝ 1.3%-ով: Ընդ որում՝ ՌԴ-ից փոխանցումների զուտ ներհոսքը 2026 թվականի հունվար-հուլիս ամիսներին կազմել է շուրջ 2</w:t>
      </w:r>
      <w:r w:rsidRPr="008B63B1">
        <w:rPr>
          <w:rFonts w:ascii="Cambria Math" w:eastAsia="Times New Roman" w:hAnsi="Cambria Math" w:cs="Cambria Math"/>
          <w:color w:val="404040"/>
          <w:lang w:val="hy-AM"/>
        </w:rPr>
        <w:t>․</w:t>
      </w:r>
      <w:r w:rsidRPr="008B63B1">
        <w:rPr>
          <w:rFonts w:ascii="GHEA Grapalat" w:eastAsia="Times New Roman" w:hAnsi="GHEA Grapalat" w:cs="Times New Roman"/>
          <w:color w:val="404040"/>
          <w:lang w:val="hy-AM"/>
        </w:rPr>
        <w:t>8 մլրդ դոլար՝ նախորդ տարվա նույն ժամանակահատվածի համեմատ աճելով 63</w:t>
      </w:r>
      <w:r w:rsidRPr="008B63B1">
        <w:rPr>
          <w:rFonts w:ascii="Times New Roman" w:eastAsia="Times New Roman" w:hAnsi="Times New Roman" w:cs="Times New Roman"/>
          <w:color w:val="404040"/>
          <w:lang w:val="hy-AM"/>
        </w:rPr>
        <w:t>․</w:t>
      </w:r>
      <w:r w:rsidRPr="008B63B1">
        <w:rPr>
          <w:rFonts w:ascii="GHEA Grapalat" w:eastAsia="Times New Roman" w:hAnsi="GHEA Grapalat" w:cs="Times New Roman"/>
          <w:color w:val="404040"/>
          <w:lang w:val="hy-AM"/>
        </w:rPr>
        <w:t>0%-ով։ Արդյունքում, 2023թ</w:t>
      </w:r>
      <w:r w:rsidRPr="008B63B1">
        <w:rPr>
          <w:rFonts w:ascii="Cambria Math" w:eastAsia="Times New Roman" w:hAnsi="Cambria Math" w:cs="Cambria Math"/>
          <w:color w:val="404040"/>
          <w:lang w:val="hy-AM"/>
        </w:rPr>
        <w:t>․</w:t>
      </w:r>
      <w:r w:rsidRPr="008B63B1">
        <w:rPr>
          <w:rFonts w:ascii="GHEA Grapalat" w:eastAsia="Times New Roman" w:hAnsi="GHEA Grapalat" w:cs="Times New Roman"/>
          <w:color w:val="404040"/>
          <w:lang w:val="hy-AM"/>
        </w:rPr>
        <w:t>-ին ավելացած արտարժույթի ծավալները մնում են բարձր մակարդակի վրա` պահպանելով ՀՀ-ում արտարժույթի բարձր առաջարկը:</w:t>
      </w:r>
    </w:p>
    <w:p w14:paraId="39362124" w14:textId="77777777" w:rsidR="00507805" w:rsidRPr="001D56CB" w:rsidRDefault="00507805" w:rsidP="001D56CB">
      <w:pPr>
        <w:pStyle w:val="Charts"/>
        <w:ind w:right="-22"/>
        <w:rPr>
          <w:b w:val="0"/>
          <w:bCs/>
          <w:color w:val="auto"/>
          <w:sz w:val="20"/>
          <w:szCs w:val="18"/>
        </w:rPr>
      </w:pPr>
      <w:bookmarkStart w:id="210" w:name="_Toc178595144"/>
      <w:r w:rsidRPr="001D56CB">
        <w:rPr>
          <w:b w:val="0"/>
          <w:bCs/>
          <w:color w:val="auto"/>
          <w:sz w:val="20"/>
          <w:szCs w:val="18"/>
        </w:rPr>
        <w:t>Գծապատկեր 1.28</w:t>
      </w:r>
      <w:r w:rsidRPr="001D56CB">
        <w:rPr>
          <w:rFonts w:ascii="Cambria Math" w:hAnsi="Cambria Math" w:cs="Cambria Math"/>
          <w:b w:val="0"/>
          <w:bCs/>
          <w:color w:val="auto"/>
          <w:sz w:val="20"/>
          <w:szCs w:val="18"/>
        </w:rPr>
        <w:t>․</w:t>
      </w:r>
      <w:r w:rsidRPr="001D56CB">
        <w:rPr>
          <w:b w:val="0"/>
          <w:bCs/>
          <w:color w:val="auto"/>
          <w:sz w:val="20"/>
          <w:szCs w:val="18"/>
        </w:rPr>
        <w:t xml:space="preserve"> ՀՀ բանկերի միջոցով ֆիզիկական անձանց անունով արտերկրից մուտք եղած և ՀՀ-ից ֆիզիկական անձանց կողմից արտերկիր կատարված զուտ փոխանցումներ, մլն ԱՄՆ դոլար</w:t>
      </w:r>
      <w:bookmarkEnd w:id="210"/>
      <w:r w:rsidRPr="001D56CB">
        <w:rPr>
          <w:b w:val="0"/>
          <w:bCs/>
          <w:color w:val="auto"/>
          <w:sz w:val="20"/>
          <w:szCs w:val="18"/>
        </w:rPr>
        <w:t xml:space="preserve"> </w:t>
      </w:r>
    </w:p>
    <w:p w14:paraId="6CA2450E" w14:textId="77777777" w:rsidR="00507805" w:rsidRPr="008B63B1" w:rsidRDefault="00507805" w:rsidP="00082769">
      <w:pPr>
        <w:ind w:right="26"/>
        <w:jc w:val="right"/>
        <w:rPr>
          <w:rFonts w:ascii="GHEA Grapalat" w:eastAsia="Times New Roman" w:hAnsi="GHEA Grapalat" w:cs="Times New Roman"/>
          <w:i/>
          <w:color w:val="A6A6A6"/>
          <w:lang w:val="hy-AM"/>
        </w:rPr>
      </w:pPr>
      <w:r w:rsidRPr="008B63B1">
        <w:rPr>
          <w:rFonts w:ascii="GHEA Grapalat" w:eastAsia="Times New Roman" w:hAnsi="GHEA Grapalat" w:cs="Sylfaen"/>
          <w:noProof/>
          <w:color w:val="A6A6A6"/>
          <w:sz w:val="16"/>
          <w:szCs w:val="16"/>
        </w:rPr>
        <w:drawing>
          <wp:inline distT="0" distB="0" distL="0" distR="0" wp14:anchorId="3FD065FE" wp14:editId="38E59E09">
            <wp:extent cx="6056630" cy="2305050"/>
            <wp:effectExtent l="0" t="0" r="1270" b="0"/>
            <wp:docPr id="1545876452" name="Chart 154587645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0558E0C" w14:textId="3C397DBF" w:rsidR="00507805" w:rsidRPr="00E53132" w:rsidRDefault="00507805" w:rsidP="00E53132">
      <w:pPr>
        <w:ind w:right="26"/>
        <w:jc w:val="right"/>
        <w:rPr>
          <w:rFonts w:ascii="GHEA Grapalat" w:eastAsia="Times New Roman" w:hAnsi="GHEA Grapalat" w:cs="Times New Roman"/>
          <w:i/>
          <w:color w:val="A6A6A6"/>
          <w:lang w:val="hy-AM"/>
        </w:rPr>
      </w:pPr>
      <w:r w:rsidRPr="008B63B1">
        <w:rPr>
          <w:rFonts w:ascii="GHEA Grapalat" w:eastAsia="Times New Roman" w:hAnsi="GHEA Grapalat" w:cs="Times New Roman"/>
          <w:i/>
          <w:color w:val="A6A6A6"/>
          <w:lang w:val="hy-AM"/>
        </w:rPr>
        <w:t>Աղբյուրը՝ ՀՀ ԿԲ, ՀՀ ՖՆ հաշվարկներ</w:t>
      </w:r>
    </w:p>
    <w:p w14:paraId="2D3737EE" w14:textId="77777777" w:rsidR="00507805" w:rsidRPr="008B63B1" w:rsidRDefault="00507805" w:rsidP="00082769">
      <w:pPr>
        <w:jc w:val="both"/>
        <w:rPr>
          <w:rFonts w:ascii="GHEA Grapalat" w:eastAsia="Times New Roman" w:hAnsi="GHEA Grapalat" w:cs="Times New Roman"/>
          <w:b/>
          <w:color w:val="404040"/>
          <w:lang w:val="hy-AM"/>
        </w:rPr>
      </w:pPr>
      <w:r w:rsidRPr="008B63B1">
        <w:rPr>
          <w:rFonts w:ascii="GHEA Grapalat" w:eastAsia="Times New Roman" w:hAnsi="GHEA Grapalat" w:cs="Times New Roman"/>
          <w:b/>
          <w:color w:val="404040"/>
          <w:lang w:val="hy-AM"/>
        </w:rPr>
        <w:t>Արժութային շուկա</w:t>
      </w:r>
    </w:p>
    <w:p w14:paraId="3A696992" w14:textId="77777777" w:rsidR="00507805" w:rsidRPr="008B63B1" w:rsidRDefault="00507805" w:rsidP="00082769">
      <w:pPr>
        <w:spacing w:after="0"/>
        <w:jc w:val="both"/>
        <w:rPr>
          <w:rFonts w:ascii="GHEA Grapalat" w:eastAsia="Times New Roman" w:hAnsi="GHEA Grapalat" w:cs="Times New Roman"/>
          <w:color w:val="404040"/>
          <w:lang w:val="hy-AM"/>
        </w:rPr>
      </w:pPr>
      <w:r w:rsidRPr="008B63B1">
        <w:rPr>
          <w:rFonts w:ascii="GHEA Grapalat" w:eastAsia="Times New Roman" w:hAnsi="GHEA Grapalat" w:cs="Times New Roman"/>
          <w:b/>
          <w:color w:val="404040"/>
          <w:lang w:val="hy-AM"/>
        </w:rPr>
        <w:t>2023-2025թթ</w:t>
      </w:r>
      <w:r w:rsidRPr="008B63B1">
        <w:rPr>
          <w:rFonts w:ascii="Cambria Math" w:eastAsia="Times New Roman" w:hAnsi="Cambria Math" w:cs="Cambria Math"/>
          <w:b/>
          <w:color w:val="404040"/>
          <w:lang w:val="hy-AM"/>
        </w:rPr>
        <w:t>․</w:t>
      </w:r>
      <w:r w:rsidRPr="008B63B1">
        <w:rPr>
          <w:rFonts w:ascii="GHEA Grapalat" w:eastAsia="Times New Roman" w:hAnsi="GHEA Grapalat" w:cs="Times New Roman"/>
          <w:b/>
          <w:color w:val="404040"/>
          <w:lang w:val="hy-AM"/>
        </w:rPr>
        <w:t xml:space="preserve"> ՀՀ արժութային շուկայի շրջանառության ծավալները գտնվել են աննախադեպ բարձր մակարդակում։</w:t>
      </w:r>
      <w:r w:rsidRPr="008B63B1">
        <w:rPr>
          <w:rFonts w:ascii="GHEA Grapalat" w:eastAsia="Times New Roman" w:hAnsi="GHEA Grapalat" w:cs="Times New Roman"/>
          <w:color w:val="404040"/>
          <w:lang w:val="hy-AM"/>
        </w:rPr>
        <w:t xml:space="preserve"> Արժութային շուկայի այսպիսի մեծ շրջանառությունը պայմանավորված է 2022թ</w:t>
      </w:r>
      <w:r w:rsidRPr="008B63B1">
        <w:rPr>
          <w:rFonts w:ascii="Cambria Math" w:eastAsia="Times New Roman" w:hAnsi="Cambria Math" w:cs="Cambria Math"/>
          <w:color w:val="404040"/>
          <w:lang w:val="hy-AM"/>
        </w:rPr>
        <w:t>․</w:t>
      </w:r>
      <w:r w:rsidRPr="008B63B1">
        <w:rPr>
          <w:rFonts w:ascii="GHEA Grapalat" w:eastAsia="Times New Roman" w:hAnsi="GHEA Grapalat" w:cs="Times New Roman"/>
          <w:color w:val="404040"/>
          <w:lang w:val="hy-AM"/>
        </w:rPr>
        <w:t xml:space="preserve"> սկիզբ առած ռուս-ուկրաինական պատերազմի հետևանքով ՀՀ ներհոսած ռուբլու մեծ ծավալներով: Այս մասին են փաստում 2022թ</w:t>
      </w:r>
      <w:r w:rsidRPr="008B63B1">
        <w:rPr>
          <w:rFonts w:ascii="Cambria Math" w:eastAsia="Times New Roman" w:hAnsi="Cambria Math" w:cs="Cambria Math"/>
          <w:color w:val="404040"/>
          <w:lang w:val="hy-AM"/>
        </w:rPr>
        <w:t>․</w:t>
      </w:r>
      <w:r w:rsidRPr="008B63B1">
        <w:rPr>
          <w:rFonts w:ascii="GHEA Grapalat" w:eastAsia="Times New Roman" w:hAnsi="GHEA Grapalat" w:cs="Times New Roman"/>
          <w:color w:val="404040"/>
          <w:lang w:val="hy-AM"/>
        </w:rPr>
        <w:t xml:space="preserve"> երկրորդ եռամսյակից ՀՀ ներբանկային շուկայում ռուբլու զուտ առքի աննախադեպ բարձր ծավալները, որին զուգընթաց կտրուկ ավելացել են դոլարի և եվրոյի զուտ վաճառքի ծավալները։ Այս ժամանակահատվածում ՀՀ կենտրոնական բանկն արժութային շուկայում իրականացրել է միջամտություններ՝ ֆինանսական շուկայի բնականոն գործունեությունն ապահովելու նպատակով՝ մասնավորապես 2023թ</w:t>
      </w:r>
      <w:r w:rsidRPr="008B63B1">
        <w:rPr>
          <w:rFonts w:ascii="Times New Roman" w:eastAsia="Times New Roman" w:hAnsi="Times New Roman" w:cs="Times New Roman"/>
          <w:color w:val="404040"/>
          <w:lang w:val="hy-AM"/>
        </w:rPr>
        <w:t>․</w:t>
      </w:r>
      <w:r w:rsidRPr="008B63B1">
        <w:rPr>
          <w:rFonts w:ascii="GHEA Grapalat" w:eastAsia="Times New Roman" w:hAnsi="GHEA Grapalat" w:cs="Times New Roman"/>
          <w:color w:val="404040"/>
          <w:lang w:val="hy-AM"/>
        </w:rPr>
        <w:t xml:space="preserve"> միջամտությունների ծավալը կազմել է 1147, 2024թ.՝ 706, իսկ 2025թ</w:t>
      </w:r>
      <w:r w:rsidRPr="008B63B1">
        <w:rPr>
          <w:rFonts w:ascii="Cambria Math" w:eastAsia="Times New Roman" w:hAnsi="Cambria Math" w:cs="Times New Roman"/>
          <w:color w:val="404040"/>
          <w:lang w:val="hy-AM"/>
        </w:rPr>
        <w:t xml:space="preserve">․՝ </w:t>
      </w:r>
      <w:r w:rsidRPr="008B63B1">
        <w:rPr>
          <w:rFonts w:ascii="GHEA Grapalat" w:eastAsia="Times New Roman" w:hAnsi="GHEA Grapalat" w:cs="Times New Roman"/>
          <w:color w:val="404040"/>
          <w:lang w:val="hy-AM"/>
        </w:rPr>
        <w:t>1796 մլն դոլար</w:t>
      </w:r>
      <w:r w:rsidRPr="008B63B1">
        <w:rPr>
          <w:rFonts w:ascii="Cambria Math" w:eastAsia="Times New Roman" w:hAnsi="Cambria Math" w:cs="Times New Roman"/>
          <w:color w:val="404040"/>
          <w:lang w:val="hy-AM"/>
        </w:rPr>
        <w:t>։</w:t>
      </w:r>
    </w:p>
    <w:p w14:paraId="7903E425" w14:textId="77777777" w:rsidR="00507805" w:rsidRPr="008B63B1" w:rsidRDefault="00507805" w:rsidP="00082769">
      <w:pPr>
        <w:spacing w:after="0"/>
        <w:jc w:val="both"/>
        <w:rPr>
          <w:rFonts w:ascii="GHEA Grapalat" w:eastAsia="Times New Roman" w:hAnsi="GHEA Grapalat" w:cs="Times New Roman"/>
          <w:color w:val="404040"/>
          <w:lang w:val="hy-AM"/>
        </w:rPr>
      </w:pPr>
      <w:r w:rsidRPr="008B63B1">
        <w:rPr>
          <w:rFonts w:ascii="GHEA Grapalat" w:eastAsia="Times New Roman" w:hAnsi="GHEA Grapalat" w:cs="Times New Roman"/>
          <w:b/>
          <w:color w:val="404040"/>
          <w:lang w:val="hy-AM"/>
        </w:rPr>
        <w:t>2026թ. հունվար-օգոստոս ամիսներին ՀՀ արժութային շուկայի շրջանառության ծավալները զգալի կրճատվել են:</w:t>
      </w:r>
      <w:r w:rsidRPr="008B63B1">
        <w:rPr>
          <w:rFonts w:ascii="GHEA Grapalat" w:eastAsia="Times New Roman" w:hAnsi="GHEA Grapalat" w:cs="Times New Roman"/>
          <w:color w:val="404040"/>
          <w:lang w:val="hy-AM"/>
        </w:rPr>
        <w:t xml:space="preserve"> 2026 թվականի հունվարից օգոստոս ամիսներին արտարժույթի ներբանկային առքը գերազանցել է վաճառքի ծավալները՝ պայմանավորված ռուբլու առքի ծավալների աճով։ 2026 թվականի առաջին ութ ամիսներին ՀՀ կենտրոնական բանկն արժութային շուկայում իրականացրել է 1760 մլն դոլար արտարժույթի զուտ առք` ավելորդ տատանողականությունը չեզոքացնելու նպատակով։</w:t>
      </w:r>
    </w:p>
    <w:p w14:paraId="2554650A" w14:textId="77777777" w:rsidR="00507805" w:rsidRPr="008B63B1" w:rsidRDefault="00507805" w:rsidP="00082769">
      <w:pPr>
        <w:rPr>
          <w:rFonts w:ascii="GHEA Grapalat" w:eastAsia="Times New Roman" w:hAnsi="GHEA Grapalat" w:cs="Times New Roman"/>
          <w:color w:val="404040"/>
          <w:lang w:val="hy-AM"/>
        </w:rPr>
      </w:pPr>
    </w:p>
    <w:tbl>
      <w:tblPr>
        <w:tblW w:w="5000" w:type="pct"/>
        <w:tblInd w:w="-142" w:type="dxa"/>
        <w:tblLook w:val="04A0" w:firstRow="1" w:lastRow="0" w:firstColumn="1" w:lastColumn="0" w:noHBand="0" w:noVBand="1"/>
      </w:tblPr>
      <w:tblGrid>
        <w:gridCol w:w="5159"/>
        <w:gridCol w:w="5187"/>
      </w:tblGrid>
      <w:tr w:rsidR="00507805" w:rsidRPr="003612ED" w14:paraId="69561D40" w14:textId="77777777" w:rsidTr="00873AE6">
        <w:trPr>
          <w:trHeight w:val="613"/>
        </w:trPr>
        <w:tc>
          <w:tcPr>
            <w:tcW w:w="2493" w:type="pct"/>
            <w:hideMark/>
          </w:tcPr>
          <w:p w14:paraId="31B50561" w14:textId="77777777" w:rsidR="00507805" w:rsidRPr="001D56CB" w:rsidRDefault="00507805" w:rsidP="001D56CB">
            <w:pPr>
              <w:pStyle w:val="Charts"/>
              <w:ind w:right="-22"/>
              <w:rPr>
                <w:b w:val="0"/>
                <w:bCs/>
                <w:color w:val="auto"/>
                <w:sz w:val="20"/>
                <w:szCs w:val="18"/>
              </w:rPr>
            </w:pPr>
            <w:bookmarkStart w:id="211" w:name="_Toc178595145"/>
            <w:r w:rsidRPr="001D56CB">
              <w:rPr>
                <w:b w:val="0"/>
                <w:bCs/>
                <w:color w:val="auto"/>
                <w:sz w:val="20"/>
                <w:szCs w:val="18"/>
              </w:rPr>
              <w:t>Գծապատկեր 1.29. ՀՀ արժութային (ներբանկային) շուկայի շրջանառության տվյալներն ըստ դրամային համարժեքների, զուտ, մլրդ ՀՀ դրամ</w:t>
            </w:r>
            <w:bookmarkEnd w:id="211"/>
          </w:p>
          <w:p w14:paraId="089C1E6D" w14:textId="77777777" w:rsidR="00507805" w:rsidRPr="008B63B1" w:rsidRDefault="00507805" w:rsidP="00082769">
            <w:pPr>
              <w:spacing w:line="240" w:lineRule="auto"/>
              <w:jc w:val="both"/>
              <w:rPr>
                <w:rFonts w:ascii="GHEA Grapalat" w:eastAsia="Times New Roman" w:hAnsi="GHEA Grapalat" w:cs="Times New Roman"/>
                <w:b/>
                <w:color w:val="404040"/>
                <w:lang w:val="hy-AM"/>
              </w:rPr>
            </w:pPr>
            <w:r w:rsidRPr="008B63B1">
              <w:rPr>
                <w:rFonts w:ascii="GHEA Grapalat" w:eastAsia="Times New Roman" w:hAnsi="GHEA Grapalat" w:cs="Times New Roman"/>
                <w:bCs/>
                <w:noProof/>
                <w:color w:val="5B9BD5"/>
                <w:sz w:val="18"/>
                <w:szCs w:val="18"/>
              </w:rPr>
              <w:drawing>
                <wp:anchor distT="0" distB="0" distL="114300" distR="114300" simplePos="0" relativeHeight="251728896" behindDoc="0" locked="0" layoutInCell="1" allowOverlap="1" wp14:anchorId="5BEC9429" wp14:editId="1DFCE162">
                  <wp:simplePos x="0" y="0"/>
                  <wp:positionH relativeFrom="column">
                    <wp:posOffset>-10795</wp:posOffset>
                  </wp:positionH>
                  <wp:positionV relativeFrom="paragraph">
                    <wp:posOffset>4445</wp:posOffset>
                  </wp:positionV>
                  <wp:extent cx="2880000" cy="2160000"/>
                  <wp:effectExtent l="0" t="0" r="0" b="0"/>
                  <wp:wrapNone/>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p>
          <w:p w14:paraId="6847FA4F" w14:textId="77777777" w:rsidR="00507805" w:rsidRPr="008B63B1" w:rsidRDefault="00507805" w:rsidP="00082769">
            <w:pPr>
              <w:spacing w:line="240" w:lineRule="auto"/>
              <w:jc w:val="both"/>
              <w:rPr>
                <w:rFonts w:ascii="GHEA Grapalat" w:eastAsia="Times New Roman" w:hAnsi="GHEA Grapalat" w:cs="Times New Roman"/>
                <w:b/>
                <w:color w:val="404040"/>
                <w:lang w:val="hy-AM"/>
              </w:rPr>
            </w:pPr>
          </w:p>
          <w:p w14:paraId="2C5AAA2D" w14:textId="77777777" w:rsidR="00507805" w:rsidRPr="008B63B1" w:rsidRDefault="00507805" w:rsidP="00082769">
            <w:pPr>
              <w:spacing w:line="240" w:lineRule="auto"/>
              <w:jc w:val="both"/>
              <w:rPr>
                <w:rFonts w:ascii="GHEA Grapalat" w:eastAsia="Times New Roman" w:hAnsi="GHEA Grapalat" w:cs="Times New Roman"/>
                <w:b/>
                <w:color w:val="404040"/>
                <w:lang w:val="hy-AM"/>
              </w:rPr>
            </w:pPr>
          </w:p>
          <w:p w14:paraId="2D3F5565" w14:textId="77777777" w:rsidR="00507805" w:rsidRPr="008B63B1" w:rsidRDefault="00507805" w:rsidP="00082769">
            <w:pPr>
              <w:spacing w:line="240" w:lineRule="auto"/>
              <w:jc w:val="both"/>
              <w:rPr>
                <w:rFonts w:ascii="GHEA Grapalat" w:eastAsia="Times New Roman" w:hAnsi="GHEA Grapalat" w:cs="Times New Roman"/>
                <w:b/>
                <w:color w:val="404040"/>
                <w:lang w:val="hy-AM"/>
              </w:rPr>
            </w:pPr>
          </w:p>
          <w:p w14:paraId="71BBBD62" w14:textId="77777777" w:rsidR="00507805" w:rsidRPr="008B63B1" w:rsidRDefault="00507805" w:rsidP="00082769">
            <w:pPr>
              <w:spacing w:line="240" w:lineRule="auto"/>
              <w:jc w:val="both"/>
              <w:rPr>
                <w:rFonts w:ascii="GHEA Grapalat" w:eastAsia="Times New Roman" w:hAnsi="GHEA Grapalat" w:cs="Times New Roman"/>
                <w:b/>
                <w:color w:val="404040"/>
                <w:lang w:val="hy-AM"/>
              </w:rPr>
            </w:pPr>
          </w:p>
          <w:p w14:paraId="4A5D538F" w14:textId="77777777" w:rsidR="00507805" w:rsidRPr="008B63B1" w:rsidRDefault="00507805" w:rsidP="00082769">
            <w:pPr>
              <w:spacing w:line="240" w:lineRule="auto"/>
              <w:jc w:val="both"/>
              <w:rPr>
                <w:rFonts w:ascii="GHEA Grapalat" w:eastAsia="Times New Roman" w:hAnsi="GHEA Grapalat" w:cs="Times New Roman"/>
                <w:b/>
                <w:color w:val="404040"/>
                <w:lang w:val="hy-AM"/>
              </w:rPr>
            </w:pPr>
          </w:p>
          <w:p w14:paraId="795B71A2" w14:textId="77777777" w:rsidR="00507805" w:rsidRPr="008B63B1" w:rsidRDefault="00507805" w:rsidP="00082769">
            <w:pPr>
              <w:spacing w:line="240" w:lineRule="auto"/>
              <w:jc w:val="both"/>
              <w:rPr>
                <w:rFonts w:ascii="GHEA Grapalat" w:eastAsia="Times New Roman" w:hAnsi="GHEA Grapalat" w:cs="Times New Roman"/>
                <w:b/>
                <w:color w:val="404040"/>
                <w:lang w:val="hy-AM"/>
              </w:rPr>
            </w:pPr>
          </w:p>
          <w:p w14:paraId="44234824" w14:textId="77777777" w:rsidR="00507805" w:rsidRPr="008B63B1" w:rsidRDefault="00507805" w:rsidP="00082769">
            <w:pPr>
              <w:spacing w:line="240" w:lineRule="auto"/>
              <w:jc w:val="both"/>
              <w:rPr>
                <w:rFonts w:ascii="GHEA Grapalat" w:eastAsia="Times New Roman" w:hAnsi="GHEA Grapalat" w:cs="Times New Roman"/>
                <w:b/>
                <w:color w:val="404040"/>
                <w:lang w:val="hy-AM"/>
              </w:rPr>
            </w:pPr>
          </w:p>
        </w:tc>
        <w:tc>
          <w:tcPr>
            <w:tcW w:w="2507" w:type="pct"/>
            <w:hideMark/>
          </w:tcPr>
          <w:p w14:paraId="18936353" w14:textId="77777777" w:rsidR="00507805" w:rsidRPr="008B63B1" w:rsidRDefault="00507805" w:rsidP="001D56CB">
            <w:pPr>
              <w:pStyle w:val="Charts"/>
              <w:ind w:right="-22"/>
              <w:rPr>
                <w:rFonts w:eastAsia="Times New Roman" w:cs="Times New Roman"/>
                <w:b w:val="0"/>
                <w:color w:val="404040"/>
              </w:rPr>
            </w:pPr>
            <w:bookmarkStart w:id="212" w:name="_Toc178595146"/>
            <w:r w:rsidRPr="001D56CB">
              <w:rPr>
                <w:b w:val="0"/>
                <w:bCs/>
                <w:noProof/>
                <w:color w:val="auto"/>
                <w:sz w:val="20"/>
                <w:szCs w:val="18"/>
                <w:lang w:val="en-US"/>
              </w:rPr>
              <w:drawing>
                <wp:anchor distT="0" distB="0" distL="114300" distR="114300" simplePos="0" relativeHeight="251729920" behindDoc="0" locked="0" layoutInCell="1" allowOverlap="1" wp14:anchorId="095F2314" wp14:editId="21D16BC4">
                  <wp:simplePos x="0" y="0"/>
                  <wp:positionH relativeFrom="column">
                    <wp:posOffset>-152400</wp:posOffset>
                  </wp:positionH>
                  <wp:positionV relativeFrom="paragraph">
                    <wp:posOffset>544830</wp:posOffset>
                  </wp:positionV>
                  <wp:extent cx="2983230" cy="2076450"/>
                  <wp:effectExtent l="0" t="0" r="0" b="0"/>
                  <wp:wrapNone/>
                  <wp:docPr id="1545876453" name="Chart 1545876453"/>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margin">
                    <wp14:pctWidth>0</wp14:pctWidth>
                  </wp14:sizeRelH>
                  <wp14:sizeRelV relativeFrom="margin">
                    <wp14:pctHeight>0</wp14:pctHeight>
                  </wp14:sizeRelV>
                </wp:anchor>
              </w:drawing>
            </w:r>
            <w:r w:rsidRPr="001D56CB">
              <w:rPr>
                <w:b w:val="0"/>
                <w:bCs/>
                <w:color w:val="auto"/>
                <w:sz w:val="20"/>
                <w:szCs w:val="18"/>
              </w:rPr>
              <w:t>Գծապատկեր 1.30. Փոխարժեք և ԿԲ  գործառնություններ</w:t>
            </w:r>
            <w:bookmarkEnd w:id="212"/>
          </w:p>
        </w:tc>
      </w:tr>
      <w:tr w:rsidR="00507805" w:rsidRPr="003612ED" w14:paraId="1BCB7FD8" w14:textId="77777777" w:rsidTr="00873AE6">
        <w:trPr>
          <w:trHeight w:val="548"/>
        </w:trPr>
        <w:tc>
          <w:tcPr>
            <w:tcW w:w="2493" w:type="pct"/>
            <w:hideMark/>
          </w:tcPr>
          <w:p w14:paraId="27ACFFA3" w14:textId="77777777" w:rsidR="00507805" w:rsidRPr="008B63B1" w:rsidRDefault="00507805" w:rsidP="00082769">
            <w:pPr>
              <w:ind w:right="177"/>
              <w:rPr>
                <w:rFonts w:ascii="GHEA Grapalat" w:eastAsia="Times New Roman" w:hAnsi="GHEA Grapalat" w:cs="Times New Roman"/>
                <w:i/>
                <w:color w:val="A6A6A6"/>
                <w:lang w:val="hy-AM"/>
              </w:rPr>
            </w:pPr>
            <w:r w:rsidRPr="008B63B1">
              <w:rPr>
                <w:rFonts w:ascii="GHEA Grapalat" w:eastAsia="Times New Roman" w:hAnsi="GHEA Grapalat" w:cs="Times New Roman"/>
                <w:i/>
                <w:color w:val="A6A6A6"/>
                <w:lang w:val="hy-AM"/>
              </w:rPr>
              <w:t>Աղբյուրը՝ ՀՀ ԿԲ, ՀՀ ՖՆ հաշվարկներ</w:t>
            </w:r>
            <w:r w:rsidRPr="008B63B1">
              <w:rPr>
                <w:rFonts w:ascii="GHEA Grapalat" w:eastAsia="Times New Roman" w:hAnsi="GHEA Grapalat" w:cs="Times New Roman"/>
                <w:i/>
                <w:noProof/>
                <w:color w:val="A6A6A6"/>
                <w:lang w:val="hy-AM"/>
              </w:rPr>
              <w:t xml:space="preserve"> </w:t>
            </w:r>
          </w:p>
        </w:tc>
        <w:tc>
          <w:tcPr>
            <w:tcW w:w="2507" w:type="pct"/>
            <w:hideMark/>
          </w:tcPr>
          <w:p w14:paraId="32D7CC75" w14:textId="77777777" w:rsidR="00507805" w:rsidRPr="008B63B1" w:rsidRDefault="00507805" w:rsidP="00082769">
            <w:pPr>
              <w:rPr>
                <w:rFonts w:ascii="GHEA Grapalat" w:eastAsia="Times New Roman" w:hAnsi="GHEA Grapalat" w:cs="Times New Roman"/>
                <w:i/>
                <w:color w:val="A6A6A6"/>
                <w:lang w:val="hy-AM"/>
              </w:rPr>
            </w:pPr>
            <w:r w:rsidRPr="008B63B1">
              <w:rPr>
                <w:rFonts w:ascii="GHEA Grapalat" w:eastAsia="Times New Roman" w:hAnsi="GHEA Grapalat" w:cs="Times New Roman"/>
                <w:i/>
                <w:color w:val="A6A6A6"/>
                <w:lang w:val="hy-AM"/>
              </w:rPr>
              <w:t>Աղբյուրը՝ ՀՀ ԿԲ, ՀՀ ՖՆ հաշվարկներ</w:t>
            </w:r>
            <w:r w:rsidRPr="008B63B1">
              <w:rPr>
                <w:rFonts w:ascii="GHEA Grapalat" w:eastAsia="Times New Roman" w:hAnsi="GHEA Grapalat" w:cs="Times New Roman"/>
                <w:i/>
                <w:noProof/>
                <w:color w:val="A6A6A6"/>
                <w:lang w:val="hy-AM"/>
              </w:rPr>
              <w:t xml:space="preserve"> </w:t>
            </w:r>
          </w:p>
        </w:tc>
      </w:tr>
    </w:tbl>
    <w:p w14:paraId="68F4450D" w14:textId="77777777" w:rsidR="00507805" w:rsidRPr="008B63B1" w:rsidRDefault="00507805" w:rsidP="00082769">
      <w:pPr>
        <w:jc w:val="both"/>
        <w:rPr>
          <w:rFonts w:ascii="GHEA Grapalat" w:eastAsia="Times New Roman" w:hAnsi="GHEA Grapalat" w:cs="Times New Roman"/>
          <w:b/>
          <w:color w:val="404040"/>
          <w:lang w:val="hy-AM"/>
        </w:rPr>
      </w:pPr>
    </w:p>
    <w:p w14:paraId="7E09FDC7" w14:textId="77777777" w:rsidR="00507805" w:rsidRPr="008B63B1" w:rsidRDefault="00507805" w:rsidP="00082769">
      <w:pPr>
        <w:jc w:val="both"/>
        <w:rPr>
          <w:rFonts w:ascii="GHEA Grapalat" w:eastAsia="Times New Roman" w:hAnsi="GHEA Grapalat" w:cs="Times New Roman"/>
          <w:b/>
          <w:color w:val="404040"/>
          <w:lang w:val="hy-AM"/>
        </w:rPr>
      </w:pPr>
      <w:r w:rsidRPr="008B63B1">
        <w:rPr>
          <w:rFonts w:ascii="GHEA Grapalat" w:eastAsia="Times New Roman" w:hAnsi="GHEA Grapalat" w:cs="Times New Roman"/>
          <w:b/>
          <w:color w:val="404040"/>
          <w:lang w:val="hy-AM"/>
        </w:rPr>
        <w:t>Երկկողմանի փոխարժեքներ</w:t>
      </w:r>
    </w:p>
    <w:p w14:paraId="6059B75F" w14:textId="77777777" w:rsidR="00507805" w:rsidRPr="008B63B1" w:rsidRDefault="00507805" w:rsidP="00082769">
      <w:pPr>
        <w:spacing w:after="0"/>
        <w:jc w:val="both"/>
        <w:rPr>
          <w:rFonts w:ascii="GHEA Grapalat" w:eastAsia="Times New Roman" w:hAnsi="GHEA Grapalat" w:cs="Times New Roman"/>
          <w:color w:val="404040"/>
          <w:lang w:val="hy-AM"/>
        </w:rPr>
      </w:pPr>
      <w:r w:rsidRPr="008B63B1">
        <w:rPr>
          <w:rFonts w:ascii="GHEA Grapalat" w:eastAsia="Times New Roman" w:hAnsi="GHEA Grapalat" w:cs="Times New Roman"/>
          <w:b/>
          <w:color w:val="404040"/>
          <w:lang w:val="hy-AM"/>
        </w:rPr>
        <w:t>2023-2025թթ. ՀՀ դրամն ԱՄՆ դոլարի, եվրոյի և ռուբլու նկատմամբ միջինում դրսևորել է արժևորման վարքագիծ` հիմնականում պայմանավորված 2022թ. արտարժույթի աննախադեպ մեծ ներհոսքով։</w:t>
      </w:r>
      <w:r w:rsidRPr="008B63B1">
        <w:rPr>
          <w:rFonts w:ascii="GHEA Grapalat" w:eastAsia="Times New Roman" w:hAnsi="GHEA Grapalat" w:cs="Times New Roman"/>
          <w:color w:val="404040"/>
          <w:lang w:val="hy-AM"/>
        </w:rPr>
        <w:t xml:space="preserve"> Նշյալ ժամանակահատվածում ԱՄՆ դոլարի և եվրոյի նկատմամբ դրամը հիմնականում դրսևորել է համեմատաբար մեղմ տատանողականություն, մինչդեռ ռուբլու նկատմամբ դրամն աչքի է ընկել էականորեն ավելի բարձր փոփոխականությամբ։ ԱՄՆ դոլարի նկատմամբ դրամի առավելագույն արժևորումը 2025թ. գրանցվել է նոյեմբերի 27-ին՝ 381.1 դրամ մեկ ԱՄՆ դոլարի դիմաց։ Միջին փոխարժեքը կազմել է 387.0 դրամ մեկ ԱՄՆ դոլարի դիմաց՝ նախորդ տարվա միջին փոխարժեքի՝ 392.7-ի նկատմամբ արժևորվելով 1.5%-ով: Եվրոյի նկատմամբ ՀՀ դրամն արժեզրկվել է 2.7%-ով, արժեզրկման առավելագույն 455.1 դրամ մեկ եվրոյի դիմաց արժեքին հասնելով 2025թ. հուլիսի 1-ին։ ՀՀ դրամը ՌԴ ռուբլու նկատմամբ 2022թ. մարտի կտրուկ արժևորումից հետո պահպանել է դիրքերը մինչև 2023թ. երրորդ եռամսյակ, ապա դրսևորել է տատանողական վարքագիծ՝ տարեվերջին մնալով արժեզրկված նախորդ եռամսյակի նկատմամբ։ Տարեվերջին 2024թ</w:t>
      </w:r>
      <w:r w:rsidRPr="008B63B1">
        <w:rPr>
          <w:rFonts w:ascii="Cambria Math" w:eastAsia="Times New Roman" w:hAnsi="Cambria Math" w:cs="Cambria Math"/>
          <w:color w:val="404040"/>
          <w:lang w:val="hy-AM"/>
        </w:rPr>
        <w:t>․</w:t>
      </w:r>
      <w:r w:rsidRPr="008B63B1">
        <w:rPr>
          <w:rFonts w:ascii="GHEA Grapalat" w:eastAsia="Times New Roman" w:hAnsi="GHEA Grapalat" w:cs="Times New Roman"/>
          <w:color w:val="404040"/>
          <w:lang w:val="hy-AM"/>
        </w:rPr>
        <w:t xml:space="preserve"> համեմատ արժեզրկումը կազմել է 8.6 տոկոս։ </w:t>
      </w:r>
    </w:p>
    <w:p w14:paraId="6CDCAFEB" w14:textId="77777777" w:rsidR="00507805" w:rsidRPr="008B63B1" w:rsidRDefault="00507805" w:rsidP="00082769">
      <w:pPr>
        <w:spacing w:after="0"/>
        <w:jc w:val="both"/>
        <w:rPr>
          <w:rFonts w:ascii="GHEA Grapalat" w:eastAsia="Times New Roman" w:hAnsi="GHEA Grapalat" w:cs="Times New Roman"/>
          <w:color w:val="404040"/>
          <w:lang w:val="hy-AM"/>
        </w:rPr>
      </w:pPr>
      <w:r w:rsidRPr="008B63B1">
        <w:rPr>
          <w:rFonts w:ascii="GHEA Grapalat" w:eastAsia="Times New Roman" w:hAnsi="GHEA Grapalat" w:cs="Times New Roman"/>
          <w:b/>
          <w:color w:val="404040"/>
          <w:lang w:val="hy-AM"/>
        </w:rPr>
        <w:t xml:space="preserve">2026թ. հունվար-օգոստոս ամիսներին ՀՀ դրամը արժևորվել է ԱՄՆ դոլարի նկատմամբ, իսկ ՌԴ ռուբլու և եվրոյի նկատմամբ՝ արժեզրկվել։ </w:t>
      </w:r>
      <w:r w:rsidRPr="008B63B1">
        <w:rPr>
          <w:rFonts w:ascii="GHEA Grapalat" w:eastAsia="Times New Roman" w:hAnsi="GHEA Grapalat" w:cs="Times New Roman"/>
          <w:color w:val="404040"/>
          <w:lang w:val="hy-AM"/>
        </w:rPr>
        <w:t>ՀՀ դրամը 2026թ</w:t>
      </w:r>
      <w:r w:rsidRPr="008B63B1">
        <w:rPr>
          <w:rFonts w:ascii="Cambria Math" w:eastAsia="Times New Roman" w:hAnsi="Cambria Math" w:cs="Cambria Math"/>
          <w:color w:val="404040"/>
          <w:lang w:val="hy-AM"/>
        </w:rPr>
        <w:t>․</w:t>
      </w:r>
      <w:r w:rsidRPr="008B63B1">
        <w:rPr>
          <w:rFonts w:ascii="GHEA Grapalat" w:eastAsia="Times New Roman" w:hAnsi="GHEA Grapalat" w:cs="Times New Roman"/>
          <w:color w:val="404040"/>
          <w:lang w:val="hy-AM"/>
        </w:rPr>
        <w:t xml:space="preserve"> հունվար-օգոստոս ամիսներին նախորդ տարվա նույն ժամանակահատվածի համեմատ ԱՄՆ դոլարի նկատմամբ արժևորվել է 4.6%-ով, իսկ եվրոյի և ՌԴ ռուբլու նկատմամբ՝ արժեզրկվել, համապատասխանաբար, 0.1% և 4.2%-ով:</w:t>
      </w:r>
    </w:p>
    <w:p w14:paraId="6955C69A" w14:textId="77777777" w:rsidR="00507805" w:rsidRPr="008B63B1" w:rsidRDefault="00507805" w:rsidP="00082769">
      <w:pPr>
        <w:spacing w:after="0"/>
        <w:jc w:val="both"/>
        <w:rPr>
          <w:rFonts w:ascii="GHEA Grapalat" w:eastAsia="Times New Roman" w:hAnsi="GHEA Grapalat" w:cs="Times New Roman"/>
          <w:color w:val="404040"/>
          <w:lang w:val="hy-AM"/>
        </w:rPr>
      </w:pPr>
      <w:r w:rsidRPr="008B63B1">
        <w:rPr>
          <w:rFonts w:ascii="GHEA Grapalat" w:eastAsia="Times New Roman" w:hAnsi="GHEA Grapalat" w:cs="Times New Roman"/>
          <w:b/>
          <w:color w:val="404040"/>
          <w:lang w:val="hy-AM"/>
        </w:rPr>
        <w:t>ՀՀ արտաքին առևտրի համար նշանակալի արժույթների զամբյուղի նկատմամբ դրամի իրական արդյունավետ փոխարժեքը 2023-2025թթ. միջինում արձանագրել է  12.8% արժևորում</w:t>
      </w:r>
      <w:r w:rsidRPr="008B63B1">
        <w:rPr>
          <w:rFonts w:ascii="GHEA Grapalat" w:eastAsia="Times New Roman" w:hAnsi="GHEA Grapalat" w:cs="Times New Roman"/>
          <w:color w:val="404040"/>
          <w:lang w:val="hy-AM"/>
        </w:rPr>
        <w:t>: 2025թ. հունվարից սկսած՝ իրական արդյունավետ փոխարժեքի արժևորման կուտակային ինտենսիվությունն աստիճանաբար դանդաղել է և այս միտումը պահպանել է  մինչև տարեվերջ։</w:t>
      </w:r>
    </w:p>
    <w:p w14:paraId="1AB0E215" w14:textId="77777777" w:rsidR="00507805" w:rsidRPr="008B63B1" w:rsidRDefault="00507805" w:rsidP="00082769">
      <w:pPr>
        <w:spacing w:after="0"/>
        <w:jc w:val="both"/>
        <w:rPr>
          <w:rFonts w:ascii="GHEA Grapalat" w:eastAsia="Times New Roman" w:hAnsi="GHEA Grapalat" w:cs="Times New Roman"/>
          <w:color w:val="404040"/>
          <w:lang w:val="hy-AM"/>
        </w:rPr>
      </w:pPr>
      <w:r w:rsidRPr="008B63B1">
        <w:rPr>
          <w:rFonts w:ascii="GHEA Grapalat" w:eastAsia="Times New Roman" w:hAnsi="GHEA Grapalat" w:cs="Times New Roman"/>
          <w:b/>
          <w:color w:val="404040"/>
          <w:lang w:val="hy-AM"/>
        </w:rPr>
        <w:t>2026թ. հունվար-ապրիլին դրամը ՀՀ հիմնական գործընկեր երկրների արժույթների նկատմամբ դրսևորել է իրական արդյունավետ փոխարժեքի արժեզրկման վարքագիծ, այնուհետև սկսել արժևորվել:</w:t>
      </w:r>
      <w:r w:rsidRPr="008B63B1">
        <w:rPr>
          <w:rFonts w:ascii="GHEA Grapalat" w:eastAsia="Times New Roman" w:hAnsi="GHEA Grapalat" w:cs="Times New Roman"/>
          <w:color w:val="404040"/>
          <w:lang w:val="hy-AM"/>
        </w:rPr>
        <w:t xml:space="preserve"> Այսպես, 2026թ. հունվար-հուլիսին  ՀՀ դրամի իրական արդյունավետ փոխարժեքն արժևորվել է 1.9%-ով նախորդ տարվա նույն ժամանակահատվածի համեմատ: </w:t>
      </w:r>
      <w:bookmarkStart w:id="213" w:name="_Hlk241345416"/>
      <w:r w:rsidRPr="008B63B1">
        <w:rPr>
          <w:rFonts w:ascii="GHEA Grapalat" w:eastAsia="Times New Roman" w:hAnsi="GHEA Grapalat" w:cs="Times New Roman"/>
          <w:color w:val="404040"/>
          <w:lang w:val="hy-AM"/>
        </w:rPr>
        <w:t>Իրական արդյունավետ փոխարժեքի դինամիկան հունվար-ապրիլին բնութագրվել է արժեզրկմամբ, իսկ հունվար-մայիսից՝ վերափոխվել է արժևորման՝ հետագա ամիսներին արագացող տեմպերով։</w:t>
      </w:r>
      <w:bookmarkEnd w:id="213"/>
      <w:r w:rsidRPr="008B63B1">
        <w:rPr>
          <w:rFonts w:ascii="GHEA Grapalat" w:eastAsia="Times New Roman" w:hAnsi="GHEA Grapalat" w:cs="Times New Roman"/>
          <w:color w:val="404040"/>
          <w:lang w:val="hy-AM"/>
        </w:rPr>
        <w:t xml:space="preserve"> 2026թ. հունվար ամսից սկսել է արժեզրկվել, ապա սկսած մայիս ամսից՝ նորից սկսել է արժևորվել արագացող տեմպերով: Անվանական արդյունավետ փոխարժեքը 2026թ. հունվար-հուլիս ամիսներին նախորդ տարվա նույն ժամանակահատվածի նկատմամբ արժևորվել է 1.6%-ով:</w:t>
      </w:r>
    </w:p>
    <w:tbl>
      <w:tblPr>
        <w:tblW w:w="10160" w:type="dxa"/>
        <w:tblInd w:w="-95" w:type="dxa"/>
        <w:tblLook w:val="04A0" w:firstRow="1" w:lastRow="0" w:firstColumn="1" w:lastColumn="0" w:noHBand="0" w:noVBand="1"/>
      </w:tblPr>
      <w:tblGrid>
        <w:gridCol w:w="5211"/>
        <w:gridCol w:w="4974"/>
      </w:tblGrid>
      <w:tr w:rsidR="00507805" w:rsidRPr="003612ED" w14:paraId="37E7DC00" w14:textId="77777777" w:rsidTr="00873AE6">
        <w:trPr>
          <w:trHeight w:val="4464"/>
        </w:trPr>
        <w:tc>
          <w:tcPr>
            <w:tcW w:w="5081" w:type="dxa"/>
            <w:hideMark/>
          </w:tcPr>
          <w:p w14:paraId="0EDDF4D5" w14:textId="77777777" w:rsidR="00507805" w:rsidRPr="001D56CB" w:rsidRDefault="00507805" w:rsidP="001D56CB">
            <w:pPr>
              <w:pStyle w:val="Charts"/>
              <w:ind w:right="-22"/>
              <w:rPr>
                <w:b w:val="0"/>
                <w:bCs/>
                <w:color w:val="auto"/>
                <w:sz w:val="20"/>
                <w:szCs w:val="18"/>
              </w:rPr>
            </w:pPr>
            <w:bookmarkStart w:id="214" w:name="_Toc178595147"/>
            <w:r w:rsidRPr="001D56CB">
              <w:rPr>
                <w:b w:val="0"/>
                <w:bCs/>
                <w:color w:val="auto"/>
                <w:sz w:val="20"/>
                <w:szCs w:val="18"/>
              </w:rPr>
              <w:t>Գծապատկեր 1.31. ՀՀ դրամի անվանական փոխարժեքի դինամիկան հիմնական արժույթների նկատմամբ (աճ՝ դրամի արժևորում)</w:t>
            </w:r>
            <w:bookmarkEnd w:id="214"/>
          </w:p>
          <w:p w14:paraId="74064181" w14:textId="77777777" w:rsidR="00507805" w:rsidRPr="008B63B1" w:rsidRDefault="00507805" w:rsidP="00082769">
            <w:pPr>
              <w:jc w:val="right"/>
              <w:rPr>
                <w:rFonts w:ascii="GHEA Grapalat" w:eastAsia="Times New Roman" w:hAnsi="GHEA Grapalat" w:cs="Times New Roman"/>
                <w:i/>
                <w:color w:val="A6A6A6"/>
                <w:lang w:val="hy-AM"/>
              </w:rPr>
            </w:pPr>
            <w:r w:rsidRPr="008B63B1">
              <w:rPr>
                <w:rFonts w:ascii="GHEA Grapalat" w:eastAsia="Times New Roman" w:hAnsi="GHEA Grapalat" w:cs="Times New Roman"/>
                <w:noProof/>
                <w:color w:val="404040"/>
              </w:rPr>
              <w:drawing>
                <wp:inline distT="0" distB="0" distL="0" distR="0" wp14:anchorId="7A200C33" wp14:editId="3A81041A">
                  <wp:extent cx="3171825" cy="1895475"/>
                  <wp:effectExtent l="0" t="0" r="0" b="0"/>
                  <wp:docPr id="1545876454" name="Chart 1545876454"/>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F0BDF8F" w14:textId="77777777" w:rsidR="00507805" w:rsidRPr="008B63B1" w:rsidRDefault="00507805" w:rsidP="00082769">
            <w:pPr>
              <w:rPr>
                <w:rFonts w:ascii="GHEA Grapalat" w:eastAsia="Times New Roman" w:hAnsi="GHEA Grapalat" w:cs="Times New Roman"/>
                <w:color w:val="404040"/>
                <w:lang w:val="hy-AM"/>
              </w:rPr>
            </w:pPr>
            <w:r w:rsidRPr="008B63B1">
              <w:rPr>
                <w:rFonts w:ascii="GHEA Grapalat" w:eastAsia="Times New Roman" w:hAnsi="GHEA Grapalat" w:cs="Times New Roman"/>
                <w:i/>
                <w:color w:val="A6A6A6"/>
                <w:lang w:val="hy-AM"/>
              </w:rPr>
              <w:t>Աղբյուրը՝ ՀՀ ԿԲ, ՀՀ ՖՆ հաշվարկներ</w:t>
            </w:r>
          </w:p>
        </w:tc>
        <w:tc>
          <w:tcPr>
            <w:tcW w:w="5079" w:type="dxa"/>
            <w:hideMark/>
          </w:tcPr>
          <w:p w14:paraId="758C47CA" w14:textId="77777777" w:rsidR="00507805" w:rsidRPr="001D56CB" w:rsidRDefault="00507805" w:rsidP="00082769">
            <w:pPr>
              <w:spacing w:line="240" w:lineRule="auto"/>
              <w:jc w:val="both"/>
              <w:rPr>
                <w:rFonts w:ascii="GHEA Grapalat" w:hAnsi="GHEA Grapalat"/>
                <w:bCs/>
                <w:color w:val="auto"/>
                <w:sz w:val="20"/>
                <w:szCs w:val="18"/>
                <w:lang w:val="hy-AM"/>
              </w:rPr>
            </w:pPr>
            <w:bookmarkStart w:id="215" w:name="_Toc178595148"/>
            <w:r w:rsidRPr="001D56CB">
              <w:rPr>
                <w:rFonts w:ascii="GHEA Grapalat" w:hAnsi="GHEA Grapalat"/>
                <w:bCs/>
                <w:noProof/>
                <w:color w:val="auto"/>
                <w:sz w:val="20"/>
                <w:szCs w:val="18"/>
              </w:rPr>
              <w:drawing>
                <wp:anchor distT="0" distB="0" distL="114300" distR="114300" simplePos="0" relativeHeight="251730944" behindDoc="0" locked="0" layoutInCell="1" allowOverlap="1" wp14:anchorId="028731CA" wp14:editId="178DCBC8">
                  <wp:simplePos x="0" y="0"/>
                  <wp:positionH relativeFrom="column">
                    <wp:posOffset>-53975</wp:posOffset>
                  </wp:positionH>
                  <wp:positionV relativeFrom="paragraph">
                    <wp:posOffset>640080</wp:posOffset>
                  </wp:positionV>
                  <wp:extent cx="3021330" cy="1876425"/>
                  <wp:effectExtent l="0" t="0" r="0" b="0"/>
                  <wp:wrapTopAndBottom/>
                  <wp:docPr id="1545876455" name="Chart 1545876455"/>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14:sizeRelH relativeFrom="margin">
                    <wp14:pctWidth>0</wp14:pctWidth>
                  </wp14:sizeRelH>
                  <wp14:sizeRelV relativeFrom="margin">
                    <wp14:pctHeight>0</wp14:pctHeight>
                  </wp14:sizeRelV>
                </wp:anchor>
              </w:drawing>
            </w:r>
            <w:r w:rsidRPr="001D56CB">
              <w:rPr>
                <w:rFonts w:ascii="GHEA Grapalat" w:hAnsi="GHEA Grapalat"/>
                <w:bCs/>
                <w:color w:val="auto"/>
                <w:sz w:val="20"/>
                <w:szCs w:val="18"/>
                <w:lang w:val="hy-AM"/>
              </w:rPr>
              <w:t>Գծապատկեր 1.32. ՀՀ իրական և անվանական արդյունավետ փոխարժեքների կուտակային տ/տ աճերի դինամիկան (աճ՝ արժևորում)</w:t>
            </w:r>
            <w:bookmarkEnd w:id="215"/>
          </w:p>
          <w:p w14:paraId="21AAFE3B" w14:textId="77777777" w:rsidR="00507805" w:rsidRPr="008B63B1" w:rsidRDefault="00507805" w:rsidP="00082769">
            <w:pPr>
              <w:rPr>
                <w:rFonts w:ascii="GHEA Grapalat" w:eastAsia="Times New Roman" w:hAnsi="GHEA Grapalat" w:cs="Times New Roman"/>
                <w:i/>
                <w:color w:val="A6A6A6"/>
                <w:lang w:val="hy-AM"/>
              </w:rPr>
            </w:pPr>
            <w:r w:rsidRPr="008B63B1">
              <w:rPr>
                <w:rFonts w:ascii="GHEA Grapalat" w:eastAsia="Times New Roman" w:hAnsi="GHEA Grapalat" w:cs="Times New Roman"/>
                <w:i/>
                <w:color w:val="A6A6A6"/>
                <w:lang w:val="hy-AM"/>
              </w:rPr>
              <w:t>Աղբյուրը՝ ՀՀ ԿԲ, ՀՀ ՖՆ հաշվարկներ</w:t>
            </w:r>
          </w:p>
        </w:tc>
      </w:tr>
    </w:tbl>
    <w:p w14:paraId="54EFB92D" w14:textId="77777777" w:rsidR="00507805" w:rsidRPr="008B63B1" w:rsidRDefault="00507805" w:rsidP="00082769">
      <w:pPr>
        <w:spacing w:before="360" w:after="0"/>
        <w:rPr>
          <w:rFonts w:ascii="GHEA Grapalat" w:eastAsia="Times New Roman" w:hAnsi="GHEA Grapalat" w:cs="Times New Roman"/>
          <w:color w:val="A6A6A6"/>
          <w:szCs w:val="20"/>
          <w:lang w:val="hy-AM"/>
        </w:rPr>
      </w:pPr>
    </w:p>
    <w:p w14:paraId="0B9FD0A3" w14:textId="77777777" w:rsidR="00507805" w:rsidRPr="008B63B1" w:rsidRDefault="00507805" w:rsidP="00082769">
      <w:pP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1.3.5. ԳՆԱՃ ԵՎ ԴՐԱՄԱՎԱՐԿԱՅԻՆ ՔԱՂԱՔԱԿԱՆՈՒԹՅՈՒՆ</w:t>
      </w:r>
      <w:bookmarkEnd w:id="209"/>
      <w:r w:rsidRPr="008B63B1">
        <w:rPr>
          <w:rFonts w:ascii="GHEA Grapalat" w:eastAsia="Times New Roman" w:hAnsi="GHEA Grapalat" w:cs="Times New Roman"/>
          <w:color w:val="A6A6A6"/>
          <w:szCs w:val="20"/>
          <w:lang w:val="hy-AM"/>
        </w:rPr>
        <w:t xml:space="preserve"> </w:t>
      </w:r>
    </w:p>
    <w:p w14:paraId="0D13B62A" w14:textId="77777777" w:rsidR="00507805" w:rsidRPr="008B63B1" w:rsidRDefault="00507805" w:rsidP="00082769">
      <w:pPr>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 xml:space="preserve">2023թ.-ի ընթացքում՝ պայմանավորված նախորդ տարում գնաճային գործոնների հիմնական մասի չեզոքացմամբ և ՀՀ դրամի արժևորմամբ, գնաճի տեմպերը կտրուկ դանդաղել են՝ տարվա կեսից ձևավորելով գնանկումային միջավայր, որը շարունակվել է 2024թ. առաջին ամիսներին և աստիճանաբար փոխակերպվել թույլ գնաճային զարգացումների: 2025թ. գնաճը շարունակաբար արագացել է և տարեվերջին հաստատվել ԿԲ թիրախային մակարդակի շուրջ: Այս պայմաններում 2023-2025թթ. ընթացքում ԿԲ-ն նվազեցրել է քաղաքականության տոկոսադրույքը 4.25 տոկոսային կետով՝ ի վերջո սահմանելով այն 6.5% մակարդակում: </w:t>
      </w:r>
      <w:r w:rsidRPr="008B63B1">
        <w:rPr>
          <w:rFonts w:ascii="GHEA Grapalat" w:eastAsia="Times New Roman" w:hAnsi="GHEA Grapalat" w:cs="Times New Roman"/>
          <w:color w:val="404040"/>
          <w:szCs w:val="20"/>
          <w:lang w:val="hy-AM"/>
        </w:rPr>
        <w:t>2023թ.-ին, պայմանավորված արտաքին հատվածից և աշխատաշուկայից փոխանցվող գնաճային ճնշումների թուլացմամբ, իսկ տարեվերջին՝ գնանկումային ազդեցություններով, գնաճային սպասումների նվազմամբ, ինչպես նաև իրականացված հետևողական զսպող դրամավարկային քաղաքականության ազդեցությամբ գնաճի տեմպերը զգալիորեն դանդաղել են, ապա՝ փոխակերպվել գնանկումային միտումների, ինչի արդյունքում 12-ամսյա գնաճը դեկտեմբերին կազմել է -0.6%, իսկ միջին գնաճը` 2.0%:</w:t>
      </w:r>
      <w:r w:rsidRPr="008B63B1">
        <w:rPr>
          <w:rFonts w:ascii="GHEA Grapalat" w:eastAsia="Times New Roman" w:hAnsi="GHEA Grapalat" w:cs="Times New Roman"/>
          <w:b/>
          <w:color w:val="404040"/>
          <w:szCs w:val="20"/>
          <w:lang w:val="hy-AM"/>
        </w:rPr>
        <w:t xml:space="preserve"> </w:t>
      </w:r>
      <w:r w:rsidRPr="008B63B1">
        <w:rPr>
          <w:rFonts w:ascii="GHEA Grapalat" w:eastAsia="Times New Roman" w:hAnsi="GHEA Grapalat" w:cs="Times New Roman"/>
          <w:color w:val="404040"/>
          <w:szCs w:val="20"/>
          <w:lang w:val="hy-AM"/>
        </w:rPr>
        <w:t xml:space="preserve">2024թ.-ին գնանկումային միջավայրը շարունակվել է հիմնականում համաշխարհային տնտեսությունից փոխանցվող գնաճային ճնշումների զգալի թուլացման, փոխարժեքի արժևորման և զսպող դրամավարկային քաղաքականության լագային ազդեցությամբ: Այնուամենայնիվ, գնանկումային ճնշումներն աստիճանաբար մարել են, և, հատկապես տարվա երկրորդ կեսին փոխարինվել թույլ գնաճային ազդեցություններով։ Արդյունքում, տարեվերջին 12-ամսյա գնաճը կազմել է 1.5%, իսկ միջին գնաճը հունվար-դեկտեմբեր ամիսներին՝ 0.3%: 2025թ.-ին, գնաճն արագացել է՝ հիմնականում արտացոլելով բարձր ներքին պահանջարկն ու համաշխարհային տնտեսությունից փոխանցվող գնաճային ճնշումները: </w:t>
      </w:r>
    </w:p>
    <w:p w14:paraId="48401E88"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color w:val="404040"/>
          <w:szCs w:val="20"/>
          <w:lang w:val="hy-AM"/>
        </w:rPr>
        <w:t xml:space="preserve">2026թ. հունվար-օգոստոս ամիսների ընթացքում գնաճն աստիճանաբար արագացել է և ձևավորվել թիրախից բարձր մակարդակում: Բնականոն գնաճը ևս արագացել է: Այս պայմաններում ԿԲ-ն դադարեցրել է դրամավարկային պայմանների մեղմացումը և վերաֆինանսավորման տոկոսադրույքը պահել 6.5% մակարդակում։ Սեպտեմբերի 15-ի որոշմամբ ԿԲ-ն այն բարձրացրել է 0.25 տոկոսային կետով՝ մինչև 6.75%։ </w:t>
      </w:r>
      <w:r w:rsidRPr="008B63B1">
        <w:rPr>
          <w:rFonts w:ascii="GHEA Grapalat" w:eastAsia="Times New Roman" w:hAnsi="GHEA Grapalat" w:cs="Times New Roman"/>
          <w:color w:val="404040"/>
          <w:szCs w:val="20"/>
          <w:lang w:val="hy-AM"/>
        </w:rPr>
        <w:t>Գնաճի արագացումը պայմանավորված է եղել համաշխարհային տնտեսությունից փոխանցվող գնաճային ազդեցություններով՝ հիմնականում պայմանավորված համաշխարհային պարենային շուկաներում ձևավորված գնաճային միտումներով, էներգակիրների գների աճով, Մերձավոր Արևելքում լարվածությամբ և բարձր ներքին պահանջարկով: 12-ամսյա գնաճն օգոստոսին կազմել է 4.4%, միջին գնաճը՝ 4.5%, իսկ 12-ամսյա բնականոն գնաճը</w:t>
      </w:r>
      <w:r w:rsidRPr="008B63B1">
        <w:rPr>
          <w:rFonts w:ascii="GHEA Grapalat" w:eastAsia="GHEA Grapalat" w:hAnsi="GHEA Grapalat" w:cs="GHEA Grapalat"/>
          <w:color w:val="404040"/>
          <w:szCs w:val="20"/>
          <w:lang w:val="hy-AM"/>
        </w:rPr>
        <w:t>, որի կազմում չեն ներառվում սեզոնային պարենային ապրանքների գներն ու կարգավորվող ծառայությունների սակագները, կազմել է</w:t>
      </w:r>
      <w:r w:rsidRPr="008B63B1">
        <w:rPr>
          <w:rFonts w:ascii="GHEA Grapalat" w:eastAsia="Times New Roman" w:hAnsi="GHEA Grapalat" w:cs="Times New Roman"/>
          <w:color w:val="404040"/>
          <w:szCs w:val="20"/>
          <w:lang w:val="hy-AM"/>
        </w:rPr>
        <w:t xml:space="preserve"> 4.8%:</w:t>
      </w:r>
      <w:bookmarkEnd w:id="202"/>
      <w:bookmarkEnd w:id="203"/>
      <w:bookmarkEnd w:id="204"/>
    </w:p>
    <w:p w14:paraId="5EE026DD" w14:textId="77777777" w:rsidR="00507805" w:rsidRPr="001D56CB" w:rsidRDefault="00507805" w:rsidP="00082769">
      <w:pPr>
        <w:spacing w:before="360" w:line="240" w:lineRule="auto"/>
        <w:jc w:val="both"/>
        <w:rPr>
          <w:rFonts w:ascii="GHEA Grapalat" w:hAnsi="GHEA Grapalat"/>
          <w:bCs/>
          <w:color w:val="auto"/>
          <w:sz w:val="20"/>
          <w:szCs w:val="18"/>
          <w:lang w:val="hy-AM"/>
        </w:rPr>
      </w:pPr>
      <w:bookmarkStart w:id="216" w:name="_Toc178595149"/>
      <w:r w:rsidRPr="001D56CB">
        <w:rPr>
          <w:rFonts w:ascii="GHEA Grapalat" w:hAnsi="GHEA Grapalat"/>
          <w:bCs/>
          <w:noProof/>
          <w:color w:val="auto"/>
          <w:sz w:val="20"/>
          <w:szCs w:val="18"/>
        </w:rPr>
        <w:drawing>
          <wp:anchor distT="0" distB="0" distL="114300" distR="114300" simplePos="0" relativeHeight="251731968" behindDoc="0" locked="0" layoutInCell="1" allowOverlap="1" wp14:anchorId="35CF7061" wp14:editId="721716F9">
            <wp:simplePos x="0" y="0"/>
            <wp:positionH relativeFrom="column">
              <wp:posOffset>114300</wp:posOffset>
            </wp:positionH>
            <wp:positionV relativeFrom="paragraph">
              <wp:posOffset>617220</wp:posOffset>
            </wp:positionV>
            <wp:extent cx="6126480" cy="2077720"/>
            <wp:effectExtent l="0" t="0" r="7620" b="17780"/>
            <wp:wrapTopAndBottom/>
            <wp:docPr id="34" name="Chart 3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14:sizeRelV relativeFrom="margin">
              <wp14:pctHeight>0</wp14:pctHeight>
            </wp14:sizeRelV>
          </wp:anchor>
        </w:drawing>
      </w:r>
      <w:r w:rsidRPr="001D56CB">
        <w:rPr>
          <w:rFonts w:ascii="GHEA Grapalat" w:hAnsi="GHEA Grapalat"/>
          <w:bCs/>
          <w:color w:val="auto"/>
          <w:sz w:val="20"/>
          <w:szCs w:val="18"/>
          <w:lang w:val="hy-AM"/>
        </w:rPr>
        <w:t>Գծապատկեր 1.33. Գնաճի տեմպերը և ԿԲ տոկոսադրույքը ըստ ամիսների, 2023-2026թ. օգոստոս, %</w:t>
      </w:r>
      <w:bookmarkEnd w:id="216"/>
    </w:p>
    <w:p w14:paraId="583FD5DC" w14:textId="77777777" w:rsidR="00507805" w:rsidRPr="008B63B1" w:rsidRDefault="00507805" w:rsidP="00082769">
      <w:pPr>
        <w:ind w:right="116"/>
        <w:jc w:val="right"/>
        <w:rPr>
          <w:rFonts w:ascii="GHEA Grapalat" w:eastAsia="Times New Roman" w:hAnsi="GHEA Grapalat" w:cs="Times New Roman"/>
          <w:i/>
          <w:color w:val="A6A6A6"/>
          <w:sz w:val="18"/>
          <w:lang w:val="hy-AM"/>
        </w:rPr>
      </w:pPr>
      <w:r w:rsidRPr="008B63B1">
        <w:rPr>
          <w:rFonts w:ascii="GHEA Grapalat" w:eastAsia="Times New Roman" w:hAnsi="GHEA Grapalat" w:cs="Times New Roman"/>
          <w:i/>
          <w:color w:val="A6A6A6"/>
          <w:sz w:val="18"/>
          <w:lang w:val="hy-AM"/>
        </w:rPr>
        <w:t>Աղբյուրը՝ ՀՀ ԿԲ</w:t>
      </w:r>
    </w:p>
    <w:p w14:paraId="23FC3024"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color w:val="404040"/>
          <w:szCs w:val="20"/>
          <w:lang w:val="hy-AM"/>
        </w:rPr>
        <w:t xml:space="preserve">Դրամավարկային քաղաքականության փոխանցումային մեխանիզմը համեմատաբար արդյունավետ է գործել պետական պարտատոմսերի շուկայում, մինչդեռ վարկերի և ավանդների պարագայում դրա ազդեցությունը եղել է սահմանափակ: </w:t>
      </w:r>
      <w:r w:rsidRPr="008B63B1">
        <w:rPr>
          <w:rFonts w:ascii="GHEA Grapalat" w:eastAsia="Times New Roman" w:hAnsi="GHEA Grapalat" w:cs="Times New Roman"/>
          <w:color w:val="404040"/>
          <w:szCs w:val="20"/>
          <w:lang w:val="hy-AM"/>
        </w:rPr>
        <w:t xml:space="preserve">Ֆինանսական շուկաներում վարկերի և ավանդների տոկոսադրույքները ճշգրտվել են անհամաչափ կերպով՝ համեմատած միջբանկային ռեպոյի և կարճաժամկետ պետական պարտատոմսերի շուկաների հետ, որոնք սովորաբար առավել զգայուն են դրամավարկային քաղաքականության որոշումների նկատմամբ։ </w:t>
      </w:r>
    </w:p>
    <w:p w14:paraId="1CCF990A" w14:textId="79DC13EC"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2023-2025 թվականների ընթացքում դրամավարկային քաղաքականության տոկոսադրույքի շարունակական նվազումը հանգեցրել է պետական պարտատոմսերի տոկոսադրույքների նվազման՝ եկամտաբերության կորի ամբողջ երկայնքով: Ավանդների տոկոսադրույքները</w:t>
      </w:r>
      <w:r w:rsidR="00177C18">
        <w:rPr>
          <w:rFonts w:ascii="GHEA Grapalat" w:eastAsia="Times New Roman" w:hAnsi="GHEA Grapalat" w:cs="Times New Roman"/>
          <w:color w:val="404040"/>
          <w:szCs w:val="20"/>
          <w:lang w:val="hy-AM"/>
        </w:rPr>
        <w:t>,</w:t>
      </w:r>
      <w:r w:rsidRPr="008B63B1">
        <w:rPr>
          <w:rFonts w:ascii="GHEA Grapalat" w:eastAsia="Times New Roman" w:hAnsi="GHEA Grapalat" w:cs="Times New Roman"/>
          <w:color w:val="404040"/>
          <w:szCs w:val="20"/>
          <w:lang w:val="hy-AM"/>
        </w:rPr>
        <w:t xml:space="preserve"> ընդհանուր առմամբ</w:t>
      </w:r>
      <w:r w:rsidR="00177C18">
        <w:rPr>
          <w:rFonts w:ascii="GHEA Grapalat" w:eastAsia="Times New Roman" w:hAnsi="GHEA Grapalat" w:cs="Times New Roman"/>
          <w:color w:val="404040"/>
          <w:szCs w:val="20"/>
          <w:lang w:val="hy-AM"/>
        </w:rPr>
        <w:t>,</w:t>
      </w:r>
      <w:r w:rsidRPr="008B63B1">
        <w:rPr>
          <w:rFonts w:ascii="GHEA Grapalat" w:eastAsia="Times New Roman" w:hAnsi="GHEA Grapalat" w:cs="Times New Roman"/>
          <w:color w:val="404040"/>
          <w:szCs w:val="20"/>
          <w:lang w:val="hy-AM"/>
        </w:rPr>
        <w:t xml:space="preserve"> շարունակել են գտնվել իրենց միջին մակարդակներում, իսկ վարկերի տոկոսադրույքները որոշակի բարձրացել են, ինչը մեծապես պայմանավորված է մինչև մեկ տարի ժամկետով իրավաբանական անձանց վարկերի տոկոսադրույքների աճով: </w:t>
      </w:r>
    </w:p>
    <w:p w14:paraId="632EE4CE" w14:textId="77777777" w:rsidR="00507805" w:rsidRPr="008B63B1" w:rsidRDefault="00507805" w:rsidP="00082769">
      <w:pPr>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color w:val="404040"/>
          <w:szCs w:val="20"/>
          <w:lang w:val="hy-AM"/>
        </w:rPr>
        <w:t>2026 թվականի հունվար-օգոստոս ամիսներին պետական պարտատոմսերի տոկոսադրույքները եկամտաբերության կորի ամբողջ երկայնքով շարունակել են նվազել՝ հիմնականում պայմանավորված նախորդ տարվա ընթացքում իրականացված դրամավարկային պայմանների աստիճանական մեղմացմամբ: Միաժամանակ, ավանդների տոկոսադրույքները շարունակում են պահպանվել իրենց միջին մակարդակներում, իսկ վարկերի տոկոսադրույքնե</w:t>
      </w:r>
      <w:r w:rsidRPr="008B63B1">
        <w:rPr>
          <w:rFonts w:ascii="GHEA Grapalat" w:eastAsia="GHEA Grapalat" w:hAnsi="GHEA Grapalat" w:cs="GHEA Grapalat"/>
          <w:iCs/>
          <w:color w:val="000000"/>
          <w:lang w:val="hy-AM"/>
        </w:rPr>
        <w:t>րը որոշակի նվազել են</w:t>
      </w:r>
      <w:r w:rsidRPr="008B63B1">
        <w:rPr>
          <w:rFonts w:ascii="GHEA Grapalat" w:eastAsia="Times New Roman" w:hAnsi="GHEA Grapalat" w:cs="Times New Roman"/>
          <w:color w:val="404040"/>
          <w:szCs w:val="20"/>
          <w:lang w:val="hy-AM"/>
        </w:rPr>
        <w:t xml:space="preserve">: Հիփոթեքային և սպառողական վարկերի տոկոսադրույքները շարունակում են պահպանվել կայուն մակարդակներում: </w:t>
      </w:r>
    </w:p>
    <w:p w14:paraId="190C9A51" w14:textId="77777777" w:rsidR="00507805" w:rsidRPr="001D56CB" w:rsidRDefault="00507805" w:rsidP="001D56CB">
      <w:pPr>
        <w:pStyle w:val="Charts"/>
        <w:ind w:right="-22"/>
        <w:rPr>
          <w:b w:val="0"/>
          <w:bCs/>
          <w:color w:val="auto"/>
          <w:sz w:val="20"/>
          <w:szCs w:val="18"/>
        </w:rPr>
      </w:pPr>
      <w:bookmarkStart w:id="217" w:name="_Toc178595150"/>
      <w:r w:rsidRPr="001D56CB">
        <w:rPr>
          <w:b w:val="0"/>
          <w:bCs/>
          <w:color w:val="auto"/>
          <w:sz w:val="20"/>
          <w:szCs w:val="18"/>
        </w:rPr>
        <w:t>Գծապատկեր 1.34. Գնաճի նպաստումները խոշոր ապրանքախմբերով, ըստ եռամսյակների, տոկոսային կետ</w:t>
      </w:r>
      <w:bookmarkEnd w:id="217"/>
    </w:p>
    <w:p w14:paraId="1388C2FC" w14:textId="77777777" w:rsidR="00507805" w:rsidRPr="008B63B1" w:rsidRDefault="00507805" w:rsidP="00082769">
      <w:pPr>
        <w:jc w:val="both"/>
        <w:rPr>
          <w:rFonts w:ascii="GHEA Grapalat" w:eastAsia="Times New Roman" w:hAnsi="GHEA Grapalat" w:cs="Times New Roman"/>
          <w:color w:val="404040"/>
        </w:rPr>
      </w:pPr>
      <w:r w:rsidRPr="008B63B1">
        <w:rPr>
          <w:rFonts w:ascii="GHEA Grapalat" w:eastAsia="Times New Roman" w:hAnsi="GHEA Grapalat" w:cs="Times New Roman"/>
          <w:noProof/>
          <w:color w:val="404040"/>
        </w:rPr>
        <w:drawing>
          <wp:inline distT="0" distB="0" distL="0" distR="0" wp14:anchorId="7AD93136" wp14:editId="7941CE0A">
            <wp:extent cx="3070860" cy="2286000"/>
            <wp:effectExtent l="0" t="0" r="15240" b="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r w:rsidRPr="008B63B1">
        <w:rPr>
          <w:rFonts w:ascii="Calibri" w:eastAsia="Times New Roman" w:hAnsi="Calibri" w:cs="Calibri"/>
          <w:noProof/>
          <w:color w:val="404040"/>
          <w:sz w:val="16"/>
          <w:szCs w:val="16"/>
        </w:rPr>
        <w:drawing>
          <wp:inline distT="0" distB="0" distL="0" distR="0" wp14:anchorId="6C8A4559" wp14:editId="0F9360F2">
            <wp:extent cx="3070800" cy="2286000"/>
            <wp:effectExtent l="0" t="0" r="15875" b="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r w:rsidRPr="008B63B1">
        <w:rPr>
          <w:rFonts w:ascii="GHEA Grapalat" w:eastAsia="Times New Roman" w:hAnsi="GHEA Grapalat" w:cs="Times New Roman"/>
          <w:noProof/>
          <w:color w:val="404040"/>
        </w:rPr>
        <w:drawing>
          <wp:inline distT="0" distB="0" distL="0" distR="0" wp14:anchorId="23FACFE6" wp14:editId="680675EE">
            <wp:extent cx="6057900" cy="399011"/>
            <wp:effectExtent l="0" t="0" r="0" b="127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0AD01D0" w14:textId="77777777" w:rsidR="00507805" w:rsidRPr="008B63B1" w:rsidRDefault="00507805" w:rsidP="00082769">
      <w:pPr>
        <w:jc w:val="right"/>
        <w:rPr>
          <w:rFonts w:ascii="GHEA Grapalat" w:eastAsia="Times New Roman" w:hAnsi="GHEA Grapalat" w:cs="Times New Roman"/>
          <w:i/>
          <w:color w:val="A6A6A6"/>
          <w:sz w:val="18"/>
        </w:rPr>
      </w:pPr>
      <w:r w:rsidRPr="008B63B1">
        <w:rPr>
          <w:rFonts w:ascii="GHEA Grapalat" w:eastAsia="Times New Roman" w:hAnsi="GHEA Grapalat" w:cs="Times New Roman"/>
          <w:i/>
          <w:color w:val="A6A6A6"/>
          <w:sz w:val="18"/>
        </w:rPr>
        <w:t>Աղբյուրը՝ ՀՀ ՎԿ և ՀՀ ՖՆ հաշվարկներ</w:t>
      </w:r>
    </w:p>
    <w:p w14:paraId="082B27E3" w14:textId="77777777" w:rsidR="00507805" w:rsidRPr="008B63B1" w:rsidRDefault="00507805" w:rsidP="00082769">
      <w:pPr>
        <w:pBdr>
          <w:bottom w:val="single" w:sz="8" w:space="1" w:color="E1E1E3"/>
        </w:pBd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Կանխատեսում</w:t>
      </w:r>
    </w:p>
    <w:p w14:paraId="7AA5E017"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2026թ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-ին ինչպես միջին, այնպես էլ 12-ամսյա գնաճը բարձր կլինեն նպատակային ցուցանիշից և միջնաժամկետում կկայունանան 3% թիրախի շուրջ: Մշտադիտարկելով տնտեսության զարգացման սցենարները, ԿԲ-ն պատրաստ է ձեռնարկել համարժեք գործողություններ՝ միջնաժամկետ հորիզոնում գնաճի թիրախային մակարդակի և գների կայունության նպատակի ապահովման համար</w:t>
      </w:r>
      <w:r w:rsidRPr="008B63B1">
        <w:rPr>
          <w:rFonts w:ascii="GHEA Grapalat" w:eastAsia="Times New Roman" w:hAnsi="GHEA Grapalat" w:cs="Times New Roman"/>
          <w:color w:val="404040"/>
          <w:szCs w:val="20"/>
          <w:vertAlign w:val="superscript"/>
        </w:rPr>
        <w:footnoteReference w:id="17"/>
      </w:r>
      <w:r w:rsidRPr="008B63B1">
        <w:rPr>
          <w:rFonts w:ascii="GHEA Grapalat" w:eastAsia="Times New Roman" w:hAnsi="GHEA Grapalat" w:cs="Times New Roman"/>
          <w:color w:val="404040"/>
          <w:szCs w:val="20"/>
          <w:lang w:val="hy-AM"/>
        </w:rPr>
        <w:t>:</w:t>
      </w:r>
    </w:p>
    <w:p w14:paraId="4892D9A3" w14:textId="77777777" w:rsidR="00507805" w:rsidRPr="001D56CB" w:rsidRDefault="00507805" w:rsidP="00082769">
      <w:pPr>
        <w:spacing w:before="360" w:line="240" w:lineRule="auto"/>
        <w:jc w:val="both"/>
        <w:rPr>
          <w:rFonts w:ascii="GHEA Grapalat" w:hAnsi="GHEA Grapalat"/>
          <w:bCs/>
          <w:color w:val="auto"/>
          <w:sz w:val="20"/>
          <w:szCs w:val="18"/>
          <w:lang w:val="hy-AM"/>
        </w:rPr>
      </w:pPr>
      <w:bookmarkStart w:id="218" w:name="_Toc178595151"/>
      <w:r w:rsidRPr="001D56CB">
        <w:rPr>
          <w:rFonts w:ascii="GHEA Grapalat" w:hAnsi="GHEA Grapalat"/>
          <w:bCs/>
          <w:noProof/>
          <w:color w:val="auto"/>
          <w:sz w:val="20"/>
          <w:szCs w:val="18"/>
        </w:rPr>
        <w:drawing>
          <wp:anchor distT="0" distB="0" distL="114300" distR="114300" simplePos="0" relativeHeight="251734016" behindDoc="0" locked="0" layoutInCell="1" allowOverlap="1" wp14:anchorId="5AE72152" wp14:editId="2A897250">
            <wp:simplePos x="0" y="0"/>
            <wp:positionH relativeFrom="column">
              <wp:posOffset>3070225</wp:posOffset>
            </wp:positionH>
            <wp:positionV relativeFrom="paragraph">
              <wp:posOffset>589915</wp:posOffset>
            </wp:positionV>
            <wp:extent cx="3070800" cy="2286000"/>
            <wp:effectExtent l="0" t="0" r="15875" b="0"/>
            <wp:wrapTopAndBottom/>
            <wp:docPr id="1545876456" name="Chart 1545876456"/>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margin">
              <wp14:pctWidth>0</wp14:pctWidth>
            </wp14:sizeRelH>
            <wp14:sizeRelV relativeFrom="margin">
              <wp14:pctHeight>0</wp14:pctHeight>
            </wp14:sizeRelV>
          </wp:anchor>
        </w:drawing>
      </w:r>
      <w:r w:rsidRPr="001D56CB">
        <w:rPr>
          <w:rFonts w:ascii="GHEA Grapalat" w:hAnsi="GHEA Grapalat"/>
          <w:bCs/>
          <w:noProof/>
          <w:color w:val="auto"/>
          <w:sz w:val="20"/>
          <w:szCs w:val="18"/>
        </w:rPr>
        <w:drawing>
          <wp:anchor distT="0" distB="0" distL="114300" distR="114300" simplePos="0" relativeHeight="251732992" behindDoc="0" locked="0" layoutInCell="1" allowOverlap="1" wp14:anchorId="54734270" wp14:editId="64C8AA03">
            <wp:simplePos x="0" y="0"/>
            <wp:positionH relativeFrom="column">
              <wp:posOffset>-66675</wp:posOffset>
            </wp:positionH>
            <wp:positionV relativeFrom="paragraph">
              <wp:posOffset>589915</wp:posOffset>
            </wp:positionV>
            <wp:extent cx="3070800" cy="2286000"/>
            <wp:effectExtent l="0" t="0" r="15875" b="0"/>
            <wp:wrapTopAndBottom/>
            <wp:docPr id="1545876457" name="Chart 154587645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14:sizeRelH relativeFrom="margin">
              <wp14:pctWidth>0</wp14:pctWidth>
            </wp14:sizeRelH>
            <wp14:sizeRelV relativeFrom="margin">
              <wp14:pctHeight>0</wp14:pctHeight>
            </wp14:sizeRelV>
          </wp:anchor>
        </w:drawing>
      </w:r>
      <w:r w:rsidRPr="001D56CB">
        <w:rPr>
          <w:rFonts w:ascii="GHEA Grapalat" w:hAnsi="GHEA Grapalat"/>
          <w:bCs/>
          <w:color w:val="auto"/>
          <w:sz w:val="20"/>
          <w:szCs w:val="18"/>
          <w:lang w:val="hy-AM"/>
        </w:rPr>
        <w:t>Գծապատկեր 1.35. Դրամավարկային քաղաքականության ազդեցությունները ֆինանսական շուկայում և գնաճի կանխատեսումները</w:t>
      </w:r>
      <w:bookmarkEnd w:id="218"/>
    </w:p>
    <w:p w14:paraId="44B42D70" w14:textId="77777777" w:rsidR="00507805" w:rsidRPr="008B63B1" w:rsidRDefault="00507805" w:rsidP="00082769">
      <w:pPr>
        <w:jc w:val="both"/>
        <w:rPr>
          <w:rFonts w:ascii="GHEA Grapalat" w:eastAsia="Times New Roman" w:hAnsi="GHEA Grapalat" w:cs="Times New Roman"/>
          <w:color w:val="404040"/>
          <w:lang w:val="hy-AM"/>
        </w:rPr>
      </w:pPr>
    </w:p>
    <w:p w14:paraId="4F3FF8C1" w14:textId="77777777" w:rsidR="00507805" w:rsidRPr="008B63B1" w:rsidRDefault="00507805" w:rsidP="00082769">
      <w:pPr>
        <w:pBdr>
          <w:bottom w:val="single" w:sz="6" w:space="1" w:color="C3C3C7"/>
        </w:pBdr>
        <w:spacing w:before="480" w:after="360"/>
        <w:outlineLvl w:val="1"/>
        <w:rPr>
          <w:rFonts w:ascii="GHEA Grapalat" w:eastAsia="Times New Roman" w:hAnsi="GHEA Grapalat" w:cs="Times New Roman"/>
          <w:color w:val="A5A6AC"/>
          <w:sz w:val="28"/>
          <w:szCs w:val="20"/>
          <w:lang w:val="hy-AM"/>
        </w:rPr>
      </w:pPr>
      <w:bookmarkStart w:id="219" w:name="_Toc178356565"/>
      <w:bookmarkStart w:id="220" w:name="_Toc178612089"/>
      <w:bookmarkStart w:id="221" w:name="_Toc183801073"/>
      <w:bookmarkStart w:id="222" w:name="_Toc210126084"/>
      <w:bookmarkStart w:id="223" w:name="_Toc241687664"/>
      <w:r w:rsidRPr="008B63B1">
        <w:rPr>
          <w:rFonts w:ascii="GHEA Grapalat" w:eastAsia="Times New Roman" w:hAnsi="GHEA Grapalat" w:cs="Times New Roman"/>
          <w:color w:val="A5A6AC"/>
          <w:sz w:val="28"/>
          <w:szCs w:val="20"/>
          <w:lang w:val="hy-AM"/>
        </w:rPr>
        <w:t>1.4. ԿԱՆԽԱՏԵՍՈՒՄՆԵՐԻ ՀԻՄՔՈՒՄ ԸՆԿԱԾ ԵՆԹԱԴՐՈՒԹՅՈՒՆՆԵՐԸ</w:t>
      </w:r>
      <w:bookmarkEnd w:id="172"/>
      <w:bookmarkEnd w:id="173"/>
      <w:bookmarkEnd w:id="174"/>
      <w:bookmarkEnd w:id="175"/>
      <w:bookmarkEnd w:id="176"/>
      <w:bookmarkEnd w:id="177"/>
      <w:bookmarkEnd w:id="178"/>
      <w:bookmarkEnd w:id="179"/>
      <w:bookmarkEnd w:id="219"/>
      <w:bookmarkEnd w:id="220"/>
      <w:bookmarkEnd w:id="221"/>
      <w:bookmarkEnd w:id="222"/>
      <w:bookmarkEnd w:id="223"/>
    </w:p>
    <w:p w14:paraId="6436E07F" w14:textId="77777777" w:rsidR="00507805" w:rsidRPr="008B63B1" w:rsidRDefault="00507805" w:rsidP="00082769">
      <w:pPr>
        <w:spacing w:line="264" w:lineRule="auto"/>
        <w:jc w:val="both"/>
        <w:rPr>
          <w:rFonts w:ascii="GHEA Grapalat" w:eastAsia="Times New Roman" w:hAnsi="GHEA Grapalat" w:cs="Times New Roman"/>
          <w:color w:val="404040"/>
          <w:szCs w:val="20"/>
          <w:lang w:val="hy-AM"/>
        </w:rPr>
      </w:pPr>
      <w:bookmarkStart w:id="224" w:name="_Toc146911026"/>
      <w:bookmarkStart w:id="225" w:name="_Toc115686020"/>
      <w:bookmarkStart w:id="226" w:name="_Toc83972834"/>
      <w:bookmarkStart w:id="227" w:name="_Toc83663898"/>
      <w:bookmarkStart w:id="228" w:name="_Toc57559417"/>
      <w:bookmarkStart w:id="229" w:name="_Toc52452090"/>
      <w:bookmarkStart w:id="230" w:name="_Toc51947417"/>
      <w:bookmarkStart w:id="231" w:name="_Toc51360534"/>
      <w:bookmarkStart w:id="232" w:name="_Toc46154348"/>
      <w:r w:rsidRPr="008B63B1">
        <w:rPr>
          <w:rFonts w:ascii="GHEA Grapalat" w:eastAsia="Times New Roman" w:hAnsi="GHEA Grapalat" w:cs="Times New Roman"/>
          <w:color w:val="404040"/>
          <w:szCs w:val="20"/>
          <w:lang w:val="hy-AM"/>
        </w:rPr>
        <w:t>2027 թվականի պետական բյուջեի մակրոտնտեսական շրջանակի կանխատեսումներն իրականացվել են ՀՀ ՖՆ կողմից՝ տնտեսաչափական մոդելների կիրառմամբ։ Առանձին շոկերի և հարկաբյուջետային միջոցառումների ազդեցությունները գնահատվել են նաև Արարատ հարկաբյուջետային ռազմավարության դինամիկ ստոխաստիկ ընդհանուր հավասարակշռության մոդելով (Ararat Fiscal Strategy Model, AFSM)։ Եռամսյակային կանխատեսումների և քաղաքականության սցենարների համադրման համար զարգացվում է նաև կիսակառուցվածքային մոդելային գործիքակազմը</w:t>
      </w:r>
      <w:r w:rsidRPr="008B63B1">
        <w:rPr>
          <w:rFonts w:ascii="GHEA Grapalat" w:eastAsia="Times New Roman" w:hAnsi="GHEA Grapalat" w:cs="Times New Roman"/>
          <w:color w:val="404040"/>
          <w:szCs w:val="20"/>
          <w:vertAlign w:val="superscript"/>
        </w:rPr>
        <w:footnoteReference w:id="18"/>
      </w:r>
      <w:r w:rsidRPr="008B63B1">
        <w:rPr>
          <w:rFonts w:ascii="GHEA Grapalat" w:eastAsia="Times New Roman" w:hAnsi="GHEA Grapalat" w:cs="Times New Roman"/>
          <w:color w:val="404040"/>
          <w:szCs w:val="20"/>
          <w:lang w:val="hy-AM"/>
        </w:rPr>
        <w:t xml:space="preserve"> (QPM/SSGM, տե՛ս ներդիր 1)։ Կանխատեսումների տեղեկատվական հիմքն են կազմել 2026թ. օգոստոս ամսվա դրությամբ հասանելի ներքին և արտաքին ընթացիկ տնտեսական և ֆինանսական զարգացումները, ինչպես նաև ՀՀ գործընկեր երկրների տնտեսական զարգացումների և հումքային ապրանքների համաշխարհային գների միջազգային կառույցների կողմից արված կանխատեսումները: Մասնավորապես՝ </w:t>
      </w:r>
    </w:p>
    <w:p w14:paraId="284F66EB" w14:textId="77777777" w:rsidR="00507805" w:rsidRPr="008B63B1" w:rsidRDefault="00507805" w:rsidP="00082769">
      <w:pPr>
        <w:tabs>
          <w:tab w:val="left" w:pos="90"/>
        </w:tabs>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ԱՐՏԱՔԻՆ ԳՈՐԾՈՆՆԵՐ</w:t>
      </w:r>
    </w:p>
    <w:p w14:paraId="092C05BD"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2026թ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 հուլիս ամսվա ԱՄՀ կանխատեսումների համաձայն՝ գործընկեր երկրներում աճի միտումները տարբեր ուղղվածություն ունեն։ ԱՄՆ-ում և ՌԴ-ում սպասվում է աճի տեմպերի արագացում՝ 2026թ. կազմելով համապատասխանաբար 2.3% և 1.1%, իսկ Եվրագոտում և Չինաստանում՝ դանդաղում՝ կազմելով, համապատասխանաբար, 0.9% և 4.6%։ Հատկանշական է, որ ՀՀ հիմնական գործընկեր երկրների 2026թ. տնտեսական աճերի վերջին կանխատեսումները ապրիլ ամսվա կանխատեսումների համեմատ ԱՄՆ-ի և ՌԴ-ի պարագայում մնացել են անփոփոխ, Եվրագոտու պարագայում վերանայվել դեպի ներքև, իսկ Չինաստանի կանխատեսումը վերանայվել է դեպի վերև:</w:t>
      </w:r>
    </w:p>
    <w:p w14:paraId="78E4D842"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ՀՀ գործընկեր երկրների տնտեսությունների համար 2026թ. և միջնաժամկետում կանխատեսվում են իրենց ներուժային աճերից ցածր տնտեսական աճեր։ Հատկանշական է այն փաստը, որ Չինաստանի համար սպասվում է պատմական միջին աճից շուրջ երկու անգամ դանդաղ տնտեսական աճի տեմպ: </w:t>
      </w:r>
    </w:p>
    <w:p w14:paraId="7E494971"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Ըստ «Բլումբերգ» միջազգային հեղինակավոր կազմակերպության կանխատեսումների 2026թ. նավթի միջազգային գինը կաճի 27.9%-ով, իսկ միջնաժամկետում միջինում կնվազի 6.6%-ով: Պղնձի միջազգային գինը 2026թ. կաճի 37.3%-ով և միջնաժամկետում կկայունանա մեկ տոննայի դիմաց 14,000 ԱՄՆ դոլարի շուրջ: </w:t>
      </w:r>
    </w:p>
    <w:p w14:paraId="5C9382CA"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Ենթադրվում է, որ ՀՀ ծառայությունների արտահանման տեմպը միջնաժամկետում կկայունանա՝ պայմանավորված նախորդ տարիների գործոնների չեզոքացմամբ: </w:t>
      </w:r>
    </w:p>
    <w:p w14:paraId="220D5A46"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2026թ. սպասվում է դրամական փոխանցումների շուրջ 15.1% աճ, որին հիմնականում նպաստելու է ՌԴ-ից, ԱՄՆ-ից և այլ երկրներից դեպի Հայաստան դրամական փոխանցումների ավելացումը: Կանխատեսումների համաձայն 2027-2029թթ. դրամական փոխանցումները միջինում կաճեն շուրջ 4.1%-ով:</w:t>
      </w:r>
    </w:p>
    <w:p w14:paraId="754CEF91"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ՌԴ-ի դեմ կիրառված պատժամիջոցների արդյունքում ՌԴ-ից դեպի Հայաստան տեղափոխված ՏՏ ոլորտի ընկերությունների և աշխատակիցների որոշ մասը 2026թ. ընթացքում և միջնաժամկետում կմնան Հայաստանում:</w:t>
      </w:r>
    </w:p>
    <w:p w14:paraId="238F7A19" w14:textId="77777777" w:rsidR="00507805" w:rsidRPr="008B63B1" w:rsidRDefault="00507805" w:rsidP="00082769">
      <w:pP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ՏՆՏԵՍՈՒԹՅԱՆ ՆԵՐՈՒԺ ԵՎ ՊԱՐԲԵՐԱՇՐՋԱՆՆԵՐ</w:t>
      </w:r>
    </w:p>
    <w:p w14:paraId="524BE4A0"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2023թ. տնտեսության՝ ներուժային մակարդակը գերազանցող ակտիվությունից հետո 2024թ. ՀՆԱ դրական ճեղքը նեղացել է՝ արտացոլելով տնտեսության աստիճանական մոտեցումն իր ներուժային մակարդակին։ Գնահատումների համաձայն՝ 2025 թ. ՀՆԱ ճեղքը կրկին դարձել է դրական և այդ տիրույթում կպահպանվի նաև 2026թ.։ Միջնաժամկետում, պահանջարկի աճի աստիճանական կայունացման և առաջարկի կարողությունների ընդլայնման պայմաններում, ակնկալվում է դրական ճեղքի աստիճանական փակում և տնտեսական ակտիվության վերադարձ ներուժային մակարդակին։</w:t>
      </w:r>
    </w:p>
    <w:p w14:paraId="448EBC45"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Վերջին տարիներին աշխատուժի և կապիտալի ներհոսքը, ՏՏ ոլորտի ընդլայնումը, զբաղվածության ավելացումը և ենթակառուցվածքներում պետական ներդրումների աճը նպաստել են տնտեսության առաջարկի կարողությունների ամրապնդմանը։ Արդյունքում՝ ներուժային տնտեսական աճի գնահատականը նախկին 4.0–4.5% միջակայքից բարձրացել է մինչև 5.0–5.5%։ Միջնաժամկետում ներուժի բարձրացմանը կնպաստեն նաև Ամուլսարի հանքի շահագործումը և արհեստական բանականության գործարանի գործարկումը՝ արտադրական ու արտահանման կարողությունների ընդլայնման և տեխնոլոգիական ենթակառուցվածքների զարգացման միջոցով։ Տնտեսական աճի վրա այս ծրագրերի տևական ազդեցությունը կպայմանավորվի արտադրողականության բարձրացմամբ, մարդկային կապիտալի զարգացմամբ և տնտեսության մյուս ճյուղերի հետ կապերի խորացմամբ։</w:t>
      </w:r>
    </w:p>
    <w:p w14:paraId="32D97D5B" w14:textId="77777777" w:rsidR="00507805" w:rsidRPr="008B63B1" w:rsidRDefault="00507805" w:rsidP="00082769">
      <w:pP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ՀԱՐԿԱԲՅՈՒՋԵՏԱՅԻՆ ՔԱՂԱՔԱԿԱՆՈՒԹՅՈՒՆ</w:t>
      </w:r>
    </w:p>
    <w:p w14:paraId="5CAAE12D" w14:textId="0D067485"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2026թ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-ին և միջնաժամկետ հատվածի սկզբում՝ կառուցվածքային բարեփոխումների և առաջնահերթ ներդրումների ֆինանսավորման պահանջի աճի պայմաններում պետական բյուջեի պակասուրդի համեմատաբար բարձր մակարդակի ձևավորումից հետո հարկաբյուջետային քաղաքականությունն ուղղված կլինի ծախսերի կառուցվածքի բարելավմամբ ուղեկցվող հարկաբյուջետային կոնսոլիդացիայի իրականացմանը։ </w:t>
      </w:r>
      <w:r w:rsidR="0047681E">
        <w:rPr>
          <w:rFonts w:ascii="GHEA Grapalat" w:eastAsia="Times New Roman" w:hAnsi="GHEA Grapalat" w:cs="Times New Roman"/>
          <w:color w:val="404040"/>
          <w:szCs w:val="20"/>
          <w:lang w:val="hy-AM"/>
        </w:rPr>
        <w:t>ՀՀ կ</w:t>
      </w:r>
      <w:r w:rsidRPr="008B63B1">
        <w:rPr>
          <w:rFonts w:ascii="GHEA Grapalat" w:eastAsia="Times New Roman" w:hAnsi="GHEA Grapalat" w:cs="Times New Roman"/>
          <w:color w:val="404040"/>
          <w:szCs w:val="20"/>
          <w:lang w:val="hy-AM"/>
        </w:rPr>
        <w:t>առավարության պարտքի բեռը 2027-2028 թվականներին կգտնվի 47%-ի շրջակայքում, որից հետո՝ բյուջեի պակասուրդի շարունակական նվազման արդյունքում կմոտենա 46.</w:t>
      </w:r>
      <w:r w:rsidRPr="00EB1E04">
        <w:rPr>
          <w:rFonts w:ascii="GHEA Grapalat" w:eastAsia="Times New Roman" w:hAnsi="GHEA Grapalat" w:cs="Times New Roman"/>
          <w:color w:val="404040"/>
          <w:szCs w:val="20"/>
          <w:lang w:val="hy-AM"/>
        </w:rPr>
        <w:t>4</w:t>
      </w:r>
      <w:r w:rsidRPr="008B63B1">
        <w:rPr>
          <w:rFonts w:ascii="GHEA Grapalat" w:eastAsia="Times New Roman" w:hAnsi="GHEA Grapalat" w:cs="Times New Roman"/>
          <w:color w:val="404040"/>
          <w:szCs w:val="20"/>
          <w:lang w:val="hy-AM"/>
        </w:rPr>
        <w:t xml:space="preserve">%-ին մինչև 2029 թվականը։ Հարկաբյուջետային կոնսոլիդացիան կիրականացվի ընթացիկ ծախսերի օպտիմալացման և արդյունավետության բարձրացման պայմաններում ՀՆԱ-ում դրանց կշռի որոշակի նվազմամբ, ինչը կզուգորդվի ամբողջական պահանջարկի վրա չափավոր զսպող ազդեցությամբ՝ միջնաժամկետի վերջում այդ ազդեցության թուլացմամբ։ Արդյունավետ ներդրումների և կառուցվածքային բարեփոխումների իրականացումը միաժամանակ կնպաստի տնտեսության ներուժի ընդլայնմանը։ Հարկաբյուջետային քաղաքականության համար, ընդհանուր առմամբ, առաջնահերթ է առկա ռեսուրսների առավել արդյունավետ օգտագործումը և հնարավոր ռիսկերի կառավարման կարողությունների ձևավորումը, ինչը, աճի ներուժի բարձրացման հետ, պետք է նպաստի երկարաժամկետ հարկաբյուջետային կայունությանը։ </w:t>
      </w:r>
    </w:p>
    <w:p w14:paraId="228D6260" w14:textId="0A1B860D"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Միջնաժամկետում հարկային վարչարարության բարելավման, ստվերի դեմ պայքարի, ինչպես նաև հարկային քաղաքականության միջոցառումների արդյունքում ակնկալվում է ապահովել հարկեր/ՀՆԱ հարաբերակցության շարունակական բարելավում՝ 2026թ.` 0.8, 2027թ.՝ 0.6, 2028-2029թթ.՝կուտակային շուրջ 0.24, տոկոսային կետով, որի արդյունքում հարկեր/ՀՆԱ հարաբերակցությունը 2029թ. կգտ</w:t>
      </w:r>
      <w:r w:rsidR="00177C18">
        <w:rPr>
          <w:rFonts w:ascii="GHEA Grapalat" w:eastAsia="Times New Roman" w:hAnsi="GHEA Grapalat" w:cs="Times New Roman"/>
          <w:color w:val="404040"/>
          <w:szCs w:val="20"/>
          <w:lang w:val="hy-AM"/>
        </w:rPr>
        <w:t>ն</w:t>
      </w:r>
      <w:r w:rsidRPr="008B63B1">
        <w:rPr>
          <w:rFonts w:ascii="GHEA Grapalat" w:eastAsia="Times New Roman" w:hAnsi="GHEA Grapalat" w:cs="Times New Roman"/>
          <w:color w:val="404040"/>
          <w:szCs w:val="20"/>
          <w:lang w:val="hy-AM"/>
        </w:rPr>
        <w:t>վի ներկա օրենսդրության և տնտեսական կառուցվածքի պայմաններում արդյունավետ հնարավորությունների տիրույթում՝  հասնելով 25.7%-ի։</w:t>
      </w:r>
      <w:r w:rsidRPr="008B63B1">
        <w:rPr>
          <w:rFonts w:ascii="GHEA Grapalat" w:eastAsia="Times New Roman" w:hAnsi="GHEA Grapalat" w:cs="Times New Roman"/>
          <w:color w:val="C45911"/>
          <w:szCs w:val="20"/>
          <w:lang w:val="hy-AM"/>
        </w:rPr>
        <w:t xml:space="preserve"> </w:t>
      </w:r>
    </w:p>
    <w:p w14:paraId="2503CD5A"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2027 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-ի պետական բյուջեի միջնաժամկետ հարկաբյուջետային շրջանակում ընթացիկ ծախսերի կշիռը ՀՆԱ-ում կնվազի հարկաբյուջետային կոնսոլիդացիա իրականացնելու նպատակադրումից ելնելով, իսկ կապիտալ ծախսերը կկայունանան պատմական միջինից զգալիորեն բարձր մակարդակում՝ նպաստելով տնտեսական և անվտանգային ենթակառուցվածքների զարգացմանը։ Կապիտալ ծախսերի կշիռը ՀՆԱ-ում մինչև 2029թ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 կհասնի 5.9%-ի, իսկ ընթացիկ ծախսերի կշիռը 2026թ.-ի համար ակնկալվող 24.4% ցուցանիշից աստիճանաբար նվազելով՝ 2029թ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-ին կհասնի ՀՆԱ-ի 22.5%-ի։ </w:t>
      </w:r>
    </w:p>
    <w:p w14:paraId="1DE9AC52" w14:textId="77777777" w:rsidR="00507805" w:rsidRPr="008B63B1" w:rsidRDefault="00507805" w:rsidP="00082769">
      <w:pP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ԳՆԱՃ ԵՎ ԴՐԱՄԱՎԱՐԿԱՅԻՆ ՔԱՂԱՔԱԿԱՆՈՒԹՅՈՒՆ</w:t>
      </w:r>
    </w:p>
    <w:p w14:paraId="2884893A"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2026 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 ինչպես միջին տարեկան, այնպես էլ 12-ամսյա գնաճը կանխատեսվում է նպատակային ցուցանիշից բարձր, իսկ միջնաժամկետում՝ դրանց աստիճանական մոտեցում 3% թիրախին։</w:t>
      </w:r>
    </w:p>
    <w:p w14:paraId="7F913BD3" w14:textId="611238E4" w:rsidR="00507805"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Մշտադիտարկելով տնտեսության զարգացման սցենարները, ԿԲ-ն պատրաստ է ձեռնարկել համարժեք գործողություններ՝ միջնաժամկետ հորիզոնում գնաճի թիրախային մակարդակի և գների կայունության նպատակի ապահովման համար:</w:t>
      </w:r>
    </w:p>
    <w:p w14:paraId="131D6C7B" w14:textId="4162738B" w:rsidR="004468B2" w:rsidRDefault="004468B2" w:rsidP="00082769">
      <w:pPr>
        <w:jc w:val="both"/>
        <w:rPr>
          <w:rFonts w:ascii="GHEA Grapalat" w:eastAsia="Times New Roman" w:hAnsi="GHEA Grapalat" w:cs="Times New Roman"/>
          <w:color w:val="A6A6A6"/>
          <w:szCs w:val="20"/>
          <w:lang w:val="hy-AM"/>
        </w:rPr>
      </w:pPr>
    </w:p>
    <w:p w14:paraId="04581F5A" w14:textId="77777777" w:rsidR="006A1839" w:rsidRDefault="006A1839" w:rsidP="00082769">
      <w:pPr>
        <w:jc w:val="both"/>
        <w:rPr>
          <w:rFonts w:ascii="GHEA Grapalat" w:eastAsia="Times New Roman" w:hAnsi="GHEA Grapalat" w:cs="Times New Roman"/>
          <w:color w:val="A6A6A6"/>
          <w:szCs w:val="20"/>
          <w:lang w:val="hy-AM"/>
        </w:rPr>
      </w:pPr>
    </w:p>
    <w:tbl>
      <w:tblPr>
        <w:tblStyle w:val="TableGrid"/>
        <w:tblW w:w="0" w:type="auto"/>
        <w:tblLook w:val="04A0" w:firstRow="1" w:lastRow="0" w:firstColumn="1" w:lastColumn="0" w:noHBand="0" w:noVBand="1"/>
      </w:tblPr>
      <w:tblGrid>
        <w:gridCol w:w="10336"/>
      </w:tblGrid>
      <w:tr w:rsidR="004468B2" w:rsidRPr="001C54FB" w14:paraId="39E1079E" w14:textId="77777777" w:rsidTr="003C0BE5">
        <w:tc>
          <w:tcPr>
            <w:tcW w:w="10336" w:type="dxa"/>
            <w:tcBorders>
              <w:top w:val="single" w:sz="4" w:space="0" w:color="4C94D8" w:themeColor="text2" w:themeTint="80"/>
              <w:left w:val="single" w:sz="4" w:space="0" w:color="4C94D8" w:themeColor="text2" w:themeTint="80"/>
              <w:bottom w:val="single" w:sz="4" w:space="0" w:color="4C94D8" w:themeColor="text2" w:themeTint="80"/>
              <w:right w:val="single" w:sz="4" w:space="0" w:color="4C94D8" w:themeColor="text2" w:themeTint="80"/>
            </w:tcBorders>
            <w:shd w:val="clear" w:color="auto" w:fill="DAE9F7" w:themeFill="text2" w:themeFillTint="1A"/>
          </w:tcPr>
          <w:p w14:paraId="352D2232" w14:textId="7F8F5E50" w:rsidR="004468B2" w:rsidRDefault="004468B2" w:rsidP="004468B2">
            <w:pPr>
              <w:spacing w:after="0"/>
              <w:contextualSpacing/>
              <w:jc w:val="both"/>
              <w:rPr>
                <w:rFonts w:ascii="GHEA Grapalat" w:hAnsi="GHEA Grapalat"/>
                <w:sz w:val="20"/>
                <w:szCs w:val="20"/>
                <w:lang w:val="hy-AM"/>
              </w:rPr>
            </w:pPr>
            <w:r w:rsidRPr="00A21E51">
              <w:rPr>
                <w:rFonts w:ascii="GHEA Grapalat" w:eastAsia="Times New Roman" w:hAnsi="GHEA Grapalat" w:cs="Times New Roman"/>
                <w:color w:val="A6A6A6"/>
                <w:szCs w:val="20"/>
                <w:lang w:val="hy-AM"/>
              </w:rPr>
              <w:t>Ներգիր. Armenicus SSGM մոդելը մակրոտնտեսական կանխատեսումների և հարկաբյուջետային որոշումների հիմքում</w:t>
            </w:r>
          </w:p>
          <w:p w14:paraId="6235391E" w14:textId="3248FD60" w:rsidR="004468B2" w:rsidRPr="00BD3726" w:rsidRDefault="004468B2" w:rsidP="004468B2">
            <w:pPr>
              <w:spacing w:after="0"/>
              <w:ind w:firstLine="720"/>
              <w:contextualSpacing/>
              <w:jc w:val="both"/>
              <w:rPr>
                <w:rFonts w:ascii="GHEA Grapalat" w:hAnsi="GHEA Grapalat"/>
                <w:sz w:val="20"/>
                <w:szCs w:val="20"/>
                <w:lang w:val="hy-AM"/>
              </w:rPr>
            </w:pPr>
            <w:r w:rsidRPr="00BD3726">
              <w:rPr>
                <w:rFonts w:ascii="GHEA Grapalat" w:hAnsi="GHEA Grapalat"/>
                <w:sz w:val="20"/>
                <w:szCs w:val="20"/>
                <w:lang w:val="hy-AM"/>
              </w:rPr>
              <w:t>ՀՀ ֆինանսների նախարարության՝ Արժույթի միջազգային հիմնադրամի հետ համագործակցության արդյունքում մշակված Armenicus SSGM կիսակառուցվածքային մոդելը ծառայում է միջնաժամկետ մակրոտնտեսական կանխատեսումների և հարկաբյուջետային քաղաքականության վերլուծության</w:t>
            </w:r>
            <w:r>
              <w:rPr>
                <w:rFonts w:ascii="GHEA Grapalat" w:hAnsi="GHEA Grapalat"/>
                <w:sz w:val="20"/>
                <w:szCs w:val="20"/>
                <w:lang w:val="hy-AM"/>
              </w:rPr>
              <w:t xml:space="preserve"> համար</w:t>
            </w:r>
            <w:r w:rsidRPr="00BD3726">
              <w:rPr>
                <w:rFonts w:ascii="GHEA Grapalat" w:hAnsi="GHEA Grapalat"/>
                <w:sz w:val="20"/>
                <w:szCs w:val="20"/>
                <w:lang w:val="hy-AM"/>
              </w:rPr>
              <w:t xml:space="preserve">։ </w:t>
            </w:r>
            <w:r>
              <w:rPr>
                <w:rFonts w:ascii="GHEA Grapalat" w:hAnsi="GHEA Grapalat"/>
                <w:sz w:val="20"/>
                <w:szCs w:val="20"/>
                <w:lang w:val="hy-AM"/>
              </w:rPr>
              <w:t>Դրա գործնական նշանակությունը</w:t>
            </w:r>
            <w:r w:rsidRPr="00BD3726">
              <w:rPr>
                <w:rFonts w:ascii="GHEA Grapalat" w:hAnsi="GHEA Grapalat"/>
                <w:sz w:val="20"/>
                <w:szCs w:val="20"/>
                <w:lang w:val="hy-AM"/>
              </w:rPr>
              <w:t xml:space="preserve"> տնտեսական աճի, գնաճի, արտաքին հատվածի, բյուջետային </w:t>
            </w:r>
            <w:r>
              <w:rPr>
                <w:rFonts w:ascii="GHEA Grapalat" w:hAnsi="GHEA Grapalat"/>
                <w:sz w:val="20"/>
                <w:szCs w:val="20"/>
                <w:lang w:val="hy-AM"/>
              </w:rPr>
              <w:t>ցուցանիշների</w:t>
            </w:r>
            <w:r w:rsidRPr="00BD3726">
              <w:rPr>
                <w:rFonts w:ascii="GHEA Grapalat" w:hAnsi="GHEA Grapalat"/>
                <w:sz w:val="20"/>
                <w:szCs w:val="20"/>
                <w:lang w:val="hy-AM"/>
              </w:rPr>
              <w:t xml:space="preserve"> և պարտքի կանխատեսումները </w:t>
            </w:r>
            <w:r>
              <w:rPr>
                <w:rFonts w:ascii="GHEA Grapalat" w:hAnsi="GHEA Grapalat"/>
                <w:sz w:val="20"/>
                <w:szCs w:val="20"/>
                <w:lang w:val="hy-AM"/>
              </w:rPr>
              <w:t>միասնական</w:t>
            </w:r>
            <w:r w:rsidRPr="00BD3726">
              <w:rPr>
                <w:rFonts w:ascii="GHEA Grapalat" w:hAnsi="GHEA Grapalat"/>
                <w:sz w:val="20"/>
                <w:szCs w:val="20"/>
                <w:lang w:val="hy-AM"/>
              </w:rPr>
              <w:t xml:space="preserve"> ենթադրությունների ներքո համադրելն է։ </w:t>
            </w:r>
          </w:p>
          <w:p w14:paraId="2EDD227E" w14:textId="77777777" w:rsidR="004468B2" w:rsidRPr="00BD3726" w:rsidRDefault="004468B2" w:rsidP="004468B2">
            <w:pPr>
              <w:spacing w:after="0"/>
              <w:ind w:firstLine="720"/>
              <w:contextualSpacing/>
              <w:jc w:val="both"/>
              <w:rPr>
                <w:rFonts w:ascii="GHEA Grapalat" w:hAnsi="GHEA Grapalat"/>
                <w:sz w:val="20"/>
                <w:szCs w:val="20"/>
                <w:lang w:val="hy-AM"/>
              </w:rPr>
            </w:pPr>
            <w:r w:rsidRPr="00BD3726">
              <w:rPr>
                <w:rFonts w:ascii="GHEA Grapalat" w:hAnsi="GHEA Grapalat"/>
                <w:sz w:val="20"/>
                <w:szCs w:val="20"/>
                <w:lang w:val="hy-AM"/>
              </w:rPr>
              <w:t>Մոդելի հիմք</w:t>
            </w:r>
            <w:r>
              <w:rPr>
                <w:rFonts w:ascii="GHEA Grapalat" w:hAnsi="GHEA Grapalat"/>
                <w:sz w:val="20"/>
                <w:szCs w:val="20"/>
                <w:lang w:val="hy-AM"/>
              </w:rPr>
              <w:t>ում</w:t>
            </w:r>
            <w:r w:rsidRPr="00BD3726">
              <w:rPr>
                <w:rFonts w:ascii="GHEA Grapalat" w:hAnsi="GHEA Grapalat"/>
                <w:sz w:val="20"/>
                <w:szCs w:val="20"/>
                <w:lang w:val="hy-AM"/>
              </w:rPr>
              <w:t xml:space="preserve"> փոքր բաց տնտեսության նորքեյնսյան մոտեցումն է, որը տնտեսական տատանումները բացատրում է համախառն պահանջարկի, գների, սպասումների և տնտեսական քաղաքականության փոխազդեցությամբ։ Անվանական կոշտությունների պայմաններում պահանջարկի փոփոխությունները կարճաժամկետում ազդում են իրական թողարկման և զբաղվածության վրա, իսկ միջնաժամկետում տնտեսության զարգացումը պայմանավորվում է նաև արտադրական ներուժով։ Կիսակառուցվածքային մոտեցումը համադրում է այս տնտեսագիտական սահմանափակումները տվյալների և մասնագիտական դատողության հետ՝ ապահովելով կառուցվածքային փոփոխությունների պայմաններում կանխատեսումների անհրաժեշտ ճկունությունը։</w:t>
            </w:r>
          </w:p>
          <w:p w14:paraId="74811981" w14:textId="77777777" w:rsidR="004468B2" w:rsidRPr="00BD3726" w:rsidRDefault="004468B2" w:rsidP="004468B2">
            <w:pPr>
              <w:spacing w:after="0"/>
              <w:ind w:firstLine="720"/>
              <w:contextualSpacing/>
              <w:jc w:val="both"/>
              <w:rPr>
                <w:rFonts w:ascii="GHEA Grapalat" w:hAnsi="GHEA Grapalat"/>
                <w:sz w:val="20"/>
                <w:szCs w:val="20"/>
                <w:lang w:val="hy-AM"/>
              </w:rPr>
            </w:pPr>
            <w:r w:rsidRPr="00BD3726">
              <w:rPr>
                <w:rFonts w:ascii="GHEA Grapalat" w:hAnsi="GHEA Grapalat"/>
                <w:sz w:val="20"/>
                <w:szCs w:val="20"/>
                <w:lang w:val="hy-AM"/>
              </w:rPr>
              <w:t xml:space="preserve">Մոդելի առանցքային առանձնահատկությունը երկարաժամկետ միտումների և </w:t>
            </w:r>
            <w:r>
              <w:rPr>
                <w:rFonts w:ascii="GHEA Grapalat" w:hAnsi="GHEA Grapalat"/>
                <w:sz w:val="20"/>
                <w:szCs w:val="20"/>
                <w:lang w:val="hy-AM"/>
              </w:rPr>
              <w:t>ճեղքի</w:t>
            </w:r>
            <w:r w:rsidRPr="00BD3726">
              <w:rPr>
                <w:rFonts w:ascii="GHEA Grapalat" w:hAnsi="GHEA Grapalat"/>
                <w:sz w:val="20"/>
                <w:szCs w:val="20"/>
                <w:lang w:val="hy-AM"/>
              </w:rPr>
              <w:t xml:space="preserve"> համատեղ գնահատումն է։ ՀՆԱ-ն պահանջարկի տեսանկյունից ներկայացվում է մասնավոր և պետական սպառման, մասնավոր և պետական ներդրումների, արտահանման ու ներմուծման միջոցով</w:t>
            </w:r>
            <w:r>
              <w:rPr>
                <w:rFonts w:ascii="GHEA Grapalat" w:hAnsi="GHEA Grapalat"/>
                <w:sz w:val="20"/>
                <w:szCs w:val="20"/>
                <w:lang w:val="hy-AM"/>
              </w:rPr>
              <w:t>:</w:t>
            </w:r>
            <w:r w:rsidRPr="00BD3726">
              <w:rPr>
                <w:rFonts w:ascii="GHEA Grapalat" w:hAnsi="GHEA Grapalat"/>
                <w:sz w:val="20"/>
                <w:szCs w:val="20"/>
                <w:lang w:val="hy-AM"/>
              </w:rPr>
              <w:t xml:space="preserve"> </w:t>
            </w:r>
            <w:r>
              <w:rPr>
                <w:rFonts w:ascii="GHEA Grapalat" w:hAnsi="GHEA Grapalat"/>
                <w:sz w:val="20"/>
                <w:szCs w:val="20"/>
                <w:lang w:val="hy-AM"/>
              </w:rPr>
              <w:t>Յ</w:t>
            </w:r>
            <w:r w:rsidRPr="00BD3726">
              <w:rPr>
                <w:rFonts w:ascii="GHEA Grapalat" w:hAnsi="GHEA Grapalat"/>
                <w:sz w:val="20"/>
                <w:szCs w:val="20"/>
                <w:lang w:val="hy-AM"/>
              </w:rPr>
              <w:t xml:space="preserve">ուրաքանչյուր բաղադրիչ ունի իր միտումն ու ճեղքը։ Առաջարկի հատվածում արտադրական ներուժը կապվում է կապիտալի, աշխատուժի և արտադրողականության հետ։ Այս կառուցվածքը </w:t>
            </w:r>
            <w:r>
              <w:rPr>
                <w:rFonts w:ascii="GHEA Grapalat" w:hAnsi="GHEA Grapalat"/>
                <w:sz w:val="20"/>
                <w:szCs w:val="20"/>
                <w:lang w:val="hy-AM"/>
              </w:rPr>
              <w:t>թույլ</w:t>
            </w:r>
            <w:r w:rsidRPr="00BD3726">
              <w:rPr>
                <w:rFonts w:ascii="GHEA Grapalat" w:hAnsi="GHEA Grapalat"/>
                <w:sz w:val="20"/>
                <w:szCs w:val="20"/>
                <w:lang w:val="hy-AM"/>
              </w:rPr>
              <w:t xml:space="preserve"> է</w:t>
            </w:r>
            <w:r>
              <w:rPr>
                <w:rFonts w:ascii="GHEA Grapalat" w:hAnsi="GHEA Grapalat"/>
                <w:sz w:val="20"/>
                <w:szCs w:val="20"/>
                <w:lang w:val="hy-AM"/>
              </w:rPr>
              <w:t xml:space="preserve"> տալիս</w:t>
            </w:r>
            <w:r w:rsidRPr="00BD3726">
              <w:rPr>
                <w:rFonts w:ascii="GHEA Grapalat" w:hAnsi="GHEA Grapalat"/>
                <w:sz w:val="20"/>
                <w:szCs w:val="20"/>
                <w:lang w:val="hy-AM"/>
              </w:rPr>
              <w:t xml:space="preserve"> </w:t>
            </w:r>
            <w:r>
              <w:rPr>
                <w:rFonts w:ascii="GHEA Grapalat" w:hAnsi="GHEA Grapalat"/>
                <w:sz w:val="20"/>
                <w:szCs w:val="20"/>
                <w:lang w:val="hy-AM"/>
              </w:rPr>
              <w:t xml:space="preserve">տարբերակել </w:t>
            </w:r>
            <w:r w:rsidRPr="00BD3726">
              <w:rPr>
                <w:rFonts w:ascii="GHEA Grapalat" w:hAnsi="GHEA Grapalat"/>
                <w:sz w:val="20"/>
                <w:szCs w:val="20"/>
                <w:lang w:val="hy-AM"/>
              </w:rPr>
              <w:t>պահանջարկի ժամանակավոր ընդլայն</w:t>
            </w:r>
            <w:r>
              <w:rPr>
                <w:rFonts w:ascii="GHEA Grapalat" w:hAnsi="GHEA Grapalat"/>
                <w:sz w:val="20"/>
                <w:szCs w:val="20"/>
                <w:lang w:val="hy-AM"/>
              </w:rPr>
              <w:t xml:space="preserve">ումը </w:t>
            </w:r>
            <w:r w:rsidRPr="00BD3726">
              <w:rPr>
                <w:rFonts w:ascii="GHEA Grapalat" w:hAnsi="GHEA Grapalat"/>
                <w:sz w:val="20"/>
                <w:szCs w:val="20"/>
                <w:lang w:val="hy-AM"/>
              </w:rPr>
              <w:t xml:space="preserve">արտադրական կարողությունների տևական </w:t>
            </w:r>
            <w:r>
              <w:rPr>
                <w:rFonts w:ascii="GHEA Grapalat" w:hAnsi="GHEA Grapalat"/>
                <w:sz w:val="20"/>
                <w:szCs w:val="20"/>
                <w:lang w:val="hy-AM"/>
              </w:rPr>
              <w:t>աճից:</w:t>
            </w:r>
          </w:p>
          <w:p w14:paraId="17BC72FC" w14:textId="77777777" w:rsidR="004468B2" w:rsidRPr="00BD3726" w:rsidRDefault="004468B2" w:rsidP="004468B2">
            <w:pPr>
              <w:spacing w:after="0"/>
              <w:ind w:firstLine="720"/>
              <w:contextualSpacing/>
              <w:jc w:val="both"/>
              <w:rPr>
                <w:rFonts w:ascii="GHEA Grapalat" w:hAnsi="GHEA Grapalat"/>
                <w:sz w:val="20"/>
                <w:szCs w:val="20"/>
                <w:lang w:val="hy-AM"/>
              </w:rPr>
            </w:pPr>
            <w:r w:rsidRPr="00BD3726">
              <w:rPr>
                <w:rFonts w:ascii="GHEA Grapalat" w:hAnsi="GHEA Grapalat"/>
                <w:sz w:val="20"/>
                <w:szCs w:val="20"/>
                <w:lang w:val="hy-AM"/>
              </w:rPr>
              <w:t>Արտաքին հատվածում ներկայացված են հիմնական գործընկերների՝ ԱՄՆ-ի</w:t>
            </w:r>
            <w:r>
              <w:rPr>
                <w:rFonts w:ascii="GHEA Grapalat" w:hAnsi="GHEA Grapalat"/>
                <w:sz w:val="20"/>
                <w:szCs w:val="20"/>
                <w:lang w:val="hy-AM"/>
              </w:rPr>
              <w:t xml:space="preserve">, </w:t>
            </w:r>
            <w:r w:rsidRPr="00BD3726">
              <w:rPr>
                <w:rFonts w:ascii="GHEA Grapalat" w:hAnsi="GHEA Grapalat"/>
                <w:sz w:val="20"/>
                <w:szCs w:val="20"/>
                <w:lang w:val="hy-AM"/>
              </w:rPr>
              <w:t xml:space="preserve">Ռուսաստանի, </w:t>
            </w:r>
            <w:r>
              <w:rPr>
                <w:rFonts w:ascii="GHEA Grapalat" w:hAnsi="GHEA Grapalat"/>
                <w:sz w:val="20"/>
                <w:szCs w:val="20"/>
                <w:lang w:val="hy-AM"/>
              </w:rPr>
              <w:t>Ե</w:t>
            </w:r>
            <w:r w:rsidRPr="00BD3726">
              <w:rPr>
                <w:rFonts w:ascii="GHEA Grapalat" w:hAnsi="GHEA Grapalat"/>
                <w:sz w:val="20"/>
                <w:szCs w:val="20"/>
                <w:lang w:val="hy-AM"/>
              </w:rPr>
              <w:t xml:space="preserve">վրոգոտու, և Չինաստանի տնտեսական զարգացումների փոխանցման ուղիները։ Արտաքին պահանջարկի, գների, փոխարժեքի և դրամական փոխանցումների փոփոխությունները կապվում են ներքին սպառման, ներդրումների և արտաքին առևտրի հետ։ </w:t>
            </w:r>
          </w:p>
          <w:p w14:paraId="3393F09C" w14:textId="77777777" w:rsidR="004468B2" w:rsidRPr="00BD3726" w:rsidRDefault="004468B2" w:rsidP="004468B2">
            <w:pPr>
              <w:spacing w:after="0"/>
              <w:ind w:firstLine="720"/>
              <w:contextualSpacing/>
              <w:jc w:val="both"/>
              <w:rPr>
                <w:rFonts w:ascii="GHEA Grapalat" w:hAnsi="GHEA Grapalat"/>
                <w:sz w:val="20"/>
                <w:szCs w:val="20"/>
                <w:lang w:val="hy-AM"/>
              </w:rPr>
            </w:pPr>
            <w:r w:rsidRPr="00BD3726">
              <w:rPr>
                <w:rFonts w:ascii="GHEA Grapalat" w:hAnsi="GHEA Grapalat"/>
                <w:sz w:val="20"/>
                <w:szCs w:val="20"/>
                <w:lang w:val="hy-AM"/>
              </w:rPr>
              <w:t>Գնաճի և դրամավարկային քաղաքականության արձագանքի նկարագրությունը թույլ է տալիս հաշվի առնել, որ բյուջետային խթանման ազդեցությունը կախված է տնտեսության պարբերաշրջանային դիրքից և ֆինանսավորման պայմաններից։ Պետական ծախսերի ավելացումը կարող է միաժամանակ խթանել տնտեսական ակտիվությունը, ներմուծումը և գների աճը՝ առաջացնելով դրամավարկային քաղաքականության արձագանք։ Այդ կապերի հաշվառումը հիմք է ստեղծում հարկաբյուջետային և դրամավարկային քաղաքականությունների փոխազդեցությունը գնահատելու և կանխատեսումների շուրջ մասնագիտական քննարկումը խորացնելու համար։</w:t>
            </w:r>
          </w:p>
          <w:p w14:paraId="4D8259F4" w14:textId="77777777" w:rsidR="004468B2" w:rsidRPr="00BD3726" w:rsidRDefault="004468B2" w:rsidP="004468B2">
            <w:pPr>
              <w:spacing w:after="0"/>
              <w:ind w:firstLine="720"/>
              <w:contextualSpacing/>
              <w:jc w:val="both"/>
              <w:rPr>
                <w:rFonts w:ascii="GHEA Grapalat" w:hAnsi="GHEA Grapalat"/>
                <w:sz w:val="20"/>
                <w:szCs w:val="20"/>
                <w:lang w:val="hy-AM"/>
              </w:rPr>
            </w:pPr>
            <w:r w:rsidRPr="00BD3726">
              <w:rPr>
                <w:rFonts w:ascii="GHEA Grapalat" w:hAnsi="GHEA Grapalat"/>
                <w:sz w:val="20"/>
                <w:szCs w:val="20"/>
                <w:lang w:val="hy-AM"/>
              </w:rPr>
              <w:t xml:space="preserve">Մոդելի՝ ֆինանսների նախարարության խնդիրներին համապատասխանեցված կարևոր առանձնահատկությունը </w:t>
            </w:r>
            <w:r>
              <w:rPr>
                <w:rFonts w:ascii="GHEA Grapalat" w:hAnsi="GHEA Grapalat"/>
                <w:sz w:val="20"/>
                <w:szCs w:val="20"/>
                <w:lang w:val="hy-AM"/>
              </w:rPr>
              <w:t>խորը</w:t>
            </w:r>
            <w:r w:rsidRPr="00BD3726">
              <w:rPr>
                <w:rFonts w:ascii="GHEA Grapalat" w:hAnsi="GHEA Grapalat"/>
                <w:sz w:val="20"/>
                <w:szCs w:val="20"/>
                <w:lang w:val="hy-AM"/>
              </w:rPr>
              <w:t xml:space="preserve"> հարկաբյուջետային հատվածն է։ Հարկային եկամուտները կապվում են համապատասխան հարկային բազաների և դրույքաչափերի հետ, իսկ պետական սպառումն ու ներդրումները՝ համախառն պահանջարկի հետ։ Ներդրումները կապիտալի կուտակման միջոցով ազդում են նաև միջնաժամկետ արտադրական ներուժի վրա։ Պարտքի դինամիկան արտացոլում է պակասուրդի, տնտեսական աճի, տոկոսադրույքների և փոխարժեքի ազդեցությունը՝ տարանջատելով դրամային ու արտարժութային բաղադրիչները։ Այս կառուցվածքը թույլ է տալիս համեմատել կոնսոլիդացիայի տարբեր հետագծերը և ծախսերի կազմի փոփոխությունները՝ տնտեսական աճի, պարտքի կայունության ու հարկաբյուջետային կանոնների սահմանափակումների տեսանկյունից։</w:t>
            </w:r>
          </w:p>
          <w:p w14:paraId="1CC1B1D8" w14:textId="77777777" w:rsidR="004468B2" w:rsidRPr="00BD3726" w:rsidRDefault="004468B2" w:rsidP="004468B2">
            <w:pPr>
              <w:spacing w:after="0"/>
              <w:ind w:firstLine="720"/>
              <w:contextualSpacing/>
              <w:jc w:val="both"/>
              <w:rPr>
                <w:rFonts w:ascii="GHEA Grapalat" w:hAnsi="GHEA Grapalat"/>
                <w:sz w:val="20"/>
                <w:szCs w:val="20"/>
                <w:lang w:val="hy-AM"/>
              </w:rPr>
            </w:pPr>
            <w:r w:rsidRPr="00BD3726">
              <w:rPr>
                <w:rFonts w:ascii="GHEA Grapalat" w:hAnsi="GHEA Grapalat"/>
                <w:sz w:val="20"/>
                <w:szCs w:val="20"/>
                <w:lang w:val="hy-AM"/>
              </w:rPr>
              <w:t>Այս տեսական կառուցվածքը հարկաբյուջետային վերլուծության համար կարևոր է նրանով, որ ծախսերի կամ հարկերի փոփոխության ազդեցությունը չի սահմանափակվում մեկ հաստատուն բազմապատկիչով։ Այն ձևավորվում է մասնավոր պահանջարկի, ներմուծման, գնաճի, տոկոսադրույքների և պարտքի սպասարկման փոխադարձ արձագանքների միջոցով։ Պետական սպառման և ներդրումների տարանջատումը միաժամանակ թույլ է տալիս գնահատել ծախսերի կարճաժամկետ պահանջարկային ազդեցությունը և կապիտալի կուտակմամբ պայմանավորված միջնաժամկետ արդյունքը։ Այսպիսով, մոդելը տնտեսագիտական հիմք է տալիս գնահատելու, թե քաղաքականության որ համադրությունն է նպաստում կայուն աճին՝ պարտքի և մակրոտնտեսական հավասարակշռության սահմանափակումների ներքո։</w:t>
            </w:r>
          </w:p>
          <w:p w14:paraId="0ECD229A" w14:textId="77777777" w:rsidR="008C079B" w:rsidRDefault="004468B2" w:rsidP="003C0BE5">
            <w:pPr>
              <w:spacing w:after="0"/>
              <w:ind w:firstLine="720"/>
              <w:contextualSpacing/>
              <w:jc w:val="both"/>
              <w:rPr>
                <w:rFonts w:ascii="GHEA Grapalat" w:hAnsi="GHEA Grapalat"/>
                <w:sz w:val="20"/>
                <w:szCs w:val="20"/>
                <w:lang w:val="hy-AM"/>
              </w:rPr>
            </w:pPr>
            <w:r w:rsidRPr="00BD3726">
              <w:rPr>
                <w:rFonts w:ascii="GHEA Grapalat" w:hAnsi="GHEA Grapalat"/>
                <w:sz w:val="20"/>
                <w:szCs w:val="20"/>
                <w:lang w:val="hy-AM"/>
              </w:rPr>
              <w:t xml:space="preserve">Մոդելի հիմնական </w:t>
            </w:r>
            <w:r w:rsidRPr="005E5973">
              <w:rPr>
                <w:rFonts w:ascii="GHEA Grapalat" w:hAnsi="GHEA Grapalat"/>
                <w:sz w:val="20"/>
                <w:szCs w:val="20"/>
                <w:lang w:val="hy-AM"/>
              </w:rPr>
              <w:t>հաշվարկային միջուկը</w:t>
            </w:r>
            <w:r w:rsidRPr="005E5973">
              <w:rPr>
                <w:rFonts w:ascii="GHEA Grapalat" w:hAnsi="GHEA Grapalat"/>
                <w:color w:val="FF0000"/>
                <w:sz w:val="20"/>
                <w:szCs w:val="20"/>
                <w:lang w:val="hy-AM"/>
              </w:rPr>
              <w:t xml:space="preserve"> </w:t>
            </w:r>
            <w:r w:rsidRPr="00BD3726">
              <w:rPr>
                <w:rFonts w:ascii="GHEA Grapalat" w:hAnsi="GHEA Grapalat"/>
                <w:sz w:val="20"/>
                <w:szCs w:val="20"/>
                <w:lang w:val="hy-AM"/>
              </w:rPr>
              <w:t xml:space="preserve">մշակված է MATLAB միջավայրում, իսկ կիրառական գործիքակազմի զարգացման համար օգտագործվում է նաև Python-ը՝ Visual Studio Code միջավայրում։ Աշխատանքներում ինտեգրված է OpenAI-ի Codex արհեստական բանականության վրա հիմնված կոդավորման գործակալը, որն աջակցում է նոր վերլուծական գործառույթների մշակմանը, տվյալների և արդյունքների մշակման առանձին փուլերի ավտոմատացմանը, ինչպես նաև սցենարների համեմատության ու ներկայացման գործիքների ընդլայնմանը։  </w:t>
            </w:r>
          </w:p>
          <w:p w14:paraId="10BCE670" w14:textId="65D74709" w:rsidR="004468B2" w:rsidRPr="003C0BE5" w:rsidRDefault="004468B2" w:rsidP="003C0BE5">
            <w:pPr>
              <w:spacing w:after="0"/>
              <w:ind w:firstLine="720"/>
              <w:contextualSpacing/>
              <w:jc w:val="both"/>
              <w:rPr>
                <w:rFonts w:ascii="GHEA Grapalat" w:hAnsi="GHEA Grapalat"/>
                <w:sz w:val="20"/>
                <w:szCs w:val="20"/>
                <w:lang w:val="hy-AM"/>
              </w:rPr>
            </w:pPr>
            <w:r w:rsidRPr="00BD3726">
              <w:rPr>
                <w:rFonts w:ascii="GHEA Grapalat" w:hAnsi="GHEA Grapalat"/>
                <w:sz w:val="20"/>
                <w:szCs w:val="20"/>
                <w:lang w:val="hy-AM"/>
              </w:rPr>
              <w:t>Armenicus SSGM-ի կիրառական արժեքը բազային կանխատեսման կողքին համադրելի այլընտրանքային սցենարներ կառուցելու հնարավորությունն է։ Այն լրացնում է նախարարության Ararat Fiscal Strategy (AFSM) դինամիկ ստոխաստիկ ընդհանուր հավասարակշռության մոդելը՝ կանխատեսումների գործնական ճկունությունը համադրելով քաղաքականության միջոցառումների ավելի խորքային կառուցվածքային վերլուծության հետ։ Կանխատեսումների և քաղաքականության վերլուծության համակարգի (FPAS) զարգացման շրջանակում այս գործիքակազմը հիմք է ստեղծում բյուջետային որոշումները ստուգելի ենթադրությունների, փոխկապակցված կանխատեսումների և ռիսկերի հետևողական գնահատման վրա կառուցելու համար։</w:t>
            </w:r>
          </w:p>
        </w:tc>
      </w:tr>
    </w:tbl>
    <w:p w14:paraId="5A72BACB" w14:textId="77777777" w:rsidR="004468B2" w:rsidRPr="003C0BE5" w:rsidRDefault="004468B2" w:rsidP="00082769">
      <w:pPr>
        <w:jc w:val="both"/>
        <w:rPr>
          <w:rFonts w:ascii="GHEA Grapalat" w:eastAsia="Times New Roman" w:hAnsi="GHEA Grapalat" w:cs="Times New Roman"/>
          <w:color w:val="A6A6A6"/>
          <w:szCs w:val="20"/>
          <w:lang w:val="hy-AM"/>
        </w:rPr>
      </w:pPr>
    </w:p>
    <w:p w14:paraId="01B111FB" w14:textId="77777777" w:rsidR="00507805" w:rsidRPr="008B63B1" w:rsidRDefault="00507805" w:rsidP="00082769">
      <w:pPr>
        <w:pBdr>
          <w:bottom w:val="single" w:sz="6" w:space="1" w:color="C3C3C7"/>
        </w:pBdr>
        <w:spacing w:before="480" w:after="360"/>
        <w:outlineLvl w:val="1"/>
        <w:rPr>
          <w:rFonts w:ascii="GHEA Grapalat" w:eastAsia="Times New Roman" w:hAnsi="GHEA Grapalat" w:cs="Times New Roman"/>
          <w:color w:val="A5A6AC"/>
          <w:sz w:val="28"/>
          <w:szCs w:val="20"/>
          <w:lang w:val="hy-AM"/>
        </w:rPr>
      </w:pPr>
      <w:bookmarkStart w:id="233" w:name="_Toc178356566"/>
      <w:bookmarkStart w:id="234" w:name="_Toc178612090"/>
      <w:bookmarkStart w:id="235" w:name="_Toc183801074"/>
      <w:bookmarkStart w:id="236" w:name="_Toc210126085"/>
      <w:bookmarkStart w:id="237" w:name="_Toc241687665"/>
      <w:r w:rsidRPr="008B63B1">
        <w:rPr>
          <w:rFonts w:ascii="GHEA Grapalat" w:eastAsia="Times New Roman" w:hAnsi="GHEA Grapalat" w:cs="Times New Roman"/>
          <w:color w:val="A5A6AC"/>
          <w:sz w:val="28"/>
          <w:szCs w:val="20"/>
          <w:lang w:val="hy-AM"/>
        </w:rPr>
        <w:t>1.5. ՄԱԿՐՈՏՆՏԵՍԱԿԱՆ ԿԱՆԽԱՏԵՍՈՒՄՆԵՐԻ ՌԻՍԿԵՐԸ</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010B7546"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Կանխատեսման առկա ռիսկերը պայմանավորվում են ինչպես արտաքին, այնպես էլ ներքին տնտեսական գործոններով, որոնք կարող են հանգեցնել ինչպես տնտեսական աճի տեմպերի ավելացմանը, այնպես էլ նվազմանը՝ ներկայացված կենտրոնական կանխատեսումների համեմատ: Ռիսկերի տեղի ունենալու դեպքում շեղումներ կարձանագրվեն սույն փաստաթղթի 1.4 բաժնում ներկայացված ենթադրություններից՝ հանգեցնելով մակրոտնտեսական կանխատեսումներից շեղումների և դրա հետևանքով էլ հարկաբյուջետային շրջանակի ցուցանիշների շեղման այս պետական բյուջեի շրջանակից։ </w:t>
      </w:r>
    </w:p>
    <w:p w14:paraId="2F9E9C8E"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COVID-19 համավարակի հետևանքները դեռ չհաղթահարած տարածաշրջանում սկսված ռուս-ուկրաինական հակամարտությունը առաջացրել է աշխարհաքաղաքական և տնտեսական մարտահրավերներ, որոնք բացասական հետևանքներ են ունեցել ոչ միայն տարածաշրջանում, այլ նաև ամբողջ աշխարհում, այդ թվում՝ ՀՀ համար կարևոր առևտրային գործընկեր՝ Եվրագոտու երկրներում։ Թեև նշված գործոնները առաջ են բերել նաև ՀՀ տնտեսության համար դրական զարգացումներ (դեպի Հայաստան մարդկանց ներհոսքի, զբոսաշրջության զգալի ավելացման, տեղեկատվական տեխնոլոգիաների ոլորտի ընկերությունների ՀՀ տեղափոխման, ՀՀ-ից դեպի Ռուսաստան արտահանման պահանջարկի ավելացման), այնուամենայնիվ ռուս-ուկրաինական հակամարտության, ինչպես նաև Ռուսաստանի դեմ կիրառված աննախադեպ պատժամիջոցների վերաբերյալ անորոշությունները դեռևս պահպանվում են՝ արտացոլվելով ՀՀ տնտեսական աճի կանխատեսումների շուրջ անորոշություններում:</w:t>
      </w:r>
    </w:p>
    <w:p w14:paraId="72E8BECE" w14:textId="77777777" w:rsidR="00507805" w:rsidRPr="008B63B1" w:rsidRDefault="00507805" w:rsidP="00082769">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Վերոնշյալ իրողությունների պայմաններում տնտեսական աճի կանխատեսումների շուրջ ինչպես կարճաժամկետում, այնպես էլ միջնաժամկետում առկա են անորոշություններ։ </w:t>
      </w:r>
      <w:bookmarkStart w:id="238" w:name="_Toc178356567"/>
      <w:bookmarkStart w:id="239" w:name="_Toc170926301"/>
      <w:bookmarkStart w:id="240" w:name="_Toc170750540"/>
      <w:bookmarkStart w:id="241" w:name="_Toc170743036"/>
    </w:p>
    <w:p w14:paraId="65ECDFFB" w14:textId="416CFF59" w:rsidR="00507805" w:rsidRPr="008B63B1" w:rsidRDefault="00507805" w:rsidP="00082769">
      <w:pPr>
        <w:spacing w:before="360" w:after="0"/>
        <w:outlineLvl w:val="2"/>
        <w:rPr>
          <w:rFonts w:ascii="GHEA Grapalat" w:eastAsia="Times New Roman" w:hAnsi="GHEA Grapalat" w:cs="Times New Roman"/>
          <w:color w:val="A6A6A6"/>
          <w:szCs w:val="20"/>
          <w:lang w:val="hy-AM"/>
        </w:rPr>
      </w:pPr>
      <w:bookmarkStart w:id="242" w:name="_Toc210126086"/>
      <w:bookmarkStart w:id="243" w:name="_Toc241687666"/>
      <w:r w:rsidRPr="008B63B1">
        <w:rPr>
          <w:rFonts w:ascii="GHEA Grapalat" w:eastAsia="Times New Roman" w:hAnsi="GHEA Grapalat" w:cs="Times New Roman"/>
          <w:color w:val="A6A6A6"/>
          <w:szCs w:val="20"/>
          <w:lang w:val="hy-AM"/>
        </w:rPr>
        <w:t>1.5.1. ՀՀ ՏՆՏԵՍԱԿԱՆ ԱՃԻ ԴԵՊԻ ՆԵՐՔ</w:t>
      </w:r>
      <w:r w:rsidR="00AE0EDB">
        <w:rPr>
          <w:rFonts w:ascii="GHEA Grapalat" w:eastAsia="Times New Roman" w:hAnsi="GHEA Grapalat" w:cs="Times New Roman"/>
          <w:color w:val="A6A6A6"/>
          <w:szCs w:val="20"/>
          <w:lang w:val="hy-AM"/>
        </w:rPr>
        <w:t>ԵՎ</w:t>
      </w:r>
      <w:r w:rsidRPr="008B63B1">
        <w:rPr>
          <w:rFonts w:ascii="GHEA Grapalat" w:eastAsia="Times New Roman" w:hAnsi="GHEA Grapalat" w:cs="Times New Roman"/>
          <w:color w:val="A6A6A6"/>
          <w:szCs w:val="20"/>
          <w:lang w:val="hy-AM"/>
        </w:rPr>
        <w:t xml:space="preserve"> ՈՒՂՂՈՒԹՅԱՄԲ ՌԻՍԿԵՐ</w:t>
      </w:r>
      <w:bookmarkEnd w:id="238"/>
      <w:bookmarkEnd w:id="239"/>
      <w:bookmarkEnd w:id="240"/>
      <w:bookmarkEnd w:id="241"/>
      <w:bookmarkEnd w:id="242"/>
      <w:bookmarkEnd w:id="243"/>
    </w:p>
    <w:p w14:paraId="4B597B12" w14:textId="77777777" w:rsidR="00507805" w:rsidRPr="008B63B1" w:rsidRDefault="00507805" w:rsidP="00082769">
      <w:pPr>
        <w:jc w:val="both"/>
        <w:rPr>
          <w:rFonts w:ascii="GHEA Grapalat" w:eastAsia="Times New Roman" w:hAnsi="GHEA Grapalat" w:cs="Times New Roman"/>
          <w:b/>
          <w:color w:val="404040"/>
          <w:szCs w:val="20"/>
          <w:lang w:val="hy-AM"/>
        </w:rPr>
      </w:pPr>
      <w:bookmarkStart w:id="244" w:name="_Toc178595152"/>
      <w:r w:rsidRPr="008B63B1">
        <w:rPr>
          <w:rFonts w:ascii="GHEA Grapalat" w:eastAsia="Times New Roman" w:hAnsi="GHEA Grapalat" w:cs="Times New Roman"/>
          <w:b/>
          <w:color w:val="404040"/>
          <w:szCs w:val="20"/>
          <w:lang w:val="hy-AM"/>
        </w:rPr>
        <w:t>Արտաքին միջավայրից բխող դեպի ներքև ռիսկերը պայմանավորված են՝</w:t>
      </w:r>
    </w:p>
    <w:p w14:paraId="42D3480B" w14:textId="77777777" w:rsidR="00507805" w:rsidRPr="008B63B1" w:rsidRDefault="00507805" w:rsidP="00082769">
      <w:pPr>
        <w:numPr>
          <w:ilvl w:val="0"/>
          <w:numId w:val="18"/>
        </w:numPr>
        <w:spacing w:after="0"/>
        <w:ind w:left="0" w:firstLine="0"/>
        <w:contextualSpacing/>
        <w:jc w:val="both"/>
        <w:rPr>
          <w:rFonts w:ascii="GHEA Grapalat" w:eastAsia="Calibri" w:hAnsi="GHEA Grapalat" w:cs="Sylfaen"/>
          <w:bCs/>
          <w:color w:val="404040"/>
          <w:lang w:val="hy-AM"/>
        </w:rPr>
      </w:pPr>
      <w:r w:rsidRPr="008B63B1">
        <w:rPr>
          <w:rFonts w:ascii="GHEA Grapalat" w:eastAsia="Calibri" w:hAnsi="GHEA Grapalat" w:cs="Sylfaen"/>
          <w:bCs/>
          <w:color w:val="404040"/>
          <w:lang w:val="hy-AM"/>
        </w:rPr>
        <w:t>Ռուս-ուկրաինական պատերազմի արդյունքում առաջացած դրական գործոնների (ՌԴ-ից զբոսաշրջային հոսքերի, դրամական փոխանցումների, ՏՏ ոլորտի ընկերությունների և աշխատակիցների դեպի ՀՀ տեղափոխման) չեզոքացմամբ և հոսքերի հետշրջմամբ,</w:t>
      </w:r>
    </w:p>
    <w:p w14:paraId="3E7F940E" w14:textId="77777777" w:rsidR="00507805" w:rsidRPr="008B63B1" w:rsidRDefault="00507805" w:rsidP="00082769">
      <w:pPr>
        <w:numPr>
          <w:ilvl w:val="0"/>
          <w:numId w:val="18"/>
        </w:numPr>
        <w:spacing w:after="0"/>
        <w:ind w:left="0" w:firstLine="0"/>
        <w:contextualSpacing/>
        <w:jc w:val="both"/>
        <w:rPr>
          <w:rFonts w:ascii="GHEA Grapalat" w:eastAsia="Calibri" w:hAnsi="GHEA Grapalat" w:cs="Sylfaen"/>
          <w:bCs/>
          <w:color w:val="404040"/>
          <w:lang w:val="hy-AM"/>
        </w:rPr>
      </w:pPr>
      <w:r w:rsidRPr="008B63B1">
        <w:rPr>
          <w:rFonts w:ascii="GHEA Grapalat" w:eastAsia="Calibri" w:hAnsi="GHEA Grapalat" w:cs="Sylfaen"/>
          <w:bCs/>
          <w:color w:val="404040"/>
          <w:lang w:val="hy-AM"/>
        </w:rPr>
        <w:t>ՌԴ-ում ՀՀ ապրանքների արտահանման՝ վերջին տարիների վերափոխումների արդյունքում ընդլայնված շուկայի նեղացմամբ,</w:t>
      </w:r>
    </w:p>
    <w:p w14:paraId="3F5FB08E" w14:textId="77777777" w:rsidR="00507805" w:rsidRPr="008B63B1" w:rsidRDefault="00507805" w:rsidP="00082769">
      <w:pPr>
        <w:numPr>
          <w:ilvl w:val="0"/>
          <w:numId w:val="18"/>
        </w:numPr>
        <w:spacing w:after="0"/>
        <w:ind w:left="0" w:firstLine="0"/>
        <w:contextualSpacing/>
        <w:jc w:val="both"/>
        <w:rPr>
          <w:rFonts w:ascii="GHEA Grapalat" w:eastAsia="Calibri" w:hAnsi="GHEA Grapalat" w:cs="Sylfaen"/>
          <w:bCs/>
          <w:color w:val="404040"/>
          <w:lang w:val="hy-AM"/>
        </w:rPr>
      </w:pPr>
      <w:r w:rsidRPr="008B63B1">
        <w:rPr>
          <w:rFonts w:ascii="GHEA Grapalat" w:eastAsia="Calibri" w:hAnsi="GHEA Grapalat" w:cs="Sylfaen"/>
          <w:bCs/>
          <w:color w:val="404040"/>
          <w:lang w:val="hy-AM"/>
        </w:rPr>
        <w:t>ՀՀ ապրանքների արտահանման մատակարարումների լոգիստիկ խնդիրների խորացմամբ,</w:t>
      </w:r>
    </w:p>
    <w:p w14:paraId="55051EC3" w14:textId="77777777" w:rsidR="00507805" w:rsidRPr="008B63B1" w:rsidRDefault="00507805" w:rsidP="00082769">
      <w:pPr>
        <w:numPr>
          <w:ilvl w:val="0"/>
          <w:numId w:val="18"/>
        </w:numPr>
        <w:spacing w:after="0"/>
        <w:ind w:left="0" w:firstLine="0"/>
        <w:contextualSpacing/>
        <w:jc w:val="both"/>
        <w:rPr>
          <w:rFonts w:ascii="GHEA Grapalat" w:eastAsia="Calibri" w:hAnsi="GHEA Grapalat" w:cs="Sylfaen"/>
          <w:bCs/>
          <w:color w:val="404040"/>
          <w:lang w:val="hy-AM"/>
        </w:rPr>
      </w:pPr>
      <w:r w:rsidRPr="008B63B1">
        <w:rPr>
          <w:rFonts w:ascii="GHEA Grapalat" w:eastAsia="Times New Roman" w:hAnsi="GHEA Grapalat" w:cs="Tahoma"/>
          <w:color w:val="404040"/>
          <w:lang w:val="hy-AM"/>
        </w:rPr>
        <w:t>Աշխարհաքաղաքական իրավիճակով, այդ թվում` տարածաշրջանային ռազմական հակամարտությունների առկայությամբ,</w:t>
      </w:r>
    </w:p>
    <w:p w14:paraId="4079FD40" w14:textId="77777777" w:rsidR="00507805" w:rsidRPr="008B63B1" w:rsidRDefault="00507805" w:rsidP="00082769">
      <w:pPr>
        <w:numPr>
          <w:ilvl w:val="0"/>
          <w:numId w:val="18"/>
        </w:numPr>
        <w:spacing w:after="0"/>
        <w:ind w:left="0" w:firstLine="0"/>
        <w:contextualSpacing/>
        <w:jc w:val="both"/>
        <w:rPr>
          <w:rFonts w:ascii="GHEA Grapalat" w:eastAsia="Calibri" w:hAnsi="GHEA Grapalat" w:cs="Sylfaen"/>
          <w:bCs/>
          <w:color w:val="404040"/>
          <w:lang w:val="hy-AM"/>
        </w:rPr>
      </w:pPr>
      <w:r w:rsidRPr="008B63B1">
        <w:rPr>
          <w:rFonts w:ascii="GHEA Grapalat" w:eastAsia="Calibri" w:hAnsi="GHEA Grapalat" w:cs="Sylfaen"/>
          <w:bCs/>
          <w:color w:val="404040"/>
          <w:lang w:val="hy-AM"/>
        </w:rPr>
        <w:t>Տարածաշրջանային հակամարտությունների (մերձավորարևելյան և ռուս-ուկրաինական հակամարտություններ) արդյունքում պարենային և ոչ պարենային ապրանքների գների աճով,</w:t>
      </w:r>
    </w:p>
    <w:p w14:paraId="22F554FF" w14:textId="77777777" w:rsidR="00507805" w:rsidRPr="008B63B1" w:rsidRDefault="00507805" w:rsidP="00082769">
      <w:pPr>
        <w:numPr>
          <w:ilvl w:val="0"/>
          <w:numId w:val="18"/>
        </w:numPr>
        <w:spacing w:after="0"/>
        <w:ind w:left="0" w:firstLine="0"/>
        <w:contextualSpacing/>
        <w:jc w:val="both"/>
        <w:rPr>
          <w:rFonts w:ascii="GHEA Grapalat" w:eastAsia="Calibri" w:hAnsi="GHEA Grapalat" w:cs="Sylfaen"/>
          <w:bCs/>
          <w:color w:val="000000"/>
          <w:lang w:val="hy-AM"/>
        </w:rPr>
      </w:pPr>
      <w:r w:rsidRPr="008B63B1">
        <w:rPr>
          <w:rFonts w:ascii="GHEA Grapalat" w:eastAsia="Calibri" w:hAnsi="GHEA Grapalat" w:cs="Sylfaen"/>
          <w:bCs/>
          <w:color w:val="000000"/>
          <w:lang w:val="hy-AM"/>
        </w:rPr>
        <w:t>Առևտրային պայմանների սրացման և առևտրային քաղաքականության անորոշությունների պահպանման արդյունքում գործընկեր երկրների տնտեսական աճերի, հետևաբար և ՀՀ արտաքին պահանջարկի դանդաղմամբ,</w:t>
      </w:r>
    </w:p>
    <w:p w14:paraId="38CA7ED2" w14:textId="77777777" w:rsidR="00507805" w:rsidRPr="008B63B1" w:rsidRDefault="00507805" w:rsidP="00082769">
      <w:pPr>
        <w:numPr>
          <w:ilvl w:val="0"/>
          <w:numId w:val="18"/>
        </w:numPr>
        <w:spacing w:after="0"/>
        <w:ind w:left="0" w:firstLine="0"/>
        <w:contextualSpacing/>
        <w:jc w:val="both"/>
        <w:rPr>
          <w:rFonts w:ascii="GHEA Grapalat" w:eastAsia="Calibri" w:hAnsi="GHEA Grapalat" w:cs="Sylfaen"/>
          <w:bCs/>
          <w:color w:val="000000"/>
          <w:lang w:val="hy-AM"/>
        </w:rPr>
      </w:pPr>
      <w:r w:rsidRPr="008B63B1">
        <w:rPr>
          <w:rFonts w:ascii="GHEA Grapalat" w:eastAsia="Calibri" w:hAnsi="GHEA Grapalat" w:cs="Sylfaen"/>
          <w:bCs/>
          <w:color w:val="000000"/>
          <w:lang w:val="hy-AM"/>
        </w:rPr>
        <w:t>Նավթի, գազի, սննդամթերքի և այլ հիմնական ապրանքների միջազգային գների էական աճի արդյունքում գնաճային ճնշումների ավելացմամբ, իրական եկամուտների նվազմամբ և ներքին պահանջարկի թուլացմամբ։</w:t>
      </w:r>
    </w:p>
    <w:p w14:paraId="4B70235E" w14:textId="77777777" w:rsidR="00507805" w:rsidRPr="008B63B1" w:rsidRDefault="00507805" w:rsidP="00082769">
      <w:pPr>
        <w:spacing w:line="264" w:lineRule="auto"/>
        <w:jc w:val="both"/>
        <w:rPr>
          <w:rFonts w:ascii="GHEA Grapalat" w:eastAsia="Times New Roman" w:hAnsi="GHEA Grapalat" w:cs="Times New Roman"/>
          <w:b/>
          <w:color w:val="404040"/>
          <w:lang w:val="hy-AM"/>
        </w:rPr>
      </w:pPr>
      <w:r w:rsidRPr="008B63B1">
        <w:rPr>
          <w:rFonts w:ascii="GHEA Grapalat" w:eastAsia="Times New Roman" w:hAnsi="GHEA Grapalat" w:cs="Times New Roman"/>
          <w:b/>
          <w:color w:val="404040"/>
          <w:lang w:val="hy-AM"/>
        </w:rPr>
        <w:t>Ներքին միջավայրից բխող դեպի ներքև ռիսկերը պայմանավորված են՝</w:t>
      </w:r>
    </w:p>
    <w:p w14:paraId="2809A843" w14:textId="77777777" w:rsidR="00507805" w:rsidRPr="008B63B1" w:rsidRDefault="00507805" w:rsidP="00082769">
      <w:pPr>
        <w:numPr>
          <w:ilvl w:val="0"/>
          <w:numId w:val="18"/>
        </w:numPr>
        <w:spacing w:after="0"/>
        <w:ind w:left="0" w:firstLine="0"/>
        <w:contextualSpacing/>
        <w:jc w:val="both"/>
        <w:rPr>
          <w:rFonts w:ascii="GHEA Grapalat" w:eastAsia="Calibri" w:hAnsi="GHEA Grapalat" w:cs="Sylfaen"/>
          <w:bCs/>
          <w:color w:val="000000"/>
          <w:lang w:val="hy-AM"/>
        </w:rPr>
      </w:pPr>
      <w:r w:rsidRPr="008B63B1">
        <w:rPr>
          <w:rFonts w:ascii="GHEA Grapalat" w:eastAsia="Calibri" w:hAnsi="GHEA Grapalat" w:cs="Sylfaen"/>
          <w:bCs/>
          <w:color w:val="000000"/>
          <w:lang w:val="hy-AM"/>
        </w:rPr>
        <w:t>Պետական կապիտալ ծախսերի հնարավոր թերակատարմամբ,</w:t>
      </w:r>
    </w:p>
    <w:p w14:paraId="1588E763" w14:textId="77777777" w:rsidR="00507805" w:rsidRPr="008B63B1" w:rsidRDefault="00507805" w:rsidP="00082769">
      <w:pPr>
        <w:numPr>
          <w:ilvl w:val="0"/>
          <w:numId w:val="18"/>
        </w:numPr>
        <w:spacing w:after="0"/>
        <w:ind w:left="0" w:firstLine="0"/>
        <w:contextualSpacing/>
        <w:jc w:val="both"/>
        <w:rPr>
          <w:rFonts w:ascii="GHEA Grapalat" w:eastAsia="Calibri" w:hAnsi="GHEA Grapalat" w:cs="Sylfaen"/>
          <w:bCs/>
          <w:color w:val="000000"/>
          <w:lang w:val="hy-AM"/>
        </w:rPr>
      </w:pPr>
      <w:r w:rsidRPr="008B63B1">
        <w:rPr>
          <w:rFonts w:ascii="GHEA Grapalat" w:eastAsia="Calibri" w:hAnsi="GHEA Grapalat" w:cs="Sylfaen"/>
          <w:bCs/>
          <w:color w:val="000000"/>
          <w:lang w:val="hy-AM"/>
        </w:rPr>
        <w:t>Ամուլսարի շահագործման հնարավոր հետաձգմամբ կամ սպասվածից ավելի քիչ արդյունահանմամբ,</w:t>
      </w:r>
    </w:p>
    <w:p w14:paraId="40217AA9" w14:textId="77777777" w:rsidR="00507805" w:rsidRPr="008B63B1" w:rsidRDefault="00507805" w:rsidP="00082769">
      <w:pPr>
        <w:numPr>
          <w:ilvl w:val="0"/>
          <w:numId w:val="18"/>
        </w:numPr>
        <w:spacing w:after="0"/>
        <w:ind w:left="0" w:firstLine="0"/>
        <w:contextualSpacing/>
        <w:jc w:val="both"/>
        <w:rPr>
          <w:rFonts w:ascii="GHEA Grapalat" w:eastAsia="Calibri" w:hAnsi="GHEA Grapalat" w:cs="Sylfaen"/>
          <w:bCs/>
          <w:color w:val="000000"/>
          <w:lang w:val="hy-AM"/>
        </w:rPr>
      </w:pPr>
      <w:r w:rsidRPr="008B63B1">
        <w:rPr>
          <w:rFonts w:ascii="GHEA Grapalat" w:eastAsia="Calibri" w:hAnsi="GHEA Grapalat" w:cs="Sylfaen"/>
          <w:bCs/>
          <w:color w:val="000000"/>
          <w:lang w:val="hy-AM"/>
        </w:rPr>
        <w:t xml:space="preserve">ՀՀ կառավարության կառուցվածքային բարեփոխումների և արտահանման ու ներդրումների խթանման քաղաքականության ակնկալվող արդյունքների սպասվածից ավելի ուշ արտահայտմամբ, </w:t>
      </w:r>
    </w:p>
    <w:p w14:paraId="5F6B79FD" w14:textId="77777777" w:rsidR="00507805" w:rsidRPr="008B63B1" w:rsidRDefault="00507805" w:rsidP="00082769">
      <w:pPr>
        <w:numPr>
          <w:ilvl w:val="0"/>
          <w:numId w:val="18"/>
        </w:numPr>
        <w:spacing w:after="0"/>
        <w:ind w:left="0" w:firstLine="0"/>
        <w:contextualSpacing/>
        <w:jc w:val="both"/>
        <w:rPr>
          <w:rFonts w:ascii="GHEA Grapalat" w:eastAsia="Calibri" w:hAnsi="GHEA Grapalat" w:cs="Sylfaen"/>
          <w:bCs/>
          <w:color w:val="000000"/>
          <w:lang w:val="hy-AM"/>
        </w:rPr>
      </w:pPr>
      <w:r w:rsidRPr="008B63B1">
        <w:rPr>
          <w:rFonts w:ascii="GHEA Grapalat" w:eastAsia="Calibri" w:hAnsi="GHEA Grapalat" w:cs="Sylfaen"/>
          <w:bCs/>
          <w:color w:val="000000"/>
          <w:lang w:val="hy-AM"/>
        </w:rPr>
        <w:t>Ղարաբաղից ՀՀ բռնի տեղահանված անձանց ՀՀ տնտեսական գործընթացներում սպասվածից ավելի դանդաղ ինտեգրմամբ,</w:t>
      </w:r>
    </w:p>
    <w:p w14:paraId="3933BB86" w14:textId="77777777" w:rsidR="00507805" w:rsidRPr="008B63B1" w:rsidRDefault="00507805" w:rsidP="00082769">
      <w:pPr>
        <w:numPr>
          <w:ilvl w:val="0"/>
          <w:numId w:val="18"/>
        </w:numPr>
        <w:spacing w:after="0"/>
        <w:ind w:left="0" w:firstLine="0"/>
        <w:contextualSpacing/>
        <w:jc w:val="both"/>
        <w:rPr>
          <w:rFonts w:ascii="GHEA Grapalat" w:eastAsia="Calibri" w:hAnsi="GHEA Grapalat" w:cs="Sylfaen"/>
          <w:bCs/>
          <w:color w:val="000000"/>
          <w:lang w:val="hy-AM"/>
        </w:rPr>
      </w:pPr>
      <w:r w:rsidRPr="008B63B1">
        <w:rPr>
          <w:rFonts w:ascii="GHEA Grapalat" w:eastAsia="Calibri" w:hAnsi="GHEA Grapalat" w:cs="Sylfaen"/>
          <w:bCs/>
          <w:color w:val="000000"/>
          <w:lang w:val="hy-AM"/>
        </w:rPr>
        <w:t>Բնա</w:t>
      </w:r>
      <w:r w:rsidRPr="008B63B1">
        <w:rPr>
          <w:rFonts w:ascii="GHEA Grapalat" w:eastAsia="Calibri" w:hAnsi="GHEA Grapalat" w:cs="Sylfaen"/>
          <w:bCs/>
          <w:color w:val="000000"/>
          <w:lang w:val="hy-AM"/>
        </w:rPr>
        <w:softHyphen/>
        <w:t>կլիմայական անբարենպաստ պայման</w:t>
      </w:r>
      <w:r w:rsidRPr="008B63B1">
        <w:rPr>
          <w:rFonts w:ascii="GHEA Grapalat" w:eastAsia="Calibri" w:hAnsi="GHEA Grapalat" w:cs="Sylfaen"/>
          <w:bCs/>
          <w:color w:val="000000"/>
          <w:lang w:val="hy-AM"/>
        </w:rPr>
        <w:softHyphen/>
        <w:t>ների շարունակական դրսևորման հետևանքով գյուղատնտեսության ճյուղում հնարավոր բացասական զարգացումներով,</w:t>
      </w:r>
    </w:p>
    <w:p w14:paraId="10ADCAA4" w14:textId="77777777" w:rsidR="00507805" w:rsidRPr="008B63B1" w:rsidRDefault="00507805" w:rsidP="00082769">
      <w:pPr>
        <w:numPr>
          <w:ilvl w:val="0"/>
          <w:numId w:val="18"/>
        </w:numPr>
        <w:spacing w:after="0"/>
        <w:ind w:left="0" w:firstLine="0"/>
        <w:contextualSpacing/>
        <w:jc w:val="both"/>
        <w:rPr>
          <w:rFonts w:ascii="GHEA Grapalat" w:eastAsia="Calibri" w:hAnsi="GHEA Grapalat" w:cs="Sylfaen"/>
          <w:bCs/>
          <w:color w:val="000000"/>
          <w:lang w:val="hy-AM"/>
        </w:rPr>
      </w:pPr>
      <w:r w:rsidRPr="008B63B1">
        <w:rPr>
          <w:rFonts w:ascii="GHEA Grapalat" w:eastAsia="Calibri" w:hAnsi="GHEA Grapalat" w:cs="Sylfaen"/>
          <w:bCs/>
          <w:color w:val="000000"/>
          <w:lang w:val="hy-AM"/>
        </w:rPr>
        <w:t>Շինարարական ակտիվության սպասվածից ավելի բացասական զարգացումներով։</w:t>
      </w:r>
    </w:p>
    <w:p w14:paraId="7643A993" w14:textId="77777777" w:rsidR="00507805" w:rsidRPr="008B63B1" w:rsidRDefault="00507805" w:rsidP="00082769">
      <w:pPr>
        <w:spacing w:before="360" w:after="0"/>
        <w:outlineLvl w:val="2"/>
        <w:rPr>
          <w:rFonts w:ascii="GHEA Grapalat" w:eastAsia="Times New Roman" w:hAnsi="GHEA Grapalat" w:cs="Times New Roman"/>
          <w:color w:val="A6A6A6"/>
          <w:szCs w:val="20"/>
          <w:lang w:val="hy-AM"/>
        </w:rPr>
      </w:pPr>
      <w:bookmarkStart w:id="245" w:name="_Toc241687667"/>
      <w:bookmarkEnd w:id="244"/>
      <w:r w:rsidRPr="008B63B1">
        <w:rPr>
          <w:rFonts w:ascii="GHEA Grapalat" w:eastAsia="Times New Roman" w:hAnsi="GHEA Grapalat" w:cs="Times New Roman"/>
          <w:color w:val="A6A6A6"/>
          <w:szCs w:val="20"/>
          <w:lang w:val="hy-AM"/>
        </w:rPr>
        <w:t xml:space="preserve">1.5.2. ՏՆՏԵՍԱԿԱՆ ԱՃԻ ԴԵՊԻ </w:t>
      </w:r>
      <w:r w:rsidRPr="00F53DDF">
        <w:rPr>
          <w:rFonts w:ascii="GHEA Grapalat" w:eastAsia="Times New Roman" w:hAnsi="GHEA Grapalat" w:cs="Times New Roman"/>
          <w:color w:val="A6A6A6"/>
          <w:szCs w:val="20"/>
          <w:lang w:val="hy-AM"/>
        </w:rPr>
        <w:t>ՎԵՐԵՎ ՈՒՂՂՈՒԹՅԱՄԲ ՌԻՍԿԵՐ</w:t>
      </w:r>
      <w:bookmarkEnd w:id="245"/>
      <w:r w:rsidRPr="00F53DDF">
        <w:rPr>
          <w:rFonts w:ascii="GHEA Grapalat" w:eastAsia="Times New Roman" w:hAnsi="GHEA Grapalat" w:cs="Times New Roman"/>
          <w:color w:val="BFBFBF" w:themeColor="background1" w:themeShade="BF"/>
          <w:szCs w:val="20"/>
          <w:lang w:val="hy-AM"/>
        </w:rPr>
        <w:t xml:space="preserve"> </w:t>
      </w:r>
    </w:p>
    <w:p w14:paraId="1CCD6EDB" w14:textId="77777777" w:rsidR="00507805" w:rsidRPr="008B63B1" w:rsidRDefault="00507805" w:rsidP="00082769">
      <w:pPr>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 xml:space="preserve">Արտաքին գործոններից բխող դեպի վերև ռիսկերը պայմանավորված են՝ </w:t>
      </w:r>
    </w:p>
    <w:p w14:paraId="1022842E" w14:textId="77777777" w:rsidR="00507805" w:rsidRPr="008B63B1" w:rsidRDefault="00507805" w:rsidP="00082769">
      <w:pPr>
        <w:numPr>
          <w:ilvl w:val="0"/>
          <w:numId w:val="18"/>
        </w:numPr>
        <w:spacing w:before="40" w:after="0" w:line="312" w:lineRule="auto"/>
        <w:ind w:left="0" w:firstLine="0"/>
        <w:contextualSpacing/>
        <w:jc w:val="both"/>
        <w:rPr>
          <w:rFonts w:ascii="GHEA Grapalat" w:eastAsia="Calibri" w:hAnsi="GHEA Grapalat" w:cs="Sylfaen"/>
          <w:bCs/>
          <w:lang w:val="hy-AM"/>
        </w:rPr>
      </w:pPr>
      <w:r w:rsidRPr="008B63B1">
        <w:rPr>
          <w:rFonts w:ascii="GHEA Grapalat" w:eastAsia="Calibri" w:hAnsi="GHEA Grapalat" w:cs="Sylfaen"/>
          <w:bCs/>
          <w:lang w:val="hy-AM"/>
        </w:rPr>
        <w:t xml:space="preserve">Գլոբալ և տարածաշրջանային տնտեսական և աշխարհաքաղաքական վերափոխումների արդյունքում Հայաստանը՝ որպես առևտրային, լոգիստիկ և ֆինանսական հանգույց ծառայելու հնարավորությամբ, </w:t>
      </w:r>
    </w:p>
    <w:p w14:paraId="17358A2B" w14:textId="77777777" w:rsidR="00507805" w:rsidRPr="008B63B1" w:rsidRDefault="00507805" w:rsidP="00082769">
      <w:pPr>
        <w:numPr>
          <w:ilvl w:val="0"/>
          <w:numId w:val="18"/>
        </w:numPr>
        <w:spacing w:before="40" w:after="0" w:line="312" w:lineRule="auto"/>
        <w:ind w:left="0" w:firstLine="0"/>
        <w:contextualSpacing/>
        <w:jc w:val="both"/>
        <w:rPr>
          <w:rFonts w:ascii="GHEA Grapalat" w:eastAsia="Calibri" w:hAnsi="GHEA Grapalat" w:cs="Sylfaen"/>
          <w:bCs/>
          <w:lang w:val="hy-AM"/>
        </w:rPr>
      </w:pPr>
      <w:r w:rsidRPr="008B63B1">
        <w:rPr>
          <w:rFonts w:ascii="GHEA Grapalat" w:eastAsia="Calibri" w:hAnsi="GHEA Grapalat" w:cs="Sylfaen"/>
          <w:bCs/>
          <w:lang w:val="hy-AM"/>
        </w:rPr>
        <w:t>Միջազգային ֆինանսական պայմանների հնարավոր մեղմացմամբ և տոկոսադրույքների հետագա նվազմամբ,</w:t>
      </w:r>
    </w:p>
    <w:p w14:paraId="7C024299" w14:textId="77777777" w:rsidR="00507805" w:rsidRPr="008B63B1" w:rsidRDefault="00507805" w:rsidP="00082769">
      <w:pPr>
        <w:numPr>
          <w:ilvl w:val="0"/>
          <w:numId w:val="18"/>
        </w:numPr>
        <w:spacing w:before="40" w:after="0" w:line="312" w:lineRule="auto"/>
        <w:ind w:left="0" w:firstLine="0"/>
        <w:contextualSpacing/>
        <w:jc w:val="both"/>
        <w:rPr>
          <w:rFonts w:ascii="GHEA Grapalat" w:eastAsia="Calibri" w:hAnsi="GHEA Grapalat" w:cs="Sylfaen"/>
          <w:bCs/>
          <w:lang w:val="hy-AM"/>
        </w:rPr>
      </w:pPr>
      <w:r w:rsidRPr="008B63B1">
        <w:rPr>
          <w:rFonts w:ascii="GHEA Grapalat" w:eastAsia="Calibri" w:hAnsi="GHEA Grapalat" w:cs="Sylfaen"/>
          <w:bCs/>
          <w:lang w:val="hy-AM"/>
        </w:rPr>
        <w:t xml:space="preserve">Պղնձի և այլ մետաղների միջազգային գների սպասվածից ավելի բարձրացմամբ, </w:t>
      </w:r>
    </w:p>
    <w:p w14:paraId="7DC1E383" w14:textId="77777777" w:rsidR="00507805" w:rsidRPr="008B63B1" w:rsidRDefault="00507805" w:rsidP="00082769">
      <w:pPr>
        <w:numPr>
          <w:ilvl w:val="0"/>
          <w:numId w:val="18"/>
        </w:numPr>
        <w:spacing w:before="40" w:after="0" w:line="312" w:lineRule="auto"/>
        <w:ind w:left="0" w:firstLine="0"/>
        <w:contextualSpacing/>
        <w:jc w:val="both"/>
        <w:rPr>
          <w:rFonts w:ascii="GHEA Grapalat" w:eastAsia="Calibri" w:hAnsi="GHEA Grapalat" w:cs="Sylfaen"/>
          <w:bCs/>
          <w:lang w:val="hy-AM"/>
        </w:rPr>
      </w:pPr>
      <w:r w:rsidRPr="008B63B1">
        <w:rPr>
          <w:rFonts w:ascii="GHEA Grapalat" w:eastAsia="Calibri" w:hAnsi="GHEA Grapalat" w:cs="Sylfaen"/>
          <w:bCs/>
          <w:lang w:val="hy-AM"/>
        </w:rPr>
        <w:t>Բարձր տեխնոլոգիական ծառայությունների համաշխարհային պահանջարկի սպասվածից ավելի արագ աճով,</w:t>
      </w:r>
    </w:p>
    <w:p w14:paraId="12420337" w14:textId="77777777" w:rsidR="00507805" w:rsidRPr="008B63B1" w:rsidRDefault="00507805" w:rsidP="00082769">
      <w:pPr>
        <w:numPr>
          <w:ilvl w:val="0"/>
          <w:numId w:val="18"/>
        </w:numPr>
        <w:spacing w:before="40" w:after="0" w:line="312" w:lineRule="auto"/>
        <w:ind w:left="0" w:firstLine="0"/>
        <w:contextualSpacing/>
        <w:jc w:val="both"/>
        <w:rPr>
          <w:rFonts w:ascii="GHEA Grapalat" w:eastAsia="Calibri" w:hAnsi="GHEA Grapalat" w:cs="Sylfaen"/>
          <w:bCs/>
          <w:lang w:val="hy-AM"/>
        </w:rPr>
      </w:pPr>
      <w:r w:rsidRPr="008B63B1">
        <w:rPr>
          <w:rFonts w:ascii="GHEA Grapalat" w:eastAsia="Times New Roman" w:hAnsi="GHEA Grapalat" w:cs="Times New Roman"/>
          <w:lang w:val="hy-AM"/>
        </w:rPr>
        <w:t>Արհեստական բանականության, տվյալների մշակման կենտրոնների և բարձր տեխնոլոգիական ներդրումների սպասվածից արագ ընդլայնում ՀՀ-ում:</w:t>
      </w:r>
    </w:p>
    <w:p w14:paraId="09821ABE" w14:textId="77777777" w:rsidR="00507805" w:rsidRPr="008B63B1" w:rsidRDefault="00507805" w:rsidP="00082769">
      <w:pPr>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 xml:space="preserve">Ներքին միջավայրից բխող դեպի վերև ռիսկերը պայմանավորված են` </w:t>
      </w:r>
    </w:p>
    <w:p w14:paraId="5F48A29E" w14:textId="77777777" w:rsidR="00507805" w:rsidRPr="008B63B1" w:rsidRDefault="00507805" w:rsidP="00082769">
      <w:pPr>
        <w:numPr>
          <w:ilvl w:val="0"/>
          <w:numId w:val="18"/>
        </w:numPr>
        <w:spacing w:before="40" w:after="0" w:line="312" w:lineRule="auto"/>
        <w:ind w:left="0" w:firstLine="0"/>
        <w:contextualSpacing/>
        <w:jc w:val="both"/>
        <w:rPr>
          <w:rFonts w:ascii="GHEA Grapalat" w:eastAsia="Calibri" w:hAnsi="GHEA Grapalat" w:cs="Sylfaen"/>
          <w:bCs/>
          <w:lang w:val="hy-AM"/>
        </w:rPr>
      </w:pPr>
      <w:r w:rsidRPr="008B63B1">
        <w:rPr>
          <w:rFonts w:ascii="GHEA Grapalat" w:eastAsia="Calibri" w:hAnsi="GHEA Grapalat" w:cs="Sylfaen"/>
          <w:bCs/>
          <w:lang w:val="hy-AM"/>
        </w:rPr>
        <w:t>Ավելի բարձր կայուն տնտեսական աճին հասնելու համար անհրաժեշտ լրացուցիչ ջանքերի, մասնավորապես, մարդկային և ֆիզիկական կապիտալում ներդրումների, ինչպես նաև մասնավոր ներդրումների, զբաղվածության, արտահանման խթանմանն և տնտեսության արտադրողականության բարձրացմանն ուղղված միջոցառումների սպասվածից առավել արագ և արդյունավետ իրականացմամբ,</w:t>
      </w:r>
    </w:p>
    <w:p w14:paraId="00937F10" w14:textId="77777777" w:rsidR="00507805" w:rsidRPr="008B63B1" w:rsidRDefault="00507805" w:rsidP="00082769">
      <w:pPr>
        <w:numPr>
          <w:ilvl w:val="0"/>
          <w:numId w:val="18"/>
        </w:numPr>
        <w:spacing w:before="40" w:after="0" w:line="312" w:lineRule="auto"/>
        <w:ind w:left="0" w:firstLine="0"/>
        <w:contextualSpacing/>
        <w:jc w:val="both"/>
        <w:rPr>
          <w:rFonts w:ascii="GHEA Grapalat" w:eastAsia="Calibri" w:hAnsi="GHEA Grapalat" w:cs="Sylfaen"/>
          <w:bCs/>
          <w:lang w:val="hy-AM"/>
        </w:rPr>
      </w:pPr>
      <w:r w:rsidRPr="008B63B1">
        <w:rPr>
          <w:rFonts w:ascii="GHEA Grapalat" w:eastAsia="Calibri" w:hAnsi="GHEA Grapalat" w:cs="Sylfaen"/>
          <w:bCs/>
          <w:lang w:val="hy-AM"/>
        </w:rPr>
        <w:t>Ամուլսարի հանքավայրի սպասվածից ավելի շատ արդյունահանմամբ,</w:t>
      </w:r>
    </w:p>
    <w:p w14:paraId="357E3F5C" w14:textId="77777777" w:rsidR="00507805" w:rsidRPr="008B63B1" w:rsidRDefault="00507805" w:rsidP="00082769">
      <w:pPr>
        <w:numPr>
          <w:ilvl w:val="0"/>
          <w:numId w:val="18"/>
        </w:numPr>
        <w:spacing w:before="40" w:after="0" w:line="312" w:lineRule="auto"/>
        <w:ind w:left="0" w:firstLine="0"/>
        <w:contextualSpacing/>
        <w:jc w:val="both"/>
        <w:rPr>
          <w:rFonts w:ascii="GHEA Grapalat" w:eastAsia="Calibri" w:hAnsi="GHEA Grapalat" w:cs="Sylfaen"/>
          <w:bCs/>
          <w:lang w:val="hy-AM"/>
        </w:rPr>
      </w:pPr>
      <w:r w:rsidRPr="008B63B1">
        <w:rPr>
          <w:rFonts w:ascii="GHEA Grapalat" w:eastAsia="Times New Roman" w:hAnsi="GHEA Grapalat" w:cs="Times New Roman"/>
          <w:lang w:val="hy-AM"/>
        </w:rPr>
        <w:t>Հայաստանի տարանցիկ և լոգիստիկ դերակատարության ընդլայնմամբ՝ լրացուցիչ տնտեսական ակտիվություն ստեղծելով,</w:t>
      </w:r>
    </w:p>
    <w:p w14:paraId="47518F41" w14:textId="77777777" w:rsidR="00507805" w:rsidRPr="001D56CB" w:rsidRDefault="00507805" w:rsidP="001D56CB">
      <w:pPr>
        <w:pStyle w:val="Charts"/>
        <w:ind w:right="-22"/>
        <w:rPr>
          <w:b w:val="0"/>
          <w:bCs/>
          <w:color w:val="auto"/>
          <w:sz w:val="20"/>
          <w:szCs w:val="18"/>
        </w:rPr>
      </w:pPr>
      <w:r w:rsidRPr="001D56CB">
        <w:rPr>
          <w:b w:val="0"/>
          <w:bCs/>
          <w:color w:val="auto"/>
          <w:sz w:val="20"/>
          <w:szCs w:val="18"/>
        </w:rPr>
        <w:t xml:space="preserve">Գծապատկեր 1.36. Իրական ՀՆԱ-ի աճի կանխատեսման հավանականությունների բաշխումը (Fan Chart) </w:t>
      </w:r>
    </w:p>
    <w:p w14:paraId="1EF185F5" w14:textId="77777777" w:rsidR="00507805" w:rsidRPr="008B63B1" w:rsidRDefault="00507805" w:rsidP="00082769">
      <w:pPr>
        <w:rPr>
          <w:rFonts w:ascii="GHEA Grapalat" w:eastAsia="Times New Roman" w:hAnsi="GHEA Grapalat" w:cs="Times New Roman"/>
          <w:i/>
          <w:color w:val="A6A6A6"/>
          <w:sz w:val="18"/>
          <w:lang w:val="hy-AM"/>
        </w:rPr>
      </w:pPr>
      <w:r w:rsidRPr="008B63B1">
        <w:rPr>
          <w:rFonts w:ascii="GHEA Grapalat" w:eastAsia="Times New Roman" w:hAnsi="GHEA Grapalat" w:cs="Times New Roman"/>
          <w:i/>
          <w:noProof/>
          <w:color w:val="A6A6A6"/>
          <w:sz w:val="18"/>
        </w:rPr>
        <w:drawing>
          <wp:inline distT="0" distB="0" distL="0" distR="0" wp14:anchorId="012F2171" wp14:editId="08229231">
            <wp:extent cx="6123940" cy="2282825"/>
            <wp:effectExtent l="0" t="0" r="10160" b="3175"/>
            <wp:docPr id="40" name="Chart 40">
              <a:extLst xmlns:a="http://schemas.openxmlformats.org/drawingml/2006/main">
                <a:ext uri="{FF2B5EF4-FFF2-40B4-BE49-F238E27FC236}">
                  <a16:creationId xmlns:a16="http://schemas.microsoft.com/office/drawing/2014/main" id="{C6B2E22B-3FFE-454C-997E-126CF6BF6F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32ACDD93" w14:textId="77777777" w:rsidR="00507805" w:rsidRPr="008B63B1" w:rsidRDefault="00507805" w:rsidP="00082769">
      <w:pPr>
        <w:rPr>
          <w:rFonts w:ascii="GHEA Grapalat" w:eastAsia="Times New Roman" w:hAnsi="GHEA Grapalat" w:cs="Times New Roman"/>
          <w:i/>
          <w:color w:val="A6A6A6"/>
          <w:sz w:val="18"/>
          <w:lang w:val="hy-AM"/>
        </w:rPr>
      </w:pPr>
      <w:r w:rsidRPr="008B63B1">
        <w:rPr>
          <w:rFonts w:ascii="GHEA Grapalat" w:eastAsia="Times New Roman" w:hAnsi="GHEA Grapalat" w:cs="Times New Roman"/>
          <w:i/>
          <w:color w:val="A6A6A6"/>
          <w:sz w:val="18"/>
          <w:lang w:val="hy-AM"/>
        </w:rPr>
        <w:t>Աղբյուրը՝ ՀՀ ՖՆ գնահատումներ և կանխատեսումներ</w:t>
      </w:r>
    </w:p>
    <w:p w14:paraId="2CBD1483" w14:textId="77777777" w:rsidR="00507805" w:rsidRPr="001D56CB" w:rsidRDefault="00507805" w:rsidP="001D56CB">
      <w:pPr>
        <w:pStyle w:val="Charts"/>
        <w:ind w:right="-22"/>
        <w:rPr>
          <w:b w:val="0"/>
          <w:bCs/>
          <w:color w:val="auto"/>
          <w:sz w:val="20"/>
          <w:szCs w:val="18"/>
        </w:rPr>
      </w:pPr>
      <w:r w:rsidRPr="001D56CB">
        <w:rPr>
          <w:b w:val="0"/>
          <w:bCs/>
          <w:color w:val="auto"/>
          <w:sz w:val="20"/>
          <w:szCs w:val="18"/>
        </w:rPr>
        <w:t>Աղյուսակ 1.3. Իրական ՀՆԱ-ի աճի կանխատեսման հավանականությունների բաշխումը</w:t>
      </w:r>
      <w:r w:rsidRPr="001D56CB">
        <w:rPr>
          <w:b w:val="0"/>
          <w:bCs/>
          <w:color w:val="auto"/>
          <w:sz w:val="20"/>
          <w:szCs w:val="18"/>
        </w:rPr>
        <w:footnoteReference w:id="19"/>
      </w:r>
    </w:p>
    <w:tbl>
      <w:tblPr>
        <w:tblW w:w="973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1818"/>
        <w:gridCol w:w="1711"/>
        <w:gridCol w:w="1818"/>
        <w:gridCol w:w="1935"/>
      </w:tblGrid>
      <w:tr w:rsidR="00507805" w:rsidRPr="003612ED" w14:paraId="7B86A415" w14:textId="77777777" w:rsidTr="00873AE6">
        <w:trPr>
          <w:trHeight w:val="432"/>
        </w:trPr>
        <w:tc>
          <w:tcPr>
            <w:tcW w:w="2448" w:type="dxa"/>
            <w:vMerge w:val="restart"/>
            <w:shd w:val="clear" w:color="auto" w:fill="D5DCE4"/>
            <w:hideMark/>
          </w:tcPr>
          <w:p w14:paraId="6CC8C3B3"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lang w:val="ru-RU"/>
              </w:rPr>
            </w:pPr>
            <w:r w:rsidRPr="008B63B1">
              <w:rPr>
                <w:rFonts w:ascii="GHEA Grapalat" w:eastAsia="Times New Roman" w:hAnsi="GHEA Grapalat" w:cs="Times New Roman"/>
                <w:color w:val="404040"/>
                <w:sz w:val="18"/>
                <w:szCs w:val="18"/>
              </w:rPr>
              <w:t>Տնտեսական աճի միջակայք, %</w:t>
            </w:r>
          </w:p>
        </w:tc>
        <w:tc>
          <w:tcPr>
            <w:tcW w:w="7282" w:type="dxa"/>
            <w:gridSpan w:val="4"/>
            <w:shd w:val="clear" w:color="auto" w:fill="D5DCE4"/>
            <w:vAlign w:val="center"/>
            <w:hideMark/>
          </w:tcPr>
          <w:p w14:paraId="6D088942"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lang w:val="ru-RU"/>
              </w:rPr>
            </w:pPr>
            <w:r w:rsidRPr="008B63B1">
              <w:rPr>
                <w:rFonts w:ascii="GHEA Grapalat" w:eastAsia="Times New Roman" w:hAnsi="GHEA Grapalat" w:cs="Times New Roman"/>
                <w:color w:val="404040"/>
                <w:sz w:val="18"/>
                <w:szCs w:val="18"/>
              </w:rPr>
              <w:t>Տնտեսական</w:t>
            </w:r>
            <w:r w:rsidRPr="008B63B1">
              <w:rPr>
                <w:rFonts w:ascii="GHEA Grapalat" w:eastAsia="Times New Roman" w:hAnsi="GHEA Grapalat" w:cs="Times New Roman"/>
                <w:color w:val="404040"/>
                <w:sz w:val="18"/>
                <w:szCs w:val="18"/>
                <w:lang w:val="ru-RU"/>
              </w:rPr>
              <w:t xml:space="preserve"> </w:t>
            </w:r>
            <w:r w:rsidRPr="008B63B1">
              <w:rPr>
                <w:rFonts w:ascii="GHEA Grapalat" w:eastAsia="Times New Roman" w:hAnsi="GHEA Grapalat" w:cs="Times New Roman"/>
                <w:color w:val="404040"/>
                <w:sz w:val="18"/>
                <w:szCs w:val="18"/>
              </w:rPr>
              <w:t>աճի</w:t>
            </w:r>
            <w:r w:rsidRPr="008B63B1">
              <w:rPr>
                <w:rFonts w:ascii="GHEA Grapalat" w:eastAsia="Times New Roman" w:hAnsi="GHEA Grapalat" w:cs="Times New Roman"/>
                <w:color w:val="404040"/>
                <w:sz w:val="18"/>
                <w:szCs w:val="18"/>
                <w:lang w:val="ru-RU"/>
              </w:rPr>
              <w:t xml:space="preserve">` </w:t>
            </w:r>
            <w:r w:rsidRPr="008B63B1">
              <w:rPr>
                <w:rFonts w:ascii="GHEA Grapalat" w:eastAsia="Times New Roman" w:hAnsi="GHEA Grapalat" w:cs="Times New Roman"/>
                <w:color w:val="404040"/>
                <w:sz w:val="18"/>
                <w:szCs w:val="18"/>
              </w:rPr>
              <w:t>տվյալ</w:t>
            </w:r>
            <w:r w:rsidRPr="008B63B1">
              <w:rPr>
                <w:rFonts w:ascii="GHEA Grapalat" w:eastAsia="Times New Roman" w:hAnsi="GHEA Grapalat" w:cs="Times New Roman"/>
                <w:color w:val="404040"/>
                <w:sz w:val="18"/>
                <w:szCs w:val="18"/>
                <w:lang w:val="ru-RU"/>
              </w:rPr>
              <w:t xml:space="preserve"> </w:t>
            </w:r>
            <w:r w:rsidRPr="008B63B1">
              <w:rPr>
                <w:rFonts w:ascii="GHEA Grapalat" w:eastAsia="Times New Roman" w:hAnsi="GHEA Grapalat" w:cs="Times New Roman"/>
                <w:color w:val="404040"/>
                <w:sz w:val="18"/>
                <w:szCs w:val="18"/>
              </w:rPr>
              <w:t>միջակայքում</w:t>
            </w:r>
            <w:r w:rsidRPr="008B63B1">
              <w:rPr>
                <w:rFonts w:ascii="GHEA Grapalat" w:eastAsia="Times New Roman" w:hAnsi="GHEA Grapalat" w:cs="Times New Roman"/>
                <w:color w:val="404040"/>
                <w:sz w:val="18"/>
                <w:szCs w:val="18"/>
                <w:lang w:val="ru-RU"/>
              </w:rPr>
              <w:t xml:space="preserve"> </w:t>
            </w:r>
            <w:r w:rsidRPr="008B63B1">
              <w:rPr>
                <w:rFonts w:ascii="GHEA Grapalat" w:eastAsia="Times New Roman" w:hAnsi="GHEA Grapalat" w:cs="Times New Roman"/>
                <w:color w:val="404040"/>
                <w:sz w:val="18"/>
                <w:szCs w:val="18"/>
              </w:rPr>
              <w:t>ձևավորվելու</w:t>
            </w:r>
            <w:r w:rsidRPr="008B63B1">
              <w:rPr>
                <w:rFonts w:ascii="GHEA Grapalat" w:eastAsia="Times New Roman" w:hAnsi="GHEA Grapalat" w:cs="Times New Roman"/>
                <w:color w:val="404040"/>
                <w:sz w:val="18"/>
                <w:szCs w:val="18"/>
                <w:lang w:val="ru-RU"/>
              </w:rPr>
              <w:t xml:space="preserve"> </w:t>
            </w:r>
            <w:r w:rsidRPr="008B63B1">
              <w:rPr>
                <w:rFonts w:ascii="GHEA Grapalat" w:eastAsia="Times New Roman" w:hAnsi="GHEA Grapalat" w:cs="Times New Roman"/>
                <w:color w:val="404040"/>
                <w:sz w:val="18"/>
                <w:szCs w:val="18"/>
              </w:rPr>
              <w:t>հավանականություն</w:t>
            </w:r>
            <w:r w:rsidRPr="008B63B1">
              <w:rPr>
                <w:rFonts w:ascii="GHEA Grapalat" w:eastAsia="Times New Roman" w:hAnsi="GHEA Grapalat" w:cs="Times New Roman"/>
                <w:color w:val="404040"/>
                <w:sz w:val="18"/>
                <w:szCs w:val="18"/>
                <w:lang w:val="ru-RU"/>
              </w:rPr>
              <w:t xml:space="preserve"> (0–1 սանդղակ)</w:t>
            </w:r>
          </w:p>
        </w:tc>
      </w:tr>
      <w:tr w:rsidR="00507805" w:rsidRPr="008B63B1" w14:paraId="53254DB6" w14:textId="77777777" w:rsidTr="00873AE6">
        <w:trPr>
          <w:trHeight w:val="432"/>
        </w:trPr>
        <w:tc>
          <w:tcPr>
            <w:tcW w:w="2448" w:type="dxa"/>
            <w:vMerge/>
            <w:vAlign w:val="center"/>
            <w:hideMark/>
          </w:tcPr>
          <w:p w14:paraId="7751A440" w14:textId="77777777" w:rsidR="00507805" w:rsidRPr="008B63B1" w:rsidRDefault="00507805" w:rsidP="00082769">
            <w:pPr>
              <w:spacing w:after="0" w:line="240" w:lineRule="auto"/>
              <w:jc w:val="both"/>
              <w:rPr>
                <w:rFonts w:ascii="GHEA Grapalat" w:eastAsia="Times New Roman" w:hAnsi="GHEA Grapalat" w:cs="Times New Roman"/>
                <w:color w:val="404040"/>
                <w:sz w:val="18"/>
                <w:szCs w:val="18"/>
                <w:lang w:val="ru-RU" w:eastAsia="ru-RU"/>
              </w:rPr>
            </w:pPr>
          </w:p>
        </w:tc>
        <w:tc>
          <w:tcPr>
            <w:tcW w:w="1818" w:type="dxa"/>
            <w:shd w:val="clear" w:color="auto" w:fill="D5DCE4"/>
            <w:vAlign w:val="center"/>
            <w:hideMark/>
          </w:tcPr>
          <w:p w14:paraId="12171760"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2026</w:t>
            </w:r>
          </w:p>
        </w:tc>
        <w:tc>
          <w:tcPr>
            <w:tcW w:w="1711" w:type="dxa"/>
            <w:shd w:val="clear" w:color="auto" w:fill="D5DCE4"/>
            <w:noWrap/>
            <w:vAlign w:val="center"/>
          </w:tcPr>
          <w:p w14:paraId="1AE8758D"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2027</w:t>
            </w:r>
          </w:p>
        </w:tc>
        <w:tc>
          <w:tcPr>
            <w:tcW w:w="1818" w:type="dxa"/>
            <w:shd w:val="clear" w:color="auto" w:fill="D5DCE4"/>
            <w:vAlign w:val="center"/>
          </w:tcPr>
          <w:p w14:paraId="62F25420"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2028</w:t>
            </w:r>
          </w:p>
        </w:tc>
        <w:tc>
          <w:tcPr>
            <w:tcW w:w="1935" w:type="dxa"/>
            <w:shd w:val="clear" w:color="auto" w:fill="D5DCE4"/>
            <w:noWrap/>
            <w:vAlign w:val="center"/>
          </w:tcPr>
          <w:p w14:paraId="0592286B"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lang w:val="hy-AM"/>
              </w:rPr>
              <w:t>2029</w:t>
            </w:r>
          </w:p>
        </w:tc>
      </w:tr>
      <w:tr w:rsidR="00507805" w:rsidRPr="008B63B1" w14:paraId="195DD83F" w14:textId="77777777" w:rsidTr="00873AE6">
        <w:trPr>
          <w:trHeight w:val="432"/>
        </w:trPr>
        <w:tc>
          <w:tcPr>
            <w:tcW w:w="2448" w:type="dxa"/>
            <w:noWrap/>
            <w:vAlign w:val="center"/>
            <w:hideMark/>
          </w:tcPr>
          <w:p w14:paraId="59232BD6"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2.0%-3.5%</w:t>
            </w:r>
          </w:p>
        </w:tc>
        <w:tc>
          <w:tcPr>
            <w:tcW w:w="1818" w:type="dxa"/>
            <w:noWrap/>
          </w:tcPr>
          <w:p w14:paraId="3555A016"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lang w:val="ru-RU"/>
              </w:rPr>
            </w:pPr>
            <w:r w:rsidRPr="008B63B1">
              <w:rPr>
                <w:rFonts w:ascii="GHEA Grapalat" w:eastAsia="Times New Roman" w:hAnsi="GHEA Grapalat" w:cs="Times New Roman"/>
                <w:color w:val="404040"/>
              </w:rPr>
              <w:t>0.155</w:t>
            </w:r>
          </w:p>
        </w:tc>
        <w:tc>
          <w:tcPr>
            <w:tcW w:w="1711" w:type="dxa"/>
            <w:noWrap/>
          </w:tcPr>
          <w:p w14:paraId="30EB42AF"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rPr>
              <w:t>0.137</w:t>
            </w:r>
          </w:p>
        </w:tc>
        <w:tc>
          <w:tcPr>
            <w:tcW w:w="1818" w:type="dxa"/>
            <w:noWrap/>
          </w:tcPr>
          <w:p w14:paraId="4C6A137B"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rPr>
              <w:t>0.125</w:t>
            </w:r>
          </w:p>
        </w:tc>
        <w:tc>
          <w:tcPr>
            <w:tcW w:w="1935" w:type="dxa"/>
            <w:noWrap/>
          </w:tcPr>
          <w:p w14:paraId="1C7A42B5"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rPr>
              <w:t>0.131</w:t>
            </w:r>
          </w:p>
        </w:tc>
      </w:tr>
      <w:tr w:rsidR="00507805" w:rsidRPr="008B63B1" w14:paraId="2D531975" w14:textId="77777777" w:rsidTr="00873AE6">
        <w:trPr>
          <w:trHeight w:val="432"/>
        </w:trPr>
        <w:tc>
          <w:tcPr>
            <w:tcW w:w="2448" w:type="dxa"/>
            <w:noWrap/>
            <w:vAlign w:val="center"/>
            <w:hideMark/>
          </w:tcPr>
          <w:p w14:paraId="403DAF18"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3.5%-5.0%</w:t>
            </w:r>
          </w:p>
        </w:tc>
        <w:tc>
          <w:tcPr>
            <w:tcW w:w="1818" w:type="dxa"/>
            <w:noWrap/>
          </w:tcPr>
          <w:p w14:paraId="19730D21"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rPr>
              <w:t>0.240</w:t>
            </w:r>
          </w:p>
        </w:tc>
        <w:tc>
          <w:tcPr>
            <w:tcW w:w="1711" w:type="dxa"/>
            <w:noWrap/>
          </w:tcPr>
          <w:p w14:paraId="6DCB638F"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rPr>
              <w:t>0.192</w:t>
            </w:r>
          </w:p>
        </w:tc>
        <w:tc>
          <w:tcPr>
            <w:tcW w:w="1818" w:type="dxa"/>
            <w:noWrap/>
          </w:tcPr>
          <w:p w14:paraId="2EB7441C"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rPr>
              <w:t>0.178</w:t>
            </w:r>
          </w:p>
        </w:tc>
        <w:tc>
          <w:tcPr>
            <w:tcW w:w="1935" w:type="dxa"/>
            <w:noWrap/>
          </w:tcPr>
          <w:p w14:paraId="47BCB406"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rPr>
              <w:t>0.182</w:t>
            </w:r>
          </w:p>
        </w:tc>
      </w:tr>
      <w:tr w:rsidR="00507805" w:rsidRPr="008B63B1" w14:paraId="0E60C6F5" w14:textId="77777777" w:rsidTr="00873AE6">
        <w:trPr>
          <w:trHeight w:val="432"/>
        </w:trPr>
        <w:tc>
          <w:tcPr>
            <w:tcW w:w="2448" w:type="dxa"/>
            <w:noWrap/>
            <w:vAlign w:val="center"/>
          </w:tcPr>
          <w:p w14:paraId="680457B9"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lang w:val="hy-AM"/>
              </w:rPr>
              <w:t>5.</w:t>
            </w:r>
            <w:r w:rsidRPr="008B63B1">
              <w:rPr>
                <w:rFonts w:ascii="GHEA Grapalat" w:eastAsia="Times New Roman" w:hAnsi="GHEA Grapalat" w:cs="Times New Roman"/>
                <w:b/>
                <w:color w:val="404040"/>
                <w:sz w:val="18"/>
                <w:szCs w:val="18"/>
              </w:rPr>
              <w:t>0%-6.5%</w:t>
            </w:r>
          </w:p>
        </w:tc>
        <w:tc>
          <w:tcPr>
            <w:tcW w:w="1818" w:type="dxa"/>
            <w:noWrap/>
          </w:tcPr>
          <w:p w14:paraId="09A63338" w14:textId="77777777" w:rsidR="00507805" w:rsidRPr="008B63B1" w:rsidRDefault="00507805" w:rsidP="00082769">
            <w:pPr>
              <w:spacing w:after="0" w:line="240" w:lineRule="auto"/>
              <w:jc w:val="center"/>
              <w:rPr>
                <w:rFonts w:ascii="GHEA Grapalat" w:eastAsia="Times New Roman" w:hAnsi="GHEA Grapalat" w:cs="Times New Roman"/>
                <w:b/>
                <w:color w:val="404040"/>
              </w:rPr>
            </w:pPr>
            <w:r w:rsidRPr="008B63B1">
              <w:rPr>
                <w:rFonts w:ascii="GHEA Grapalat" w:eastAsia="Times New Roman" w:hAnsi="GHEA Grapalat" w:cs="Times New Roman"/>
                <w:b/>
                <w:color w:val="404040"/>
              </w:rPr>
              <w:t>0.266</w:t>
            </w:r>
          </w:p>
        </w:tc>
        <w:tc>
          <w:tcPr>
            <w:tcW w:w="1711" w:type="dxa"/>
            <w:noWrap/>
          </w:tcPr>
          <w:p w14:paraId="4807AB1C" w14:textId="77777777" w:rsidR="00507805" w:rsidRPr="008B63B1" w:rsidRDefault="00507805" w:rsidP="00082769">
            <w:pPr>
              <w:spacing w:after="0" w:line="240" w:lineRule="auto"/>
              <w:jc w:val="center"/>
              <w:rPr>
                <w:rFonts w:ascii="GHEA Grapalat" w:eastAsia="Times New Roman" w:hAnsi="GHEA Grapalat" w:cs="Times New Roman"/>
                <w:b/>
                <w:color w:val="404040"/>
              </w:rPr>
            </w:pPr>
            <w:r w:rsidRPr="008B63B1">
              <w:rPr>
                <w:rFonts w:ascii="GHEA Grapalat" w:eastAsia="Times New Roman" w:hAnsi="GHEA Grapalat" w:cs="Times New Roman"/>
                <w:b/>
                <w:color w:val="404040"/>
              </w:rPr>
              <w:t>0.215</w:t>
            </w:r>
          </w:p>
        </w:tc>
        <w:tc>
          <w:tcPr>
            <w:tcW w:w="1818" w:type="dxa"/>
            <w:noWrap/>
          </w:tcPr>
          <w:p w14:paraId="693C1AC0" w14:textId="77777777" w:rsidR="00507805" w:rsidRPr="008B63B1" w:rsidRDefault="00507805" w:rsidP="00082769">
            <w:pPr>
              <w:spacing w:after="0" w:line="240" w:lineRule="auto"/>
              <w:jc w:val="center"/>
              <w:rPr>
                <w:rFonts w:ascii="GHEA Grapalat" w:eastAsia="Times New Roman" w:hAnsi="GHEA Grapalat" w:cs="Times New Roman"/>
                <w:b/>
                <w:color w:val="404040"/>
              </w:rPr>
            </w:pPr>
            <w:r w:rsidRPr="008B63B1">
              <w:rPr>
                <w:rFonts w:ascii="GHEA Grapalat" w:eastAsia="Times New Roman" w:hAnsi="GHEA Grapalat" w:cs="Times New Roman"/>
                <w:b/>
                <w:color w:val="404040"/>
              </w:rPr>
              <w:t>0.207</w:t>
            </w:r>
          </w:p>
        </w:tc>
        <w:tc>
          <w:tcPr>
            <w:tcW w:w="1935" w:type="dxa"/>
            <w:noWrap/>
          </w:tcPr>
          <w:p w14:paraId="41DB1FD3" w14:textId="77777777" w:rsidR="00507805" w:rsidRPr="008B63B1" w:rsidRDefault="00507805" w:rsidP="00082769">
            <w:pPr>
              <w:spacing w:after="0" w:line="240" w:lineRule="auto"/>
              <w:jc w:val="center"/>
              <w:rPr>
                <w:rFonts w:ascii="GHEA Grapalat" w:eastAsia="Times New Roman" w:hAnsi="GHEA Grapalat" w:cs="Times New Roman"/>
                <w:b/>
                <w:color w:val="404040"/>
              </w:rPr>
            </w:pPr>
            <w:r w:rsidRPr="008B63B1">
              <w:rPr>
                <w:rFonts w:ascii="GHEA Grapalat" w:eastAsia="Times New Roman" w:hAnsi="GHEA Grapalat" w:cs="Times New Roman"/>
                <w:b/>
                <w:color w:val="404040"/>
              </w:rPr>
              <w:t>0.206</w:t>
            </w:r>
          </w:p>
        </w:tc>
      </w:tr>
      <w:tr w:rsidR="00507805" w:rsidRPr="008B63B1" w14:paraId="0B788F30" w14:textId="77777777" w:rsidTr="00873AE6">
        <w:trPr>
          <w:trHeight w:val="432"/>
        </w:trPr>
        <w:tc>
          <w:tcPr>
            <w:tcW w:w="2448" w:type="dxa"/>
            <w:noWrap/>
            <w:vAlign w:val="center"/>
          </w:tcPr>
          <w:p w14:paraId="31BD6EA9"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6.5%-8.0%</w:t>
            </w:r>
          </w:p>
        </w:tc>
        <w:tc>
          <w:tcPr>
            <w:tcW w:w="1818" w:type="dxa"/>
            <w:noWrap/>
          </w:tcPr>
          <w:p w14:paraId="4B4B1213" w14:textId="77777777" w:rsidR="00507805" w:rsidRPr="008B63B1" w:rsidRDefault="00507805" w:rsidP="00082769">
            <w:pPr>
              <w:spacing w:after="0" w:line="240" w:lineRule="auto"/>
              <w:jc w:val="center"/>
              <w:rPr>
                <w:rFonts w:ascii="GHEA Grapalat" w:eastAsia="Times New Roman" w:hAnsi="GHEA Grapalat" w:cs="Times New Roman"/>
                <w:b/>
                <w:color w:val="404040"/>
              </w:rPr>
            </w:pPr>
            <w:r w:rsidRPr="008B63B1">
              <w:rPr>
                <w:rFonts w:ascii="GHEA Grapalat" w:eastAsia="Times New Roman" w:hAnsi="GHEA Grapalat" w:cs="Times New Roman"/>
                <w:color w:val="404040"/>
              </w:rPr>
              <w:t>0.171</w:t>
            </w:r>
          </w:p>
        </w:tc>
        <w:tc>
          <w:tcPr>
            <w:tcW w:w="1711" w:type="dxa"/>
            <w:noWrap/>
          </w:tcPr>
          <w:p w14:paraId="1A014416" w14:textId="77777777" w:rsidR="00507805" w:rsidRPr="008B63B1" w:rsidRDefault="00507805" w:rsidP="00082769">
            <w:pPr>
              <w:spacing w:after="0" w:line="240" w:lineRule="auto"/>
              <w:jc w:val="center"/>
              <w:rPr>
                <w:rFonts w:ascii="GHEA Grapalat" w:eastAsia="Times New Roman" w:hAnsi="GHEA Grapalat" w:cs="Times New Roman"/>
                <w:b/>
                <w:color w:val="404040"/>
              </w:rPr>
            </w:pPr>
            <w:r w:rsidRPr="008B63B1">
              <w:rPr>
                <w:rFonts w:ascii="GHEA Grapalat" w:eastAsia="Times New Roman" w:hAnsi="GHEA Grapalat" w:cs="Times New Roman"/>
                <w:color w:val="404040"/>
              </w:rPr>
              <w:t>0.178</w:t>
            </w:r>
          </w:p>
        </w:tc>
        <w:tc>
          <w:tcPr>
            <w:tcW w:w="1818" w:type="dxa"/>
            <w:noWrap/>
          </w:tcPr>
          <w:p w14:paraId="3D9DCA06" w14:textId="77777777" w:rsidR="00507805" w:rsidRPr="008B63B1" w:rsidRDefault="00507805" w:rsidP="00082769">
            <w:pPr>
              <w:spacing w:after="0" w:line="240" w:lineRule="auto"/>
              <w:jc w:val="center"/>
              <w:rPr>
                <w:rFonts w:ascii="GHEA Grapalat" w:eastAsia="Times New Roman" w:hAnsi="GHEA Grapalat" w:cs="Times New Roman"/>
                <w:b/>
                <w:color w:val="404040"/>
              </w:rPr>
            </w:pPr>
            <w:r w:rsidRPr="008B63B1">
              <w:rPr>
                <w:rFonts w:ascii="GHEA Grapalat" w:eastAsia="Times New Roman" w:hAnsi="GHEA Grapalat" w:cs="Times New Roman"/>
                <w:color w:val="404040"/>
              </w:rPr>
              <w:t>0.185</w:t>
            </w:r>
          </w:p>
        </w:tc>
        <w:tc>
          <w:tcPr>
            <w:tcW w:w="1935" w:type="dxa"/>
            <w:noWrap/>
          </w:tcPr>
          <w:p w14:paraId="695C0D56" w14:textId="77777777" w:rsidR="00507805" w:rsidRPr="008B63B1" w:rsidRDefault="00507805" w:rsidP="00082769">
            <w:pPr>
              <w:spacing w:after="0" w:line="240" w:lineRule="auto"/>
              <w:jc w:val="center"/>
              <w:rPr>
                <w:rFonts w:ascii="GHEA Grapalat" w:eastAsia="Times New Roman" w:hAnsi="GHEA Grapalat" w:cs="Times New Roman"/>
                <w:b/>
                <w:color w:val="404040"/>
              </w:rPr>
            </w:pPr>
            <w:r w:rsidRPr="008B63B1">
              <w:rPr>
                <w:rFonts w:ascii="GHEA Grapalat" w:eastAsia="Times New Roman" w:hAnsi="GHEA Grapalat" w:cs="Times New Roman"/>
                <w:color w:val="404040"/>
              </w:rPr>
              <w:t>0.178</w:t>
            </w:r>
          </w:p>
        </w:tc>
      </w:tr>
    </w:tbl>
    <w:p w14:paraId="2B19C9FA" w14:textId="77777777" w:rsidR="00507805" w:rsidRDefault="00507805" w:rsidP="00082769">
      <w:pPr>
        <w:jc w:val="both"/>
        <w:rPr>
          <w:rFonts w:ascii="GHEA Grapalat" w:eastAsia="Calibri" w:hAnsi="GHEA Grapalat" w:cs="Sylfaen"/>
          <w:color w:val="404040"/>
          <w:szCs w:val="20"/>
          <w:lang w:val="hy-AM"/>
        </w:rPr>
      </w:pPr>
      <w:r w:rsidRPr="008B63B1">
        <w:rPr>
          <w:rFonts w:ascii="GHEA Grapalat" w:eastAsia="Calibri" w:hAnsi="GHEA Grapalat" w:cs="Sylfaen"/>
          <w:color w:val="404040"/>
          <w:szCs w:val="20"/>
          <w:lang w:val="hy-AM"/>
        </w:rPr>
        <w:t>Ինչպես երևում է Գծապատկեր 1.36-ից, իրական ՀՆԱ-ի տարեկան աճի կենտրոնական կանխատեսումներից շեղման ռիսկերը դեպի ներքև են: 2026-2029թթ.</w:t>
      </w:r>
      <w:r w:rsidRPr="008B63B1" w:rsidDel="00301E27">
        <w:rPr>
          <w:rFonts w:ascii="GHEA Grapalat" w:eastAsia="Calibri" w:hAnsi="GHEA Grapalat" w:cs="Sylfaen"/>
          <w:color w:val="404040"/>
          <w:szCs w:val="20"/>
          <w:lang w:val="hy-AM"/>
        </w:rPr>
        <w:t xml:space="preserve"> </w:t>
      </w:r>
      <w:r w:rsidRPr="008B63B1">
        <w:rPr>
          <w:rFonts w:ascii="GHEA Grapalat" w:eastAsia="Calibri" w:hAnsi="GHEA Grapalat" w:cs="Sylfaen"/>
          <w:color w:val="404040"/>
          <w:szCs w:val="20"/>
          <w:lang w:val="hy-AM"/>
        </w:rPr>
        <w:t>տնտեսական աճի ձևավորման ամենաբարձր հավանականությունը գտնվում է կենտրոնական կանխատեսումները պարունակող համապատասխան միջակայքում (գծապատկերում՝ մուգ կարմիր, իսկ Աղյուսակ 1.3-ում՝ թավատառ), իսկ դեպի ներքև ռիսկերը ավելի բարձր են։</w:t>
      </w:r>
    </w:p>
    <w:p w14:paraId="14D9298E" w14:textId="6A1BF8C9" w:rsidR="006422CA" w:rsidRDefault="006422CA">
      <w:pPr>
        <w:spacing w:before="0" w:after="160" w:line="278" w:lineRule="auto"/>
        <w:rPr>
          <w:rFonts w:ascii="GHEA Grapalat" w:eastAsia="Calibri" w:hAnsi="GHEA Grapalat" w:cs="Sylfaen"/>
          <w:color w:val="404040"/>
          <w:szCs w:val="20"/>
          <w:lang w:val="hy-AM"/>
        </w:rPr>
      </w:pPr>
      <w:r>
        <w:rPr>
          <w:rFonts w:ascii="GHEA Grapalat" w:eastAsia="Calibri" w:hAnsi="GHEA Grapalat" w:cs="Sylfaen"/>
          <w:color w:val="404040"/>
          <w:szCs w:val="20"/>
          <w:lang w:val="hy-AM"/>
        </w:rPr>
        <w:br w:type="page"/>
      </w:r>
    </w:p>
    <w:p w14:paraId="176655BD" w14:textId="77777777" w:rsidR="00507805" w:rsidRPr="008B63B1" w:rsidRDefault="00507805" w:rsidP="00082769">
      <w:pPr>
        <w:pBdr>
          <w:bottom w:val="single" w:sz="6" w:space="1" w:color="C3C3C7"/>
        </w:pBdr>
        <w:spacing w:before="480" w:after="360"/>
        <w:outlineLvl w:val="1"/>
        <w:rPr>
          <w:rFonts w:ascii="GHEA Grapalat" w:eastAsia="Times New Roman" w:hAnsi="GHEA Grapalat" w:cs="Times New Roman"/>
          <w:color w:val="A5A6AC"/>
          <w:sz w:val="28"/>
          <w:szCs w:val="20"/>
          <w:lang w:val="hy-AM"/>
        </w:rPr>
      </w:pPr>
      <w:bookmarkStart w:id="246" w:name="_Toc178356569"/>
      <w:bookmarkStart w:id="247" w:name="_Toc178612091"/>
      <w:bookmarkStart w:id="248" w:name="_Toc183801075"/>
      <w:bookmarkStart w:id="249" w:name="_Toc210126088"/>
      <w:bookmarkStart w:id="250" w:name="_Toc241687668"/>
      <w:r w:rsidRPr="008B63B1">
        <w:rPr>
          <w:rFonts w:ascii="GHEA Grapalat" w:eastAsia="Times New Roman" w:hAnsi="GHEA Grapalat" w:cs="Times New Roman"/>
          <w:color w:val="A5A6AC"/>
          <w:sz w:val="28"/>
          <w:szCs w:val="20"/>
          <w:lang w:val="hy-AM"/>
        </w:rPr>
        <w:t>1.6. ՀԱՄԵՄԱՏՈՒԹՅՈՒՆ ՆԱԽՈՐԴ ԿԱՆԽԱՏԵՍՈՒՄՆԵՐԻ ՀԵՏ</w:t>
      </w:r>
      <w:bookmarkEnd w:id="246"/>
      <w:bookmarkEnd w:id="247"/>
      <w:bookmarkEnd w:id="248"/>
      <w:bookmarkEnd w:id="249"/>
      <w:bookmarkEnd w:id="250"/>
    </w:p>
    <w:p w14:paraId="4BF3E5F0" w14:textId="77777777" w:rsidR="00507805" w:rsidRPr="001D56CB" w:rsidRDefault="00507805" w:rsidP="001D56CB">
      <w:pPr>
        <w:pStyle w:val="Charts"/>
        <w:ind w:right="-22"/>
        <w:rPr>
          <w:b w:val="0"/>
          <w:bCs/>
          <w:color w:val="auto"/>
          <w:sz w:val="20"/>
          <w:szCs w:val="18"/>
        </w:rPr>
      </w:pPr>
      <w:r w:rsidRPr="001D56CB">
        <w:rPr>
          <w:b w:val="0"/>
          <w:bCs/>
          <w:color w:val="auto"/>
          <w:sz w:val="20"/>
          <w:szCs w:val="18"/>
        </w:rPr>
        <w:t>Աղյուսակ 1.4. ՀՆԱ-ի կանխատեսումները</w:t>
      </w:r>
    </w:p>
    <w:tbl>
      <w:tblPr>
        <w:tblpPr w:leftFromText="180" w:rightFromText="180" w:topFromText="120" w:vertAnchor="text" w:tblpY="1"/>
        <w:tblOverlap w:val="never"/>
        <w:tblW w:w="9637" w:type="dxa"/>
        <w:tblBorders>
          <w:top w:val="single" w:sz="4" w:space="0" w:color="E1E1E3"/>
          <w:left w:val="single" w:sz="4" w:space="0" w:color="E1E1E3"/>
          <w:bottom w:val="single" w:sz="4" w:space="0" w:color="E1E1E3"/>
          <w:right w:val="single" w:sz="4" w:space="0" w:color="E1E1E3"/>
          <w:insideH w:val="single" w:sz="4" w:space="0" w:color="E1E1E3"/>
          <w:insideV w:val="single" w:sz="4" w:space="0" w:color="E1E1E3"/>
        </w:tblBorders>
        <w:tblLayout w:type="fixed"/>
        <w:tblLook w:val="04A0" w:firstRow="1" w:lastRow="0" w:firstColumn="1" w:lastColumn="0" w:noHBand="0" w:noVBand="1"/>
      </w:tblPr>
      <w:tblGrid>
        <w:gridCol w:w="1470"/>
        <w:gridCol w:w="2359"/>
        <w:gridCol w:w="1032"/>
        <w:gridCol w:w="1125"/>
        <w:gridCol w:w="1217"/>
        <w:gridCol w:w="1217"/>
        <w:gridCol w:w="1217"/>
      </w:tblGrid>
      <w:tr w:rsidR="00507805" w:rsidRPr="008B63B1" w14:paraId="0FD14CAD" w14:textId="77777777" w:rsidTr="00873AE6">
        <w:trPr>
          <w:trHeight w:val="321"/>
        </w:trPr>
        <w:tc>
          <w:tcPr>
            <w:tcW w:w="1470" w:type="dxa"/>
            <w:vMerge w:val="restart"/>
            <w:shd w:val="clear" w:color="auto" w:fill="D5DCE4"/>
            <w:noWrap/>
            <w:vAlign w:val="center"/>
            <w:hideMark/>
          </w:tcPr>
          <w:p w14:paraId="66C8FD74"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lang w:val="ru-RU"/>
              </w:rPr>
            </w:pPr>
            <w:bookmarkStart w:id="251" w:name="OLE_LINK1"/>
            <w:r w:rsidRPr="008B63B1">
              <w:rPr>
                <w:rFonts w:ascii="GHEA Grapalat" w:eastAsia="Times New Roman" w:hAnsi="GHEA Grapalat" w:cs="Times New Roman"/>
                <w:b/>
                <w:color w:val="404040"/>
                <w:sz w:val="18"/>
                <w:szCs w:val="18"/>
              </w:rPr>
              <w:t>Ցուցանիշներ</w:t>
            </w:r>
          </w:p>
        </w:tc>
        <w:tc>
          <w:tcPr>
            <w:tcW w:w="2359" w:type="dxa"/>
            <w:vMerge w:val="restart"/>
            <w:shd w:val="clear" w:color="auto" w:fill="D5DCE4"/>
            <w:vAlign w:val="center"/>
            <w:hideMark/>
          </w:tcPr>
          <w:p w14:paraId="47B0401B"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Ծրագիր</w:t>
            </w:r>
          </w:p>
        </w:tc>
        <w:tc>
          <w:tcPr>
            <w:tcW w:w="1032" w:type="dxa"/>
            <w:shd w:val="clear" w:color="auto" w:fill="D5DCE4"/>
            <w:vAlign w:val="center"/>
            <w:hideMark/>
          </w:tcPr>
          <w:p w14:paraId="4F98140A"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5</w:t>
            </w:r>
          </w:p>
        </w:tc>
        <w:tc>
          <w:tcPr>
            <w:tcW w:w="1125" w:type="dxa"/>
            <w:shd w:val="clear" w:color="auto" w:fill="D5DCE4"/>
            <w:vAlign w:val="center"/>
            <w:hideMark/>
          </w:tcPr>
          <w:p w14:paraId="1845A15F"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2026</w:t>
            </w:r>
          </w:p>
        </w:tc>
        <w:tc>
          <w:tcPr>
            <w:tcW w:w="1217" w:type="dxa"/>
            <w:shd w:val="clear" w:color="auto" w:fill="D5DCE4"/>
            <w:vAlign w:val="center"/>
            <w:hideMark/>
          </w:tcPr>
          <w:p w14:paraId="424C75E7"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2027</w:t>
            </w:r>
          </w:p>
        </w:tc>
        <w:tc>
          <w:tcPr>
            <w:tcW w:w="1217" w:type="dxa"/>
            <w:shd w:val="clear" w:color="auto" w:fill="D5DCE4"/>
            <w:vAlign w:val="center"/>
            <w:hideMark/>
          </w:tcPr>
          <w:p w14:paraId="0A540832"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2028</w:t>
            </w:r>
          </w:p>
        </w:tc>
        <w:tc>
          <w:tcPr>
            <w:tcW w:w="1217" w:type="dxa"/>
            <w:shd w:val="clear" w:color="auto" w:fill="D5DCE4"/>
            <w:vAlign w:val="center"/>
            <w:hideMark/>
          </w:tcPr>
          <w:p w14:paraId="54CB2182"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2029</w:t>
            </w:r>
          </w:p>
        </w:tc>
      </w:tr>
      <w:tr w:rsidR="00507805" w:rsidRPr="008B63B1" w14:paraId="031C5A95" w14:textId="77777777" w:rsidTr="00873AE6">
        <w:trPr>
          <w:trHeight w:val="321"/>
        </w:trPr>
        <w:tc>
          <w:tcPr>
            <w:tcW w:w="1470" w:type="dxa"/>
            <w:vMerge/>
            <w:shd w:val="clear" w:color="auto" w:fill="D5DCE4"/>
            <w:hideMark/>
          </w:tcPr>
          <w:p w14:paraId="6B773128" w14:textId="77777777" w:rsidR="00507805" w:rsidRPr="008B63B1" w:rsidRDefault="00507805" w:rsidP="00082769">
            <w:pPr>
              <w:spacing w:after="0" w:line="240" w:lineRule="auto"/>
              <w:rPr>
                <w:rFonts w:ascii="GHEA Grapalat" w:eastAsia="Times New Roman" w:hAnsi="GHEA Grapalat" w:cs="Times New Roman"/>
                <w:b/>
                <w:color w:val="404040"/>
                <w:sz w:val="18"/>
                <w:szCs w:val="18"/>
                <w:highlight w:val="yellow"/>
                <w:lang w:val="ru-RU" w:eastAsia="ru-RU"/>
              </w:rPr>
            </w:pPr>
          </w:p>
        </w:tc>
        <w:tc>
          <w:tcPr>
            <w:tcW w:w="2359" w:type="dxa"/>
            <w:vMerge/>
            <w:shd w:val="clear" w:color="auto" w:fill="D5DCE4"/>
            <w:vAlign w:val="center"/>
            <w:hideMark/>
          </w:tcPr>
          <w:p w14:paraId="56A5C118" w14:textId="77777777" w:rsidR="00507805" w:rsidRPr="008B63B1" w:rsidRDefault="00507805" w:rsidP="00082769">
            <w:pPr>
              <w:spacing w:after="0" w:line="240" w:lineRule="auto"/>
              <w:rPr>
                <w:rFonts w:ascii="GHEA Grapalat" w:eastAsia="Times New Roman" w:hAnsi="GHEA Grapalat" w:cs="Times New Roman"/>
                <w:b/>
                <w:color w:val="404040"/>
                <w:sz w:val="18"/>
                <w:szCs w:val="18"/>
                <w:highlight w:val="yellow"/>
                <w:lang w:val="ru-RU" w:eastAsia="ru-RU"/>
              </w:rPr>
            </w:pPr>
          </w:p>
        </w:tc>
        <w:tc>
          <w:tcPr>
            <w:tcW w:w="1032" w:type="dxa"/>
            <w:shd w:val="clear" w:color="auto" w:fill="D5DCE4"/>
            <w:hideMark/>
          </w:tcPr>
          <w:p w14:paraId="2FED8F69"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փաստ*/կանխ.</w:t>
            </w:r>
          </w:p>
        </w:tc>
        <w:tc>
          <w:tcPr>
            <w:tcW w:w="1125" w:type="dxa"/>
            <w:shd w:val="clear" w:color="auto" w:fill="D5DCE4"/>
            <w:hideMark/>
          </w:tcPr>
          <w:p w14:paraId="47A372E1"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կանխ.</w:t>
            </w:r>
          </w:p>
        </w:tc>
        <w:tc>
          <w:tcPr>
            <w:tcW w:w="1217" w:type="dxa"/>
            <w:shd w:val="clear" w:color="auto" w:fill="D5DCE4"/>
            <w:hideMark/>
          </w:tcPr>
          <w:p w14:paraId="647B035E"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կանխ.</w:t>
            </w:r>
          </w:p>
        </w:tc>
        <w:tc>
          <w:tcPr>
            <w:tcW w:w="1217" w:type="dxa"/>
            <w:shd w:val="clear" w:color="auto" w:fill="D5DCE4"/>
            <w:hideMark/>
          </w:tcPr>
          <w:p w14:paraId="5E3D20FC"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կանխ.</w:t>
            </w:r>
          </w:p>
        </w:tc>
        <w:tc>
          <w:tcPr>
            <w:tcW w:w="1217" w:type="dxa"/>
            <w:shd w:val="clear" w:color="auto" w:fill="D5DCE4"/>
            <w:hideMark/>
          </w:tcPr>
          <w:p w14:paraId="6A275CB4"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կանխ.</w:t>
            </w:r>
          </w:p>
        </w:tc>
      </w:tr>
      <w:tr w:rsidR="00507805" w:rsidRPr="008B63B1" w14:paraId="302773EC" w14:textId="77777777" w:rsidTr="00873AE6">
        <w:trPr>
          <w:trHeight w:val="385"/>
        </w:trPr>
        <w:tc>
          <w:tcPr>
            <w:tcW w:w="1470" w:type="dxa"/>
            <w:vMerge w:val="restart"/>
            <w:vAlign w:val="center"/>
            <w:hideMark/>
          </w:tcPr>
          <w:p w14:paraId="71CBBCE6" w14:textId="77777777" w:rsidR="00507805" w:rsidRPr="008B63B1" w:rsidRDefault="00507805" w:rsidP="00082769">
            <w:pPr>
              <w:spacing w:after="0"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Անվանական ՀՆԱ, մլրդ ՀՀ դրամ</w:t>
            </w:r>
          </w:p>
        </w:tc>
        <w:tc>
          <w:tcPr>
            <w:tcW w:w="2359" w:type="dxa"/>
            <w:vAlign w:val="center"/>
            <w:hideMark/>
          </w:tcPr>
          <w:p w14:paraId="301ABB4B"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7</w:t>
            </w:r>
            <w:r w:rsidRPr="008B63B1">
              <w:rPr>
                <w:rFonts w:ascii="GHEA Grapalat" w:eastAsia="Times New Roman" w:hAnsi="GHEA Grapalat" w:cs="Times New Roman"/>
                <w:color w:val="404040"/>
                <w:sz w:val="18"/>
                <w:szCs w:val="18"/>
              </w:rPr>
              <w:t xml:space="preserve"> Պետական բյուջե</w:t>
            </w:r>
          </w:p>
        </w:tc>
        <w:tc>
          <w:tcPr>
            <w:tcW w:w="1032" w:type="dxa"/>
            <w:vAlign w:val="center"/>
            <w:hideMark/>
          </w:tcPr>
          <w:p w14:paraId="0C9000D8"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11,343</w:t>
            </w:r>
          </w:p>
        </w:tc>
        <w:tc>
          <w:tcPr>
            <w:tcW w:w="1125" w:type="dxa"/>
            <w:noWrap/>
            <w:vAlign w:val="center"/>
            <w:hideMark/>
          </w:tcPr>
          <w:p w14:paraId="0B7D14B8"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12,465</w:t>
            </w:r>
          </w:p>
        </w:tc>
        <w:tc>
          <w:tcPr>
            <w:tcW w:w="1217" w:type="dxa"/>
            <w:vAlign w:val="center"/>
            <w:hideMark/>
          </w:tcPr>
          <w:p w14:paraId="58909DCD"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rPr>
              <w:t>13,614</w:t>
            </w:r>
          </w:p>
        </w:tc>
        <w:tc>
          <w:tcPr>
            <w:tcW w:w="1217" w:type="dxa"/>
            <w:noWrap/>
            <w:vAlign w:val="center"/>
            <w:hideMark/>
          </w:tcPr>
          <w:p w14:paraId="3F029BD6"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rPr>
              <w:t>14,877</w:t>
            </w:r>
          </w:p>
        </w:tc>
        <w:tc>
          <w:tcPr>
            <w:tcW w:w="1217" w:type="dxa"/>
            <w:noWrap/>
            <w:vAlign w:val="center"/>
            <w:hideMark/>
          </w:tcPr>
          <w:p w14:paraId="62213CD4"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rPr>
              <w:t>16,234</w:t>
            </w:r>
          </w:p>
        </w:tc>
      </w:tr>
      <w:tr w:rsidR="00507805" w:rsidRPr="008B63B1" w14:paraId="3F6E83E9" w14:textId="77777777" w:rsidTr="00873AE6">
        <w:trPr>
          <w:trHeight w:val="385"/>
        </w:trPr>
        <w:tc>
          <w:tcPr>
            <w:tcW w:w="1470" w:type="dxa"/>
            <w:vMerge/>
            <w:vAlign w:val="center"/>
            <w:hideMark/>
          </w:tcPr>
          <w:p w14:paraId="7496F594"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59" w:type="dxa"/>
            <w:vAlign w:val="center"/>
            <w:hideMark/>
          </w:tcPr>
          <w:p w14:paraId="5E582E97"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7</w:t>
            </w: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9</w:t>
            </w:r>
            <w:r w:rsidRPr="008B63B1">
              <w:rPr>
                <w:rFonts w:ascii="GHEA Grapalat" w:eastAsia="Times New Roman" w:hAnsi="GHEA Grapalat" w:cs="Times New Roman"/>
                <w:color w:val="404040"/>
                <w:sz w:val="18"/>
                <w:szCs w:val="18"/>
              </w:rPr>
              <w:t xml:space="preserve"> ՄԺԾԾ</w:t>
            </w:r>
          </w:p>
        </w:tc>
        <w:tc>
          <w:tcPr>
            <w:tcW w:w="1032" w:type="dxa"/>
            <w:vAlign w:val="center"/>
            <w:hideMark/>
          </w:tcPr>
          <w:p w14:paraId="7800528F"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11,34</w:t>
            </w:r>
            <w:r w:rsidRPr="008B63B1">
              <w:rPr>
                <w:rFonts w:ascii="GHEA Grapalat" w:eastAsia="Times New Roman" w:hAnsi="GHEA Grapalat" w:cs="Times New Roman"/>
                <w:color w:val="404040"/>
                <w:sz w:val="18"/>
                <w:szCs w:val="18"/>
                <w:lang w:val="hy-AM"/>
              </w:rPr>
              <w:t>3</w:t>
            </w:r>
          </w:p>
        </w:tc>
        <w:tc>
          <w:tcPr>
            <w:tcW w:w="1125" w:type="dxa"/>
            <w:noWrap/>
            <w:vAlign w:val="center"/>
            <w:hideMark/>
          </w:tcPr>
          <w:p w14:paraId="3F6C33E2"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12,333</w:t>
            </w:r>
          </w:p>
        </w:tc>
        <w:tc>
          <w:tcPr>
            <w:tcW w:w="1217" w:type="dxa"/>
            <w:vAlign w:val="center"/>
            <w:hideMark/>
          </w:tcPr>
          <w:p w14:paraId="350F295D"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13,416</w:t>
            </w:r>
          </w:p>
        </w:tc>
        <w:tc>
          <w:tcPr>
            <w:tcW w:w="1217" w:type="dxa"/>
            <w:noWrap/>
            <w:vAlign w:val="center"/>
            <w:hideMark/>
          </w:tcPr>
          <w:p w14:paraId="21B29A78"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14,615</w:t>
            </w:r>
          </w:p>
        </w:tc>
        <w:tc>
          <w:tcPr>
            <w:tcW w:w="1217" w:type="dxa"/>
            <w:noWrap/>
            <w:vAlign w:val="center"/>
            <w:hideMark/>
          </w:tcPr>
          <w:p w14:paraId="5BDCC496"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15,964</w:t>
            </w:r>
          </w:p>
        </w:tc>
      </w:tr>
      <w:tr w:rsidR="00507805" w:rsidRPr="008B63B1" w14:paraId="28BA43D0" w14:textId="77777777" w:rsidTr="00873AE6">
        <w:trPr>
          <w:trHeight w:val="385"/>
        </w:trPr>
        <w:tc>
          <w:tcPr>
            <w:tcW w:w="1470" w:type="dxa"/>
            <w:vMerge/>
            <w:vAlign w:val="center"/>
            <w:hideMark/>
          </w:tcPr>
          <w:p w14:paraId="0DC75E2F"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59" w:type="dxa"/>
            <w:vAlign w:val="center"/>
            <w:hideMark/>
          </w:tcPr>
          <w:p w14:paraId="3474F110" w14:textId="77777777" w:rsidR="00507805" w:rsidRPr="008B63B1" w:rsidRDefault="00507805" w:rsidP="00082769">
            <w:pPr>
              <w:spacing w:after="0"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6</w:t>
            </w:r>
            <w:r w:rsidRPr="008B63B1">
              <w:rPr>
                <w:rFonts w:ascii="GHEA Grapalat" w:eastAsia="Times New Roman" w:hAnsi="GHEA Grapalat" w:cs="Times New Roman"/>
                <w:color w:val="404040"/>
                <w:sz w:val="18"/>
                <w:szCs w:val="18"/>
              </w:rPr>
              <w:t xml:space="preserve"> Պետական բյուջե</w:t>
            </w:r>
          </w:p>
        </w:tc>
        <w:tc>
          <w:tcPr>
            <w:tcW w:w="1032" w:type="dxa"/>
            <w:vAlign w:val="center"/>
            <w:hideMark/>
          </w:tcPr>
          <w:p w14:paraId="0550D14D"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10,997</w:t>
            </w:r>
          </w:p>
        </w:tc>
        <w:tc>
          <w:tcPr>
            <w:tcW w:w="1125" w:type="dxa"/>
            <w:noWrap/>
            <w:vAlign w:val="center"/>
            <w:hideMark/>
          </w:tcPr>
          <w:p w14:paraId="087A2C53"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404040"/>
                <w:sz w:val="18"/>
                <w:szCs w:val="18"/>
              </w:rPr>
              <w:t>11,93</w:t>
            </w:r>
            <w:r w:rsidRPr="008B63B1">
              <w:rPr>
                <w:rFonts w:ascii="GHEA Grapalat" w:eastAsia="Times New Roman" w:hAnsi="GHEA Grapalat" w:cs="Times New Roman"/>
                <w:color w:val="404040"/>
                <w:sz w:val="18"/>
                <w:szCs w:val="18"/>
                <w:lang w:val="hy-AM"/>
              </w:rPr>
              <w:t>4</w:t>
            </w:r>
          </w:p>
        </w:tc>
        <w:tc>
          <w:tcPr>
            <w:tcW w:w="1217" w:type="dxa"/>
            <w:vAlign w:val="center"/>
            <w:hideMark/>
          </w:tcPr>
          <w:p w14:paraId="52032C37"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12,95</w:t>
            </w:r>
            <w:r w:rsidRPr="008B63B1">
              <w:rPr>
                <w:rFonts w:ascii="GHEA Grapalat" w:eastAsia="Times New Roman" w:hAnsi="GHEA Grapalat" w:cs="Times New Roman"/>
                <w:color w:val="404040"/>
                <w:sz w:val="18"/>
                <w:szCs w:val="18"/>
                <w:lang w:val="hy-AM"/>
              </w:rPr>
              <w:t>3</w:t>
            </w:r>
          </w:p>
        </w:tc>
        <w:tc>
          <w:tcPr>
            <w:tcW w:w="1217" w:type="dxa"/>
            <w:noWrap/>
            <w:vAlign w:val="center"/>
            <w:hideMark/>
          </w:tcPr>
          <w:p w14:paraId="5EC41F6F"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14,05</w:t>
            </w:r>
            <w:r w:rsidRPr="008B63B1">
              <w:rPr>
                <w:rFonts w:ascii="GHEA Grapalat" w:eastAsia="Times New Roman" w:hAnsi="GHEA Grapalat" w:cs="Times New Roman"/>
                <w:color w:val="404040"/>
                <w:sz w:val="18"/>
                <w:szCs w:val="18"/>
                <w:lang w:val="hy-AM"/>
              </w:rPr>
              <w:t>1</w:t>
            </w:r>
          </w:p>
        </w:tc>
        <w:tc>
          <w:tcPr>
            <w:tcW w:w="1217" w:type="dxa"/>
            <w:noWrap/>
            <w:vAlign w:val="center"/>
            <w:hideMark/>
          </w:tcPr>
          <w:p w14:paraId="24F6BCEB"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w:t>
            </w:r>
          </w:p>
        </w:tc>
      </w:tr>
      <w:tr w:rsidR="00507805" w:rsidRPr="008B63B1" w14:paraId="7F477D70" w14:textId="77777777" w:rsidTr="00873AE6">
        <w:trPr>
          <w:trHeight w:val="385"/>
        </w:trPr>
        <w:tc>
          <w:tcPr>
            <w:tcW w:w="1470" w:type="dxa"/>
            <w:vMerge/>
            <w:vAlign w:val="center"/>
            <w:hideMark/>
          </w:tcPr>
          <w:p w14:paraId="0CC83E22"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59" w:type="dxa"/>
            <w:vAlign w:val="center"/>
            <w:hideMark/>
          </w:tcPr>
          <w:p w14:paraId="79046156" w14:textId="77777777" w:rsidR="00507805" w:rsidRPr="008B63B1" w:rsidRDefault="00507805" w:rsidP="00082769">
            <w:pPr>
              <w:spacing w:after="0"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6</w:t>
            </w: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8</w:t>
            </w:r>
            <w:r w:rsidRPr="008B63B1">
              <w:rPr>
                <w:rFonts w:ascii="GHEA Grapalat" w:eastAsia="Times New Roman" w:hAnsi="GHEA Grapalat" w:cs="Times New Roman"/>
                <w:color w:val="404040"/>
                <w:sz w:val="18"/>
                <w:szCs w:val="18"/>
              </w:rPr>
              <w:t xml:space="preserve"> ՄԺԾԾ</w:t>
            </w:r>
          </w:p>
        </w:tc>
        <w:tc>
          <w:tcPr>
            <w:tcW w:w="1032" w:type="dxa"/>
            <w:vAlign w:val="center"/>
            <w:hideMark/>
          </w:tcPr>
          <w:p w14:paraId="381708EB"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10,976</w:t>
            </w:r>
          </w:p>
        </w:tc>
        <w:tc>
          <w:tcPr>
            <w:tcW w:w="1125" w:type="dxa"/>
            <w:noWrap/>
            <w:vAlign w:val="center"/>
            <w:hideMark/>
          </w:tcPr>
          <w:p w14:paraId="66BDEFC4"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11,887</w:t>
            </w:r>
          </w:p>
        </w:tc>
        <w:tc>
          <w:tcPr>
            <w:tcW w:w="1217" w:type="dxa"/>
            <w:vAlign w:val="center"/>
            <w:hideMark/>
          </w:tcPr>
          <w:p w14:paraId="1FA42E96"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12,893</w:t>
            </w:r>
          </w:p>
        </w:tc>
        <w:tc>
          <w:tcPr>
            <w:tcW w:w="1217" w:type="dxa"/>
            <w:noWrap/>
            <w:vAlign w:val="center"/>
            <w:hideMark/>
          </w:tcPr>
          <w:p w14:paraId="789BF80C"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13,977</w:t>
            </w:r>
          </w:p>
        </w:tc>
        <w:tc>
          <w:tcPr>
            <w:tcW w:w="1217" w:type="dxa"/>
            <w:noWrap/>
            <w:vAlign w:val="center"/>
            <w:hideMark/>
          </w:tcPr>
          <w:p w14:paraId="1287D01C"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w:t>
            </w:r>
          </w:p>
        </w:tc>
      </w:tr>
      <w:tr w:rsidR="00507805" w:rsidRPr="008B63B1" w14:paraId="588959E7" w14:textId="77777777" w:rsidTr="00873AE6">
        <w:trPr>
          <w:trHeight w:val="385"/>
        </w:trPr>
        <w:tc>
          <w:tcPr>
            <w:tcW w:w="1470" w:type="dxa"/>
            <w:vMerge w:val="restart"/>
            <w:vAlign w:val="center"/>
            <w:hideMark/>
          </w:tcPr>
          <w:p w14:paraId="74A42586"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Տնտեսական (իրական ՀՆԱ-ի) աճ, %</w:t>
            </w:r>
          </w:p>
        </w:tc>
        <w:tc>
          <w:tcPr>
            <w:tcW w:w="2359" w:type="dxa"/>
            <w:vAlign w:val="center"/>
            <w:hideMark/>
          </w:tcPr>
          <w:p w14:paraId="58407EFD"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7</w:t>
            </w:r>
            <w:r w:rsidRPr="008B63B1">
              <w:rPr>
                <w:rFonts w:ascii="GHEA Grapalat" w:eastAsia="Times New Roman" w:hAnsi="GHEA Grapalat" w:cs="Times New Roman"/>
                <w:color w:val="404040"/>
                <w:sz w:val="18"/>
                <w:szCs w:val="18"/>
              </w:rPr>
              <w:t xml:space="preserve"> Պետական բյուջե</w:t>
            </w:r>
          </w:p>
        </w:tc>
        <w:tc>
          <w:tcPr>
            <w:tcW w:w="1032" w:type="dxa"/>
            <w:vAlign w:val="center"/>
            <w:hideMark/>
          </w:tcPr>
          <w:p w14:paraId="3D548CBF"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7.1</w:t>
            </w:r>
          </w:p>
        </w:tc>
        <w:tc>
          <w:tcPr>
            <w:tcW w:w="1125" w:type="dxa"/>
            <w:noWrap/>
            <w:vAlign w:val="center"/>
            <w:hideMark/>
          </w:tcPr>
          <w:p w14:paraId="6FA8573F"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5.6</w:t>
            </w:r>
          </w:p>
        </w:tc>
        <w:tc>
          <w:tcPr>
            <w:tcW w:w="1217" w:type="dxa"/>
            <w:vAlign w:val="center"/>
            <w:hideMark/>
          </w:tcPr>
          <w:p w14:paraId="28280041"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5.8</w:t>
            </w:r>
          </w:p>
        </w:tc>
        <w:tc>
          <w:tcPr>
            <w:tcW w:w="1217" w:type="dxa"/>
            <w:noWrap/>
            <w:vAlign w:val="center"/>
            <w:hideMark/>
          </w:tcPr>
          <w:p w14:paraId="219E748A"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6.1</w:t>
            </w:r>
          </w:p>
        </w:tc>
        <w:tc>
          <w:tcPr>
            <w:tcW w:w="1217" w:type="dxa"/>
            <w:noWrap/>
            <w:vAlign w:val="center"/>
            <w:hideMark/>
          </w:tcPr>
          <w:p w14:paraId="56E98B14"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5.9</w:t>
            </w:r>
          </w:p>
        </w:tc>
      </w:tr>
      <w:tr w:rsidR="00507805" w:rsidRPr="008B63B1" w14:paraId="2DDA808E" w14:textId="77777777" w:rsidTr="00873AE6">
        <w:trPr>
          <w:trHeight w:val="385"/>
        </w:trPr>
        <w:tc>
          <w:tcPr>
            <w:tcW w:w="1470" w:type="dxa"/>
            <w:vMerge/>
            <w:vAlign w:val="center"/>
            <w:hideMark/>
          </w:tcPr>
          <w:p w14:paraId="284AD261"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59" w:type="dxa"/>
            <w:vAlign w:val="center"/>
            <w:hideMark/>
          </w:tcPr>
          <w:p w14:paraId="59759673"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7</w:t>
            </w: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9</w:t>
            </w:r>
            <w:r w:rsidRPr="008B63B1">
              <w:rPr>
                <w:rFonts w:ascii="GHEA Grapalat" w:eastAsia="Times New Roman" w:hAnsi="GHEA Grapalat" w:cs="Times New Roman"/>
                <w:color w:val="404040"/>
                <w:sz w:val="18"/>
                <w:szCs w:val="18"/>
              </w:rPr>
              <w:t xml:space="preserve"> ՄԺԾԾ</w:t>
            </w:r>
          </w:p>
        </w:tc>
        <w:tc>
          <w:tcPr>
            <w:tcW w:w="1032" w:type="dxa"/>
            <w:vAlign w:val="center"/>
            <w:hideMark/>
          </w:tcPr>
          <w:p w14:paraId="0F1990FF"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7.1</w:t>
            </w:r>
          </w:p>
        </w:tc>
        <w:tc>
          <w:tcPr>
            <w:tcW w:w="1125" w:type="dxa"/>
            <w:noWrap/>
            <w:vAlign w:val="center"/>
            <w:hideMark/>
          </w:tcPr>
          <w:p w14:paraId="62DC4A98"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5.4</w:t>
            </w:r>
          </w:p>
        </w:tc>
        <w:tc>
          <w:tcPr>
            <w:tcW w:w="1217" w:type="dxa"/>
            <w:vAlign w:val="center"/>
            <w:hideMark/>
          </w:tcPr>
          <w:p w14:paraId="38269FC2"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5.6</w:t>
            </w:r>
          </w:p>
        </w:tc>
        <w:tc>
          <w:tcPr>
            <w:tcW w:w="1217" w:type="dxa"/>
            <w:noWrap/>
            <w:vAlign w:val="center"/>
            <w:hideMark/>
          </w:tcPr>
          <w:p w14:paraId="3CCB9697"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5.8</w:t>
            </w:r>
          </w:p>
        </w:tc>
        <w:tc>
          <w:tcPr>
            <w:tcW w:w="1217" w:type="dxa"/>
            <w:noWrap/>
            <w:vAlign w:val="center"/>
            <w:hideMark/>
          </w:tcPr>
          <w:p w14:paraId="695CF2C6"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6.1</w:t>
            </w:r>
          </w:p>
        </w:tc>
      </w:tr>
      <w:tr w:rsidR="00507805" w:rsidRPr="008B63B1" w14:paraId="1A7F5A09" w14:textId="77777777" w:rsidTr="00873AE6">
        <w:trPr>
          <w:trHeight w:val="385"/>
        </w:trPr>
        <w:tc>
          <w:tcPr>
            <w:tcW w:w="1470" w:type="dxa"/>
            <w:vMerge/>
            <w:vAlign w:val="center"/>
            <w:hideMark/>
          </w:tcPr>
          <w:p w14:paraId="32828D45"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59" w:type="dxa"/>
            <w:vAlign w:val="center"/>
            <w:hideMark/>
          </w:tcPr>
          <w:p w14:paraId="5572670F"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6</w:t>
            </w:r>
            <w:r w:rsidRPr="008B63B1">
              <w:rPr>
                <w:rFonts w:ascii="GHEA Grapalat" w:eastAsia="Times New Roman" w:hAnsi="GHEA Grapalat" w:cs="Times New Roman"/>
                <w:color w:val="404040"/>
                <w:sz w:val="18"/>
                <w:szCs w:val="18"/>
              </w:rPr>
              <w:t xml:space="preserve"> Պետական բյուջե</w:t>
            </w:r>
          </w:p>
        </w:tc>
        <w:tc>
          <w:tcPr>
            <w:tcW w:w="1032" w:type="dxa"/>
            <w:vAlign w:val="center"/>
            <w:hideMark/>
          </w:tcPr>
          <w:p w14:paraId="20E87FDF"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5.2</w:t>
            </w:r>
          </w:p>
        </w:tc>
        <w:tc>
          <w:tcPr>
            <w:tcW w:w="1125" w:type="dxa"/>
            <w:noWrap/>
            <w:vAlign w:val="center"/>
            <w:hideMark/>
          </w:tcPr>
          <w:p w14:paraId="127E4430"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5.4</w:t>
            </w:r>
          </w:p>
        </w:tc>
        <w:tc>
          <w:tcPr>
            <w:tcW w:w="1217" w:type="dxa"/>
            <w:vAlign w:val="center"/>
            <w:hideMark/>
          </w:tcPr>
          <w:p w14:paraId="110AA56E"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5.4</w:t>
            </w:r>
          </w:p>
        </w:tc>
        <w:tc>
          <w:tcPr>
            <w:tcW w:w="1217" w:type="dxa"/>
            <w:noWrap/>
            <w:vAlign w:val="center"/>
            <w:hideMark/>
          </w:tcPr>
          <w:p w14:paraId="60792515"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5.3</w:t>
            </w:r>
          </w:p>
        </w:tc>
        <w:tc>
          <w:tcPr>
            <w:tcW w:w="1217" w:type="dxa"/>
            <w:noWrap/>
            <w:vAlign w:val="center"/>
            <w:hideMark/>
          </w:tcPr>
          <w:p w14:paraId="22907258"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w:t>
            </w:r>
          </w:p>
        </w:tc>
      </w:tr>
      <w:tr w:rsidR="00507805" w:rsidRPr="008B63B1" w14:paraId="0ED751BE" w14:textId="77777777" w:rsidTr="00873AE6">
        <w:trPr>
          <w:trHeight w:val="385"/>
        </w:trPr>
        <w:tc>
          <w:tcPr>
            <w:tcW w:w="1470" w:type="dxa"/>
            <w:vMerge/>
            <w:vAlign w:val="center"/>
            <w:hideMark/>
          </w:tcPr>
          <w:p w14:paraId="22ADCA5C"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59" w:type="dxa"/>
            <w:vAlign w:val="center"/>
            <w:hideMark/>
          </w:tcPr>
          <w:p w14:paraId="00390304"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6</w:t>
            </w: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8</w:t>
            </w:r>
            <w:r w:rsidRPr="008B63B1">
              <w:rPr>
                <w:rFonts w:ascii="GHEA Grapalat" w:eastAsia="Times New Roman" w:hAnsi="GHEA Grapalat" w:cs="Times New Roman"/>
                <w:color w:val="404040"/>
                <w:sz w:val="18"/>
                <w:szCs w:val="18"/>
              </w:rPr>
              <w:t xml:space="preserve"> ՄԺԾԾ</w:t>
            </w:r>
          </w:p>
        </w:tc>
        <w:tc>
          <w:tcPr>
            <w:tcW w:w="1032" w:type="dxa"/>
            <w:vAlign w:val="center"/>
            <w:hideMark/>
          </w:tcPr>
          <w:p w14:paraId="263570E5"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5.1</w:t>
            </w:r>
          </w:p>
        </w:tc>
        <w:tc>
          <w:tcPr>
            <w:tcW w:w="1125" w:type="dxa"/>
            <w:noWrap/>
            <w:vAlign w:val="center"/>
            <w:hideMark/>
          </w:tcPr>
          <w:p w14:paraId="6B38BCC2"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5.1</w:t>
            </w:r>
          </w:p>
        </w:tc>
        <w:tc>
          <w:tcPr>
            <w:tcW w:w="1217" w:type="dxa"/>
            <w:vAlign w:val="center"/>
            <w:hideMark/>
          </w:tcPr>
          <w:p w14:paraId="7AAE5635"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5.3</w:t>
            </w:r>
          </w:p>
        </w:tc>
        <w:tc>
          <w:tcPr>
            <w:tcW w:w="1217" w:type="dxa"/>
            <w:noWrap/>
            <w:vAlign w:val="center"/>
            <w:hideMark/>
          </w:tcPr>
          <w:p w14:paraId="0D2E39A6"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5.2</w:t>
            </w:r>
          </w:p>
        </w:tc>
        <w:tc>
          <w:tcPr>
            <w:tcW w:w="1217" w:type="dxa"/>
            <w:noWrap/>
            <w:vAlign w:val="center"/>
            <w:hideMark/>
          </w:tcPr>
          <w:p w14:paraId="41665BAA"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w:t>
            </w:r>
          </w:p>
        </w:tc>
      </w:tr>
      <w:tr w:rsidR="00507805" w:rsidRPr="008B63B1" w14:paraId="69D49D8B" w14:textId="77777777" w:rsidTr="00873AE6">
        <w:trPr>
          <w:trHeight w:val="385"/>
        </w:trPr>
        <w:tc>
          <w:tcPr>
            <w:tcW w:w="1470" w:type="dxa"/>
            <w:vMerge w:val="restart"/>
            <w:vAlign w:val="center"/>
            <w:hideMark/>
          </w:tcPr>
          <w:p w14:paraId="75679659"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ՀՆԱ-ի դեֆլյատորի աճ, %</w:t>
            </w:r>
          </w:p>
        </w:tc>
        <w:tc>
          <w:tcPr>
            <w:tcW w:w="2359" w:type="dxa"/>
            <w:vAlign w:val="center"/>
            <w:hideMark/>
          </w:tcPr>
          <w:p w14:paraId="21FFDA9B"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7</w:t>
            </w:r>
            <w:r w:rsidRPr="008B63B1">
              <w:rPr>
                <w:rFonts w:ascii="GHEA Grapalat" w:eastAsia="Times New Roman" w:hAnsi="GHEA Grapalat" w:cs="Times New Roman"/>
                <w:color w:val="404040"/>
                <w:sz w:val="18"/>
                <w:szCs w:val="18"/>
              </w:rPr>
              <w:t xml:space="preserve"> Պետական բյուջե</w:t>
            </w:r>
          </w:p>
        </w:tc>
        <w:tc>
          <w:tcPr>
            <w:tcW w:w="1032" w:type="dxa"/>
            <w:vAlign w:val="center"/>
            <w:hideMark/>
          </w:tcPr>
          <w:p w14:paraId="6F7232F7"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3.4</w:t>
            </w:r>
          </w:p>
        </w:tc>
        <w:tc>
          <w:tcPr>
            <w:tcW w:w="1125" w:type="dxa"/>
            <w:noWrap/>
            <w:vAlign w:val="center"/>
            <w:hideMark/>
          </w:tcPr>
          <w:p w14:paraId="0B1A1296"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4.1</w:t>
            </w:r>
          </w:p>
        </w:tc>
        <w:tc>
          <w:tcPr>
            <w:tcW w:w="1217" w:type="dxa"/>
            <w:vAlign w:val="center"/>
            <w:hideMark/>
          </w:tcPr>
          <w:p w14:paraId="0247CADB"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3.2</w:t>
            </w:r>
          </w:p>
        </w:tc>
        <w:tc>
          <w:tcPr>
            <w:tcW w:w="1217" w:type="dxa"/>
            <w:noWrap/>
            <w:vAlign w:val="center"/>
            <w:hideMark/>
          </w:tcPr>
          <w:p w14:paraId="173DD62E"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3.0</w:t>
            </w:r>
          </w:p>
        </w:tc>
        <w:tc>
          <w:tcPr>
            <w:tcW w:w="1217" w:type="dxa"/>
            <w:noWrap/>
            <w:vAlign w:val="center"/>
            <w:hideMark/>
          </w:tcPr>
          <w:p w14:paraId="3A4E530B"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3.0</w:t>
            </w:r>
          </w:p>
        </w:tc>
      </w:tr>
      <w:tr w:rsidR="00507805" w:rsidRPr="008B63B1" w14:paraId="0A3F4249" w14:textId="77777777" w:rsidTr="00873AE6">
        <w:trPr>
          <w:trHeight w:val="385"/>
        </w:trPr>
        <w:tc>
          <w:tcPr>
            <w:tcW w:w="1470" w:type="dxa"/>
            <w:vMerge/>
            <w:vAlign w:val="center"/>
            <w:hideMark/>
          </w:tcPr>
          <w:p w14:paraId="1CACC174"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59" w:type="dxa"/>
            <w:vAlign w:val="center"/>
            <w:hideMark/>
          </w:tcPr>
          <w:p w14:paraId="2A863E75"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7</w:t>
            </w: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9</w:t>
            </w:r>
            <w:r w:rsidRPr="008B63B1">
              <w:rPr>
                <w:rFonts w:ascii="GHEA Grapalat" w:eastAsia="Times New Roman" w:hAnsi="GHEA Grapalat" w:cs="Times New Roman"/>
                <w:color w:val="404040"/>
                <w:sz w:val="18"/>
                <w:szCs w:val="18"/>
              </w:rPr>
              <w:t xml:space="preserve"> ՄԺԾԾ</w:t>
            </w:r>
          </w:p>
        </w:tc>
        <w:tc>
          <w:tcPr>
            <w:tcW w:w="1032" w:type="dxa"/>
            <w:vAlign w:val="center"/>
            <w:hideMark/>
          </w:tcPr>
          <w:p w14:paraId="7B16D4A2"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3.3</w:t>
            </w:r>
          </w:p>
        </w:tc>
        <w:tc>
          <w:tcPr>
            <w:tcW w:w="1125" w:type="dxa"/>
            <w:noWrap/>
            <w:vAlign w:val="center"/>
            <w:hideMark/>
          </w:tcPr>
          <w:p w14:paraId="35E84BA7"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3.2</w:t>
            </w:r>
          </w:p>
        </w:tc>
        <w:tc>
          <w:tcPr>
            <w:tcW w:w="1217" w:type="dxa"/>
            <w:vAlign w:val="center"/>
            <w:hideMark/>
          </w:tcPr>
          <w:p w14:paraId="2BAB28CD"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3.1</w:t>
            </w:r>
          </w:p>
        </w:tc>
        <w:tc>
          <w:tcPr>
            <w:tcW w:w="1217" w:type="dxa"/>
            <w:noWrap/>
            <w:vAlign w:val="center"/>
            <w:hideMark/>
          </w:tcPr>
          <w:p w14:paraId="6048FFDC"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3.0</w:t>
            </w:r>
          </w:p>
        </w:tc>
        <w:tc>
          <w:tcPr>
            <w:tcW w:w="1217" w:type="dxa"/>
            <w:noWrap/>
            <w:vAlign w:val="center"/>
            <w:hideMark/>
          </w:tcPr>
          <w:p w14:paraId="6B8C8E62"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3.0</w:t>
            </w:r>
          </w:p>
        </w:tc>
      </w:tr>
      <w:tr w:rsidR="00507805" w:rsidRPr="008B63B1" w14:paraId="06EC21DB" w14:textId="77777777" w:rsidTr="00873AE6">
        <w:trPr>
          <w:trHeight w:val="385"/>
        </w:trPr>
        <w:tc>
          <w:tcPr>
            <w:tcW w:w="1470" w:type="dxa"/>
            <w:vMerge/>
            <w:vAlign w:val="center"/>
            <w:hideMark/>
          </w:tcPr>
          <w:p w14:paraId="37DEA796"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59" w:type="dxa"/>
            <w:vAlign w:val="center"/>
            <w:hideMark/>
          </w:tcPr>
          <w:p w14:paraId="73D000C1"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6</w:t>
            </w:r>
            <w:r w:rsidRPr="008B63B1">
              <w:rPr>
                <w:rFonts w:ascii="GHEA Grapalat" w:eastAsia="Times New Roman" w:hAnsi="GHEA Grapalat" w:cs="Times New Roman"/>
                <w:color w:val="404040"/>
                <w:sz w:val="18"/>
                <w:szCs w:val="18"/>
              </w:rPr>
              <w:t xml:space="preserve"> Պետական բյուջե</w:t>
            </w:r>
          </w:p>
        </w:tc>
        <w:tc>
          <w:tcPr>
            <w:tcW w:w="1032" w:type="dxa"/>
            <w:vAlign w:val="center"/>
            <w:hideMark/>
          </w:tcPr>
          <w:p w14:paraId="0DB9CF19"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2.6</w:t>
            </w:r>
          </w:p>
        </w:tc>
        <w:tc>
          <w:tcPr>
            <w:tcW w:w="1125" w:type="dxa"/>
            <w:noWrap/>
            <w:vAlign w:val="center"/>
            <w:hideMark/>
          </w:tcPr>
          <w:p w14:paraId="2C4AA39C"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3.0</w:t>
            </w:r>
          </w:p>
        </w:tc>
        <w:tc>
          <w:tcPr>
            <w:tcW w:w="1217" w:type="dxa"/>
            <w:vAlign w:val="center"/>
            <w:hideMark/>
          </w:tcPr>
          <w:p w14:paraId="467373FC"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3.0</w:t>
            </w:r>
          </w:p>
        </w:tc>
        <w:tc>
          <w:tcPr>
            <w:tcW w:w="1217" w:type="dxa"/>
            <w:noWrap/>
            <w:vAlign w:val="center"/>
            <w:hideMark/>
          </w:tcPr>
          <w:p w14:paraId="56355BFE"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3.0</w:t>
            </w:r>
          </w:p>
        </w:tc>
        <w:tc>
          <w:tcPr>
            <w:tcW w:w="1217" w:type="dxa"/>
            <w:noWrap/>
            <w:vAlign w:val="center"/>
            <w:hideMark/>
          </w:tcPr>
          <w:p w14:paraId="58170A1F"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lang w:val="hy-AM"/>
              </w:rPr>
              <w:t>-</w:t>
            </w:r>
          </w:p>
        </w:tc>
      </w:tr>
      <w:tr w:rsidR="00507805" w:rsidRPr="008B63B1" w14:paraId="20247FE8" w14:textId="77777777" w:rsidTr="00873AE6">
        <w:trPr>
          <w:trHeight w:val="385"/>
        </w:trPr>
        <w:tc>
          <w:tcPr>
            <w:tcW w:w="1470" w:type="dxa"/>
            <w:vMerge/>
            <w:vAlign w:val="center"/>
            <w:hideMark/>
          </w:tcPr>
          <w:p w14:paraId="2BDB72D3"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59" w:type="dxa"/>
            <w:vAlign w:val="center"/>
            <w:hideMark/>
          </w:tcPr>
          <w:p w14:paraId="1CD0DF32"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6</w:t>
            </w: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8</w:t>
            </w:r>
            <w:r w:rsidRPr="008B63B1">
              <w:rPr>
                <w:rFonts w:ascii="GHEA Grapalat" w:eastAsia="Times New Roman" w:hAnsi="GHEA Grapalat" w:cs="Times New Roman"/>
                <w:color w:val="404040"/>
                <w:sz w:val="18"/>
                <w:szCs w:val="18"/>
              </w:rPr>
              <w:t xml:space="preserve"> ՄԺԾԾ</w:t>
            </w:r>
          </w:p>
        </w:tc>
        <w:tc>
          <w:tcPr>
            <w:tcW w:w="1032" w:type="dxa"/>
            <w:vAlign w:val="center"/>
            <w:hideMark/>
          </w:tcPr>
          <w:p w14:paraId="140F5323"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2.5</w:t>
            </w:r>
          </w:p>
        </w:tc>
        <w:tc>
          <w:tcPr>
            <w:tcW w:w="1125" w:type="dxa"/>
            <w:noWrap/>
            <w:vAlign w:val="center"/>
            <w:hideMark/>
          </w:tcPr>
          <w:p w14:paraId="2AF5349E"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3.0</w:t>
            </w:r>
          </w:p>
        </w:tc>
        <w:tc>
          <w:tcPr>
            <w:tcW w:w="1217" w:type="dxa"/>
            <w:vAlign w:val="center"/>
            <w:hideMark/>
          </w:tcPr>
          <w:p w14:paraId="1BF04F24"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3.0</w:t>
            </w:r>
          </w:p>
        </w:tc>
        <w:tc>
          <w:tcPr>
            <w:tcW w:w="1217" w:type="dxa"/>
            <w:noWrap/>
            <w:vAlign w:val="center"/>
            <w:hideMark/>
          </w:tcPr>
          <w:p w14:paraId="6D18E554"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3.0</w:t>
            </w:r>
          </w:p>
        </w:tc>
        <w:tc>
          <w:tcPr>
            <w:tcW w:w="1217" w:type="dxa"/>
            <w:noWrap/>
            <w:vAlign w:val="center"/>
            <w:hideMark/>
          </w:tcPr>
          <w:p w14:paraId="6F22ABC4"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w:t>
            </w:r>
          </w:p>
        </w:tc>
      </w:tr>
      <w:bookmarkEnd w:id="251"/>
    </w:tbl>
    <w:p w14:paraId="334BAAF1" w14:textId="77777777" w:rsidR="00507805" w:rsidRPr="008B63B1" w:rsidRDefault="00507805" w:rsidP="00082769">
      <w:pPr>
        <w:rPr>
          <w:rFonts w:ascii="GHEA Grapalat" w:eastAsia="Times New Roman" w:hAnsi="GHEA Grapalat" w:cs="Times New Roman"/>
          <w:i/>
          <w:color w:val="A6A6A6"/>
          <w:sz w:val="18"/>
          <w:lang w:val="hy-AM"/>
        </w:rPr>
      </w:pPr>
    </w:p>
    <w:p w14:paraId="78E9BA36" w14:textId="77777777" w:rsidR="00507805" w:rsidRPr="008B63B1" w:rsidRDefault="00507805" w:rsidP="00082769">
      <w:pPr>
        <w:rPr>
          <w:rFonts w:ascii="GHEA Grapalat" w:eastAsia="Times New Roman" w:hAnsi="GHEA Grapalat" w:cs="Times New Roman"/>
          <w:i/>
          <w:color w:val="A6A6A6"/>
          <w:sz w:val="18"/>
          <w:lang w:val="hy-AM"/>
        </w:rPr>
      </w:pPr>
    </w:p>
    <w:p w14:paraId="3999A194" w14:textId="77777777" w:rsidR="00507805" w:rsidRPr="008B63B1" w:rsidRDefault="00507805" w:rsidP="00082769">
      <w:pPr>
        <w:rPr>
          <w:rFonts w:ascii="GHEA Grapalat" w:eastAsia="Times New Roman" w:hAnsi="GHEA Grapalat" w:cs="Times New Roman"/>
          <w:i/>
          <w:color w:val="A6A6A6"/>
          <w:sz w:val="18"/>
          <w:lang w:val="hy-AM"/>
        </w:rPr>
      </w:pPr>
    </w:p>
    <w:p w14:paraId="55D87D43" w14:textId="77777777" w:rsidR="00507805" w:rsidRPr="008B63B1" w:rsidRDefault="00507805" w:rsidP="00082769">
      <w:pPr>
        <w:rPr>
          <w:rFonts w:ascii="GHEA Grapalat" w:eastAsia="Times New Roman" w:hAnsi="GHEA Grapalat" w:cs="Times New Roman"/>
          <w:i/>
          <w:color w:val="A6A6A6"/>
          <w:sz w:val="18"/>
          <w:lang w:val="hy-AM"/>
        </w:rPr>
      </w:pPr>
    </w:p>
    <w:p w14:paraId="6D4A4CA7" w14:textId="77777777" w:rsidR="00507805" w:rsidRPr="008B63B1" w:rsidRDefault="00507805" w:rsidP="00082769">
      <w:pPr>
        <w:rPr>
          <w:rFonts w:ascii="GHEA Grapalat" w:eastAsia="Times New Roman" w:hAnsi="GHEA Grapalat" w:cs="Times New Roman"/>
          <w:i/>
          <w:color w:val="A6A6A6"/>
          <w:sz w:val="18"/>
          <w:lang w:val="hy-AM"/>
        </w:rPr>
      </w:pPr>
    </w:p>
    <w:p w14:paraId="566B9049" w14:textId="77777777" w:rsidR="00507805" w:rsidRPr="008B63B1" w:rsidRDefault="00507805" w:rsidP="00082769">
      <w:pPr>
        <w:rPr>
          <w:rFonts w:ascii="GHEA Grapalat" w:eastAsia="Times New Roman" w:hAnsi="GHEA Grapalat" w:cs="Times New Roman"/>
          <w:i/>
          <w:color w:val="A6A6A6"/>
          <w:sz w:val="18"/>
          <w:lang w:val="hy-AM"/>
        </w:rPr>
      </w:pPr>
    </w:p>
    <w:p w14:paraId="778B36D4" w14:textId="77777777" w:rsidR="00507805" w:rsidRPr="008B63B1" w:rsidRDefault="00507805" w:rsidP="00082769">
      <w:pPr>
        <w:rPr>
          <w:rFonts w:ascii="GHEA Grapalat" w:eastAsia="Times New Roman" w:hAnsi="GHEA Grapalat" w:cs="Times New Roman"/>
          <w:i/>
          <w:color w:val="A6A6A6"/>
          <w:sz w:val="18"/>
          <w:lang w:val="hy-AM"/>
        </w:rPr>
      </w:pPr>
    </w:p>
    <w:p w14:paraId="32C35BF3" w14:textId="77777777" w:rsidR="00507805" w:rsidRPr="008B63B1" w:rsidRDefault="00507805" w:rsidP="00082769">
      <w:pPr>
        <w:rPr>
          <w:rFonts w:ascii="GHEA Grapalat" w:eastAsia="Times New Roman" w:hAnsi="GHEA Grapalat" w:cs="Times New Roman"/>
          <w:i/>
          <w:color w:val="A6A6A6"/>
          <w:sz w:val="18"/>
          <w:lang w:val="hy-AM"/>
        </w:rPr>
      </w:pPr>
    </w:p>
    <w:p w14:paraId="0BAB59B7" w14:textId="77777777" w:rsidR="00507805" w:rsidRPr="008B63B1" w:rsidRDefault="00507805" w:rsidP="00082769">
      <w:pPr>
        <w:rPr>
          <w:rFonts w:ascii="GHEA Grapalat" w:eastAsia="Times New Roman" w:hAnsi="GHEA Grapalat" w:cs="Times New Roman"/>
          <w:i/>
          <w:color w:val="A6A6A6"/>
          <w:sz w:val="18"/>
          <w:lang w:val="hy-AM"/>
        </w:rPr>
      </w:pPr>
    </w:p>
    <w:p w14:paraId="479D6C31" w14:textId="77777777" w:rsidR="00507805" w:rsidRPr="008B63B1" w:rsidRDefault="00507805" w:rsidP="00082769">
      <w:pPr>
        <w:rPr>
          <w:rFonts w:ascii="GHEA Grapalat" w:eastAsia="Times New Roman" w:hAnsi="GHEA Grapalat" w:cs="Times New Roman"/>
          <w:i/>
          <w:color w:val="A6A6A6"/>
          <w:sz w:val="18"/>
          <w:lang w:val="hy-AM"/>
        </w:rPr>
      </w:pPr>
    </w:p>
    <w:p w14:paraId="7D4C5BCE" w14:textId="77777777" w:rsidR="00507805" w:rsidRPr="008B63B1" w:rsidRDefault="00507805" w:rsidP="00082769">
      <w:pPr>
        <w:rPr>
          <w:rFonts w:ascii="GHEA Grapalat" w:eastAsia="Times New Roman" w:hAnsi="GHEA Grapalat" w:cs="Times New Roman"/>
          <w:i/>
          <w:color w:val="A6A6A6"/>
          <w:sz w:val="18"/>
          <w:lang w:val="hy-AM"/>
        </w:rPr>
      </w:pPr>
    </w:p>
    <w:p w14:paraId="756ADD07" w14:textId="77777777" w:rsidR="00507805" w:rsidRPr="008B63B1" w:rsidRDefault="00507805" w:rsidP="00082769">
      <w:pPr>
        <w:rPr>
          <w:rFonts w:ascii="GHEA Grapalat" w:eastAsia="Times New Roman" w:hAnsi="GHEA Grapalat" w:cs="Times New Roman"/>
          <w:i/>
          <w:color w:val="A6A6A6"/>
          <w:sz w:val="18"/>
          <w:lang w:val="hy-AM"/>
        </w:rPr>
      </w:pPr>
    </w:p>
    <w:p w14:paraId="1FAE44AA" w14:textId="77777777" w:rsidR="00507805" w:rsidRPr="008B63B1" w:rsidRDefault="00507805" w:rsidP="00082769">
      <w:pPr>
        <w:rPr>
          <w:rFonts w:ascii="GHEA Grapalat" w:eastAsia="Times New Roman" w:hAnsi="GHEA Grapalat" w:cs="Times New Roman"/>
          <w:i/>
          <w:color w:val="A6A6A6"/>
          <w:sz w:val="18"/>
          <w:lang w:val="hy-AM"/>
        </w:rPr>
      </w:pPr>
    </w:p>
    <w:p w14:paraId="7B8CEF9E" w14:textId="77777777" w:rsidR="00507805" w:rsidRPr="008B63B1" w:rsidRDefault="00507805" w:rsidP="00082769">
      <w:pPr>
        <w:rPr>
          <w:rFonts w:ascii="GHEA Grapalat" w:eastAsia="Times New Roman" w:hAnsi="GHEA Grapalat" w:cs="Times New Roman"/>
          <w:i/>
          <w:color w:val="A6A6A6"/>
          <w:sz w:val="18"/>
          <w:lang w:val="hy-AM"/>
        </w:rPr>
      </w:pPr>
    </w:p>
    <w:p w14:paraId="68D173A3" w14:textId="77777777" w:rsidR="00507805" w:rsidRPr="008B63B1" w:rsidRDefault="00507805" w:rsidP="00082769">
      <w:pPr>
        <w:rPr>
          <w:rFonts w:ascii="GHEA Grapalat" w:eastAsia="Times New Roman" w:hAnsi="GHEA Grapalat" w:cs="Times New Roman"/>
          <w:i/>
          <w:color w:val="A6A6A6"/>
          <w:sz w:val="18"/>
          <w:lang w:val="hy-AM" w:eastAsia="ru-RU"/>
        </w:rPr>
      </w:pPr>
      <w:r w:rsidRPr="008B63B1">
        <w:rPr>
          <w:rFonts w:ascii="GHEA Grapalat" w:eastAsia="Times New Roman" w:hAnsi="GHEA Grapalat" w:cs="Times New Roman"/>
          <w:i/>
          <w:color w:val="A6A6A6"/>
          <w:sz w:val="18"/>
          <w:lang w:val="hy-AM"/>
        </w:rPr>
        <w:t xml:space="preserve"> *Պատմական կանխատեսումների կարգավիճակը վերաբերում է համապատասխան ծրագրի կազմման պահին հասանելի տվյալներին։ Աղբյուրը ՝ ՀՀ ՖՆ կանխատեսումներ</w:t>
      </w:r>
    </w:p>
    <w:p w14:paraId="464E1C24" w14:textId="77777777" w:rsidR="00507805" w:rsidRPr="001D56CB" w:rsidRDefault="00507805" w:rsidP="001D56CB">
      <w:pPr>
        <w:pStyle w:val="Charts"/>
        <w:ind w:right="-22"/>
        <w:rPr>
          <w:b w:val="0"/>
          <w:bCs/>
          <w:color w:val="auto"/>
          <w:sz w:val="20"/>
          <w:szCs w:val="18"/>
        </w:rPr>
      </w:pPr>
      <w:r w:rsidRPr="001D56CB">
        <w:rPr>
          <w:b w:val="0"/>
          <w:bCs/>
          <w:color w:val="auto"/>
          <w:sz w:val="20"/>
          <w:szCs w:val="18"/>
        </w:rPr>
        <w:t xml:space="preserve">Աղյուսակ 1.5. Ընթացիկ հաշվի կանխատեսումները </w:t>
      </w:r>
    </w:p>
    <w:tbl>
      <w:tblPr>
        <w:tblpPr w:leftFromText="180" w:rightFromText="180" w:topFromText="120" w:vertAnchor="text" w:tblpY="1"/>
        <w:tblOverlap w:val="never"/>
        <w:tblW w:w="9772" w:type="dxa"/>
        <w:tblBorders>
          <w:top w:val="single" w:sz="4" w:space="0" w:color="E1E1E3"/>
          <w:left w:val="single" w:sz="4" w:space="0" w:color="E1E1E3"/>
          <w:bottom w:val="single" w:sz="4" w:space="0" w:color="E1E1E3"/>
          <w:right w:val="single" w:sz="4" w:space="0" w:color="E1E1E3"/>
          <w:insideH w:val="single" w:sz="4" w:space="0" w:color="E1E1E3"/>
          <w:insideV w:val="single" w:sz="4" w:space="0" w:color="E1E1E3"/>
        </w:tblBorders>
        <w:tblLayout w:type="fixed"/>
        <w:tblLook w:val="04A0" w:firstRow="1" w:lastRow="0" w:firstColumn="1" w:lastColumn="0" w:noHBand="0" w:noVBand="1"/>
      </w:tblPr>
      <w:tblGrid>
        <w:gridCol w:w="1490"/>
        <w:gridCol w:w="2302"/>
        <w:gridCol w:w="1044"/>
        <w:gridCol w:w="1234"/>
        <w:gridCol w:w="1329"/>
        <w:gridCol w:w="1234"/>
        <w:gridCol w:w="1139"/>
      </w:tblGrid>
      <w:tr w:rsidR="00507805" w:rsidRPr="008B63B1" w14:paraId="7A142D38" w14:textId="77777777" w:rsidTr="00873AE6">
        <w:trPr>
          <w:trHeight w:val="339"/>
        </w:trPr>
        <w:tc>
          <w:tcPr>
            <w:tcW w:w="1490" w:type="dxa"/>
            <w:vMerge w:val="restart"/>
            <w:shd w:val="clear" w:color="auto" w:fill="D5DCE4"/>
            <w:noWrap/>
            <w:vAlign w:val="center"/>
            <w:hideMark/>
          </w:tcPr>
          <w:p w14:paraId="3D9A6872"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lang w:val="ru-RU"/>
              </w:rPr>
            </w:pPr>
            <w:r w:rsidRPr="008B63B1">
              <w:rPr>
                <w:rFonts w:ascii="GHEA Grapalat" w:eastAsia="Times New Roman" w:hAnsi="GHEA Grapalat" w:cs="Times New Roman"/>
                <w:b/>
                <w:color w:val="404040"/>
                <w:sz w:val="18"/>
                <w:szCs w:val="18"/>
              </w:rPr>
              <w:t>Ցուցանիշներ</w:t>
            </w:r>
          </w:p>
        </w:tc>
        <w:tc>
          <w:tcPr>
            <w:tcW w:w="2302" w:type="dxa"/>
            <w:vMerge w:val="restart"/>
            <w:shd w:val="clear" w:color="auto" w:fill="D5DCE4"/>
            <w:vAlign w:val="center"/>
            <w:hideMark/>
          </w:tcPr>
          <w:p w14:paraId="67A5AF4F"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Ծրագիր</w:t>
            </w:r>
          </w:p>
        </w:tc>
        <w:tc>
          <w:tcPr>
            <w:tcW w:w="1044" w:type="dxa"/>
            <w:shd w:val="clear" w:color="auto" w:fill="D5DCE4"/>
            <w:vAlign w:val="center"/>
            <w:hideMark/>
          </w:tcPr>
          <w:p w14:paraId="5A4357FE"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5</w:t>
            </w:r>
          </w:p>
        </w:tc>
        <w:tc>
          <w:tcPr>
            <w:tcW w:w="1234" w:type="dxa"/>
            <w:shd w:val="clear" w:color="auto" w:fill="D5DCE4"/>
            <w:vAlign w:val="center"/>
            <w:hideMark/>
          </w:tcPr>
          <w:p w14:paraId="6493937F"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2026</w:t>
            </w:r>
          </w:p>
        </w:tc>
        <w:tc>
          <w:tcPr>
            <w:tcW w:w="1329" w:type="dxa"/>
            <w:shd w:val="clear" w:color="auto" w:fill="D5DCE4"/>
            <w:vAlign w:val="center"/>
            <w:hideMark/>
          </w:tcPr>
          <w:p w14:paraId="0C8E6261"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2027</w:t>
            </w:r>
          </w:p>
        </w:tc>
        <w:tc>
          <w:tcPr>
            <w:tcW w:w="1234" w:type="dxa"/>
            <w:shd w:val="clear" w:color="auto" w:fill="D5DCE4"/>
            <w:vAlign w:val="center"/>
            <w:hideMark/>
          </w:tcPr>
          <w:p w14:paraId="4D60E4A6"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2028</w:t>
            </w:r>
          </w:p>
        </w:tc>
        <w:tc>
          <w:tcPr>
            <w:tcW w:w="1139" w:type="dxa"/>
            <w:shd w:val="clear" w:color="auto" w:fill="D5DCE4"/>
            <w:vAlign w:val="center"/>
            <w:hideMark/>
          </w:tcPr>
          <w:p w14:paraId="1930A41A"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2029</w:t>
            </w:r>
          </w:p>
        </w:tc>
      </w:tr>
      <w:tr w:rsidR="00507805" w:rsidRPr="008B63B1" w14:paraId="135256A0" w14:textId="77777777" w:rsidTr="00873AE6">
        <w:trPr>
          <w:trHeight w:val="339"/>
        </w:trPr>
        <w:tc>
          <w:tcPr>
            <w:tcW w:w="1490" w:type="dxa"/>
            <w:vMerge/>
            <w:shd w:val="clear" w:color="auto" w:fill="D5DCE4"/>
            <w:hideMark/>
          </w:tcPr>
          <w:p w14:paraId="7317AAE3" w14:textId="77777777" w:rsidR="00507805" w:rsidRPr="008B63B1" w:rsidRDefault="00507805" w:rsidP="00082769">
            <w:pPr>
              <w:spacing w:after="0" w:line="240" w:lineRule="auto"/>
              <w:rPr>
                <w:rFonts w:ascii="GHEA Grapalat" w:eastAsia="Times New Roman" w:hAnsi="GHEA Grapalat" w:cs="Times New Roman"/>
                <w:b/>
                <w:color w:val="404040"/>
                <w:sz w:val="18"/>
                <w:szCs w:val="18"/>
                <w:highlight w:val="yellow"/>
                <w:lang w:val="ru-RU" w:eastAsia="ru-RU"/>
              </w:rPr>
            </w:pPr>
          </w:p>
        </w:tc>
        <w:tc>
          <w:tcPr>
            <w:tcW w:w="2302" w:type="dxa"/>
            <w:vMerge/>
            <w:shd w:val="clear" w:color="auto" w:fill="D5DCE4"/>
            <w:vAlign w:val="center"/>
            <w:hideMark/>
          </w:tcPr>
          <w:p w14:paraId="6E03B5E1" w14:textId="77777777" w:rsidR="00507805" w:rsidRPr="008B63B1" w:rsidRDefault="00507805" w:rsidP="00082769">
            <w:pPr>
              <w:spacing w:after="0" w:line="240" w:lineRule="auto"/>
              <w:rPr>
                <w:rFonts w:ascii="GHEA Grapalat" w:eastAsia="Times New Roman" w:hAnsi="GHEA Grapalat" w:cs="Times New Roman"/>
                <w:b/>
                <w:color w:val="404040"/>
                <w:sz w:val="18"/>
                <w:szCs w:val="18"/>
                <w:highlight w:val="yellow"/>
                <w:lang w:val="ru-RU" w:eastAsia="ru-RU"/>
              </w:rPr>
            </w:pPr>
          </w:p>
        </w:tc>
        <w:tc>
          <w:tcPr>
            <w:tcW w:w="1044" w:type="dxa"/>
            <w:shd w:val="clear" w:color="auto" w:fill="D5DCE4"/>
            <w:hideMark/>
          </w:tcPr>
          <w:p w14:paraId="1F657CD7"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փաստ*/կանխ.</w:t>
            </w:r>
          </w:p>
        </w:tc>
        <w:tc>
          <w:tcPr>
            <w:tcW w:w="1234" w:type="dxa"/>
            <w:shd w:val="clear" w:color="auto" w:fill="D5DCE4"/>
            <w:hideMark/>
          </w:tcPr>
          <w:p w14:paraId="13730093"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կանխ.</w:t>
            </w:r>
          </w:p>
        </w:tc>
        <w:tc>
          <w:tcPr>
            <w:tcW w:w="1329" w:type="dxa"/>
            <w:shd w:val="clear" w:color="auto" w:fill="D5DCE4"/>
            <w:hideMark/>
          </w:tcPr>
          <w:p w14:paraId="3DE9D148"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կանխ.</w:t>
            </w:r>
          </w:p>
        </w:tc>
        <w:tc>
          <w:tcPr>
            <w:tcW w:w="1234" w:type="dxa"/>
            <w:shd w:val="clear" w:color="auto" w:fill="D5DCE4"/>
            <w:hideMark/>
          </w:tcPr>
          <w:p w14:paraId="4E0E94BE"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կանխ.</w:t>
            </w:r>
          </w:p>
        </w:tc>
        <w:tc>
          <w:tcPr>
            <w:tcW w:w="1139" w:type="dxa"/>
            <w:shd w:val="clear" w:color="auto" w:fill="D5DCE4"/>
            <w:hideMark/>
          </w:tcPr>
          <w:p w14:paraId="206D11D8" w14:textId="77777777" w:rsidR="00507805" w:rsidRPr="008B63B1" w:rsidRDefault="00507805" w:rsidP="00082769">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կանխ.</w:t>
            </w:r>
          </w:p>
        </w:tc>
      </w:tr>
      <w:tr w:rsidR="00507805" w:rsidRPr="008B63B1" w14:paraId="3CAE32BC" w14:textId="77777777" w:rsidTr="00873AE6">
        <w:trPr>
          <w:trHeight w:val="407"/>
        </w:trPr>
        <w:tc>
          <w:tcPr>
            <w:tcW w:w="1490" w:type="dxa"/>
            <w:vMerge w:val="restart"/>
            <w:vAlign w:val="center"/>
            <w:hideMark/>
          </w:tcPr>
          <w:p w14:paraId="58D1F2B8" w14:textId="77777777" w:rsidR="00507805" w:rsidRPr="008B63B1" w:rsidRDefault="00507805" w:rsidP="00082769">
            <w:pPr>
              <w:spacing w:after="0"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Ընթացիկ հաշիվ, մլն ԱՄՆ դոլար</w:t>
            </w:r>
          </w:p>
        </w:tc>
        <w:tc>
          <w:tcPr>
            <w:tcW w:w="2302" w:type="dxa"/>
            <w:vAlign w:val="center"/>
            <w:hideMark/>
          </w:tcPr>
          <w:p w14:paraId="09595856"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7</w:t>
            </w:r>
            <w:r w:rsidRPr="008B63B1">
              <w:rPr>
                <w:rFonts w:ascii="GHEA Grapalat" w:eastAsia="Times New Roman" w:hAnsi="GHEA Grapalat" w:cs="Times New Roman"/>
                <w:color w:val="404040"/>
                <w:sz w:val="18"/>
                <w:szCs w:val="18"/>
              </w:rPr>
              <w:t xml:space="preserve"> Պետական բյուջե</w:t>
            </w:r>
          </w:p>
        </w:tc>
        <w:tc>
          <w:tcPr>
            <w:tcW w:w="1044" w:type="dxa"/>
            <w:vAlign w:val="center"/>
          </w:tcPr>
          <w:p w14:paraId="439E8667" w14:textId="77777777" w:rsidR="00507805" w:rsidRPr="008B63B1" w:rsidRDefault="00507805" w:rsidP="00082769">
            <w:pPr>
              <w:spacing w:after="0" w:line="240" w:lineRule="auto"/>
              <w:jc w:val="center"/>
              <w:rPr>
                <w:rFonts w:ascii="GHEA Grapalat" w:eastAsia="Times New Roman" w:hAnsi="GHEA Grapalat" w:cs="Calibri"/>
                <w:color w:val="000000"/>
                <w:sz w:val="18"/>
                <w:szCs w:val="18"/>
              </w:rPr>
            </w:pPr>
            <w:r w:rsidRPr="008B63B1">
              <w:rPr>
                <w:rFonts w:ascii="GHEA Grapalat" w:eastAsia="Times New Roman" w:hAnsi="GHEA Grapalat" w:cs="Calibri"/>
                <w:color w:val="000000"/>
                <w:sz w:val="18"/>
                <w:szCs w:val="18"/>
              </w:rPr>
              <w:t>-2,554</w:t>
            </w:r>
          </w:p>
        </w:tc>
        <w:tc>
          <w:tcPr>
            <w:tcW w:w="1234" w:type="dxa"/>
            <w:noWrap/>
            <w:vAlign w:val="center"/>
          </w:tcPr>
          <w:p w14:paraId="3396E8DF" w14:textId="77777777" w:rsidR="00507805" w:rsidRPr="008B63B1" w:rsidRDefault="00507805" w:rsidP="00082769">
            <w:pPr>
              <w:spacing w:after="0" w:line="240" w:lineRule="auto"/>
              <w:jc w:val="center"/>
              <w:rPr>
                <w:rFonts w:ascii="GHEA Grapalat" w:eastAsia="Times New Roman" w:hAnsi="GHEA Grapalat" w:cs="Calibri"/>
                <w:color w:val="000000"/>
                <w:sz w:val="18"/>
                <w:szCs w:val="18"/>
              </w:rPr>
            </w:pPr>
            <w:r w:rsidRPr="008B63B1">
              <w:rPr>
                <w:rFonts w:ascii="GHEA Grapalat" w:eastAsia="Times New Roman" w:hAnsi="GHEA Grapalat" w:cs="Calibri"/>
                <w:color w:val="000000"/>
                <w:sz w:val="18"/>
                <w:szCs w:val="18"/>
              </w:rPr>
              <w:t>-2,073</w:t>
            </w:r>
          </w:p>
        </w:tc>
        <w:tc>
          <w:tcPr>
            <w:tcW w:w="1329" w:type="dxa"/>
            <w:vAlign w:val="center"/>
          </w:tcPr>
          <w:p w14:paraId="3F70897B" w14:textId="77777777" w:rsidR="00507805" w:rsidRPr="008B63B1" w:rsidRDefault="00507805" w:rsidP="00082769">
            <w:pPr>
              <w:spacing w:after="0" w:line="240" w:lineRule="auto"/>
              <w:jc w:val="center"/>
              <w:rPr>
                <w:rFonts w:ascii="GHEA Grapalat" w:eastAsia="Times New Roman" w:hAnsi="GHEA Grapalat" w:cs="Calibri"/>
                <w:color w:val="000000"/>
                <w:sz w:val="18"/>
                <w:szCs w:val="18"/>
              </w:rPr>
            </w:pPr>
            <w:r w:rsidRPr="008B63B1">
              <w:rPr>
                <w:rFonts w:ascii="GHEA Grapalat" w:eastAsia="Times New Roman" w:hAnsi="GHEA Grapalat" w:cs="Calibri"/>
                <w:color w:val="000000"/>
                <w:sz w:val="18"/>
                <w:szCs w:val="18"/>
              </w:rPr>
              <w:t>-1,860</w:t>
            </w:r>
          </w:p>
        </w:tc>
        <w:tc>
          <w:tcPr>
            <w:tcW w:w="1234" w:type="dxa"/>
            <w:noWrap/>
            <w:vAlign w:val="center"/>
          </w:tcPr>
          <w:p w14:paraId="5B56FEAF" w14:textId="77777777" w:rsidR="00507805" w:rsidRPr="008B63B1" w:rsidRDefault="00507805" w:rsidP="00082769">
            <w:pPr>
              <w:spacing w:after="0" w:line="240" w:lineRule="auto"/>
              <w:jc w:val="center"/>
              <w:rPr>
                <w:rFonts w:ascii="GHEA Grapalat" w:eastAsia="Times New Roman" w:hAnsi="GHEA Grapalat" w:cs="Calibri"/>
                <w:color w:val="000000"/>
                <w:sz w:val="18"/>
                <w:szCs w:val="18"/>
              </w:rPr>
            </w:pPr>
            <w:r w:rsidRPr="008B63B1">
              <w:rPr>
                <w:rFonts w:ascii="GHEA Grapalat" w:eastAsia="Times New Roman" w:hAnsi="GHEA Grapalat" w:cs="Calibri"/>
                <w:color w:val="000000"/>
                <w:sz w:val="18"/>
                <w:szCs w:val="18"/>
              </w:rPr>
              <w:t>-1,779</w:t>
            </w:r>
          </w:p>
        </w:tc>
        <w:tc>
          <w:tcPr>
            <w:tcW w:w="1139" w:type="dxa"/>
            <w:noWrap/>
            <w:vAlign w:val="center"/>
          </w:tcPr>
          <w:p w14:paraId="337578F6" w14:textId="77777777" w:rsidR="00507805" w:rsidRPr="008B63B1" w:rsidRDefault="00507805" w:rsidP="00082769">
            <w:pPr>
              <w:spacing w:after="0" w:line="240" w:lineRule="auto"/>
              <w:jc w:val="center"/>
              <w:rPr>
                <w:rFonts w:ascii="GHEA Grapalat" w:eastAsia="Times New Roman" w:hAnsi="GHEA Grapalat" w:cs="Calibri"/>
                <w:color w:val="000000"/>
                <w:sz w:val="18"/>
                <w:szCs w:val="18"/>
              </w:rPr>
            </w:pPr>
            <w:r w:rsidRPr="008B63B1">
              <w:rPr>
                <w:rFonts w:ascii="GHEA Grapalat" w:eastAsia="Times New Roman" w:hAnsi="GHEA Grapalat" w:cs="Calibri"/>
                <w:color w:val="000000"/>
                <w:sz w:val="18"/>
                <w:szCs w:val="18"/>
              </w:rPr>
              <w:t>-1,768</w:t>
            </w:r>
          </w:p>
        </w:tc>
      </w:tr>
      <w:tr w:rsidR="00507805" w:rsidRPr="008B63B1" w14:paraId="562FE1C1" w14:textId="77777777" w:rsidTr="00873AE6">
        <w:trPr>
          <w:trHeight w:val="407"/>
        </w:trPr>
        <w:tc>
          <w:tcPr>
            <w:tcW w:w="1490" w:type="dxa"/>
            <w:vMerge/>
            <w:vAlign w:val="center"/>
            <w:hideMark/>
          </w:tcPr>
          <w:p w14:paraId="01DD2713"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02" w:type="dxa"/>
            <w:vAlign w:val="center"/>
            <w:hideMark/>
          </w:tcPr>
          <w:p w14:paraId="1C30B00A"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7</w:t>
            </w: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9</w:t>
            </w:r>
            <w:r w:rsidRPr="008B63B1">
              <w:rPr>
                <w:rFonts w:ascii="GHEA Grapalat" w:eastAsia="Times New Roman" w:hAnsi="GHEA Grapalat" w:cs="Times New Roman"/>
                <w:color w:val="404040"/>
                <w:sz w:val="18"/>
                <w:szCs w:val="18"/>
              </w:rPr>
              <w:t xml:space="preserve"> ՄԺԾԾ</w:t>
            </w:r>
          </w:p>
        </w:tc>
        <w:tc>
          <w:tcPr>
            <w:tcW w:w="1044" w:type="dxa"/>
            <w:vAlign w:val="center"/>
          </w:tcPr>
          <w:p w14:paraId="12DE2297"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-2,111</w:t>
            </w:r>
          </w:p>
        </w:tc>
        <w:tc>
          <w:tcPr>
            <w:tcW w:w="1234" w:type="dxa"/>
            <w:noWrap/>
            <w:vAlign w:val="center"/>
          </w:tcPr>
          <w:p w14:paraId="6EE1B2C0"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-1,779</w:t>
            </w:r>
          </w:p>
        </w:tc>
        <w:tc>
          <w:tcPr>
            <w:tcW w:w="1329" w:type="dxa"/>
            <w:vAlign w:val="center"/>
          </w:tcPr>
          <w:p w14:paraId="63935CEB"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-1,308</w:t>
            </w:r>
          </w:p>
        </w:tc>
        <w:tc>
          <w:tcPr>
            <w:tcW w:w="1234" w:type="dxa"/>
            <w:noWrap/>
            <w:vAlign w:val="center"/>
          </w:tcPr>
          <w:p w14:paraId="2760963D"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-1,665</w:t>
            </w:r>
          </w:p>
        </w:tc>
        <w:tc>
          <w:tcPr>
            <w:tcW w:w="1139" w:type="dxa"/>
            <w:noWrap/>
            <w:vAlign w:val="center"/>
          </w:tcPr>
          <w:p w14:paraId="3F706718"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-1,798</w:t>
            </w:r>
          </w:p>
        </w:tc>
      </w:tr>
      <w:tr w:rsidR="00507805" w:rsidRPr="008B63B1" w14:paraId="346B5851" w14:textId="77777777" w:rsidTr="00873AE6">
        <w:trPr>
          <w:trHeight w:val="407"/>
        </w:trPr>
        <w:tc>
          <w:tcPr>
            <w:tcW w:w="1490" w:type="dxa"/>
            <w:vMerge/>
            <w:vAlign w:val="center"/>
            <w:hideMark/>
          </w:tcPr>
          <w:p w14:paraId="05F48162"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02" w:type="dxa"/>
            <w:vAlign w:val="center"/>
            <w:hideMark/>
          </w:tcPr>
          <w:p w14:paraId="10143F08" w14:textId="77777777" w:rsidR="00507805" w:rsidRPr="008B63B1" w:rsidRDefault="00507805" w:rsidP="00082769">
            <w:pPr>
              <w:spacing w:after="0"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2026 Պետական բյուջե</w:t>
            </w:r>
          </w:p>
        </w:tc>
        <w:tc>
          <w:tcPr>
            <w:tcW w:w="1044" w:type="dxa"/>
            <w:vAlign w:val="center"/>
          </w:tcPr>
          <w:p w14:paraId="73C2D2BF"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-1,512</w:t>
            </w:r>
          </w:p>
        </w:tc>
        <w:tc>
          <w:tcPr>
            <w:tcW w:w="1234" w:type="dxa"/>
            <w:noWrap/>
            <w:vAlign w:val="center"/>
          </w:tcPr>
          <w:p w14:paraId="141BD61C"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-1,345</w:t>
            </w:r>
          </w:p>
        </w:tc>
        <w:tc>
          <w:tcPr>
            <w:tcW w:w="1329" w:type="dxa"/>
            <w:vAlign w:val="center"/>
          </w:tcPr>
          <w:p w14:paraId="0AF1B93B"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-1,352</w:t>
            </w:r>
          </w:p>
        </w:tc>
        <w:tc>
          <w:tcPr>
            <w:tcW w:w="1234" w:type="dxa"/>
            <w:noWrap/>
            <w:vAlign w:val="center"/>
          </w:tcPr>
          <w:p w14:paraId="765BC3BA"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-1,357</w:t>
            </w:r>
          </w:p>
        </w:tc>
        <w:tc>
          <w:tcPr>
            <w:tcW w:w="1139" w:type="dxa"/>
            <w:noWrap/>
            <w:vAlign w:val="center"/>
          </w:tcPr>
          <w:p w14:paraId="3970B8B9"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p>
        </w:tc>
      </w:tr>
      <w:tr w:rsidR="00507805" w:rsidRPr="008B63B1" w14:paraId="685ECD83" w14:textId="77777777" w:rsidTr="00873AE6">
        <w:trPr>
          <w:trHeight w:val="407"/>
        </w:trPr>
        <w:tc>
          <w:tcPr>
            <w:tcW w:w="1490" w:type="dxa"/>
            <w:vMerge/>
            <w:vAlign w:val="center"/>
            <w:hideMark/>
          </w:tcPr>
          <w:p w14:paraId="1527DD5E"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02" w:type="dxa"/>
            <w:vAlign w:val="center"/>
            <w:hideMark/>
          </w:tcPr>
          <w:p w14:paraId="35640CA2" w14:textId="77777777" w:rsidR="00507805" w:rsidRPr="008B63B1" w:rsidRDefault="00507805" w:rsidP="00082769">
            <w:pPr>
              <w:spacing w:after="0"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6</w:t>
            </w: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8</w:t>
            </w:r>
            <w:r w:rsidRPr="008B63B1">
              <w:rPr>
                <w:rFonts w:ascii="GHEA Grapalat" w:eastAsia="Times New Roman" w:hAnsi="GHEA Grapalat" w:cs="Times New Roman"/>
                <w:color w:val="404040"/>
                <w:sz w:val="18"/>
                <w:szCs w:val="18"/>
              </w:rPr>
              <w:t xml:space="preserve"> ՄԺԾԾ</w:t>
            </w:r>
          </w:p>
        </w:tc>
        <w:tc>
          <w:tcPr>
            <w:tcW w:w="1044" w:type="dxa"/>
            <w:vAlign w:val="center"/>
          </w:tcPr>
          <w:p w14:paraId="5A456024"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-1,036.2</w:t>
            </w:r>
          </w:p>
        </w:tc>
        <w:tc>
          <w:tcPr>
            <w:tcW w:w="1234" w:type="dxa"/>
            <w:noWrap/>
            <w:vAlign w:val="center"/>
          </w:tcPr>
          <w:p w14:paraId="3286353F"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-1,117.0</w:t>
            </w:r>
          </w:p>
        </w:tc>
        <w:tc>
          <w:tcPr>
            <w:tcW w:w="1329" w:type="dxa"/>
            <w:vAlign w:val="center"/>
          </w:tcPr>
          <w:p w14:paraId="61B58881"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-1,196.9</w:t>
            </w:r>
          </w:p>
        </w:tc>
        <w:tc>
          <w:tcPr>
            <w:tcW w:w="1234" w:type="dxa"/>
            <w:noWrap/>
            <w:vAlign w:val="center"/>
          </w:tcPr>
          <w:p w14:paraId="0C4295CF"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-1,236.6</w:t>
            </w:r>
          </w:p>
        </w:tc>
        <w:tc>
          <w:tcPr>
            <w:tcW w:w="1139" w:type="dxa"/>
            <w:noWrap/>
            <w:vAlign w:val="center"/>
          </w:tcPr>
          <w:p w14:paraId="7179CA9D"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-1,277.6</w:t>
            </w:r>
          </w:p>
        </w:tc>
      </w:tr>
      <w:tr w:rsidR="00507805" w:rsidRPr="008B63B1" w14:paraId="22CDE168" w14:textId="77777777" w:rsidTr="00873AE6">
        <w:trPr>
          <w:trHeight w:val="407"/>
        </w:trPr>
        <w:tc>
          <w:tcPr>
            <w:tcW w:w="1490" w:type="dxa"/>
            <w:vMerge w:val="restart"/>
            <w:vAlign w:val="center"/>
            <w:hideMark/>
          </w:tcPr>
          <w:p w14:paraId="17FF0AC3"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Ընթացիկ հաշիվ, %-ով՝ ՀՆԱ-ի նկատմամբ</w:t>
            </w:r>
          </w:p>
        </w:tc>
        <w:tc>
          <w:tcPr>
            <w:tcW w:w="2302" w:type="dxa"/>
            <w:vAlign w:val="center"/>
            <w:hideMark/>
          </w:tcPr>
          <w:p w14:paraId="2E4C8B18"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7</w:t>
            </w:r>
            <w:r w:rsidRPr="008B63B1">
              <w:rPr>
                <w:rFonts w:ascii="GHEA Grapalat" w:eastAsia="Times New Roman" w:hAnsi="GHEA Grapalat" w:cs="Times New Roman"/>
                <w:color w:val="404040"/>
                <w:sz w:val="18"/>
                <w:szCs w:val="18"/>
              </w:rPr>
              <w:t xml:space="preserve"> Պետական բյուջե</w:t>
            </w:r>
          </w:p>
        </w:tc>
        <w:tc>
          <w:tcPr>
            <w:tcW w:w="1044" w:type="dxa"/>
            <w:vAlign w:val="center"/>
          </w:tcPr>
          <w:p w14:paraId="4980F0A9" w14:textId="77777777" w:rsidR="00507805" w:rsidRPr="008B63B1" w:rsidRDefault="00507805" w:rsidP="00082769">
            <w:pPr>
              <w:spacing w:after="0" w:line="240" w:lineRule="auto"/>
              <w:jc w:val="center"/>
              <w:rPr>
                <w:rFonts w:ascii="GHEA Grapalat" w:eastAsia="Times New Roman" w:hAnsi="GHEA Grapalat" w:cs="Calibri"/>
                <w:color w:val="000000"/>
                <w:sz w:val="18"/>
                <w:szCs w:val="18"/>
              </w:rPr>
            </w:pPr>
            <w:r w:rsidRPr="008B63B1">
              <w:rPr>
                <w:rFonts w:ascii="GHEA Grapalat" w:eastAsia="Times New Roman" w:hAnsi="GHEA Grapalat" w:cs="Calibri"/>
                <w:color w:val="000000"/>
                <w:sz w:val="18"/>
                <w:szCs w:val="18"/>
              </w:rPr>
              <w:t>-8.7</w:t>
            </w:r>
          </w:p>
        </w:tc>
        <w:tc>
          <w:tcPr>
            <w:tcW w:w="1234" w:type="dxa"/>
            <w:noWrap/>
            <w:vAlign w:val="center"/>
          </w:tcPr>
          <w:p w14:paraId="729D4E2C" w14:textId="77777777" w:rsidR="00507805" w:rsidRPr="008B63B1" w:rsidRDefault="00507805" w:rsidP="00082769">
            <w:pPr>
              <w:spacing w:after="0" w:line="240" w:lineRule="auto"/>
              <w:jc w:val="center"/>
              <w:rPr>
                <w:rFonts w:ascii="GHEA Grapalat" w:eastAsia="Times New Roman" w:hAnsi="GHEA Grapalat" w:cs="Calibri"/>
                <w:color w:val="000000"/>
                <w:sz w:val="18"/>
                <w:szCs w:val="18"/>
              </w:rPr>
            </w:pPr>
            <w:r w:rsidRPr="008B63B1">
              <w:rPr>
                <w:rFonts w:ascii="GHEA Grapalat" w:eastAsia="Times New Roman" w:hAnsi="GHEA Grapalat" w:cs="Calibri"/>
                <w:color w:val="000000"/>
                <w:sz w:val="18"/>
                <w:szCs w:val="18"/>
              </w:rPr>
              <w:t>-6.3</w:t>
            </w:r>
          </w:p>
        </w:tc>
        <w:tc>
          <w:tcPr>
            <w:tcW w:w="1329" w:type="dxa"/>
            <w:vAlign w:val="center"/>
          </w:tcPr>
          <w:p w14:paraId="17CCD277" w14:textId="77777777" w:rsidR="00507805" w:rsidRPr="008B63B1" w:rsidRDefault="00507805" w:rsidP="00082769">
            <w:pPr>
              <w:spacing w:after="0" w:line="240" w:lineRule="auto"/>
              <w:jc w:val="center"/>
              <w:rPr>
                <w:rFonts w:ascii="GHEA Grapalat" w:eastAsia="Times New Roman" w:hAnsi="GHEA Grapalat" w:cs="Calibri"/>
                <w:color w:val="000000"/>
                <w:sz w:val="18"/>
                <w:szCs w:val="18"/>
              </w:rPr>
            </w:pPr>
            <w:r w:rsidRPr="008B63B1">
              <w:rPr>
                <w:rFonts w:ascii="GHEA Grapalat" w:eastAsia="Times New Roman" w:hAnsi="GHEA Grapalat" w:cs="Calibri"/>
                <w:color w:val="000000"/>
                <w:sz w:val="18"/>
                <w:szCs w:val="18"/>
              </w:rPr>
              <w:t>-5.3</w:t>
            </w:r>
          </w:p>
        </w:tc>
        <w:tc>
          <w:tcPr>
            <w:tcW w:w="1234" w:type="dxa"/>
            <w:noWrap/>
            <w:vAlign w:val="center"/>
          </w:tcPr>
          <w:p w14:paraId="27B2E909" w14:textId="77777777" w:rsidR="00507805" w:rsidRPr="008B63B1" w:rsidRDefault="00507805" w:rsidP="00082769">
            <w:pPr>
              <w:spacing w:after="0" w:line="240" w:lineRule="auto"/>
              <w:jc w:val="center"/>
              <w:rPr>
                <w:rFonts w:ascii="GHEA Grapalat" w:eastAsia="Times New Roman" w:hAnsi="GHEA Grapalat" w:cs="Calibri"/>
                <w:color w:val="000000"/>
                <w:sz w:val="18"/>
                <w:szCs w:val="18"/>
              </w:rPr>
            </w:pPr>
            <w:r w:rsidRPr="008B63B1">
              <w:rPr>
                <w:rFonts w:ascii="GHEA Grapalat" w:eastAsia="Times New Roman" w:hAnsi="GHEA Grapalat" w:cs="Calibri"/>
                <w:color w:val="000000"/>
                <w:sz w:val="18"/>
                <w:szCs w:val="18"/>
              </w:rPr>
              <w:t>-4.8</w:t>
            </w:r>
          </w:p>
        </w:tc>
        <w:tc>
          <w:tcPr>
            <w:tcW w:w="1139" w:type="dxa"/>
            <w:noWrap/>
            <w:vAlign w:val="center"/>
          </w:tcPr>
          <w:p w14:paraId="15A2D4E4" w14:textId="77777777" w:rsidR="00507805" w:rsidRPr="008B63B1" w:rsidRDefault="00507805" w:rsidP="00082769">
            <w:pPr>
              <w:spacing w:after="0" w:line="240" w:lineRule="auto"/>
              <w:jc w:val="center"/>
              <w:rPr>
                <w:rFonts w:ascii="GHEA Grapalat" w:eastAsia="Times New Roman" w:hAnsi="GHEA Grapalat" w:cs="Calibri"/>
                <w:color w:val="000000"/>
                <w:sz w:val="18"/>
                <w:szCs w:val="18"/>
              </w:rPr>
            </w:pPr>
            <w:r w:rsidRPr="008B63B1">
              <w:rPr>
                <w:rFonts w:ascii="GHEA Grapalat" w:eastAsia="Times New Roman" w:hAnsi="GHEA Grapalat" w:cs="Calibri"/>
                <w:color w:val="000000"/>
                <w:sz w:val="18"/>
                <w:szCs w:val="18"/>
              </w:rPr>
              <w:t>-4.4</w:t>
            </w:r>
          </w:p>
        </w:tc>
      </w:tr>
      <w:tr w:rsidR="00507805" w:rsidRPr="008B63B1" w14:paraId="033B38E9" w14:textId="77777777" w:rsidTr="00873AE6">
        <w:trPr>
          <w:trHeight w:val="407"/>
        </w:trPr>
        <w:tc>
          <w:tcPr>
            <w:tcW w:w="1490" w:type="dxa"/>
            <w:vMerge/>
            <w:vAlign w:val="center"/>
            <w:hideMark/>
          </w:tcPr>
          <w:p w14:paraId="4F4D1D8F"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02" w:type="dxa"/>
            <w:vAlign w:val="center"/>
            <w:hideMark/>
          </w:tcPr>
          <w:p w14:paraId="5C73DB6D"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7</w:t>
            </w: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9</w:t>
            </w:r>
            <w:r w:rsidRPr="008B63B1">
              <w:rPr>
                <w:rFonts w:ascii="GHEA Grapalat" w:eastAsia="Times New Roman" w:hAnsi="GHEA Grapalat" w:cs="Times New Roman"/>
                <w:color w:val="404040"/>
                <w:sz w:val="18"/>
                <w:szCs w:val="18"/>
              </w:rPr>
              <w:t xml:space="preserve"> ՄԺԾԾ</w:t>
            </w:r>
          </w:p>
        </w:tc>
        <w:tc>
          <w:tcPr>
            <w:tcW w:w="1044" w:type="dxa"/>
            <w:vAlign w:val="center"/>
          </w:tcPr>
          <w:p w14:paraId="63B5D4B0"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-7.2</w:t>
            </w:r>
          </w:p>
        </w:tc>
        <w:tc>
          <w:tcPr>
            <w:tcW w:w="1234" w:type="dxa"/>
            <w:noWrap/>
            <w:vAlign w:val="center"/>
          </w:tcPr>
          <w:p w14:paraId="51AD59F3"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-5.6</w:t>
            </w:r>
          </w:p>
        </w:tc>
        <w:tc>
          <w:tcPr>
            <w:tcW w:w="1329" w:type="dxa"/>
            <w:vAlign w:val="center"/>
          </w:tcPr>
          <w:p w14:paraId="02609C58"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-3.9</w:t>
            </w:r>
          </w:p>
        </w:tc>
        <w:tc>
          <w:tcPr>
            <w:tcW w:w="1234" w:type="dxa"/>
            <w:noWrap/>
            <w:vAlign w:val="center"/>
          </w:tcPr>
          <w:p w14:paraId="4F5A8002"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-4.7</w:t>
            </w:r>
          </w:p>
        </w:tc>
        <w:tc>
          <w:tcPr>
            <w:tcW w:w="1139" w:type="dxa"/>
            <w:noWrap/>
            <w:vAlign w:val="center"/>
          </w:tcPr>
          <w:p w14:paraId="5DEDB4BA"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-4.7</w:t>
            </w:r>
          </w:p>
        </w:tc>
      </w:tr>
      <w:tr w:rsidR="00507805" w:rsidRPr="008B63B1" w14:paraId="0AA5D7BF" w14:textId="77777777" w:rsidTr="00873AE6">
        <w:trPr>
          <w:trHeight w:val="407"/>
        </w:trPr>
        <w:tc>
          <w:tcPr>
            <w:tcW w:w="1490" w:type="dxa"/>
            <w:vMerge/>
            <w:vAlign w:val="center"/>
            <w:hideMark/>
          </w:tcPr>
          <w:p w14:paraId="1203075B"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02" w:type="dxa"/>
            <w:vAlign w:val="center"/>
            <w:hideMark/>
          </w:tcPr>
          <w:p w14:paraId="193DF732"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2026 Պետական բյուջե</w:t>
            </w:r>
          </w:p>
        </w:tc>
        <w:tc>
          <w:tcPr>
            <w:tcW w:w="1044" w:type="dxa"/>
            <w:vAlign w:val="center"/>
          </w:tcPr>
          <w:p w14:paraId="7940E811"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-5.4</w:t>
            </w:r>
          </w:p>
        </w:tc>
        <w:tc>
          <w:tcPr>
            <w:tcW w:w="1234" w:type="dxa"/>
            <w:noWrap/>
            <w:vAlign w:val="center"/>
          </w:tcPr>
          <w:p w14:paraId="4A13C923"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-4.6</w:t>
            </w:r>
          </w:p>
        </w:tc>
        <w:tc>
          <w:tcPr>
            <w:tcW w:w="1329" w:type="dxa"/>
            <w:vAlign w:val="center"/>
          </w:tcPr>
          <w:p w14:paraId="74183262"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-4.4</w:t>
            </w:r>
          </w:p>
        </w:tc>
        <w:tc>
          <w:tcPr>
            <w:tcW w:w="1234" w:type="dxa"/>
            <w:noWrap/>
            <w:vAlign w:val="center"/>
          </w:tcPr>
          <w:p w14:paraId="5F51BE4E"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-4.2</w:t>
            </w:r>
          </w:p>
        </w:tc>
        <w:tc>
          <w:tcPr>
            <w:tcW w:w="1139" w:type="dxa"/>
            <w:noWrap/>
            <w:vAlign w:val="center"/>
          </w:tcPr>
          <w:p w14:paraId="5DFE94F8"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p>
        </w:tc>
      </w:tr>
      <w:tr w:rsidR="00507805" w:rsidRPr="008B63B1" w14:paraId="08A79114" w14:textId="77777777" w:rsidTr="00873AE6">
        <w:trPr>
          <w:trHeight w:val="407"/>
        </w:trPr>
        <w:tc>
          <w:tcPr>
            <w:tcW w:w="1490" w:type="dxa"/>
            <w:vMerge/>
            <w:vAlign w:val="center"/>
            <w:hideMark/>
          </w:tcPr>
          <w:p w14:paraId="17527236"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lang w:val="ru-RU" w:eastAsia="ru-RU"/>
              </w:rPr>
            </w:pPr>
          </w:p>
        </w:tc>
        <w:tc>
          <w:tcPr>
            <w:tcW w:w="2302" w:type="dxa"/>
            <w:vAlign w:val="center"/>
            <w:hideMark/>
          </w:tcPr>
          <w:p w14:paraId="50F44175" w14:textId="77777777" w:rsidR="00507805" w:rsidRPr="008B63B1" w:rsidRDefault="00507805" w:rsidP="00082769">
            <w:pPr>
              <w:spacing w:after="0" w:line="240" w:lineRule="auto"/>
              <w:rPr>
                <w:rFonts w:ascii="GHEA Grapalat" w:eastAsia="Times New Roman" w:hAnsi="GHEA Grapalat" w:cs="Times New Roman"/>
                <w:color w:val="404040"/>
                <w:sz w:val="18"/>
                <w:szCs w:val="18"/>
                <w:highlight w:val="yellow"/>
              </w:rPr>
            </w:pP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6</w:t>
            </w:r>
            <w:r w:rsidRPr="008B63B1">
              <w:rPr>
                <w:rFonts w:ascii="GHEA Grapalat" w:eastAsia="Times New Roman" w:hAnsi="GHEA Grapalat" w:cs="Times New Roman"/>
                <w:color w:val="404040"/>
                <w:sz w:val="18"/>
                <w:szCs w:val="18"/>
              </w:rPr>
              <w:t>-202</w:t>
            </w:r>
            <w:r w:rsidRPr="008B63B1">
              <w:rPr>
                <w:rFonts w:ascii="GHEA Grapalat" w:eastAsia="Times New Roman" w:hAnsi="GHEA Grapalat" w:cs="Times New Roman"/>
                <w:color w:val="404040"/>
                <w:sz w:val="18"/>
                <w:szCs w:val="18"/>
                <w:lang w:val="hy-AM"/>
              </w:rPr>
              <w:t>8</w:t>
            </w:r>
            <w:r w:rsidRPr="008B63B1">
              <w:rPr>
                <w:rFonts w:ascii="GHEA Grapalat" w:eastAsia="Times New Roman" w:hAnsi="GHEA Grapalat" w:cs="Times New Roman"/>
                <w:color w:val="404040"/>
                <w:sz w:val="18"/>
                <w:szCs w:val="18"/>
              </w:rPr>
              <w:t xml:space="preserve"> ՄԺԾԾ</w:t>
            </w:r>
          </w:p>
        </w:tc>
        <w:tc>
          <w:tcPr>
            <w:tcW w:w="1044" w:type="dxa"/>
            <w:vAlign w:val="center"/>
          </w:tcPr>
          <w:p w14:paraId="457FF60D"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-5.0</w:t>
            </w:r>
          </w:p>
        </w:tc>
        <w:tc>
          <w:tcPr>
            <w:tcW w:w="1234" w:type="dxa"/>
            <w:noWrap/>
            <w:vAlign w:val="center"/>
          </w:tcPr>
          <w:p w14:paraId="590F34AD"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-4.7</w:t>
            </w:r>
          </w:p>
        </w:tc>
        <w:tc>
          <w:tcPr>
            <w:tcW w:w="1329" w:type="dxa"/>
            <w:vAlign w:val="center"/>
          </w:tcPr>
          <w:p w14:paraId="3764B687"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-4.7</w:t>
            </w:r>
          </w:p>
        </w:tc>
        <w:tc>
          <w:tcPr>
            <w:tcW w:w="1234" w:type="dxa"/>
            <w:noWrap/>
            <w:vAlign w:val="center"/>
          </w:tcPr>
          <w:p w14:paraId="2DBB1F2D"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-4.7</w:t>
            </w:r>
          </w:p>
        </w:tc>
        <w:tc>
          <w:tcPr>
            <w:tcW w:w="1139" w:type="dxa"/>
            <w:noWrap/>
            <w:vAlign w:val="center"/>
          </w:tcPr>
          <w:p w14:paraId="7EA7DBC8" w14:textId="77777777" w:rsidR="00507805" w:rsidRPr="008B63B1" w:rsidRDefault="00507805" w:rsidP="00082769">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-4.5</w:t>
            </w:r>
          </w:p>
        </w:tc>
      </w:tr>
    </w:tbl>
    <w:p w14:paraId="75AA44E6" w14:textId="7FA89CC6" w:rsidR="00507805" w:rsidRPr="006422CA" w:rsidRDefault="00507805" w:rsidP="00082769">
      <w:pPr>
        <w:rPr>
          <w:rFonts w:ascii="GHEA Grapalat" w:eastAsia="Times New Roman" w:hAnsi="GHEA Grapalat" w:cs="Times New Roman"/>
          <w:i/>
          <w:color w:val="A6A6A6"/>
          <w:sz w:val="18"/>
          <w:lang w:val="hy-AM" w:eastAsia="ru-RU"/>
        </w:rPr>
      </w:pPr>
      <w:r w:rsidRPr="008B63B1">
        <w:rPr>
          <w:rFonts w:ascii="GHEA Grapalat" w:eastAsia="Times New Roman" w:hAnsi="GHEA Grapalat" w:cs="Times New Roman"/>
          <w:i/>
          <w:color w:val="A6A6A6"/>
          <w:sz w:val="18"/>
        </w:rPr>
        <w:t>* Պատմական կանխատեսումները ներկայացված են համապատասխան ծրագրերի տվյալներով։</w:t>
      </w:r>
      <w:r w:rsidRPr="008B63B1">
        <w:rPr>
          <w:rFonts w:ascii="GHEA Grapalat" w:eastAsia="Times New Roman" w:hAnsi="GHEA Grapalat" w:cs="Times New Roman"/>
          <w:i/>
          <w:color w:val="A6A6A6"/>
          <w:sz w:val="18"/>
          <w:lang w:val="hy-AM"/>
        </w:rPr>
        <w:t xml:space="preserve"> Աղբյուրը ՝ ՀՀ ՖՆ կանխատեսումներ</w:t>
      </w:r>
    </w:p>
    <w:p w14:paraId="13E2029E" w14:textId="77777777" w:rsidR="004C0C21" w:rsidRDefault="004C0C21" w:rsidP="00082769">
      <w:pPr>
        <w:pStyle w:val="Heading1"/>
        <w:spacing w:before="120" w:after="120"/>
        <w:ind w:right="-22"/>
        <w:jc w:val="both"/>
        <w:rPr>
          <w:rFonts w:ascii="GHEA Grapalat" w:hAnsi="GHEA Grapalat"/>
          <w:b/>
          <w:color w:val="auto"/>
          <w:sz w:val="30"/>
          <w:szCs w:val="20"/>
          <w:lang w:val="hy-AM"/>
        </w:rPr>
      </w:pPr>
      <w:bookmarkStart w:id="252" w:name="_Toc241687669"/>
      <w:r w:rsidRPr="000232DD">
        <w:rPr>
          <w:rFonts w:ascii="GHEA Grapalat" w:hAnsi="GHEA Grapalat"/>
          <w:b/>
          <w:color w:val="auto"/>
          <w:sz w:val="30"/>
          <w:szCs w:val="20"/>
          <w:lang w:val="hy-AM"/>
        </w:rPr>
        <w:t>ՄԱՍ I-Գ. ՀԱՐԿԱԲՅՈՒՋԵՏԱՅԻՆ ՔԱՂԱՔԱԿԱՆՈՒԹՅԱՆ ՀԻՄՆԱԿԱՆ ՈՒՂՂՈՒԹՅՈՒՆՆԵՐԸ ԵՎ ԿԱՆԽԱՏԵՍՈՒՄՆԵՐԸ</w:t>
      </w:r>
      <w:bookmarkEnd w:id="120"/>
      <w:bookmarkEnd w:id="121"/>
      <w:bookmarkEnd w:id="122"/>
      <w:bookmarkEnd w:id="252"/>
    </w:p>
    <w:p w14:paraId="2901C7EB" w14:textId="77777777" w:rsidR="00082769" w:rsidRPr="00082769" w:rsidRDefault="00082769" w:rsidP="00082769">
      <w:pPr>
        <w:rPr>
          <w:lang w:val="hy-AM"/>
        </w:rPr>
      </w:pPr>
    </w:p>
    <w:p w14:paraId="1CCC4E6D" w14:textId="77777777" w:rsidR="00082769" w:rsidRDefault="00082769" w:rsidP="00082769">
      <w:pPr>
        <w:keepNext/>
        <w:keepLines/>
        <w:spacing w:before="40" w:after="0" w:line="240" w:lineRule="auto"/>
        <w:outlineLvl w:val="1"/>
        <w:rPr>
          <w:rFonts w:ascii="GHEA Grapalat" w:eastAsia="Times New Roman" w:hAnsi="GHEA Grapalat" w:cs="Times New Roman"/>
          <w:color w:val="A5A6AC"/>
          <w:sz w:val="28"/>
          <w:szCs w:val="20"/>
          <w:lang w:val="hy-AM"/>
        </w:rPr>
      </w:pPr>
      <w:bookmarkStart w:id="253" w:name="_Toc241687670"/>
      <w:bookmarkStart w:id="254" w:name="_Toc241367600"/>
      <w:bookmarkStart w:id="255" w:name="_Toc241367771"/>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8B63B1">
        <w:rPr>
          <w:rFonts w:ascii="GHEA Grapalat" w:eastAsia="Times New Roman" w:hAnsi="GHEA Grapalat" w:cs="Times New Roman"/>
          <w:color w:val="A5A6AC"/>
          <w:sz w:val="28"/>
          <w:szCs w:val="20"/>
          <w:lang w:val="hy-AM"/>
        </w:rPr>
        <w:t xml:space="preserve">2.1. </w:t>
      </w:r>
      <w:bookmarkStart w:id="256" w:name="_Toc45838522"/>
      <w:r w:rsidRPr="008B63B1">
        <w:rPr>
          <w:rFonts w:ascii="GHEA Grapalat" w:eastAsia="Times New Roman" w:hAnsi="GHEA Grapalat" w:cs="Times New Roman"/>
          <w:color w:val="A5A6AC"/>
          <w:sz w:val="28"/>
          <w:szCs w:val="20"/>
          <w:lang w:val="hy-AM"/>
        </w:rPr>
        <w:t>ՀԱՐԿԱԲՅՈՒՋԵՏԱՅԻՆ ԸՆԴՀԱՆՈՒՐ ԱԿՆԱՐԿ ԵՎ ՀԱՐԿԱԲՅՈՒՋԵՏԱՅԻՆ ՇՐՋԱՆԱԿ</w:t>
      </w:r>
      <w:bookmarkEnd w:id="253"/>
      <w:bookmarkEnd w:id="256"/>
    </w:p>
    <w:p w14:paraId="189AFE37" w14:textId="77777777" w:rsidR="00082769" w:rsidRPr="008B63B1" w:rsidRDefault="00082769" w:rsidP="00082769">
      <w:pPr>
        <w:keepNext/>
        <w:keepLines/>
        <w:spacing w:before="40" w:after="0" w:line="240" w:lineRule="auto"/>
        <w:outlineLvl w:val="1"/>
        <w:rPr>
          <w:rFonts w:ascii="GHEA Grapalat" w:eastAsia="Times New Roman" w:hAnsi="GHEA Grapalat" w:cs="Times New Roman"/>
          <w:color w:val="A5A6AC"/>
          <w:sz w:val="28"/>
          <w:szCs w:val="20"/>
          <w:lang w:val="hy-AM"/>
        </w:rPr>
      </w:pPr>
    </w:p>
    <w:p w14:paraId="64E960F2" w14:textId="77777777" w:rsidR="00082769" w:rsidRPr="008B63B1" w:rsidRDefault="00082769" w:rsidP="00082769">
      <w:pPr>
        <w:numPr>
          <w:ilvl w:val="0"/>
          <w:numId w:val="17"/>
        </w:numPr>
        <w:ind w:left="0" w:hanging="11"/>
        <w:contextualSpacing/>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2023-2025թթ. հարկաբյուջետային քաղաքականությունը վերականգնել է բնականոն իրավիճակների համար նախատեսված հարկաբյուջետային կանոններին համապատասխանությունը՝ պահպանելով կառավարության պարտք/ՀՆԱ հարաբերակցությունը 50%-ից ցածր և զուգահեռ հարկային քաղաքականության և վարչարարության բարեփոխումների միջոցով ընդլայնելով եկամտային կարողությունը։ 2024-2025թթ.-ին, կառուցվածքային բարեփոխումների սահուն ընթացքը երաշխավորելու, ֆիզիկական ու մարդկային կապիտալի մեջ անհրաժեշտ ծավալի ներդրումներ իրականացնելու և անհետաձգելի կարիքների համար անհրաժեշտ ֆինանսավորման պահանջի աճի արդյունքում բյուջեի պակասուրդն աճել է մինչև ՀՆԱ-ի 3</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7%-ի, սակայն կառավարության պարտքի բեռը պահպանվել է 50% շեմից ցածր: Հետևողական հարկաբյուջետային քաղաքականության արդյունքում տեղի է ունեցել պետական բյուջեի ծախսերի կառուցվածքի բարելավում՝ ֆիզիկական և մարդկային կապիտալին ուղղված ծախսերի աճի տեսքով։ </w:t>
      </w:r>
    </w:p>
    <w:p w14:paraId="68390A57" w14:textId="269BF54D" w:rsidR="00082769" w:rsidRPr="008B63B1" w:rsidRDefault="00082769" w:rsidP="00082769">
      <w:pPr>
        <w:numPr>
          <w:ilvl w:val="0"/>
          <w:numId w:val="17"/>
        </w:numPr>
        <w:ind w:left="0" w:hanging="11"/>
        <w:contextualSpacing/>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Միջնաժամկետ հատվածի սկզբում՝ կառուցվածքային բարեփոխումների և առաջնահերթ ներդրումների ֆինանսավորման պահանջի աճի պայմաններում պետական բյուջեի պակասուրդի համեմատաբար բարձր մակարդակի ձևավորումից հետո հարկաբյուջետային քաղաքականությունն ուղղված կլինի ծախսերի կառուցվածքի բարելավմամբ ուղեկցվող հարկաբյուջետային կոնսոլիդացիայի իրականացմանը։ </w:t>
      </w:r>
      <w:r w:rsidR="0047681E">
        <w:rPr>
          <w:rFonts w:ascii="GHEA Grapalat" w:eastAsia="Times New Roman" w:hAnsi="GHEA Grapalat" w:cs="Times New Roman"/>
          <w:color w:val="404040"/>
          <w:szCs w:val="20"/>
          <w:lang w:val="hy-AM"/>
        </w:rPr>
        <w:t>ՀՀ կ</w:t>
      </w:r>
      <w:r w:rsidRPr="008B63B1">
        <w:rPr>
          <w:rFonts w:ascii="GHEA Grapalat" w:eastAsia="Times New Roman" w:hAnsi="GHEA Grapalat" w:cs="Times New Roman"/>
          <w:color w:val="404040"/>
          <w:szCs w:val="20"/>
          <w:lang w:val="hy-AM"/>
        </w:rPr>
        <w:t>առավարության պարտքի բեռը 2027-2028 թվականներին կգտնվի 47%-ի շրջակայքում, որից հետո՝ բյուջեի պակասուրդի շարունակական նվազման արդյունքում կմոտենա 46.</w:t>
      </w:r>
      <w:r w:rsidRPr="00EB1E04">
        <w:rPr>
          <w:rFonts w:ascii="GHEA Grapalat" w:eastAsia="Times New Roman" w:hAnsi="GHEA Grapalat" w:cs="Times New Roman"/>
          <w:color w:val="404040"/>
          <w:szCs w:val="20"/>
          <w:lang w:val="hy-AM"/>
        </w:rPr>
        <w:t>4</w:t>
      </w:r>
      <w:r w:rsidRPr="008B63B1">
        <w:rPr>
          <w:rFonts w:ascii="GHEA Grapalat" w:eastAsia="Times New Roman" w:hAnsi="GHEA Grapalat" w:cs="Times New Roman"/>
          <w:color w:val="404040"/>
          <w:szCs w:val="20"/>
          <w:lang w:val="hy-AM"/>
        </w:rPr>
        <w:t xml:space="preserve">%-ին մինչև 2029 թվականը։ Հարկաբյուջետային կոնսոլիդացիան կիրականացվի ընթացիկ ծախսերի օպտիմալացման և արդյունավետության բարձրացման պայմաններում ՀՆԱ-ում դրանց կշռի որոշակի նվազմամբ, ինչը կզուգորդվի ամբողջական պահանջարկի վրա չափավոր զսպող ազդեցությամբ՝ միջնաժամկետի վերջում այդ ազդեցության թուլացմամբ։ Արդյունավետ ներդրումների և կառուցվածքային բարեփոխումների իրականացումը կնպաստեն տնտեսության ներուժի ընդլայնմանը։ Հարկաբյուջետային քաղաքականության համար, ընդհանուր առմամբ, առաջնահերթ է առկա ռեսուրսների առավել արդյունավետ օգտագործումը և հնարավոր ռիսկերի կառավարման կարողությունների ձևավորումը, ինչը, աճի ներուժի բարձրացման հետ, պետք է նպաստի երկարաժամկետ հարկաբյուջետային կայունությանը։ </w:t>
      </w:r>
    </w:p>
    <w:p w14:paraId="6F4E910E" w14:textId="17E1B561" w:rsidR="00082769" w:rsidRPr="008B63B1" w:rsidRDefault="00082769" w:rsidP="00082769">
      <w:pPr>
        <w:numPr>
          <w:ilvl w:val="0"/>
          <w:numId w:val="17"/>
        </w:numPr>
        <w:ind w:left="0" w:hanging="11"/>
        <w:contextualSpacing/>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Միջնաժամկետում հարկային վարչարարության բարելավման, ստվերի դեմ պայքարի, ինչպես նաև հարկային քաղաքականության միջոցառումների արդյունքում ակնկալվում է ապահովել հարկեր/ՀՆԱ հարաբերակցության շարունակական բարելավում՝ 2026թ.` 0.8, 2027թ.՝ 0.6, 2028-2029թթ.՝ կուտակային շուրջ 0.24, տոկոսային կետով, որի արդյունքում հարկեր/ՀՆԱ հարաբերակցությունը 2029թ. կգտ</w:t>
      </w:r>
      <w:r w:rsidR="00177C18">
        <w:rPr>
          <w:rFonts w:ascii="GHEA Grapalat" w:eastAsia="Times New Roman" w:hAnsi="GHEA Grapalat" w:cs="Times New Roman"/>
          <w:color w:val="404040"/>
          <w:szCs w:val="20"/>
          <w:lang w:val="hy-AM"/>
        </w:rPr>
        <w:t>ն</w:t>
      </w:r>
      <w:r w:rsidRPr="008B63B1">
        <w:rPr>
          <w:rFonts w:ascii="GHEA Grapalat" w:eastAsia="Times New Roman" w:hAnsi="GHEA Grapalat" w:cs="Times New Roman"/>
          <w:color w:val="404040"/>
          <w:szCs w:val="20"/>
          <w:lang w:val="hy-AM"/>
        </w:rPr>
        <w:t xml:space="preserve">վի ներկա օրենսդրության և տնտեսական կառուցվածքի պայմաններում արդյունավետ հնարավորությունների տիրույթում՝  հասնելով 25.7%-ի։ </w:t>
      </w:r>
    </w:p>
    <w:p w14:paraId="341FC40B" w14:textId="77777777" w:rsidR="00082769" w:rsidRPr="008B63B1" w:rsidRDefault="00082769" w:rsidP="00082769">
      <w:pPr>
        <w:numPr>
          <w:ilvl w:val="0"/>
          <w:numId w:val="17"/>
        </w:numPr>
        <w:ind w:left="0" w:hanging="11"/>
        <w:contextualSpacing/>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Միջնաժամկետ հարկաբյուջետային շրջանակում ընթացիկ ծախսերի կշիռը ՀՆԱ-ում կնվազի հարկաբյուջետային կոնսոլիդացիա իրականացնելու նպատակադրումից ելնելով, իսկ կապիտալ ծախսերը կկայունանան պատմական միջինից զգալիորեն բարձր մակարդակում՝ նպաստելով տնտեսական և անվտանգային ենթակառուցվածքների զարգացմանը։ Կապիտալ ծախսերի կշիռը ՀՆԱ-ում մինչև 2029թ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 կհասնի 5.9%-ի, իսկ ընթացիկ ծախսերի կշիռը 2026թ.-ի համար ակնկալվող 24.4% ցուցանիշից աստիճանաբար նվազելով՝ 2029թ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-ին կհասնի ՀՆԱ-ի 22.5%-ի։ </w:t>
      </w:r>
    </w:p>
    <w:p w14:paraId="41B09A82" w14:textId="77777777" w:rsidR="00082769" w:rsidRPr="008B63B1" w:rsidRDefault="00082769" w:rsidP="00082769">
      <w:pPr>
        <w:numPr>
          <w:ilvl w:val="0"/>
          <w:numId w:val="17"/>
        </w:numPr>
        <w:ind w:left="0" w:hanging="11"/>
        <w:contextualSpacing/>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2027 թվականի պետական բյուջեի և միջնաժամկետ հարկաբյուջետային շրջանակի հիմնական ռիսկերը վերաբերում են մակրոտնտեսական անբարենպաստ զարգացումներին, հարկային եկամուտներ/ՀՆԱ ցուցանիշի թիրախավորված բարելավումների ոչ ամբողջական ապահովմանը, միջազգային ֆինանսական շուկաների իրավիճակի վատթարացմանը և ՀՀ կառավարության փոխառության հնարավորությունների սահմանափակմանը, լրացուցիչ ծախսային կարիքների առաջացմանը, ծախսերի թերակատարմանը և բազային սցենարի համեմատ ավելի զսպող ազդակի ձևավորմանը։ Սցենարային վերլուծության միջոցով նշված ռիսկերին տրվել է քանակական արտահայտություն, և դրանց կառավարման համար ձեռնարկվել են համարժեք միջոցառումներ՝ պահուստային ֆոնդերի ձևավորման և գանձապետական կայունացման հաշվում առնվազն ՀՆԱ-ի 1% չափով «իրացվելիության բարձիկի» ստեղծման ճանապարհով։ Միաժամանակ, տարբեր ռիսկերի առարկայացման պարագայում կառավարությունը կկիրառի հասանելի գործիքները եկամտային ներուժի բարձրացման նպատակով (այդ թվում՝ հարկային վարչարարության լրացուցիչ գործիքների կիրառում), կճշգրտվեն ծախսային առաջնահերթություններն ու շրջանակը, իսկ հարկաբյուջետային կայունության ռիսկերի առարկայացման դեպքում՝ կվերանայվի նաև հարկաբյուջետային շրջանակը։ Բացի այդ, առաջացող ռիսկերին դիմագրավելու տեսակետից յուրաքանչյուր տարվա պետական բյուջեում ըստ անհրաժեշտության կամրագրվեն նաև լրացուցիչ «բարձիկներ» պահուստային ֆոնդերում։</w:t>
      </w:r>
    </w:p>
    <w:p w14:paraId="2F245621" w14:textId="77777777" w:rsidR="00082769" w:rsidRPr="008B63B1" w:rsidRDefault="00082769" w:rsidP="00082769">
      <w:pPr>
        <w:numPr>
          <w:ilvl w:val="0"/>
          <w:numId w:val="17"/>
        </w:numPr>
        <w:ind w:left="0" w:hanging="11"/>
        <w:contextualSpacing/>
        <w:jc w:val="both"/>
        <w:rPr>
          <w:rFonts w:ascii="Cambria" w:eastAsia="Times New Roman" w:hAnsi="Cambria" w:cs="Times New Roman"/>
          <w:b/>
          <w:color w:val="404040"/>
          <w:lang w:val="hy-AM"/>
        </w:rPr>
      </w:pPr>
      <w:r w:rsidRPr="008B63B1">
        <w:rPr>
          <w:rFonts w:ascii="Cambria" w:eastAsia="Times New Roman" w:hAnsi="Cambria" w:cs="Times New Roman"/>
          <w:color w:val="404040"/>
          <w:lang w:val="hy-AM"/>
        </w:rPr>
        <w:br w:type="page"/>
      </w:r>
    </w:p>
    <w:p w14:paraId="2008EEDB" w14:textId="77777777" w:rsidR="00082769" w:rsidRPr="001D56CB" w:rsidRDefault="00082769" w:rsidP="001D56CB">
      <w:pPr>
        <w:pStyle w:val="Charts"/>
        <w:ind w:right="-22"/>
        <w:rPr>
          <w:b w:val="0"/>
          <w:bCs/>
          <w:color w:val="auto"/>
          <w:sz w:val="20"/>
          <w:szCs w:val="18"/>
        </w:rPr>
      </w:pPr>
      <w:r w:rsidRPr="001D56CB">
        <w:rPr>
          <w:b w:val="0"/>
          <w:bCs/>
          <w:color w:val="auto"/>
          <w:sz w:val="20"/>
          <w:szCs w:val="18"/>
        </w:rPr>
        <w:t>Աղյուսակ 2.1. 2027 թվականի և միջնաժամկետ հորիզոնի հարկաբյուջետային շրջանակ, մլրդ ՀՀ դրամ</w:t>
      </w:r>
    </w:p>
    <w:tbl>
      <w:tblPr>
        <w:tblW w:w="10250" w:type="dxa"/>
        <w:jc w:val="center"/>
        <w:tblBorders>
          <w:top w:val="single" w:sz="4" w:space="0" w:color="E1E1E3"/>
          <w:left w:val="single" w:sz="4" w:space="0" w:color="E1E1E3"/>
          <w:bottom w:val="single" w:sz="4" w:space="0" w:color="E1E1E3"/>
          <w:right w:val="single" w:sz="4" w:space="0" w:color="E1E1E3"/>
          <w:insideH w:val="single" w:sz="4" w:space="0" w:color="E1E1E3"/>
          <w:insideV w:val="single" w:sz="4" w:space="0" w:color="E1E1E3"/>
        </w:tblBorders>
        <w:tblLook w:val="04A0" w:firstRow="1" w:lastRow="0" w:firstColumn="1" w:lastColumn="0" w:noHBand="0" w:noVBand="1"/>
      </w:tblPr>
      <w:tblGrid>
        <w:gridCol w:w="1860"/>
        <w:gridCol w:w="859"/>
        <w:gridCol w:w="893"/>
        <w:gridCol w:w="895"/>
        <w:gridCol w:w="989"/>
        <w:gridCol w:w="1579"/>
        <w:gridCol w:w="1605"/>
        <w:gridCol w:w="1570"/>
      </w:tblGrid>
      <w:tr w:rsidR="00082769" w:rsidRPr="008B63B1" w14:paraId="49034D6A" w14:textId="77777777" w:rsidTr="00873AE6">
        <w:trPr>
          <w:trHeight w:val="415"/>
          <w:jc w:val="center"/>
        </w:trPr>
        <w:tc>
          <w:tcPr>
            <w:tcW w:w="1860" w:type="dxa"/>
            <w:shd w:val="clear" w:color="auto" w:fill="D5DCE4"/>
            <w:vAlign w:val="center"/>
          </w:tcPr>
          <w:p w14:paraId="11C00A3F"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lang w:val="hy-AM"/>
              </w:rPr>
            </w:pPr>
            <w:r w:rsidRPr="008B63B1">
              <w:rPr>
                <w:rFonts w:ascii="Calibri" w:eastAsia="Times New Roman" w:hAnsi="Calibri" w:cs="Calibri"/>
                <w:color w:val="404040"/>
                <w:sz w:val="18"/>
                <w:szCs w:val="18"/>
                <w:lang w:val="hy-AM"/>
              </w:rPr>
              <w:t> </w:t>
            </w:r>
          </w:p>
        </w:tc>
        <w:tc>
          <w:tcPr>
            <w:tcW w:w="859" w:type="dxa"/>
            <w:shd w:val="clear" w:color="auto" w:fill="D5DCE4"/>
            <w:noWrap/>
            <w:vAlign w:val="center"/>
          </w:tcPr>
          <w:p w14:paraId="0F55DFB1"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2023</w:t>
            </w:r>
          </w:p>
        </w:tc>
        <w:tc>
          <w:tcPr>
            <w:tcW w:w="893" w:type="dxa"/>
            <w:shd w:val="clear" w:color="auto" w:fill="D5DCE4"/>
            <w:noWrap/>
            <w:vAlign w:val="center"/>
          </w:tcPr>
          <w:p w14:paraId="6C7343BE"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2024</w:t>
            </w:r>
          </w:p>
        </w:tc>
        <w:tc>
          <w:tcPr>
            <w:tcW w:w="895" w:type="dxa"/>
            <w:shd w:val="clear" w:color="auto" w:fill="D5DCE4"/>
            <w:noWrap/>
            <w:vAlign w:val="center"/>
          </w:tcPr>
          <w:p w14:paraId="1CFAC3F1"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5</w:t>
            </w:r>
          </w:p>
        </w:tc>
        <w:tc>
          <w:tcPr>
            <w:tcW w:w="989" w:type="dxa"/>
            <w:shd w:val="clear" w:color="auto" w:fill="D5DCE4"/>
            <w:noWrap/>
            <w:vAlign w:val="center"/>
          </w:tcPr>
          <w:p w14:paraId="5B3BA806"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6</w:t>
            </w:r>
          </w:p>
        </w:tc>
        <w:tc>
          <w:tcPr>
            <w:tcW w:w="1579" w:type="dxa"/>
            <w:shd w:val="clear" w:color="auto" w:fill="D5DCE4"/>
            <w:noWrap/>
            <w:vAlign w:val="center"/>
          </w:tcPr>
          <w:p w14:paraId="1AA9E638"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7</w:t>
            </w:r>
          </w:p>
        </w:tc>
        <w:tc>
          <w:tcPr>
            <w:tcW w:w="1605" w:type="dxa"/>
            <w:shd w:val="clear" w:color="auto" w:fill="D5DCE4"/>
            <w:noWrap/>
            <w:vAlign w:val="center"/>
          </w:tcPr>
          <w:p w14:paraId="02F1A560"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8</w:t>
            </w:r>
          </w:p>
        </w:tc>
        <w:tc>
          <w:tcPr>
            <w:tcW w:w="1570" w:type="dxa"/>
            <w:shd w:val="clear" w:color="auto" w:fill="D5DCE4"/>
            <w:noWrap/>
            <w:vAlign w:val="center"/>
          </w:tcPr>
          <w:p w14:paraId="0B61FBBE"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2029</w:t>
            </w:r>
          </w:p>
        </w:tc>
      </w:tr>
      <w:tr w:rsidR="00082769" w:rsidRPr="008B63B1" w14:paraId="232167C0" w14:textId="77777777" w:rsidTr="00873AE6">
        <w:trPr>
          <w:trHeight w:val="415"/>
          <w:jc w:val="center"/>
        </w:trPr>
        <w:tc>
          <w:tcPr>
            <w:tcW w:w="1860" w:type="dxa"/>
            <w:shd w:val="clear" w:color="auto" w:fill="D5DCE4"/>
            <w:vAlign w:val="center"/>
          </w:tcPr>
          <w:p w14:paraId="1EBDBE7B"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p>
        </w:tc>
        <w:tc>
          <w:tcPr>
            <w:tcW w:w="2647" w:type="dxa"/>
            <w:gridSpan w:val="3"/>
            <w:shd w:val="clear" w:color="auto" w:fill="D5DCE4"/>
            <w:noWrap/>
            <w:vAlign w:val="center"/>
          </w:tcPr>
          <w:p w14:paraId="70413D36"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Փաստացի</w:t>
            </w:r>
          </w:p>
        </w:tc>
        <w:tc>
          <w:tcPr>
            <w:tcW w:w="989" w:type="dxa"/>
            <w:shd w:val="clear" w:color="auto" w:fill="D5DCE4"/>
            <w:noWrap/>
            <w:vAlign w:val="center"/>
          </w:tcPr>
          <w:p w14:paraId="11D63A3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Սպասում</w:t>
            </w:r>
          </w:p>
        </w:tc>
        <w:tc>
          <w:tcPr>
            <w:tcW w:w="1579" w:type="dxa"/>
            <w:shd w:val="clear" w:color="auto" w:fill="D5DCE4"/>
            <w:noWrap/>
            <w:vAlign w:val="center"/>
          </w:tcPr>
          <w:p w14:paraId="6284956A" w14:textId="7ACE6176"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2027թ</w:t>
            </w:r>
            <w:r w:rsidRPr="008B63B1">
              <w:rPr>
                <w:rFonts w:ascii="Cambria Math" w:eastAsia="Times New Roman" w:hAnsi="Cambria Math" w:cs="Cambria Math"/>
                <w:color w:val="404040"/>
                <w:sz w:val="18"/>
                <w:szCs w:val="18"/>
              </w:rPr>
              <w:t>․</w:t>
            </w:r>
            <w:r w:rsidRPr="008B63B1">
              <w:rPr>
                <w:rFonts w:ascii="GHEA Grapalat" w:eastAsia="Times New Roman" w:hAnsi="GHEA Grapalat" w:cs="Times New Roman"/>
                <w:color w:val="404040"/>
                <w:sz w:val="18"/>
                <w:szCs w:val="18"/>
              </w:rPr>
              <w:t xml:space="preserve"> </w:t>
            </w:r>
            <w:r w:rsidR="006422CA">
              <w:rPr>
                <w:rFonts w:ascii="GHEA Grapalat" w:eastAsia="Times New Roman" w:hAnsi="GHEA Grapalat" w:cs="Times New Roman"/>
                <w:color w:val="404040"/>
                <w:sz w:val="18"/>
                <w:szCs w:val="18"/>
              </w:rPr>
              <w:t>ծրագիր</w:t>
            </w:r>
          </w:p>
        </w:tc>
        <w:tc>
          <w:tcPr>
            <w:tcW w:w="3175" w:type="dxa"/>
            <w:gridSpan w:val="2"/>
            <w:shd w:val="clear" w:color="auto" w:fill="D5DCE4"/>
            <w:noWrap/>
            <w:vAlign w:val="center"/>
          </w:tcPr>
          <w:p w14:paraId="1364F541"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Կանխատեսում</w:t>
            </w:r>
          </w:p>
        </w:tc>
      </w:tr>
      <w:tr w:rsidR="00082769" w:rsidRPr="008B63B1" w14:paraId="7A924FAA" w14:textId="77777777" w:rsidTr="00873AE6">
        <w:trPr>
          <w:trHeight w:val="553"/>
          <w:jc w:val="center"/>
        </w:trPr>
        <w:tc>
          <w:tcPr>
            <w:tcW w:w="1860" w:type="dxa"/>
            <w:vAlign w:val="center"/>
            <w:hideMark/>
          </w:tcPr>
          <w:p w14:paraId="5395FFE0"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 xml:space="preserve">Պետական բյուջեի եկամուտներ </w:t>
            </w:r>
          </w:p>
        </w:tc>
        <w:tc>
          <w:tcPr>
            <w:tcW w:w="859" w:type="dxa"/>
            <w:noWrap/>
            <w:vAlign w:val="center"/>
            <w:hideMark/>
          </w:tcPr>
          <w:p w14:paraId="3C86070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2,410.7</w:t>
            </w:r>
          </w:p>
        </w:tc>
        <w:tc>
          <w:tcPr>
            <w:tcW w:w="893" w:type="dxa"/>
            <w:noWrap/>
            <w:vAlign w:val="center"/>
            <w:hideMark/>
          </w:tcPr>
          <w:p w14:paraId="7CC83210"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2,579.2</w:t>
            </w:r>
          </w:p>
        </w:tc>
        <w:tc>
          <w:tcPr>
            <w:tcW w:w="895" w:type="dxa"/>
            <w:noWrap/>
            <w:vAlign w:val="center"/>
            <w:hideMark/>
          </w:tcPr>
          <w:p w14:paraId="27359B8E"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2,886.5</w:t>
            </w:r>
          </w:p>
        </w:tc>
        <w:tc>
          <w:tcPr>
            <w:tcW w:w="989" w:type="dxa"/>
            <w:noWrap/>
            <w:vAlign w:val="center"/>
            <w:hideMark/>
          </w:tcPr>
          <w:p w14:paraId="4E9D674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3,220.7</w:t>
            </w:r>
          </w:p>
        </w:tc>
        <w:tc>
          <w:tcPr>
            <w:tcW w:w="1579" w:type="dxa"/>
            <w:noWrap/>
            <w:vAlign w:val="center"/>
            <w:hideMark/>
          </w:tcPr>
          <w:p w14:paraId="0790270D"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3,603.8</w:t>
            </w:r>
          </w:p>
        </w:tc>
        <w:tc>
          <w:tcPr>
            <w:tcW w:w="1605" w:type="dxa"/>
            <w:noWrap/>
            <w:vAlign w:val="center"/>
            <w:hideMark/>
          </w:tcPr>
          <w:p w14:paraId="4036D4C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3,950.2</w:t>
            </w:r>
          </w:p>
        </w:tc>
        <w:tc>
          <w:tcPr>
            <w:tcW w:w="1570" w:type="dxa"/>
            <w:noWrap/>
            <w:vAlign w:val="center"/>
            <w:hideMark/>
          </w:tcPr>
          <w:p w14:paraId="128E5CFF"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4,311.4</w:t>
            </w:r>
          </w:p>
        </w:tc>
      </w:tr>
      <w:tr w:rsidR="00082769" w:rsidRPr="008B63B1" w14:paraId="1CDBE7F4" w14:textId="77777777" w:rsidTr="00873AE6">
        <w:trPr>
          <w:trHeight w:val="553"/>
          <w:jc w:val="center"/>
        </w:trPr>
        <w:tc>
          <w:tcPr>
            <w:tcW w:w="1860" w:type="dxa"/>
            <w:vAlign w:val="center"/>
            <w:hideMark/>
          </w:tcPr>
          <w:p w14:paraId="5A073354"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Հարկային եկամուտներ և տուրքեր</w:t>
            </w:r>
          </w:p>
        </w:tc>
        <w:tc>
          <w:tcPr>
            <w:tcW w:w="859" w:type="dxa"/>
            <w:noWrap/>
            <w:vAlign w:val="center"/>
            <w:hideMark/>
          </w:tcPr>
          <w:p w14:paraId="6149000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2,273.9</w:t>
            </w:r>
          </w:p>
        </w:tc>
        <w:tc>
          <w:tcPr>
            <w:tcW w:w="893" w:type="dxa"/>
            <w:noWrap/>
            <w:vAlign w:val="center"/>
            <w:hideMark/>
          </w:tcPr>
          <w:p w14:paraId="4893A0BA"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2,390.9</w:t>
            </w:r>
          </w:p>
        </w:tc>
        <w:tc>
          <w:tcPr>
            <w:tcW w:w="895" w:type="dxa"/>
            <w:noWrap/>
            <w:vAlign w:val="center"/>
            <w:hideMark/>
          </w:tcPr>
          <w:p w14:paraId="6289EDA3"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2,725.2</w:t>
            </w:r>
          </w:p>
        </w:tc>
        <w:tc>
          <w:tcPr>
            <w:tcW w:w="989" w:type="dxa"/>
            <w:noWrap/>
            <w:vAlign w:val="center"/>
            <w:hideMark/>
          </w:tcPr>
          <w:p w14:paraId="606E7FE6"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3,090.4</w:t>
            </w:r>
          </w:p>
        </w:tc>
        <w:tc>
          <w:tcPr>
            <w:tcW w:w="1579" w:type="dxa"/>
            <w:noWrap/>
            <w:vAlign w:val="center"/>
            <w:hideMark/>
          </w:tcPr>
          <w:p w14:paraId="0A2D73C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3,462.7</w:t>
            </w:r>
          </w:p>
        </w:tc>
        <w:tc>
          <w:tcPr>
            <w:tcW w:w="1605" w:type="dxa"/>
            <w:noWrap/>
            <w:vAlign w:val="center"/>
            <w:hideMark/>
          </w:tcPr>
          <w:p w14:paraId="0CC01967"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3,797.2</w:t>
            </w:r>
          </w:p>
        </w:tc>
        <w:tc>
          <w:tcPr>
            <w:tcW w:w="1570" w:type="dxa"/>
            <w:noWrap/>
            <w:vAlign w:val="center"/>
            <w:hideMark/>
          </w:tcPr>
          <w:p w14:paraId="409B320D"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4,167.8</w:t>
            </w:r>
          </w:p>
        </w:tc>
      </w:tr>
      <w:tr w:rsidR="00082769" w:rsidRPr="008B63B1" w14:paraId="23AE7849" w14:textId="77777777" w:rsidTr="00873AE6">
        <w:trPr>
          <w:trHeight w:val="553"/>
          <w:jc w:val="center"/>
        </w:trPr>
        <w:tc>
          <w:tcPr>
            <w:tcW w:w="1860" w:type="dxa"/>
            <w:vAlign w:val="center"/>
            <w:hideMark/>
          </w:tcPr>
          <w:p w14:paraId="3B5E3D34"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Պետական բյուջեի ծախսեր</w:t>
            </w:r>
          </w:p>
        </w:tc>
        <w:tc>
          <w:tcPr>
            <w:tcW w:w="859" w:type="dxa"/>
            <w:noWrap/>
            <w:vAlign w:val="center"/>
            <w:hideMark/>
          </w:tcPr>
          <w:p w14:paraId="295ECB4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2,599.6</w:t>
            </w:r>
          </w:p>
        </w:tc>
        <w:tc>
          <w:tcPr>
            <w:tcW w:w="893" w:type="dxa"/>
            <w:noWrap/>
            <w:vAlign w:val="center"/>
            <w:hideMark/>
          </w:tcPr>
          <w:p w14:paraId="34A874E0"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2,955.3</w:t>
            </w:r>
          </w:p>
        </w:tc>
        <w:tc>
          <w:tcPr>
            <w:tcW w:w="895" w:type="dxa"/>
            <w:noWrap/>
            <w:vAlign w:val="center"/>
            <w:hideMark/>
          </w:tcPr>
          <w:p w14:paraId="3D987D4E"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3,305.3</w:t>
            </w:r>
          </w:p>
        </w:tc>
        <w:tc>
          <w:tcPr>
            <w:tcW w:w="989" w:type="dxa"/>
            <w:noWrap/>
            <w:vAlign w:val="center"/>
            <w:hideMark/>
          </w:tcPr>
          <w:p w14:paraId="1E0C0190"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3,724.9</w:t>
            </w:r>
          </w:p>
        </w:tc>
        <w:tc>
          <w:tcPr>
            <w:tcW w:w="1579" w:type="dxa"/>
            <w:noWrap/>
            <w:vAlign w:val="center"/>
            <w:hideMark/>
          </w:tcPr>
          <w:p w14:paraId="4DA4BE30"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4,072.0</w:t>
            </w:r>
          </w:p>
        </w:tc>
        <w:tc>
          <w:tcPr>
            <w:tcW w:w="1605" w:type="dxa"/>
            <w:noWrap/>
            <w:vAlign w:val="center"/>
            <w:hideMark/>
          </w:tcPr>
          <w:p w14:paraId="44211F37"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4,364.3</w:t>
            </w:r>
          </w:p>
        </w:tc>
        <w:tc>
          <w:tcPr>
            <w:tcW w:w="1570" w:type="dxa"/>
            <w:noWrap/>
            <w:vAlign w:val="center"/>
            <w:hideMark/>
          </w:tcPr>
          <w:p w14:paraId="45B74A69"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4,602.7</w:t>
            </w:r>
          </w:p>
        </w:tc>
      </w:tr>
      <w:tr w:rsidR="00082769" w:rsidRPr="008B63B1" w14:paraId="7CE75CA5" w14:textId="77777777" w:rsidTr="00873AE6">
        <w:trPr>
          <w:trHeight w:val="553"/>
          <w:jc w:val="center"/>
        </w:trPr>
        <w:tc>
          <w:tcPr>
            <w:tcW w:w="1860" w:type="dxa"/>
            <w:vAlign w:val="center"/>
            <w:hideMark/>
          </w:tcPr>
          <w:p w14:paraId="77494FB3"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Ընթացիկ ծախսեր</w:t>
            </w:r>
          </w:p>
        </w:tc>
        <w:tc>
          <w:tcPr>
            <w:tcW w:w="859" w:type="dxa"/>
            <w:noWrap/>
            <w:vAlign w:val="center"/>
            <w:hideMark/>
          </w:tcPr>
          <w:p w14:paraId="5283754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2,127.0</w:t>
            </w:r>
          </w:p>
        </w:tc>
        <w:tc>
          <w:tcPr>
            <w:tcW w:w="893" w:type="dxa"/>
            <w:noWrap/>
            <w:vAlign w:val="center"/>
            <w:hideMark/>
          </w:tcPr>
          <w:p w14:paraId="1837B469"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2,413.6</w:t>
            </w:r>
          </w:p>
        </w:tc>
        <w:tc>
          <w:tcPr>
            <w:tcW w:w="895" w:type="dxa"/>
            <w:noWrap/>
            <w:vAlign w:val="center"/>
            <w:hideMark/>
          </w:tcPr>
          <w:p w14:paraId="2C10E4C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2,612.6</w:t>
            </w:r>
          </w:p>
        </w:tc>
        <w:tc>
          <w:tcPr>
            <w:tcW w:w="989" w:type="dxa"/>
            <w:noWrap/>
            <w:vAlign w:val="center"/>
            <w:hideMark/>
          </w:tcPr>
          <w:p w14:paraId="1F258ED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3,045.3</w:t>
            </w:r>
          </w:p>
        </w:tc>
        <w:tc>
          <w:tcPr>
            <w:tcW w:w="1579" w:type="dxa"/>
            <w:noWrap/>
            <w:vAlign w:val="center"/>
            <w:hideMark/>
          </w:tcPr>
          <w:p w14:paraId="7EE4D0A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3,310.6</w:t>
            </w:r>
          </w:p>
        </w:tc>
        <w:tc>
          <w:tcPr>
            <w:tcW w:w="1605" w:type="dxa"/>
            <w:noWrap/>
            <w:vAlign w:val="center"/>
            <w:hideMark/>
          </w:tcPr>
          <w:p w14:paraId="2B26542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3,504.9</w:t>
            </w:r>
          </w:p>
        </w:tc>
        <w:tc>
          <w:tcPr>
            <w:tcW w:w="1570" w:type="dxa"/>
            <w:noWrap/>
            <w:vAlign w:val="center"/>
            <w:hideMark/>
          </w:tcPr>
          <w:p w14:paraId="7876B41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3,646.1</w:t>
            </w:r>
          </w:p>
        </w:tc>
      </w:tr>
      <w:tr w:rsidR="00082769" w:rsidRPr="008B63B1" w14:paraId="38E2DB3F" w14:textId="77777777" w:rsidTr="00873AE6">
        <w:trPr>
          <w:trHeight w:val="553"/>
          <w:jc w:val="center"/>
        </w:trPr>
        <w:tc>
          <w:tcPr>
            <w:tcW w:w="1860" w:type="dxa"/>
            <w:vAlign w:val="center"/>
            <w:hideMark/>
          </w:tcPr>
          <w:p w14:paraId="52DA3009"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Ոչ ֆինանսական ակտիվների հետ գործառնություններ</w:t>
            </w:r>
          </w:p>
        </w:tc>
        <w:tc>
          <w:tcPr>
            <w:tcW w:w="859" w:type="dxa"/>
            <w:noWrap/>
            <w:vAlign w:val="center"/>
            <w:hideMark/>
          </w:tcPr>
          <w:p w14:paraId="17719A1F"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472.6</w:t>
            </w:r>
          </w:p>
        </w:tc>
        <w:tc>
          <w:tcPr>
            <w:tcW w:w="893" w:type="dxa"/>
            <w:noWrap/>
            <w:vAlign w:val="center"/>
            <w:hideMark/>
          </w:tcPr>
          <w:p w14:paraId="7C324A5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541.7</w:t>
            </w:r>
          </w:p>
        </w:tc>
        <w:tc>
          <w:tcPr>
            <w:tcW w:w="895" w:type="dxa"/>
            <w:noWrap/>
            <w:vAlign w:val="center"/>
            <w:hideMark/>
          </w:tcPr>
          <w:p w14:paraId="305BA6F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692.7</w:t>
            </w:r>
          </w:p>
        </w:tc>
        <w:tc>
          <w:tcPr>
            <w:tcW w:w="989" w:type="dxa"/>
            <w:noWrap/>
            <w:vAlign w:val="center"/>
            <w:hideMark/>
          </w:tcPr>
          <w:p w14:paraId="4721B2E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679.6</w:t>
            </w:r>
          </w:p>
        </w:tc>
        <w:tc>
          <w:tcPr>
            <w:tcW w:w="1579" w:type="dxa"/>
            <w:noWrap/>
            <w:vAlign w:val="center"/>
            <w:hideMark/>
          </w:tcPr>
          <w:p w14:paraId="72D8A82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761.4</w:t>
            </w:r>
          </w:p>
        </w:tc>
        <w:tc>
          <w:tcPr>
            <w:tcW w:w="1605" w:type="dxa"/>
            <w:noWrap/>
            <w:vAlign w:val="center"/>
            <w:hideMark/>
          </w:tcPr>
          <w:p w14:paraId="7CB7930A"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859.4</w:t>
            </w:r>
          </w:p>
        </w:tc>
        <w:tc>
          <w:tcPr>
            <w:tcW w:w="1570" w:type="dxa"/>
            <w:noWrap/>
            <w:vAlign w:val="center"/>
            <w:hideMark/>
          </w:tcPr>
          <w:p w14:paraId="2990F3B9"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956.7</w:t>
            </w:r>
          </w:p>
        </w:tc>
      </w:tr>
      <w:tr w:rsidR="00082769" w:rsidRPr="008B63B1" w14:paraId="72AF744B" w14:textId="77777777" w:rsidTr="00873AE6">
        <w:trPr>
          <w:trHeight w:val="553"/>
          <w:jc w:val="center"/>
        </w:trPr>
        <w:tc>
          <w:tcPr>
            <w:tcW w:w="1860" w:type="dxa"/>
            <w:vAlign w:val="center"/>
            <w:hideMark/>
          </w:tcPr>
          <w:p w14:paraId="7201CDF6"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Պետական բյուջեի հաշվեկշիռ (</w:t>
            </w:r>
            <w:r w:rsidRPr="008B63B1">
              <w:rPr>
                <w:rFonts w:ascii="GHEA Grapalat" w:eastAsia="Times New Roman" w:hAnsi="GHEA Grapalat" w:cs="Times New Roman"/>
                <w:color w:val="404040"/>
                <w:sz w:val="18"/>
                <w:szCs w:val="18"/>
                <w:lang w:val="hy-AM"/>
              </w:rPr>
              <w:t>-</w:t>
            </w:r>
            <w:r w:rsidRPr="008B63B1">
              <w:rPr>
                <w:rFonts w:ascii="GHEA Grapalat" w:eastAsia="Times New Roman" w:hAnsi="GHEA Grapalat" w:cs="Times New Roman"/>
                <w:color w:val="404040"/>
                <w:sz w:val="18"/>
                <w:szCs w:val="18"/>
              </w:rPr>
              <w:t>՝ պակասուրդ)</w:t>
            </w:r>
          </w:p>
        </w:tc>
        <w:tc>
          <w:tcPr>
            <w:tcW w:w="859" w:type="dxa"/>
            <w:noWrap/>
            <w:vAlign w:val="center"/>
            <w:hideMark/>
          </w:tcPr>
          <w:p w14:paraId="4A473A8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-188.9</w:t>
            </w:r>
          </w:p>
        </w:tc>
        <w:tc>
          <w:tcPr>
            <w:tcW w:w="893" w:type="dxa"/>
            <w:noWrap/>
            <w:vAlign w:val="center"/>
            <w:hideMark/>
          </w:tcPr>
          <w:p w14:paraId="299DE12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-376.1</w:t>
            </w:r>
          </w:p>
        </w:tc>
        <w:tc>
          <w:tcPr>
            <w:tcW w:w="895" w:type="dxa"/>
            <w:noWrap/>
            <w:vAlign w:val="center"/>
            <w:hideMark/>
          </w:tcPr>
          <w:p w14:paraId="28D37C4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-418.8</w:t>
            </w:r>
          </w:p>
        </w:tc>
        <w:tc>
          <w:tcPr>
            <w:tcW w:w="989" w:type="dxa"/>
            <w:noWrap/>
            <w:vAlign w:val="center"/>
            <w:hideMark/>
          </w:tcPr>
          <w:p w14:paraId="54533A8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-504.2</w:t>
            </w:r>
          </w:p>
        </w:tc>
        <w:tc>
          <w:tcPr>
            <w:tcW w:w="1579" w:type="dxa"/>
            <w:noWrap/>
            <w:vAlign w:val="center"/>
            <w:hideMark/>
          </w:tcPr>
          <w:p w14:paraId="17F8661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-468.2</w:t>
            </w:r>
          </w:p>
        </w:tc>
        <w:tc>
          <w:tcPr>
            <w:tcW w:w="1605" w:type="dxa"/>
            <w:noWrap/>
            <w:vAlign w:val="center"/>
            <w:hideMark/>
          </w:tcPr>
          <w:p w14:paraId="2F716A8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-414.2</w:t>
            </w:r>
          </w:p>
        </w:tc>
        <w:tc>
          <w:tcPr>
            <w:tcW w:w="1570" w:type="dxa"/>
            <w:noWrap/>
            <w:vAlign w:val="center"/>
            <w:hideMark/>
          </w:tcPr>
          <w:p w14:paraId="2D10A5A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-291.4</w:t>
            </w:r>
          </w:p>
        </w:tc>
      </w:tr>
      <w:tr w:rsidR="00082769" w:rsidRPr="008B63B1" w14:paraId="7C7C8B96" w14:textId="77777777" w:rsidTr="00873AE6">
        <w:trPr>
          <w:trHeight w:val="553"/>
          <w:jc w:val="center"/>
        </w:trPr>
        <w:tc>
          <w:tcPr>
            <w:tcW w:w="1860" w:type="dxa"/>
            <w:vAlign w:val="center"/>
            <w:hideMark/>
          </w:tcPr>
          <w:p w14:paraId="500D5AC7"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Կառավարության պարտք</w:t>
            </w:r>
          </w:p>
        </w:tc>
        <w:tc>
          <w:tcPr>
            <w:tcW w:w="859" w:type="dxa"/>
            <w:noWrap/>
            <w:vAlign w:val="center"/>
            <w:hideMark/>
          </w:tcPr>
          <w:p w14:paraId="2B60761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4,571.9</w:t>
            </w:r>
          </w:p>
        </w:tc>
        <w:tc>
          <w:tcPr>
            <w:tcW w:w="893" w:type="dxa"/>
            <w:noWrap/>
            <w:vAlign w:val="center"/>
            <w:hideMark/>
          </w:tcPr>
          <w:p w14:paraId="2E9FE6A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4,892.8</w:t>
            </w:r>
          </w:p>
        </w:tc>
        <w:tc>
          <w:tcPr>
            <w:tcW w:w="895" w:type="dxa"/>
            <w:noWrap/>
            <w:vAlign w:val="center"/>
            <w:hideMark/>
          </w:tcPr>
          <w:p w14:paraId="475FEC9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5,354.5</w:t>
            </w:r>
          </w:p>
        </w:tc>
        <w:tc>
          <w:tcPr>
            <w:tcW w:w="989" w:type="dxa"/>
            <w:noWrap/>
            <w:vAlign w:val="center"/>
            <w:hideMark/>
          </w:tcPr>
          <w:p w14:paraId="4603E326" w14:textId="77777777" w:rsidR="00082769" w:rsidRPr="00CB39D1" w:rsidRDefault="00082769" w:rsidP="00082769">
            <w:pPr>
              <w:spacing w:after="0" w:line="240" w:lineRule="auto"/>
              <w:ind w:hanging="11"/>
              <w:jc w:val="center"/>
              <w:rPr>
                <w:sz w:val="18"/>
                <w:szCs w:val="18"/>
              </w:rPr>
            </w:pPr>
            <w:r>
              <w:rPr>
                <w:rFonts w:ascii="GHEA Grapalat" w:hAnsi="GHEA Grapalat" w:cs="Calibri"/>
                <w:color w:val="404040"/>
                <w:sz w:val="18"/>
                <w:szCs w:val="18"/>
              </w:rPr>
              <w:t>5,800.8</w:t>
            </w:r>
          </w:p>
        </w:tc>
        <w:tc>
          <w:tcPr>
            <w:tcW w:w="1579" w:type="dxa"/>
            <w:noWrap/>
            <w:vAlign w:val="center"/>
            <w:hideMark/>
          </w:tcPr>
          <w:p w14:paraId="1E2E0C89" w14:textId="77777777" w:rsidR="00082769" w:rsidRPr="00CB39D1" w:rsidRDefault="00082769" w:rsidP="00082769">
            <w:pPr>
              <w:spacing w:after="0" w:line="240" w:lineRule="auto"/>
              <w:ind w:hanging="11"/>
              <w:jc w:val="center"/>
              <w:rPr>
                <w:sz w:val="18"/>
                <w:szCs w:val="18"/>
              </w:rPr>
            </w:pPr>
            <w:r>
              <w:rPr>
                <w:rFonts w:ascii="GHEA Grapalat" w:hAnsi="GHEA Grapalat" w:cs="Calibri"/>
                <w:color w:val="404040"/>
                <w:sz w:val="18"/>
                <w:szCs w:val="18"/>
              </w:rPr>
              <w:t>6,447.2</w:t>
            </w:r>
          </w:p>
        </w:tc>
        <w:tc>
          <w:tcPr>
            <w:tcW w:w="1605" w:type="dxa"/>
            <w:noWrap/>
            <w:vAlign w:val="center"/>
            <w:hideMark/>
          </w:tcPr>
          <w:p w14:paraId="67A3B48A" w14:textId="77777777" w:rsidR="00082769" w:rsidRPr="00CB39D1" w:rsidRDefault="00082769" w:rsidP="00082769">
            <w:pPr>
              <w:spacing w:after="0" w:line="240" w:lineRule="auto"/>
              <w:ind w:hanging="11"/>
              <w:jc w:val="center"/>
              <w:rPr>
                <w:sz w:val="18"/>
                <w:szCs w:val="18"/>
              </w:rPr>
            </w:pPr>
            <w:r>
              <w:rPr>
                <w:rFonts w:ascii="GHEA Grapalat" w:hAnsi="GHEA Grapalat" w:cs="Calibri"/>
                <w:color w:val="404040"/>
                <w:sz w:val="18"/>
                <w:szCs w:val="18"/>
              </w:rPr>
              <w:t>7,035.2</w:t>
            </w:r>
          </w:p>
        </w:tc>
        <w:tc>
          <w:tcPr>
            <w:tcW w:w="1570" w:type="dxa"/>
            <w:noWrap/>
            <w:vAlign w:val="center"/>
            <w:hideMark/>
          </w:tcPr>
          <w:p w14:paraId="0E520AFF" w14:textId="77777777" w:rsidR="00082769" w:rsidRPr="00CB39D1" w:rsidRDefault="00082769" w:rsidP="00082769">
            <w:pPr>
              <w:spacing w:after="0" w:line="240" w:lineRule="auto"/>
              <w:ind w:hanging="11"/>
              <w:jc w:val="center"/>
              <w:rPr>
                <w:sz w:val="18"/>
                <w:szCs w:val="18"/>
              </w:rPr>
            </w:pPr>
            <w:r>
              <w:rPr>
                <w:rFonts w:ascii="GHEA Grapalat" w:hAnsi="GHEA Grapalat" w:cs="Calibri"/>
                <w:color w:val="404040"/>
                <w:sz w:val="18"/>
                <w:szCs w:val="18"/>
              </w:rPr>
              <w:t>7,540.6</w:t>
            </w:r>
          </w:p>
        </w:tc>
      </w:tr>
      <w:tr w:rsidR="00082769" w:rsidRPr="008B63B1" w14:paraId="1DC6137C" w14:textId="77777777" w:rsidTr="00873AE6">
        <w:trPr>
          <w:trHeight w:val="553"/>
          <w:jc w:val="center"/>
        </w:trPr>
        <w:tc>
          <w:tcPr>
            <w:tcW w:w="10250" w:type="dxa"/>
            <w:gridSpan w:val="8"/>
            <w:shd w:val="clear" w:color="auto" w:fill="D5DCE4"/>
            <w:noWrap/>
            <w:vAlign w:val="center"/>
            <w:hideMark/>
          </w:tcPr>
          <w:p w14:paraId="5103E71D"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կշիռը ՀՆԱ</w:t>
            </w:r>
            <w:r w:rsidRPr="008B63B1">
              <w:rPr>
                <w:rFonts w:ascii="GHEA Grapalat" w:eastAsia="Times New Roman" w:hAnsi="GHEA Grapalat" w:cs="Times New Roman"/>
                <w:color w:val="404040"/>
                <w:sz w:val="18"/>
                <w:szCs w:val="18"/>
                <w:shd w:val="clear" w:color="auto" w:fill="D5DCE4"/>
              </w:rPr>
              <w:t>-ում, %</w:t>
            </w:r>
          </w:p>
        </w:tc>
      </w:tr>
      <w:tr w:rsidR="00082769" w:rsidRPr="008B63B1" w14:paraId="755CA7AF" w14:textId="77777777" w:rsidTr="00873AE6">
        <w:trPr>
          <w:trHeight w:val="553"/>
          <w:jc w:val="center"/>
        </w:trPr>
        <w:tc>
          <w:tcPr>
            <w:tcW w:w="1860" w:type="dxa"/>
            <w:vAlign w:val="center"/>
            <w:hideMark/>
          </w:tcPr>
          <w:p w14:paraId="52E64E9E"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Պետական բյուջեի եկամուտներ</w:t>
            </w:r>
          </w:p>
        </w:tc>
        <w:tc>
          <w:tcPr>
            <w:tcW w:w="859" w:type="dxa"/>
            <w:noWrap/>
            <w:vAlign w:val="center"/>
            <w:hideMark/>
          </w:tcPr>
          <w:p w14:paraId="6862E3AE"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25.4</w:t>
            </w:r>
          </w:p>
        </w:tc>
        <w:tc>
          <w:tcPr>
            <w:tcW w:w="893" w:type="dxa"/>
            <w:noWrap/>
            <w:vAlign w:val="center"/>
            <w:hideMark/>
          </w:tcPr>
          <w:p w14:paraId="34C573B6"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25.2</w:t>
            </w:r>
          </w:p>
        </w:tc>
        <w:tc>
          <w:tcPr>
            <w:tcW w:w="895" w:type="dxa"/>
            <w:noWrap/>
            <w:vAlign w:val="center"/>
            <w:hideMark/>
          </w:tcPr>
          <w:p w14:paraId="15F4DD5E"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25.4</w:t>
            </w:r>
          </w:p>
        </w:tc>
        <w:tc>
          <w:tcPr>
            <w:tcW w:w="989" w:type="dxa"/>
            <w:noWrap/>
            <w:vAlign w:val="center"/>
            <w:hideMark/>
          </w:tcPr>
          <w:p w14:paraId="6DDD273A"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25.8</w:t>
            </w:r>
          </w:p>
        </w:tc>
        <w:tc>
          <w:tcPr>
            <w:tcW w:w="1579" w:type="dxa"/>
            <w:noWrap/>
            <w:vAlign w:val="center"/>
            <w:hideMark/>
          </w:tcPr>
          <w:p w14:paraId="5836D23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26.5</w:t>
            </w:r>
          </w:p>
        </w:tc>
        <w:tc>
          <w:tcPr>
            <w:tcW w:w="1605" w:type="dxa"/>
            <w:noWrap/>
            <w:vAlign w:val="center"/>
            <w:hideMark/>
          </w:tcPr>
          <w:p w14:paraId="4A2C0C81"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26.6</w:t>
            </w:r>
          </w:p>
        </w:tc>
        <w:tc>
          <w:tcPr>
            <w:tcW w:w="1570" w:type="dxa"/>
            <w:noWrap/>
            <w:vAlign w:val="center"/>
            <w:hideMark/>
          </w:tcPr>
          <w:p w14:paraId="16E8A05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26.6</w:t>
            </w:r>
          </w:p>
        </w:tc>
      </w:tr>
      <w:tr w:rsidR="00082769" w:rsidRPr="008B63B1" w14:paraId="290C09EC" w14:textId="77777777" w:rsidTr="00873AE6">
        <w:trPr>
          <w:trHeight w:val="553"/>
          <w:jc w:val="center"/>
        </w:trPr>
        <w:tc>
          <w:tcPr>
            <w:tcW w:w="1860" w:type="dxa"/>
            <w:vAlign w:val="center"/>
            <w:hideMark/>
          </w:tcPr>
          <w:p w14:paraId="7E99E29A"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Հարկային եկամուտներ և տուրքեր</w:t>
            </w:r>
          </w:p>
        </w:tc>
        <w:tc>
          <w:tcPr>
            <w:tcW w:w="859" w:type="dxa"/>
            <w:noWrap/>
            <w:vAlign w:val="center"/>
            <w:hideMark/>
          </w:tcPr>
          <w:p w14:paraId="70971BDD"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24.0</w:t>
            </w:r>
          </w:p>
        </w:tc>
        <w:tc>
          <w:tcPr>
            <w:tcW w:w="893" w:type="dxa"/>
            <w:noWrap/>
            <w:vAlign w:val="center"/>
            <w:hideMark/>
          </w:tcPr>
          <w:p w14:paraId="7014D91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23.3</w:t>
            </w:r>
          </w:p>
        </w:tc>
        <w:tc>
          <w:tcPr>
            <w:tcW w:w="895" w:type="dxa"/>
            <w:noWrap/>
            <w:vAlign w:val="center"/>
            <w:hideMark/>
          </w:tcPr>
          <w:p w14:paraId="6AD9C95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24.0</w:t>
            </w:r>
          </w:p>
        </w:tc>
        <w:tc>
          <w:tcPr>
            <w:tcW w:w="989" w:type="dxa"/>
            <w:noWrap/>
            <w:vAlign w:val="center"/>
            <w:hideMark/>
          </w:tcPr>
          <w:p w14:paraId="400DAAB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24.8</w:t>
            </w:r>
          </w:p>
        </w:tc>
        <w:tc>
          <w:tcPr>
            <w:tcW w:w="1579" w:type="dxa"/>
            <w:noWrap/>
            <w:vAlign w:val="center"/>
            <w:hideMark/>
          </w:tcPr>
          <w:p w14:paraId="675A99B9"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25.4</w:t>
            </w:r>
          </w:p>
        </w:tc>
        <w:tc>
          <w:tcPr>
            <w:tcW w:w="1605" w:type="dxa"/>
            <w:noWrap/>
            <w:vAlign w:val="center"/>
            <w:hideMark/>
          </w:tcPr>
          <w:p w14:paraId="19C84259"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25.5</w:t>
            </w:r>
          </w:p>
        </w:tc>
        <w:tc>
          <w:tcPr>
            <w:tcW w:w="1570" w:type="dxa"/>
            <w:noWrap/>
            <w:vAlign w:val="center"/>
            <w:hideMark/>
          </w:tcPr>
          <w:p w14:paraId="32A618A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25.7</w:t>
            </w:r>
          </w:p>
        </w:tc>
      </w:tr>
      <w:tr w:rsidR="00082769" w:rsidRPr="008B63B1" w14:paraId="4E69425A" w14:textId="77777777" w:rsidTr="00873AE6">
        <w:trPr>
          <w:trHeight w:val="553"/>
          <w:jc w:val="center"/>
        </w:trPr>
        <w:tc>
          <w:tcPr>
            <w:tcW w:w="1860" w:type="dxa"/>
            <w:vAlign w:val="center"/>
            <w:hideMark/>
          </w:tcPr>
          <w:p w14:paraId="4DE55B01"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Պետական բյուջեի ծախսեր</w:t>
            </w:r>
          </w:p>
        </w:tc>
        <w:tc>
          <w:tcPr>
            <w:tcW w:w="859" w:type="dxa"/>
            <w:noWrap/>
            <w:vAlign w:val="center"/>
            <w:hideMark/>
          </w:tcPr>
          <w:p w14:paraId="72E11F0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27.4</w:t>
            </w:r>
          </w:p>
        </w:tc>
        <w:tc>
          <w:tcPr>
            <w:tcW w:w="893" w:type="dxa"/>
            <w:noWrap/>
            <w:vAlign w:val="center"/>
            <w:hideMark/>
          </w:tcPr>
          <w:p w14:paraId="416F9446"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28.8</w:t>
            </w:r>
          </w:p>
        </w:tc>
        <w:tc>
          <w:tcPr>
            <w:tcW w:w="895" w:type="dxa"/>
            <w:noWrap/>
            <w:vAlign w:val="center"/>
            <w:hideMark/>
          </w:tcPr>
          <w:p w14:paraId="709827B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29.1</w:t>
            </w:r>
          </w:p>
        </w:tc>
        <w:tc>
          <w:tcPr>
            <w:tcW w:w="989" w:type="dxa"/>
            <w:noWrap/>
            <w:vAlign w:val="center"/>
            <w:hideMark/>
          </w:tcPr>
          <w:p w14:paraId="18382246"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29.9</w:t>
            </w:r>
          </w:p>
        </w:tc>
        <w:tc>
          <w:tcPr>
            <w:tcW w:w="1579" w:type="dxa"/>
            <w:noWrap/>
            <w:vAlign w:val="center"/>
            <w:hideMark/>
          </w:tcPr>
          <w:p w14:paraId="3C8790E6"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29.9</w:t>
            </w:r>
          </w:p>
        </w:tc>
        <w:tc>
          <w:tcPr>
            <w:tcW w:w="1605" w:type="dxa"/>
            <w:noWrap/>
            <w:vAlign w:val="center"/>
            <w:hideMark/>
          </w:tcPr>
          <w:p w14:paraId="37CEAD9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29.3</w:t>
            </w:r>
          </w:p>
        </w:tc>
        <w:tc>
          <w:tcPr>
            <w:tcW w:w="1570" w:type="dxa"/>
            <w:noWrap/>
            <w:vAlign w:val="center"/>
            <w:hideMark/>
          </w:tcPr>
          <w:p w14:paraId="0EE6FC49"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28.4</w:t>
            </w:r>
          </w:p>
        </w:tc>
      </w:tr>
      <w:tr w:rsidR="00082769" w:rsidRPr="008B63B1" w14:paraId="1389DCAB" w14:textId="77777777" w:rsidTr="00873AE6">
        <w:trPr>
          <w:trHeight w:val="553"/>
          <w:jc w:val="center"/>
        </w:trPr>
        <w:tc>
          <w:tcPr>
            <w:tcW w:w="1860" w:type="dxa"/>
            <w:vAlign w:val="center"/>
            <w:hideMark/>
          </w:tcPr>
          <w:p w14:paraId="37235BA0"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Ընթացիկ ծախսեր</w:t>
            </w:r>
          </w:p>
        </w:tc>
        <w:tc>
          <w:tcPr>
            <w:tcW w:w="859" w:type="dxa"/>
            <w:noWrap/>
            <w:vAlign w:val="center"/>
            <w:hideMark/>
          </w:tcPr>
          <w:p w14:paraId="627ED64D"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22.4</w:t>
            </w:r>
          </w:p>
        </w:tc>
        <w:tc>
          <w:tcPr>
            <w:tcW w:w="893" w:type="dxa"/>
            <w:noWrap/>
            <w:vAlign w:val="center"/>
            <w:hideMark/>
          </w:tcPr>
          <w:p w14:paraId="36F0254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23.5</w:t>
            </w:r>
          </w:p>
        </w:tc>
        <w:tc>
          <w:tcPr>
            <w:tcW w:w="895" w:type="dxa"/>
            <w:noWrap/>
            <w:vAlign w:val="center"/>
            <w:hideMark/>
          </w:tcPr>
          <w:p w14:paraId="35D23449"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23.0</w:t>
            </w:r>
          </w:p>
        </w:tc>
        <w:tc>
          <w:tcPr>
            <w:tcW w:w="989" w:type="dxa"/>
            <w:noWrap/>
            <w:vAlign w:val="center"/>
            <w:hideMark/>
          </w:tcPr>
          <w:p w14:paraId="5C2CB02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24.4</w:t>
            </w:r>
          </w:p>
        </w:tc>
        <w:tc>
          <w:tcPr>
            <w:tcW w:w="1579" w:type="dxa"/>
            <w:noWrap/>
            <w:vAlign w:val="center"/>
            <w:hideMark/>
          </w:tcPr>
          <w:p w14:paraId="396ECDFE"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24.3</w:t>
            </w:r>
          </w:p>
        </w:tc>
        <w:tc>
          <w:tcPr>
            <w:tcW w:w="1605" w:type="dxa"/>
            <w:noWrap/>
            <w:vAlign w:val="center"/>
            <w:hideMark/>
          </w:tcPr>
          <w:p w14:paraId="6AE14C7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23.6</w:t>
            </w:r>
          </w:p>
        </w:tc>
        <w:tc>
          <w:tcPr>
            <w:tcW w:w="1570" w:type="dxa"/>
            <w:noWrap/>
            <w:vAlign w:val="center"/>
            <w:hideMark/>
          </w:tcPr>
          <w:p w14:paraId="60400843"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22.5</w:t>
            </w:r>
          </w:p>
        </w:tc>
      </w:tr>
      <w:tr w:rsidR="00082769" w:rsidRPr="008B63B1" w14:paraId="01000FCE" w14:textId="77777777" w:rsidTr="00873AE6">
        <w:trPr>
          <w:trHeight w:val="553"/>
          <w:jc w:val="center"/>
        </w:trPr>
        <w:tc>
          <w:tcPr>
            <w:tcW w:w="1860" w:type="dxa"/>
            <w:vAlign w:val="center"/>
            <w:hideMark/>
          </w:tcPr>
          <w:p w14:paraId="2AE335EF"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Ոչ ֆինանսական ակտիվների հետ գործառնություններ</w:t>
            </w:r>
          </w:p>
        </w:tc>
        <w:tc>
          <w:tcPr>
            <w:tcW w:w="859" w:type="dxa"/>
            <w:noWrap/>
            <w:vAlign w:val="center"/>
            <w:hideMark/>
          </w:tcPr>
          <w:p w14:paraId="6998D2EF"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5.0</w:t>
            </w:r>
          </w:p>
        </w:tc>
        <w:tc>
          <w:tcPr>
            <w:tcW w:w="893" w:type="dxa"/>
            <w:noWrap/>
            <w:vAlign w:val="center"/>
            <w:hideMark/>
          </w:tcPr>
          <w:p w14:paraId="26E1151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5.3</w:t>
            </w:r>
          </w:p>
        </w:tc>
        <w:tc>
          <w:tcPr>
            <w:tcW w:w="895" w:type="dxa"/>
            <w:noWrap/>
            <w:vAlign w:val="center"/>
            <w:hideMark/>
          </w:tcPr>
          <w:p w14:paraId="23F3976F"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6.1</w:t>
            </w:r>
          </w:p>
        </w:tc>
        <w:tc>
          <w:tcPr>
            <w:tcW w:w="989" w:type="dxa"/>
            <w:noWrap/>
            <w:vAlign w:val="center"/>
            <w:hideMark/>
          </w:tcPr>
          <w:p w14:paraId="5305430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5.5</w:t>
            </w:r>
          </w:p>
        </w:tc>
        <w:tc>
          <w:tcPr>
            <w:tcW w:w="1579" w:type="dxa"/>
            <w:noWrap/>
            <w:vAlign w:val="center"/>
            <w:hideMark/>
          </w:tcPr>
          <w:p w14:paraId="0BE87AB9"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5.6</w:t>
            </w:r>
          </w:p>
        </w:tc>
        <w:tc>
          <w:tcPr>
            <w:tcW w:w="1605" w:type="dxa"/>
            <w:noWrap/>
            <w:vAlign w:val="center"/>
            <w:hideMark/>
          </w:tcPr>
          <w:p w14:paraId="70B8BA4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5.8</w:t>
            </w:r>
          </w:p>
        </w:tc>
        <w:tc>
          <w:tcPr>
            <w:tcW w:w="1570" w:type="dxa"/>
            <w:noWrap/>
            <w:vAlign w:val="center"/>
            <w:hideMark/>
          </w:tcPr>
          <w:p w14:paraId="79CE78E0"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5.9</w:t>
            </w:r>
          </w:p>
        </w:tc>
      </w:tr>
      <w:tr w:rsidR="00082769" w:rsidRPr="008B63B1" w14:paraId="72BB1F4B" w14:textId="77777777" w:rsidTr="00873AE6">
        <w:trPr>
          <w:trHeight w:val="553"/>
          <w:jc w:val="center"/>
        </w:trPr>
        <w:tc>
          <w:tcPr>
            <w:tcW w:w="1860" w:type="dxa"/>
            <w:vAlign w:val="center"/>
            <w:hideMark/>
          </w:tcPr>
          <w:p w14:paraId="7A6B10FF"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Պետական բյուջեի հաշվեկշիռ (-՝ պակասուրդ)</w:t>
            </w:r>
          </w:p>
        </w:tc>
        <w:tc>
          <w:tcPr>
            <w:tcW w:w="859" w:type="dxa"/>
            <w:noWrap/>
            <w:vAlign w:val="center"/>
            <w:hideMark/>
          </w:tcPr>
          <w:p w14:paraId="78780B8F"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-2.0</w:t>
            </w:r>
          </w:p>
        </w:tc>
        <w:tc>
          <w:tcPr>
            <w:tcW w:w="893" w:type="dxa"/>
            <w:noWrap/>
            <w:vAlign w:val="center"/>
            <w:hideMark/>
          </w:tcPr>
          <w:p w14:paraId="30605B2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-3.7</w:t>
            </w:r>
          </w:p>
        </w:tc>
        <w:tc>
          <w:tcPr>
            <w:tcW w:w="895" w:type="dxa"/>
            <w:noWrap/>
            <w:vAlign w:val="center"/>
            <w:hideMark/>
          </w:tcPr>
          <w:p w14:paraId="7B9661F3"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-3.7</w:t>
            </w:r>
          </w:p>
        </w:tc>
        <w:tc>
          <w:tcPr>
            <w:tcW w:w="989" w:type="dxa"/>
            <w:noWrap/>
            <w:vAlign w:val="center"/>
            <w:hideMark/>
          </w:tcPr>
          <w:p w14:paraId="5338A59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-4.0</w:t>
            </w:r>
          </w:p>
        </w:tc>
        <w:tc>
          <w:tcPr>
            <w:tcW w:w="1579" w:type="dxa"/>
            <w:noWrap/>
            <w:vAlign w:val="center"/>
            <w:hideMark/>
          </w:tcPr>
          <w:p w14:paraId="3F360EBD"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-3.4</w:t>
            </w:r>
          </w:p>
        </w:tc>
        <w:tc>
          <w:tcPr>
            <w:tcW w:w="1605" w:type="dxa"/>
            <w:noWrap/>
            <w:vAlign w:val="center"/>
            <w:hideMark/>
          </w:tcPr>
          <w:p w14:paraId="17E043ED"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-2.8</w:t>
            </w:r>
          </w:p>
        </w:tc>
        <w:tc>
          <w:tcPr>
            <w:tcW w:w="1570" w:type="dxa"/>
            <w:noWrap/>
            <w:vAlign w:val="center"/>
            <w:hideMark/>
          </w:tcPr>
          <w:p w14:paraId="119A97B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-1.8</w:t>
            </w:r>
          </w:p>
        </w:tc>
      </w:tr>
      <w:tr w:rsidR="00082769" w:rsidRPr="008B63B1" w14:paraId="002D65CE" w14:textId="77777777" w:rsidTr="00873AE6">
        <w:trPr>
          <w:trHeight w:val="553"/>
          <w:jc w:val="center"/>
        </w:trPr>
        <w:tc>
          <w:tcPr>
            <w:tcW w:w="1860" w:type="dxa"/>
            <w:vAlign w:val="center"/>
            <w:hideMark/>
          </w:tcPr>
          <w:p w14:paraId="0FAC7BF5"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Կառավարության պարտք</w:t>
            </w:r>
          </w:p>
        </w:tc>
        <w:tc>
          <w:tcPr>
            <w:tcW w:w="859" w:type="dxa"/>
            <w:noWrap/>
            <w:vAlign w:val="center"/>
            <w:hideMark/>
          </w:tcPr>
          <w:p w14:paraId="671C154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48.2</w:t>
            </w:r>
          </w:p>
        </w:tc>
        <w:tc>
          <w:tcPr>
            <w:tcW w:w="893" w:type="dxa"/>
            <w:noWrap/>
            <w:vAlign w:val="center"/>
            <w:hideMark/>
          </w:tcPr>
          <w:p w14:paraId="3B695C99"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47.7</w:t>
            </w:r>
          </w:p>
        </w:tc>
        <w:tc>
          <w:tcPr>
            <w:tcW w:w="895" w:type="dxa"/>
            <w:noWrap/>
            <w:vAlign w:val="center"/>
            <w:hideMark/>
          </w:tcPr>
          <w:p w14:paraId="5412339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47.2</w:t>
            </w:r>
          </w:p>
        </w:tc>
        <w:tc>
          <w:tcPr>
            <w:tcW w:w="989" w:type="dxa"/>
            <w:noWrap/>
            <w:vAlign w:val="center"/>
            <w:hideMark/>
          </w:tcPr>
          <w:p w14:paraId="595147A5" w14:textId="77777777" w:rsidR="00082769" w:rsidRPr="00CB39D1" w:rsidRDefault="00082769" w:rsidP="00082769">
            <w:pPr>
              <w:spacing w:after="0" w:line="240" w:lineRule="auto"/>
              <w:ind w:hanging="11"/>
              <w:jc w:val="center"/>
              <w:rPr>
                <w:sz w:val="18"/>
                <w:szCs w:val="18"/>
              </w:rPr>
            </w:pPr>
            <w:r>
              <w:rPr>
                <w:rFonts w:ascii="GHEA Grapalat" w:hAnsi="GHEA Grapalat" w:cs="Calibri"/>
                <w:color w:val="404040"/>
                <w:sz w:val="18"/>
                <w:szCs w:val="18"/>
              </w:rPr>
              <w:t>46.5</w:t>
            </w:r>
          </w:p>
        </w:tc>
        <w:tc>
          <w:tcPr>
            <w:tcW w:w="1579" w:type="dxa"/>
            <w:noWrap/>
            <w:vAlign w:val="center"/>
            <w:hideMark/>
          </w:tcPr>
          <w:p w14:paraId="1E367C74" w14:textId="77777777" w:rsidR="00082769" w:rsidRPr="00CB39D1" w:rsidRDefault="00082769" w:rsidP="00082769">
            <w:pPr>
              <w:spacing w:after="0" w:line="240" w:lineRule="auto"/>
              <w:ind w:hanging="11"/>
              <w:jc w:val="center"/>
              <w:rPr>
                <w:sz w:val="18"/>
                <w:szCs w:val="18"/>
              </w:rPr>
            </w:pPr>
            <w:r>
              <w:rPr>
                <w:rFonts w:ascii="GHEA Grapalat" w:hAnsi="GHEA Grapalat" w:cs="Calibri"/>
                <w:color w:val="404040"/>
                <w:sz w:val="18"/>
                <w:szCs w:val="18"/>
              </w:rPr>
              <w:t>47.4</w:t>
            </w:r>
          </w:p>
        </w:tc>
        <w:tc>
          <w:tcPr>
            <w:tcW w:w="1605" w:type="dxa"/>
            <w:noWrap/>
            <w:vAlign w:val="center"/>
            <w:hideMark/>
          </w:tcPr>
          <w:p w14:paraId="2B513D1E" w14:textId="77777777" w:rsidR="00082769" w:rsidRPr="00CB39D1" w:rsidRDefault="00082769" w:rsidP="00082769">
            <w:pPr>
              <w:spacing w:after="0" w:line="240" w:lineRule="auto"/>
              <w:ind w:hanging="11"/>
              <w:jc w:val="center"/>
              <w:rPr>
                <w:sz w:val="18"/>
                <w:szCs w:val="18"/>
              </w:rPr>
            </w:pPr>
            <w:r>
              <w:rPr>
                <w:rFonts w:ascii="GHEA Grapalat" w:hAnsi="GHEA Grapalat" w:cs="Calibri"/>
                <w:color w:val="404040"/>
                <w:sz w:val="18"/>
                <w:szCs w:val="18"/>
              </w:rPr>
              <w:t>47.3</w:t>
            </w:r>
          </w:p>
        </w:tc>
        <w:tc>
          <w:tcPr>
            <w:tcW w:w="1570" w:type="dxa"/>
            <w:noWrap/>
            <w:vAlign w:val="center"/>
            <w:hideMark/>
          </w:tcPr>
          <w:p w14:paraId="66A26C9B" w14:textId="77777777" w:rsidR="00082769" w:rsidRPr="00CB39D1" w:rsidRDefault="00082769" w:rsidP="00082769">
            <w:pPr>
              <w:spacing w:after="0" w:line="240" w:lineRule="auto"/>
              <w:ind w:hanging="11"/>
              <w:jc w:val="center"/>
              <w:rPr>
                <w:sz w:val="18"/>
                <w:szCs w:val="18"/>
              </w:rPr>
            </w:pPr>
            <w:r>
              <w:rPr>
                <w:rFonts w:ascii="GHEA Grapalat" w:hAnsi="GHEA Grapalat" w:cs="Calibri"/>
                <w:color w:val="404040"/>
                <w:sz w:val="18"/>
                <w:szCs w:val="18"/>
              </w:rPr>
              <w:t>46.4</w:t>
            </w:r>
          </w:p>
        </w:tc>
      </w:tr>
    </w:tbl>
    <w:p w14:paraId="68A74E19" w14:textId="77777777" w:rsidR="00082769" w:rsidRPr="008B63B1" w:rsidRDefault="00082769" w:rsidP="00082769">
      <w:pPr>
        <w:ind w:hanging="11"/>
        <w:rPr>
          <w:rFonts w:ascii="GHEA Grapalat" w:eastAsia="Times New Roman" w:hAnsi="GHEA Grapalat" w:cs="Times New Roman"/>
          <w:color w:val="A5A6AC"/>
          <w:sz w:val="28"/>
          <w:szCs w:val="20"/>
        </w:rPr>
      </w:pPr>
      <w:r w:rsidRPr="008B63B1">
        <w:rPr>
          <w:rFonts w:ascii="GHEA Grapalat" w:eastAsia="Times New Roman" w:hAnsi="GHEA Grapalat" w:cs="Times New Roman"/>
          <w:color w:val="404040"/>
        </w:rPr>
        <w:br w:type="page"/>
        <w:t>Ծանոթագրություն</w:t>
      </w:r>
      <w:r w:rsidRPr="008B63B1">
        <w:rPr>
          <w:rFonts w:ascii="Cambria Math" w:eastAsia="Times New Roman" w:hAnsi="Cambria Math" w:cs="Cambria Math"/>
          <w:color w:val="404040"/>
        </w:rPr>
        <w:t>․</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հաշվարկները</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կատարվել</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են</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չկլորացված</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տվյալներով</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ուստի</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կլորացված</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բաղադրիչների</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գումարները</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կարող</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են</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փոքր</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չափով</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տարբերվել</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ներկայացված</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ընդհանուրներից։</w:t>
      </w:r>
    </w:p>
    <w:p w14:paraId="756C131C" w14:textId="77777777" w:rsidR="00082769" w:rsidRPr="008B63B1" w:rsidRDefault="00082769" w:rsidP="00082769">
      <w:pPr>
        <w:keepNext/>
        <w:keepLines/>
        <w:spacing w:before="40" w:after="0" w:line="240" w:lineRule="auto"/>
        <w:ind w:hanging="11"/>
        <w:outlineLvl w:val="1"/>
        <w:rPr>
          <w:rFonts w:ascii="GHEA Grapalat" w:eastAsia="Times New Roman" w:hAnsi="GHEA Grapalat" w:cs="Times New Roman"/>
          <w:color w:val="A5A6AC"/>
          <w:sz w:val="28"/>
          <w:szCs w:val="20"/>
        </w:rPr>
      </w:pPr>
      <w:bookmarkStart w:id="257" w:name="_Toc178612094"/>
      <w:bookmarkStart w:id="258" w:name="_Toc183801078"/>
      <w:bookmarkStart w:id="259" w:name="_Toc210126091"/>
      <w:bookmarkStart w:id="260" w:name="_Toc241687671"/>
      <w:bookmarkStart w:id="261" w:name="_Toc115686028"/>
      <w:bookmarkStart w:id="262" w:name="_Toc83972840"/>
      <w:bookmarkStart w:id="263" w:name="_Toc178356573"/>
      <w:bookmarkStart w:id="264" w:name="_Toc178612095"/>
      <w:bookmarkStart w:id="265" w:name="_Toc183801079"/>
      <w:r w:rsidRPr="008B63B1">
        <w:rPr>
          <w:rFonts w:ascii="GHEA Grapalat" w:eastAsia="Times New Roman" w:hAnsi="GHEA Grapalat" w:cs="Times New Roman"/>
          <w:color w:val="A5A6AC"/>
          <w:sz w:val="28"/>
          <w:szCs w:val="20"/>
        </w:rPr>
        <w:t>2.2. ՀԱՐԿԱԲՅՈՒՋԵՏԱՅԻՆ ՔԱՂԱՔԱԿԱՆՈՒԹՅԱՆ ՄԻՏՈՒՄՆԵՐԸ ԵՎ ԿԱՆԽԱՏԵՍՈՒՄՆԵՐԸ</w:t>
      </w:r>
      <w:bookmarkEnd w:id="257"/>
      <w:bookmarkEnd w:id="258"/>
      <w:bookmarkEnd w:id="259"/>
      <w:bookmarkEnd w:id="260"/>
    </w:p>
    <w:p w14:paraId="4E261554" w14:textId="77777777" w:rsidR="00082769" w:rsidRPr="008B63B1" w:rsidRDefault="00082769" w:rsidP="00082769">
      <w:pPr>
        <w:spacing w:before="360" w:after="0"/>
        <w:ind w:hanging="11"/>
        <w:rPr>
          <w:rFonts w:ascii="GHEA Grapalat" w:eastAsia="Times New Roman" w:hAnsi="GHEA Grapalat" w:cs="Times New Roman"/>
          <w:color w:val="A6A6A6"/>
          <w:szCs w:val="20"/>
          <w:lang w:eastAsia="ru-RU"/>
        </w:rPr>
      </w:pPr>
      <w:bookmarkStart w:id="266" w:name="_Toc45840842"/>
      <w:bookmarkStart w:id="267" w:name="_Toc45841159"/>
      <w:bookmarkEnd w:id="266"/>
      <w:bookmarkEnd w:id="267"/>
      <w:r w:rsidRPr="008B63B1">
        <w:rPr>
          <w:rFonts w:ascii="GHEA Grapalat" w:eastAsia="Times New Roman" w:hAnsi="GHEA Grapalat" w:cs="Times New Roman"/>
          <w:color w:val="A6A6A6"/>
          <w:szCs w:val="20"/>
        </w:rPr>
        <w:t>ՎԵՐՋԻՆ ԵՐԵՔ ՏԱՐԻՆԵՐԻ ԶԱՐԳԱՑՈՒՄՆԵՐ</w:t>
      </w:r>
    </w:p>
    <w:p w14:paraId="260D109B"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rPr>
        <w:t>2023-2025թթ. նախորդ տարիների տնտեսական ցնցումների հաղթահարումից հետո հարկաբյուջետային քաղաքականությունը վերականգնել է բնականոն իրավիճակների համար նախատեսված հարկաբյուջետային կանոններին համապատասխանությունը՝ պահպանելով կառավարության պարտք/ՀՆԱ հարաբերակցությունը 50%-ից ցածր` զուգահեռ հարկային քաղաքականության և վարչարարության բարեփոխումների միջոցով ընդլայնելով եկամտային կարողությունը։ 2024-2025թթ.-ին կառուցվածքային բարեփոխումների սահուն ընթացքը երաշխավորելու, ֆիզիկական ու մարդկային կապիտալի մեջ անհրաժեշտ ծավալի ներդրումներ իրականացնելու և անհետաձգելի կարիքների համար անհրաժեշտ ֆինանսավորման պահանջի աճի արդյունքում բյուջեի պակասուրդն աճել է մինչև ՀՆԱ-ի 3</w:t>
      </w:r>
      <w:r w:rsidRPr="008B63B1">
        <w:rPr>
          <w:rFonts w:ascii="Cambria Math" w:eastAsia="Times New Roman" w:hAnsi="Cambria Math" w:cs="Cambria Math"/>
          <w:color w:val="404040"/>
          <w:szCs w:val="20"/>
        </w:rPr>
        <w:t>.</w:t>
      </w:r>
      <w:r w:rsidRPr="008B63B1">
        <w:rPr>
          <w:rFonts w:ascii="GHEA Grapalat" w:eastAsia="Times New Roman" w:hAnsi="GHEA Grapalat" w:cs="Times New Roman"/>
          <w:color w:val="404040"/>
          <w:szCs w:val="20"/>
        </w:rPr>
        <w:t xml:space="preserve">7%-ի, սակայն կառավարության պարտքի բեռը պահպանվել է 50% շեմից ցածր: Հետևողական հարկաբյուջետային քաղաքականության արդյունքում տեղի է ունեցել պետական բյուջեի ծախսերի կառուցվածքի բարելավում՝ ֆիզիկական և մարդկային կապիտալին ուղղված ծախսերի աճի տեսքով։ </w:t>
      </w:r>
    </w:p>
    <w:p w14:paraId="5E42E306" w14:textId="77777777" w:rsidR="00082769" w:rsidRPr="008B63B1" w:rsidRDefault="00082769" w:rsidP="00082769">
      <w:pPr>
        <w:spacing w:before="360" w:after="0"/>
        <w:ind w:hanging="11"/>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ՊԵՏԱԿԱՆ ԲՅՈՒՋԵԻ ԵԿԱՄՈՒՏՆԵՐԸ</w:t>
      </w:r>
    </w:p>
    <w:p w14:paraId="470C396B"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2025 թվականին՝ 2022 թվականի համեմատ, պետական բյուջեի եկամուտների կշիռը ՀՆԱ-ում աճել է 0.8 տոկոսային կետով` կազմելով 25.4%, անվանական արտահայտությամբ աճը կազմել է 787.0 մլրդ ՀՀ դրամ։ Մինչդեռ հարկային եկամուտների կշիռը ՀՆԱ-ում աճել է 0.9 տոկոսային կետով, իսկ անվանական արտահայտությամբ աճը կազմել է 762.8 մլրդ ՀՀ դրամ։ Հարկային եկամուտների աճը պայմանավորվել է տնտեսական աճին զուգահեռ հարկման բազաների ընդլայնմամբ, հարկային վարչարարության բարելավմամբ և դրա հետևանքով հարկային ճեղքի նվազմամբ:</w:t>
      </w:r>
    </w:p>
    <w:p w14:paraId="3B03885A" w14:textId="77777777" w:rsidR="00082769" w:rsidRPr="008B63B1" w:rsidRDefault="00082769" w:rsidP="00082769">
      <w:pPr>
        <w:spacing w:before="240"/>
        <w:ind w:hanging="11"/>
        <w:jc w:val="both"/>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ՊԵՏԱԿԱՆ ԲՅՈՒՋԵԻ ԾԱԽՍԵՐԸ</w:t>
      </w:r>
    </w:p>
    <w:p w14:paraId="1192AD4E"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2023-2025 թթ. ՀՀ պետական բյուջեի ծախսերի կշիռը ՀՆԱ-ում աճել է 2.3 տոկոսային կետով՝ 2025թ.-ին 2022թ.-ի համեմատ կազմելով 29.1%, մինչդեռ ծախսերի ծավալն աճել է 1,026 մլրդ ՀՀ դրամով։ Նույն ժամանակահատվածում ընթացիկ ծախսերի կշիռը ՀՆԱ-ում աճել է 0.7 տոկոսային կետով (բացարձակ ծավալի աճը՝ 713.9 մլրդ ՀՀ դրամ), իսկ ոչ ֆինանսական ակտիվների հետ գործառնությունների կշիռը ՀՆԱ-ում աճել է 1.6 տոկոսային կետով (բացարձակ ծավալի աճ՝ 312.3 մլրդ ՀՀ դրամ)։ Միաժամանակ, քննարկվող ժամանակահատվածում տեսանելի է ծախսերի կառուցվածքի զգալի փոփոխությունը հօգուտ կապիտալ ծախսերի, որոնց դեպքում, համահունչ ենթակառուցվածքային ներդրումների դերի մեծացման նպատակադրմանը, գրանցվել են ինչպես ծրագրային մակարդակների բարձրացումներ, այնպես էլ կատարողականի բարելավումներ։ </w:t>
      </w:r>
    </w:p>
    <w:p w14:paraId="430F3D30" w14:textId="77777777" w:rsidR="00082769" w:rsidRPr="008B63B1" w:rsidRDefault="00082769" w:rsidP="00082769">
      <w:pPr>
        <w:spacing w:before="240"/>
        <w:ind w:hanging="11"/>
        <w:jc w:val="both"/>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ՊԵՏԱԿԱՆ ԲՅՈՒՋԵԻ ՊԱԿԱՍՈՒՐԴԸ, ՊԱՐՏՔԸ ԵՎ ՀԱՐԿԱԲՅՈՒՋԵՏԱՅԻՆ ԱԶԴԱԿԸ</w:t>
      </w:r>
    </w:p>
    <w:p w14:paraId="3AAB2897"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2023-2025 թթ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 պետական բյուջեի պակասուրդ/ՀՆԱ ցուցանիշն աճել է 1.6 տոկոսային կետով՝ 2022թ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 2.1% ցուցանիշի դիմաց 2025 թվականին կազմելով ՀՆԱ-ի 3.7%-ը: </w:t>
      </w:r>
    </w:p>
    <w:p w14:paraId="5340EDA4"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2023 թվականին հարկաբյուջետային քաղաքականությունը, ներուժայինից բարձր տնտեսական աճի պայմաններում, ունեցել է զսպող ազդեցություն՝ տնտեսական պարբերաշրջանը կայունացնելու տրամաբանությամբ։ 2024թ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-ին հարկաբյուջետային քաղաքականությունն ունեցել է խթանող, իսկ 2025թ.-ին՝ զսպող ազդեցություն։ </w:t>
      </w:r>
    </w:p>
    <w:p w14:paraId="7CE97CAC"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2023-2025թթ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 պետական բյուջեի պակասուրդի չափավոր աճի, բարձր տնտեսական աճի, ինչպես նաև փոխարժեքի արժևորման պայմաններում կառավարության պարտք/ՀՆԱ ցուցանիշը պահպանվել է ցածր մակարդակում՝ 2025թ.-ին կազմելով 47.2%։ </w:t>
      </w:r>
    </w:p>
    <w:p w14:paraId="2460D95B" w14:textId="77777777" w:rsidR="00082769" w:rsidRPr="008B63B1" w:rsidRDefault="00082769" w:rsidP="00082769">
      <w:pPr>
        <w:spacing w:before="360" w:after="0"/>
        <w:ind w:hanging="11"/>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2026Թ. ԸՆԹԱՑԻԿ ԶԱՐԳԱՑՈՒՄՆԵՐ</w:t>
      </w:r>
    </w:p>
    <w:p w14:paraId="327F501A"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Հունվար-օգոստոս ամիսներին պետական բյուջեի և՛ եկամուտները, և՛ ծախսերն աճել են բավականին բարձր տեմպերով, ընդ որում՝ եկամուտները գերազանցել են ծախսերը, և ձևավորվել է պետական բյուջեի հավելուրդ: </w:t>
      </w:r>
    </w:p>
    <w:p w14:paraId="5930B954" w14:textId="77777777" w:rsidR="00082769" w:rsidRPr="008B63B1" w:rsidRDefault="00082769" w:rsidP="00082769">
      <w:pPr>
        <w:ind w:hanging="11"/>
        <w:rPr>
          <w:rFonts w:ascii="GHEA Grapalat" w:eastAsia="Times New Roman" w:hAnsi="GHEA Grapalat" w:cs="Times New Roman"/>
          <w:color w:val="404040"/>
          <w:lang w:val="hy-AM"/>
        </w:rPr>
      </w:pPr>
    </w:p>
    <w:p w14:paraId="3D42BB16" w14:textId="77777777" w:rsidR="00082769" w:rsidRPr="008B63B1" w:rsidRDefault="00082769" w:rsidP="00082769">
      <w:pPr>
        <w:spacing w:before="240"/>
        <w:ind w:hanging="11"/>
        <w:jc w:val="both"/>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ՊԵՏԱԿԱՆ ԲՅՈՒՋԵԻ ԵԿԱՄՈՒՏՆԵՐԸ</w:t>
      </w:r>
    </w:p>
    <w:p w14:paraId="4410003A" w14:textId="77777777" w:rsidR="00082769" w:rsidRPr="008B63B1" w:rsidRDefault="00082769" w:rsidP="00082769">
      <w:pPr>
        <w:ind w:hanging="11"/>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 xml:space="preserve">2026թ. հունվար-օգոստոս ամիսներին ՀՀ պետական բյուջեի եկամուտներն աճել են բարձր տեմպերով՝ պայմանավորված հարկման բազաների դրական միտումներով, հարկային վարչարարության արդյունավետության և թիրախայնության բարձրացմամբ, ինչպես նաև հարկային օրենսդրության բարեփոխումներով։ </w:t>
      </w:r>
    </w:p>
    <w:p w14:paraId="34E5849E"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2026թ. հունվար-օգոստոս ամիսների արդյունքներով ՀՀ պետական բյուջեի ընդհանուր եկամուտները կազմել են 2,137</w:t>
      </w:r>
      <w:r w:rsidRPr="008B63B1" w:rsidDel="00212E99">
        <w:rPr>
          <w:rFonts w:ascii="GHEA Grapalat" w:eastAsia="Times New Roman" w:hAnsi="GHEA Grapalat" w:cs="Times New Roman"/>
          <w:color w:val="404040"/>
          <w:szCs w:val="20"/>
          <w:lang w:val="hy-AM"/>
        </w:rPr>
        <w:t xml:space="preserve"> </w:t>
      </w:r>
      <w:r w:rsidRPr="008B63B1">
        <w:rPr>
          <w:rFonts w:ascii="GHEA Grapalat" w:eastAsia="Times New Roman" w:hAnsi="GHEA Grapalat" w:cs="Times New Roman"/>
          <w:color w:val="404040"/>
          <w:szCs w:val="20"/>
          <w:lang w:val="hy-AM"/>
        </w:rPr>
        <w:t>մլրդ ՀՀ դրամ՝ նախորդ տարվա նույն ժամանակահատվածի համեմատ աճելով 14.4%-ով, իսկ հարկերը և տուրքերը կազմել են 2,027</w:t>
      </w:r>
      <w:r w:rsidRPr="008B63B1" w:rsidDel="00212E99">
        <w:rPr>
          <w:rFonts w:ascii="GHEA Grapalat" w:eastAsia="Times New Roman" w:hAnsi="GHEA Grapalat" w:cs="Times New Roman"/>
          <w:color w:val="404040"/>
          <w:szCs w:val="20"/>
          <w:lang w:val="hy-AM"/>
        </w:rPr>
        <w:t xml:space="preserve"> </w:t>
      </w:r>
      <w:r w:rsidRPr="008B63B1">
        <w:rPr>
          <w:rFonts w:ascii="GHEA Grapalat" w:eastAsia="Times New Roman" w:hAnsi="GHEA Grapalat" w:cs="Times New Roman"/>
          <w:color w:val="404040"/>
          <w:szCs w:val="20"/>
          <w:lang w:val="hy-AM"/>
        </w:rPr>
        <w:t>մլրդ ՀՀ դրամ՝ նախորդ տարվա նույն ժամանակահատվածի համեմատ աճելով 14.6%-ով: Հարկային եկամուտների աճի հիմնական աղբյուրներն են եղել ավելացված արժեքի հարկը, եկամտային հարկը, շահութահարկը, ինչպես նաև բնապահպանական հարկի և բնօգտագործման վճարների և պետական տուրքի գծով մուտքերը: Ավելացված արժեքի հարկի աճը համահունչ է տնտեսական ակտիվության, մասնավորապես՝ հարկունակ սպառման և ներմուծման աճի ընթացիկ միտումներին: Ինչ վերաբերում է եկամտային հարկին, ապա այս պարագայում աճի բարձր տեմպը պայմանավորված է հարկման բազայի՝ աշխատավարձի ֆոնդի աճով, ինչն էլ իր հերթին պայմանավորված է տնտեսական ակտիվությամբ և աշխատաշուկայի ֆորմալացման գործընթացով, այդ թվում՝ հարկային վարչարարության ներգործությամբ, իսկ ահա շահութահարկի բարձր աճն արտացոլում է նախորդ տարվա ընթացքում ձևավորված հարկվող շահույթների բարձր մակարդակը: Հարկային եկամուտների աճին նպաստել են նաև բնապահպանական հարկի և բնօգտագործման վճարների գծով մուտքերը՝ պայմանավորված հանքարդյունաբերության ոլորտի դրական զարգացումներով, պղնձի գների բարձր մակարդակով, ինչպես նաև նախորդ տարվա ցածր բազայով:</w:t>
      </w:r>
    </w:p>
    <w:p w14:paraId="641D692E" w14:textId="77777777" w:rsidR="00082769" w:rsidRPr="008B63B1" w:rsidRDefault="00082769" w:rsidP="00082769">
      <w:pPr>
        <w:spacing w:before="240"/>
        <w:ind w:hanging="11"/>
        <w:jc w:val="both"/>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ՊԵՏԱԿԱՆ ԲՅՈՒՋԵԻ ԾԱԽՍԵՐԸ</w:t>
      </w:r>
    </w:p>
    <w:p w14:paraId="5758E400"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color w:val="404040"/>
          <w:szCs w:val="20"/>
          <w:lang w:val="hy-AM"/>
        </w:rPr>
        <w:t>2026 թ. առաջին ութ ամիսներին պետական բյուջեի ծախսերը ևս աճել են բարձր տեմպերով:</w:t>
      </w:r>
      <w:r w:rsidRPr="008B63B1">
        <w:rPr>
          <w:rFonts w:ascii="GHEA Grapalat" w:eastAsia="Times New Roman" w:hAnsi="GHEA Grapalat" w:cs="Times New Roman"/>
          <w:color w:val="404040"/>
          <w:szCs w:val="20"/>
          <w:lang w:val="hy-AM"/>
        </w:rPr>
        <w:t xml:space="preserve"> Պետական բյուջեի ծախսերը կազմել են 2,119 մլրդ ՀՀ դրամ՝ նախորդ տարվա նույն ժամանակահատվածի համեմատ աճելով 9.9%-ով: Նույն ժամանակահատվածում ընթացիկ ծախսերը կազմել են 1,856 մլրդ ՀՀ դրամ` նախորդ տարվա նույն ժամանակահատվածի համեմատ աճելով 17.8%</w:t>
      </w:r>
      <w:r w:rsidRPr="008B63B1">
        <w:rPr>
          <w:rFonts w:ascii="GHEA Grapalat" w:eastAsia="Times New Roman" w:hAnsi="GHEA Grapalat" w:cs="Times New Roman"/>
          <w:color w:val="404040"/>
          <w:szCs w:val="20"/>
          <w:lang w:val="hy-AM"/>
        </w:rPr>
        <w:noBreakHyphen/>
        <w:t>-ով: Ոչ ֆինանսական ակտիվների հետ գործառնությունները կազմել են 263.6</w:t>
      </w:r>
      <w:r w:rsidRPr="008B63B1" w:rsidDel="008C0A82">
        <w:rPr>
          <w:rFonts w:ascii="GHEA Grapalat" w:eastAsia="Times New Roman" w:hAnsi="GHEA Grapalat" w:cs="Times New Roman"/>
          <w:color w:val="404040"/>
          <w:szCs w:val="20"/>
          <w:lang w:val="hy-AM"/>
        </w:rPr>
        <w:t xml:space="preserve"> </w:t>
      </w:r>
      <w:r w:rsidRPr="008B63B1">
        <w:rPr>
          <w:rFonts w:ascii="GHEA Grapalat" w:eastAsia="Times New Roman" w:hAnsi="GHEA Grapalat" w:cs="Times New Roman"/>
          <w:color w:val="404040"/>
          <w:szCs w:val="20"/>
          <w:lang w:val="hy-AM"/>
        </w:rPr>
        <w:t>մլրդ ՀՀ դրամ (որում ոչ ֆինանսական ակտիվների գծով ծախսերը (կապիտալ ծախսերը) կազմել են 267.5</w:t>
      </w:r>
      <w:r w:rsidRPr="008B63B1" w:rsidDel="008C0A82">
        <w:rPr>
          <w:rFonts w:ascii="GHEA Grapalat" w:eastAsia="Times New Roman" w:hAnsi="GHEA Grapalat" w:cs="Times New Roman"/>
          <w:color w:val="404040"/>
          <w:szCs w:val="20"/>
          <w:lang w:val="hy-AM"/>
        </w:rPr>
        <w:t xml:space="preserve"> </w:t>
      </w:r>
      <w:r w:rsidRPr="008B63B1">
        <w:rPr>
          <w:rFonts w:ascii="GHEA Grapalat" w:eastAsia="Times New Roman" w:hAnsi="GHEA Grapalat" w:cs="Times New Roman"/>
          <w:color w:val="404040"/>
          <w:szCs w:val="20"/>
          <w:lang w:val="hy-AM"/>
        </w:rPr>
        <w:t>մլրդ ՀՀ դրամ)՝ նախորդ տարվա նույն ժամանակահատվածի նկատմամբ նվազելով 25.6%</w:t>
      </w:r>
      <w:r w:rsidRPr="008B63B1">
        <w:rPr>
          <w:rFonts w:ascii="GHEA Grapalat" w:eastAsia="Times New Roman" w:hAnsi="GHEA Grapalat" w:cs="Times New Roman"/>
          <w:color w:val="404040"/>
          <w:szCs w:val="20"/>
          <w:lang w:val="hy-AM"/>
        </w:rPr>
        <w:noBreakHyphen/>
        <w:t xml:space="preserve">-ով: </w:t>
      </w:r>
    </w:p>
    <w:p w14:paraId="082FA91F" w14:textId="77777777" w:rsidR="00082769" w:rsidRPr="008B63B1" w:rsidRDefault="00082769" w:rsidP="00082769">
      <w:pPr>
        <w:ind w:hanging="11"/>
        <w:rPr>
          <w:rFonts w:ascii="GHEA Grapalat" w:eastAsia="Times New Roman" w:hAnsi="GHEA Grapalat" w:cs="Times New Roman"/>
          <w:color w:val="404040"/>
          <w:lang w:val="hy-AM"/>
        </w:rPr>
      </w:pPr>
    </w:p>
    <w:tbl>
      <w:tblPr>
        <w:tblW w:w="0" w:type="auto"/>
        <w:tblLook w:val="04A0" w:firstRow="1" w:lastRow="0" w:firstColumn="1" w:lastColumn="0" w:noHBand="0" w:noVBand="1"/>
      </w:tblPr>
      <w:tblGrid>
        <w:gridCol w:w="4975"/>
        <w:gridCol w:w="4836"/>
      </w:tblGrid>
      <w:tr w:rsidR="00082769" w:rsidRPr="003612ED" w14:paraId="4B58DC06" w14:textId="77777777" w:rsidTr="00873AE6">
        <w:tc>
          <w:tcPr>
            <w:tcW w:w="4918" w:type="dxa"/>
            <w:hideMark/>
          </w:tcPr>
          <w:p w14:paraId="2777CAED" w14:textId="77777777" w:rsidR="00082769" w:rsidRPr="008B63B1" w:rsidRDefault="00082769" w:rsidP="001D56CB">
            <w:pPr>
              <w:pStyle w:val="Charts"/>
              <w:ind w:right="-22"/>
              <w:rPr>
                <w:rFonts w:eastAsia="Times New Roman" w:cs="Times New Roman"/>
                <w:b w:val="0"/>
                <w:color w:val="404040"/>
                <w:sz w:val="20"/>
              </w:rPr>
            </w:pPr>
            <w:r w:rsidRPr="001D56CB">
              <w:rPr>
                <w:b w:val="0"/>
                <w:bCs/>
                <w:color w:val="auto"/>
                <w:sz w:val="20"/>
                <w:szCs w:val="18"/>
              </w:rPr>
              <w:t>Գծապատկեր 2.1. Պետական բյուջեի հարկային եկամուտները և դրանց աճի տեմպը 2025-2026 թթ., կուտակային</w:t>
            </w:r>
          </w:p>
        </w:tc>
        <w:tc>
          <w:tcPr>
            <w:tcW w:w="4828" w:type="dxa"/>
            <w:hideMark/>
          </w:tcPr>
          <w:p w14:paraId="39B0B692" w14:textId="77777777" w:rsidR="00082769" w:rsidRPr="008B63B1" w:rsidRDefault="00082769" w:rsidP="001D56CB">
            <w:pPr>
              <w:pStyle w:val="Charts"/>
              <w:ind w:right="-22"/>
              <w:rPr>
                <w:rFonts w:eastAsia="Times New Roman" w:cs="Times New Roman"/>
                <w:b w:val="0"/>
                <w:color w:val="404040"/>
              </w:rPr>
            </w:pPr>
            <w:r w:rsidRPr="001D56CB">
              <w:rPr>
                <w:b w:val="0"/>
                <w:bCs/>
                <w:color w:val="auto"/>
                <w:sz w:val="20"/>
                <w:szCs w:val="18"/>
              </w:rPr>
              <w:t>Գծապատկեր 2.2. Պետական բյուջեի ծախսերի աճը և դրան նպաստումները 2025-2026 թթ. ըստ ամիսների, կուտակային</w:t>
            </w:r>
          </w:p>
        </w:tc>
      </w:tr>
      <w:tr w:rsidR="00082769" w:rsidRPr="008B63B1" w14:paraId="10516884" w14:textId="77777777" w:rsidTr="00873AE6">
        <w:tc>
          <w:tcPr>
            <w:tcW w:w="4918" w:type="dxa"/>
            <w:hideMark/>
          </w:tcPr>
          <w:p w14:paraId="2AFDBBFB" w14:textId="77777777" w:rsidR="00082769" w:rsidRPr="008B63B1" w:rsidRDefault="00082769" w:rsidP="00082769">
            <w:pPr>
              <w:ind w:hanging="11"/>
              <w:jc w:val="both"/>
              <w:rPr>
                <w:rFonts w:ascii="GHEA Grapalat" w:eastAsia="Times New Roman" w:hAnsi="GHEA Grapalat" w:cs="Times New Roman"/>
                <w:color w:val="404040"/>
              </w:rPr>
            </w:pPr>
            <w:r w:rsidRPr="008B63B1">
              <w:rPr>
                <w:rFonts w:ascii="GHEA Grapalat" w:eastAsia="Times New Roman" w:hAnsi="GHEA Grapalat" w:cs="Times New Roman"/>
                <w:noProof/>
                <w:color w:val="404040"/>
              </w:rPr>
              <w:drawing>
                <wp:inline distT="0" distB="0" distL="0" distR="0" wp14:anchorId="6D1027FA" wp14:editId="1FDA87A6">
                  <wp:extent cx="3019425" cy="1645920"/>
                  <wp:effectExtent l="0" t="0" r="9525" b="11430"/>
                  <wp:docPr id="1545876470" name="Chart 1545876470"/>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tc>
        <w:tc>
          <w:tcPr>
            <w:tcW w:w="4828" w:type="dxa"/>
            <w:hideMark/>
          </w:tcPr>
          <w:p w14:paraId="632151F1" w14:textId="77777777" w:rsidR="00082769" w:rsidRPr="008B63B1" w:rsidRDefault="00082769" w:rsidP="00082769">
            <w:pPr>
              <w:ind w:hanging="11"/>
              <w:jc w:val="right"/>
              <w:rPr>
                <w:rFonts w:ascii="GHEA Grapalat" w:eastAsia="Times New Roman" w:hAnsi="GHEA Grapalat" w:cs="Times New Roman"/>
                <w:i/>
                <w:color w:val="A6A6A6"/>
                <w:sz w:val="18"/>
                <w:lang w:val="hy-AM" w:eastAsia="ru-RU"/>
              </w:rPr>
            </w:pPr>
            <w:r w:rsidRPr="008B63B1">
              <w:rPr>
                <w:rFonts w:ascii="GHEA Grapalat" w:eastAsia="Times New Roman" w:hAnsi="GHEA Grapalat" w:cs="Times New Roman"/>
                <w:i/>
                <w:noProof/>
                <w:color w:val="C45911"/>
                <w:sz w:val="18"/>
              </w:rPr>
              <w:drawing>
                <wp:anchor distT="0" distB="0" distL="114300" distR="114300" simplePos="0" relativeHeight="251762688" behindDoc="0" locked="0" layoutInCell="1" allowOverlap="1" wp14:anchorId="1D92BF74" wp14:editId="21C777F2">
                  <wp:simplePos x="0" y="0"/>
                  <wp:positionH relativeFrom="column">
                    <wp:posOffset>15688</wp:posOffset>
                  </wp:positionH>
                  <wp:positionV relativeFrom="paragraph">
                    <wp:posOffset>76200</wp:posOffset>
                  </wp:positionV>
                  <wp:extent cx="2926080" cy="1645920"/>
                  <wp:effectExtent l="0" t="0" r="7620" b="11430"/>
                  <wp:wrapTopAndBottom/>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anchor>
              </w:drawing>
            </w:r>
            <w:r w:rsidRPr="008B63B1">
              <w:rPr>
                <w:rFonts w:ascii="GHEA Grapalat" w:eastAsia="Times New Roman" w:hAnsi="GHEA Grapalat" w:cs="Times New Roman"/>
                <w:i/>
                <w:color w:val="A6A6A6"/>
                <w:sz w:val="18"/>
              </w:rPr>
              <w:t>Աղբյուրը՝ ՀՀ ՖՆ</w:t>
            </w:r>
          </w:p>
        </w:tc>
      </w:tr>
    </w:tbl>
    <w:p w14:paraId="1E233AE4" w14:textId="77777777" w:rsidR="00082769" w:rsidRPr="008B63B1" w:rsidRDefault="00082769" w:rsidP="00082769">
      <w:pPr>
        <w:spacing w:before="240"/>
        <w:ind w:hanging="11"/>
        <w:jc w:val="both"/>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ՊԵՏԱԿԱՆ ԲՅՈՒՋԵԻ ՀԱՇՎԵԿՇԻՌԸ</w:t>
      </w:r>
    </w:p>
    <w:p w14:paraId="4896F360"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color w:val="404040"/>
          <w:szCs w:val="20"/>
          <w:lang w:val="hy-AM"/>
        </w:rPr>
        <w:t>Պետական բյուջեն 2026թ.-ի հունվար-օգոստոս ամիսներին ձևավորվել է հավելուրդով:</w:t>
      </w:r>
      <w:r w:rsidRPr="008B63B1">
        <w:rPr>
          <w:rFonts w:ascii="GHEA Grapalat" w:eastAsia="Times New Roman" w:hAnsi="GHEA Grapalat" w:cs="Times New Roman"/>
          <w:color w:val="404040"/>
          <w:szCs w:val="20"/>
          <w:lang w:val="hy-AM"/>
        </w:rPr>
        <w:t xml:space="preserve"> 2026թ. առաջին ութ ամիսներին ձևավորվել է պետական բյուջեի 17.7 մլրդ ՀՀ դրամ հավելուրդ՝ նախորդ տարվա նույն ժամանակահատվածի 60.7</w:t>
      </w:r>
      <w:r w:rsidRPr="008B63B1">
        <w:rPr>
          <w:rFonts w:ascii="Calibri" w:eastAsia="Times New Roman" w:hAnsi="Calibri" w:cs="Calibri"/>
          <w:color w:val="404040"/>
          <w:szCs w:val="20"/>
          <w:lang w:val="hy-AM"/>
        </w:rPr>
        <w:t> </w:t>
      </w:r>
      <w:r w:rsidRPr="008B63B1">
        <w:rPr>
          <w:rFonts w:ascii="GHEA Grapalat" w:eastAsia="Times New Roman" w:hAnsi="GHEA Grapalat" w:cs="Times New Roman"/>
          <w:color w:val="404040"/>
          <w:szCs w:val="20"/>
          <w:lang w:val="hy-AM"/>
        </w:rPr>
        <w:t xml:space="preserve">մլրդ ՀՀ դրամ պակասուրդի դիմաց: </w:t>
      </w:r>
    </w:p>
    <w:p w14:paraId="62038CB4" w14:textId="77777777" w:rsidR="00082769" w:rsidRPr="008B63B1" w:rsidRDefault="00082769" w:rsidP="00082769">
      <w:pPr>
        <w:spacing w:before="360" w:after="0"/>
        <w:ind w:hanging="11"/>
        <w:rPr>
          <w:rFonts w:ascii="GHEA Grapalat" w:eastAsia="Times New Roman" w:hAnsi="GHEA Grapalat" w:cs="Times New Roman"/>
          <w:color w:val="A6A6A6"/>
          <w:szCs w:val="20"/>
          <w:lang w:val="hy-AM"/>
        </w:rPr>
      </w:pPr>
      <w:r>
        <w:rPr>
          <w:rFonts w:ascii="GHEA Grapalat" w:eastAsia="Times New Roman" w:hAnsi="GHEA Grapalat" w:cs="Times New Roman"/>
          <w:color w:val="A6A6A6"/>
          <w:szCs w:val="20"/>
          <w:lang w:val="hy-AM"/>
        </w:rPr>
        <w:t xml:space="preserve">      </w:t>
      </w:r>
      <w:r w:rsidRPr="008B63B1">
        <w:rPr>
          <w:rFonts w:ascii="GHEA Grapalat" w:eastAsia="Times New Roman" w:hAnsi="GHEA Grapalat" w:cs="Times New Roman"/>
          <w:color w:val="A6A6A6"/>
          <w:szCs w:val="20"/>
          <w:lang w:val="hy-AM"/>
        </w:rPr>
        <w:t xml:space="preserve">ԿԱՐՃԱԺԱՄԿԵՏ ԵՎ ՄԻՋՆԱԺԱՄԿԵՏ ԿԱՆԽԱՏԵՍՈՒՄՆԵՐ </w:t>
      </w:r>
    </w:p>
    <w:p w14:paraId="3D39C5A2" w14:textId="77777777" w:rsidR="00082769" w:rsidRPr="008B63B1" w:rsidRDefault="00082769" w:rsidP="00082769">
      <w:pPr>
        <w:ind w:hanging="11"/>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2027թ</w:t>
      </w:r>
      <w:r w:rsidRPr="008B63B1">
        <w:rPr>
          <w:rFonts w:ascii="Cambria Math" w:eastAsia="Times New Roman" w:hAnsi="Cambria Math" w:cs="Cambria Math"/>
          <w:b/>
          <w:color w:val="404040"/>
          <w:szCs w:val="20"/>
          <w:lang w:val="hy-AM"/>
        </w:rPr>
        <w:t>.</w:t>
      </w:r>
      <w:r w:rsidRPr="008B63B1">
        <w:rPr>
          <w:rFonts w:ascii="GHEA Grapalat" w:eastAsia="Times New Roman" w:hAnsi="GHEA Grapalat" w:cs="Times New Roman"/>
          <w:b/>
          <w:color w:val="404040"/>
          <w:szCs w:val="20"/>
          <w:lang w:val="hy-AM"/>
        </w:rPr>
        <w:t xml:space="preserve"> և միջնաժամկետում հարկաբյուջետային քաղաքականությունն ուղղված կլինի կառուցվածքային բարեփոխումների իրականացմանը, ֆիզիկական ու մարդկային կապիտալում ներդրումների պատմականորեն բարձր մակարդակի պահպանմանը և տնտեսության դիմակայունության ու աճի ներուժի ամրապնդմանը։ </w:t>
      </w:r>
      <w:r w:rsidRPr="008B63B1">
        <w:rPr>
          <w:rFonts w:ascii="GHEA Grapalat" w:eastAsia="Times New Roman" w:hAnsi="GHEA Grapalat" w:cs="Times New Roman"/>
          <w:color w:val="404040"/>
          <w:szCs w:val="20"/>
          <w:lang w:val="hy-AM"/>
        </w:rPr>
        <w:t>Կառավարության պարտք/ՀՆԱ հարաբերակցության՝ 50%-ից ցածր մակարդակը հնարավորություն է տալիս ընթացիկ ծախսերի մասով պահպանել քաղաքականության ճկունությունը՝ միաժամանակ ապահովելով կապիտալ ծախսերի և պակասուրդի հարաբերակցության «ոսկե կանոնին» համապատասխանությունը։</w:t>
      </w:r>
    </w:p>
    <w:p w14:paraId="6C5FB56F"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2027 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 հարկային եկամուտներն ու տուրքերը կկազմեն 3,462.7 մլրդ ՀՀ դրամ կամ ՀՆԱ-ի 25.4%-ը՝ 2026 թ. սպասման նկատմամբ ավելանալով 372.3 մլրդ ՀՀ դրամով և ՀՆԱ-ի շուրջ 0.6 տոկոսային կետով։ Պետական բյուջեի ընդհանուր ծախսերը կկազմեն 4,072.0 մլրդ ՀՀ դրամ կամ ՀՆԱ-ի 29.9%-ը՝ նախորդ տարվա համեմատ աճելով շուրջ 9.3%-ով։ Ընթացիկ ծախսերի կշիռը կկազմի ՀՆԱ-ի 24.3%-ը, իսկ ոչ ֆինանսական ակտիվների գծով զուտ ծախսերինը՝ 5.6%-ը։</w:t>
      </w:r>
    </w:p>
    <w:p w14:paraId="2EC05E82"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2027 թ. պետական բյուջեի պակասուրդը կկազմի 468.2 մլրդ ՀՀ դրամ կամ ՀՆԱ-ի 3.4%-ը՝ 2026 թ. սպասման համեմատ նվազելով 36.1 մլրդ ՀՀ դրամով կամ ՀՆԱ-ի շուրջ 0.6 տոկոսային կետով։ 2028 և 2029 թթ. պակասուրդը կնվազի համապատասխանաբար մինչև ՀՆԱ-ի 2.8%-ը և 1.8%-ը։</w:t>
      </w:r>
    </w:p>
    <w:p w14:paraId="24F66C62"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2027 թ. հարկաբյուջետային քաղաքականության ընդհանուր ազդակը կլինի չափավոր զսպող՝ եկամուտների զսպող և ծախսերի թույլ խթանող ազդեցությունների համադրությամբ։ Կապիտալ ծախսերի առաջնահերթ ծրագրերի իրականացումը միաժամանակ ուղղված կլինի ենթակառուցվածքների զարգացմանն ու տնտեսության ներուժի ընդլայնմանը։</w:t>
      </w:r>
    </w:p>
    <w:p w14:paraId="1CA8A633" w14:textId="77777777" w:rsidR="00082769" w:rsidRPr="008B63B1" w:rsidRDefault="00082769" w:rsidP="00082769">
      <w:pPr>
        <w:ind w:hanging="11"/>
        <w:jc w:val="both"/>
        <w:rPr>
          <w:rFonts w:ascii="GHEA Grapalat" w:eastAsia="Times New Roman" w:hAnsi="GHEA Grapalat" w:cs="Times New Roman"/>
          <w:color w:val="404040"/>
          <w:szCs w:val="20"/>
          <w:lang w:val="hy-AM"/>
        </w:rPr>
      </w:pPr>
      <w:bookmarkStart w:id="268" w:name="_Hlk152316570"/>
      <w:r w:rsidRPr="008B63B1">
        <w:rPr>
          <w:rFonts w:ascii="GHEA Grapalat" w:eastAsia="Times New Roman" w:hAnsi="GHEA Grapalat" w:cs="Times New Roman"/>
          <w:b/>
          <w:color w:val="404040"/>
          <w:szCs w:val="20"/>
          <w:lang w:val="hy-AM"/>
        </w:rPr>
        <w:t>2026–2029 թթ. հարկային վարչարարության բարելավման, ստվերի դեմ պայքարի, ինչպես նաև հարկային քաղաքականության միջոցառումների արդյունքում ակնկալվում է ապահովել հարկեր/ՀՆԱ հարաբերակցության շարունակական բարելավում տարեկան միջինում 0.4 տոկոսային կետով՝ 2029թ</w:t>
      </w:r>
      <w:r w:rsidRPr="008B63B1">
        <w:rPr>
          <w:rFonts w:ascii="Cambria Math" w:eastAsia="Times New Roman" w:hAnsi="Cambria Math" w:cs="Cambria Math"/>
          <w:b/>
          <w:color w:val="404040"/>
          <w:szCs w:val="20"/>
          <w:lang w:val="hy-AM"/>
        </w:rPr>
        <w:t>․</w:t>
      </w:r>
      <w:r w:rsidRPr="008B63B1">
        <w:rPr>
          <w:rFonts w:ascii="GHEA Grapalat" w:eastAsia="Times New Roman" w:hAnsi="GHEA Grapalat" w:cs="Times New Roman"/>
          <w:b/>
          <w:color w:val="404040"/>
          <w:szCs w:val="20"/>
          <w:lang w:val="hy-AM"/>
        </w:rPr>
        <w:t xml:space="preserve">-ին հասցնելով 25.7%-ի։ </w:t>
      </w:r>
      <w:r w:rsidRPr="008B63B1">
        <w:rPr>
          <w:rFonts w:ascii="GHEA Grapalat" w:eastAsia="Times New Roman" w:hAnsi="GHEA Grapalat" w:cs="Times New Roman"/>
          <w:color w:val="404040"/>
          <w:szCs w:val="20"/>
          <w:lang w:val="hy-AM"/>
        </w:rPr>
        <w:t>Ակնկալվում է, որ հարկային եկամուտների բարելավումը կապահովվի բոլոր հիմնական հարկատեսակների գծով՝ բխելով ինչպես հարկման բազաների, այնպես էլ օրենսդրության և վարչարարության միջոցառումների ազդեցությունից։ Հարկային վարչարարության միջին տարեկան մասնակցությունը 2026–2029 թվականներին հարկեր/ՀՆԱ հարաբերակցության բարելավմանը կկազմի 0</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4 տոկոսային կետ, իսկ հարկային քաղաքականության բարեփոխումները սպասվում է, որ 2026-2029 թվականներին կունենան միջինում 0</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1 տոկոսային կետ դրական ազդեցություն։ Միաժամանակ, տնտեսական գործոնները, այդ թվում՝ տնտեսական պարբերաշրջանի կայունացումը և տնտեսության կառուցվածքի փոփոխությունները բացասական կամ չեզոք ազդեցություն կունենան հարկեր/ՀՆԱ բարելավումների վրա։</w:t>
      </w:r>
      <w:r w:rsidRPr="008B63B1">
        <w:rPr>
          <w:rFonts w:ascii="GHEA Grapalat" w:eastAsia="Times New Roman" w:hAnsi="GHEA Grapalat" w:cs="Times New Roman"/>
          <w:b/>
          <w:color w:val="404040"/>
          <w:szCs w:val="20"/>
          <w:lang w:val="hy-AM"/>
        </w:rPr>
        <w:t xml:space="preserve"> </w:t>
      </w:r>
    </w:p>
    <w:p w14:paraId="0CFCA7A8" w14:textId="77777777" w:rsidR="00082769" w:rsidRPr="001D56CB" w:rsidRDefault="00082769" w:rsidP="001D56CB">
      <w:pPr>
        <w:pStyle w:val="Charts"/>
        <w:ind w:right="-22"/>
        <w:rPr>
          <w:b w:val="0"/>
          <w:bCs/>
          <w:color w:val="auto"/>
          <w:sz w:val="20"/>
          <w:szCs w:val="18"/>
        </w:rPr>
      </w:pPr>
      <w:r w:rsidRPr="001D56CB">
        <w:rPr>
          <w:b w:val="0"/>
          <w:bCs/>
          <w:color w:val="auto"/>
          <w:sz w:val="20"/>
          <w:szCs w:val="18"/>
        </w:rPr>
        <w:t>Աղյուսակ 2.2. Հարկային եկամուտների կանխատեսումներն ըստ առանձին հարկատեսակների</w:t>
      </w:r>
      <w:r w:rsidRPr="001D56CB">
        <w:rPr>
          <w:b w:val="0"/>
          <w:bCs/>
          <w:color w:val="auto"/>
          <w:sz w:val="20"/>
          <w:szCs w:val="18"/>
        </w:rPr>
        <w:footnoteReference w:id="20"/>
      </w:r>
      <w:bookmarkEnd w:id="268"/>
    </w:p>
    <w:tbl>
      <w:tblPr>
        <w:tblW w:w="9840" w:type="dxa"/>
        <w:tblBorders>
          <w:top w:val="single" w:sz="4" w:space="0" w:color="E1E1E3"/>
          <w:left w:val="single" w:sz="4" w:space="0" w:color="E1E1E3"/>
          <w:bottom w:val="single" w:sz="4" w:space="0" w:color="E1E1E3"/>
          <w:right w:val="single" w:sz="4" w:space="0" w:color="E1E1E3"/>
          <w:insideH w:val="single" w:sz="4" w:space="0" w:color="E1E1E3"/>
          <w:insideV w:val="single" w:sz="4" w:space="0" w:color="E1E1E3"/>
        </w:tblBorders>
        <w:tblLook w:val="04A0" w:firstRow="1" w:lastRow="0" w:firstColumn="1" w:lastColumn="0" w:noHBand="0" w:noVBand="1"/>
      </w:tblPr>
      <w:tblGrid>
        <w:gridCol w:w="2405"/>
        <w:gridCol w:w="854"/>
        <w:gridCol w:w="849"/>
        <w:gridCol w:w="837"/>
        <w:gridCol w:w="846"/>
        <w:gridCol w:w="857"/>
        <w:gridCol w:w="635"/>
        <w:gridCol w:w="635"/>
        <w:gridCol w:w="638"/>
        <w:gridCol w:w="638"/>
        <w:gridCol w:w="647"/>
      </w:tblGrid>
      <w:tr w:rsidR="00082769" w:rsidRPr="008B63B1" w14:paraId="4BD4BEA2" w14:textId="77777777" w:rsidTr="00873AE6">
        <w:trPr>
          <w:trHeight w:val="360"/>
        </w:trPr>
        <w:tc>
          <w:tcPr>
            <w:tcW w:w="2405" w:type="dxa"/>
            <w:vMerge w:val="restart"/>
            <w:shd w:val="clear" w:color="auto" w:fill="D5DCE4"/>
            <w:noWrap/>
            <w:vAlign w:val="center"/>
            <w:hideMark/>
          </w:tcPr>
          <w:p w14:paraId="53B88330"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lang w:val="hy-AM"/>
              </w:rPr>
            </w:pPr>
            <w:r w:rsidRPr="008B63B1">
              <w:rPr>
                <w:rFonts w:ascii="Calibri" w:eastAsia="Times New Roman" w:hAnsi="Calibri" w:cs="Calibri"/>
                <w:color w:val="404040"/>
                <w:sz w:val="18"/>
                <w:szCs w:val="18"/>
                <w:lang w:val="hy-AM"/>
              </w:rPr>
              <w:t> </w:t>
            </w:r>
          </w:p>
        </w:tc>
        <w:tc>
          <w:tcPr>
            <w:tcW w:w="4242" w:type="dxa"/>
            <w:gridSpan w:val="5"/>
            <w:shd w:val="clear" w:color="auto" w:fill="D5DCE4"/>
            <w:noWrap/>
            <w:vAlign w:val="center"/>
            <w:hideMark/>
          </w:tcPr>
          <w:p w14:paraId="688DBA40"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lang w:val="ru-RU"/>
              </w:rPr>
            </w:pPr>
            <w:r w:rsidRPr="008B63B1">
              <w:rPr>
                <w:rFonts w:ascii="GHEA Grapalat" w:eastAsia="Times New Roman" w:hAnsi="GHEA Grapalat" w:cs="Times New Roman"/>
                <w:color w:val="404040"/>
                <w:sz w:val="18"/>
                <w:szCs w:val="18"/>
              </w:rPr>
              <w:t>Մլրդ ՀՀ դրամ</w:t>
            </w:r>
          </w:p>
        </w:tc>
        <w:tc>
          <w:tcPr>
            <w:tcW w:w="3193" w:type="dxa"/>
            <w:gridSpan w:val="5"/>
            <w:shd w:val="clear" w:color="auto" w:fill="D5DCE4"/>
            <w:noWrap/>
            <w:vAlign w:val="center"/>
            <w:hideMark/>
          </w:tcPr>
          <w:p w14:paraId="202F261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 ՀՆԱ-ում</w:t>
            </w:r>
          </w:p>
        </w:tc>
      </w:tr>
      <w:tr w:rsidR="00082769" w:rsidRPr="008B63B1" w14:paraId="39BD82FC" w14:textId="77777777" w:rsidTr="00873AE6">
        <w:trPr>
          <w:trHeight w:val="360"/>
        </w:trPr>
        <w:tc>
          <w:tcPr>
            <w:tcW w:w="0" w:type="auto"/>
            <w:vMerge/>
            <w:shd w:val="clear" w:color="auto" w:fill="D5DCE4"/>
            <w:vAlign w:val="center"/>
            <w:hideMark/>
          </w:tcPr>
          <w:p w14:paraId="3BA21FDF"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lang w:val="hy-AM" w:eastAsia="ru-RU"/>
              </w:rPr>
            </w:pPr>
          </w:p>
        </w:tc>
        <w:tc>
          <w:tcPr>
            <w:tcW w:w="854" w:type="dxa"/>
            <w:shd w:val="clear" w:color="auto" w:fill="D5DCE4"/>
            <w:noWrap/>
            <w:vAlign w:val="center"/>
            <w:hideMark/>
          </w:tcPr>
          <w:p w14:paraId="55AD91BE"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rPr>
            </w:pPr>
            <w:r w:rsidRPr="008B63B1">
              <w:rPr>
                <w:rFonts w:ascii="GHEA Grapalat" w:eastAsia="Times New Roman" w:hAnsi="GHEA Grapalat" w:cs="Calibri"/>
                <w:b/>
                <w:bCs/>
                <w:color w:val="404040"/>
                <w:sz w:val="18"/>
                <w:szCs w:val="18"/>
              </w:rPr>
              <w:t>2025</w:t>
            </w:r>
          </w:p>
        </w:tc>
        <w:tc>
          <w:tcPr>
            <w:tcW w:w="848" w:type="dxa"/>
            <w:shd w:val="clear" w:color="auto" w:fill="D5DCE4"/>
            <w:noWrap/>
            <w:vAlign w:val="center"/>
            <w:hideMark/>
          </w:tcPr>
          <w:p w14:paraId="7EBCF6CB"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rPr>
            </w:pPr>
            <w:r w:rsidRPr="008B63B1">
              <w:rPr>
                <w:rFonts w:ascii="GHEA Grapalat" w:eastAsia="Times New Roman" w:hAnsi="GHEA Grapalat" w:cs="Calibri"/>
                <w:b/>
                <w:bCs/>
                <w:color w:val="404040"/>
                <w:sz w:val="18"/>
                <w:szCs w:val="18"/>
              </w:rPr>
              <w:t>2026</w:t>
            </w:r>
          </w:p>
        </w:tc>
        <w:tc>
          <w:tcPr>
            <w:tcW w:w="837" w:type="dxa"/>
            <w:shd w:val="clear" w:color="auto" w:fill="D5DCE4"/>
            <w:noWrap/>
            <w:vAlign w:val="center"/>
            <w:hideMark/>
          </w:tcPr>
          <w:p w14:paraId="3254C29B"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rPr>
            </w:pPr>
            <w:r w:rsidRPr="008B63B1">
              <w:rPr>
                <w:rFonts w:ascii="GHEA Grapalat" w:eastAsia="Times New Roman" w:hAnsi="GHEA Grapalat" w:cs="Calibri"/>
                <w:b/>
                <w:bCs/>
                <w:color w:val="404040"/>
                <w:sz w:val="18"/>
                <w:szCs w:val="18"/>
              </w:rPr>
              <w:t>2027</w:t>
            </w:r>
          </w:p>
        </w:tc>
        <w:tc>
          <w:tcPr>
            <w:tcW w:w="846" w:type="dxa"/>
            <w:shd w:val="clear" w:color="auto" w:fill="D5DCE4"/>
            <w:noWrap/>
            <w:vAlign w:val="center"/>
            <w:hideMark/>
          </w:tcPr>
          <w:p w14:paraId="78BA8DB2"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rPr>
            </w:pPr>
            <w:r w:rsidRPr="008B63B1">
              <w:rPr>
                <w:rFonts w:ascii="GHEA Grapalat" w:eastAsia="Times New Roman" w:hAnsi="GHEA Grapalat" w:cs="Calibri"/>
                <w:b/>
                <w:bCs/>
                <w:color w:val="404040"/>
                <w:sz w:val="18"/>
                <w:szCs w:val="18"/>
              </w:rPr>
              <w:t>2028</w:t>
            </w:r>
          </w:p>
        </w:tc>
        <w:tc>
          <w:tcPr>
            <w:tcW w:w="857" w:type="dxa"/>
            <w:shd w:val="clear" w:color="auto" w:fill="D5DCE4"/>
            <w:noWrap/>
            <w:vAlign w:val="center"/>
            <w:hideMark/>
          </w:tcPr>
          <w:p w14:paraId="27DADA41"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rPr>
            </w:pPr>
            <w:r w:rsidRPr="008B63B1">
              <w:rPr>
                <w:rFonts w:ascii="GHEA Grapalat" w:eastAsia="Times New Roman" w:hAnsi="GHEA Grapalat" w:cs="Calibri"/>
                <w:b/>
                <w:bCs/>
                <w:color w:val="404040"/>
                <w:sz w:val="18"/>
                <w:szCs w:val="18"/>
              </w:rPr>
              <w:t>2029</w:t>
            </w:r>
          </w:p>
        </w:tc>
        <w:tc>
          <w:tcPr>
            <w:tcW w:w="635" w:type="dxa"/>
            <w:shd w:val="clear" w:color="auto" w:fill="D5DCE4"/>
            <w:noWrap/>
            <w:vAlign w:val="center"/>
            <w:hideMark/>
          </w:tcPr>
          <w:p w14:paraId="11F3BB5E"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rPr>
            </w:pPr>
            <w:r w:rsidRPr="008B63B1">
              <w:rPr>
                <w:rFonts w:ascii="GHEA Grapalat" w:eastAsia="Times New Roman" w:hAnsi="GHEA Grapalat" w:cs="Calibri"/>
                <w:b/>
                <w:bCs/>
                <w:color w:val="404040"/>
                <w:sz w:val="18"/>
                <w:szCs w:val="18"/>
              </w:rPr>
              <w:t>2025</w:t>
            </w:r>
          </w:p>
        </w:tc>
        <w:tc>
          <w:tcPr>
            <w:tcW w:w="635" w:type="dxa"/>
            <w:shd w:val="clear" w:color="auto" w:fill="D5DCE4"/>
            <w:noWrap/>
            <w:vAlign w:val="center"/>
            <w:hideMark/>
          </w:tcPr>
          <w:p w14:paraId="4E67D120"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rPr>
            </w:pPr>
            <w:r w:rsidRPr="008B63B1">
              <w:rPr>
                <w:rFonts w:ascii="GHEA Grapalat" w:eastAsia="Times New Roman" w:hAnsi="GHEA Grapalat" w:cs="Calibri"/>
                <w:b/>
                <w:bCs/>
                <w:color w:val="404040"/>
                <w:sz w:val="18"/>
                <w:szCs w:val="18"/>
              </w:rPr>
              <w:t>2026</w:t>
            </w:r>
          </w:p>
        </w:tc>
        <w:tc>
          <w:tcPr>
            <w:tcW w:w="638" w:type="dxa"/>
            <w:shd w:val="clear" w:color="auto" w:fill="D5DCE4"/>
            <w:noWrap/>
            <w:vAlign w:val="center"/>
            <w:hideMark/>
          </w:tcPr>
          <w:p w14:paraId="7FCE9981"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rPr>
            </w:pPr>
            <w:r w:rsidRPr="008B63B1">
              <w:rPr>
                <w:rFonts w:ascii="GHEA Grapalat" w:eastAsia="Times New Roman" w:hAnsi="GHEA Grapalat" w:cs="Calibri"/>
                <w:b/>
                <w:bCs/>
                <w:color w:val="404040"/>
                <w:sz w:val="18"/>
                <w:szCs w:val="18"/>
              </w:rPr>
              <w:t>2027</w:t>
            </w:r>
          </w:p>
        </w:tc>
        <w:tc>
          <w:tcPr>
            <w:tcW w:w="638" w:type="dxa"/>
            <w:shd w:val="clear" w:color="auto" w:fill="D5DCE4"/>
            <w:noWrap/>
            <w:vAlign w:val="center"/>
            <w:hideMark/>
          </w:tcPr>
          <w:p w14:paraId="33E3E4BF"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rPr>
            </w:pPr>
            <w:r w:rsidRPr="008B63B1">
              <w:rPr>
                <w:rFonts w:ascii="GHEA Grapalat" w:eastAsia="Times New Roman" w:hAnsi="GHEA Grapalat" w:cs="Calibri"/>
                <w:b/>
                <w:bCs/>
                <w:color w:val="404040"/>
                <w:sz w:val="18"/>
                <w:szCs w:val="18"/>
              </w:rPr>
              <w:t>2028</w:t>
            </w:r>
          </w:p>
        </w:tc>
        <w:tc>
          <w:tcPr>
            <w:tcW w:w="647" w:type="dxa"/>
            <w:shd w:val="clear" w:color="auto" w:fill="D5DCE4"/>
            <w:noWrap/>
            <w:vAlign w:val="center"/>
            <w:hideMark/>
          </w:tcPr>
          <w:p w14:paraId="48CB4908" w14:textId="77777777" w:rsidR="00082769" w:rsidRPr="008B63B1" w:rsidRDefault="00082769" w:rsidP="00082769">
            <w:pPr>
              <w:spacing w:after="0" w:line="240" w:lineRule="auto"/>
              <w:ind w:hanging="11"/>
              <w:jc w:val="center"/>
              <w:rPr>
                <w:rFonts w:ascii="GHEA Grapalat" w:eastAsia="Times New Roman" w:hAnsi="GHEA Grapalat" w:cs="Times New Roman"/>
                <w:b/>
                <w:color w:val="404040"/>
                <w:sz w:val="18"/>
                <w:szCs w:val="18"/>
              </w:rPr>
            </w:pPr>
            <w:r w:rsidRPr="008B63B1">
              <w:rPr>
                <w:rFonts w:ascii="GHEA Grapalat" w:eastAsia="Times New Roman" w:hAnsi="GHEA Grapalat" w:cs="Calibri"/>
                <w:b/>
                <w:bCs/>
                <w:color w:val="404040"/>
                <w:sz w:val="18"/>
                <w:szCs w:val="18"/>
              </w:rPr>
              <w:t>2029</w:t>
            </w:r>
          </w:p>
        </w:tc>
      </w:tr>
      <w:tr w:rsidR="00082769" w:rsidRPr="008B63B1" w14:paraId="4836E065" w14:textId="77777777" w:rsidTr="00873AE6">
        <w:trPr>
          <w:trHeight w:val="432"/>
        </w:trPr>
        <w:tc>
          <w:tcPr>
            <w:tcW w:w="2405" w:type="dxa"/>
            <w:vAlign w:val="center"/>
            <w:hideMark/>
          </w:tcPr>
          <w:p w14:paraId="3656D789"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Ընդամենը հարկեր և տուրքեր</w:t>
            </w:r>
          </w:p>
        </w:tc>
        <w:tc>
          <w:tcPr>
            <w:tcW w:w="854" w:type="dxa"/>
            <w:noWrap/>
            <w:vAlign w:val="center"/>
            <w:hideMark/>
          </w:tcPr>
          <w:p w14:paraId="3C978261"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2,725.2</w:t>
            </w:r>
          </w:p>
        </w:tc>
        <w:tc>
          <w:tcPr>
            <w:tcW w:w="848" w:type="dxa"/>
            <w:noWrap/>
            <w:vAlign w:val="center"/>
            <w:hideMark/>
          </w:tcPr>
          <w:p w14:paraId="1B719463"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3,090.4</w:t>
            </w:r>
          </w:p>
        </w:tc>
        <w:tc>
          <w:tcPr>
            <w:tcW w:w="837" w:type="dxa"/>
            <w:noWrap/>
            <w:vAlign w:val="center"/>
            <w:hideMark/>
          </w:tcPr>
          <w:p w14:paraId="6F5668F0"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3,462.7</w:t>
            </w:r>
          </w:p>
        </w:tc>
        <w:tc>
          <w:tcPr>
            <w:tcW w:w="846" w:type="dxa"/>
            <w:noWrap/>
            <w:vAlign w:val="center"/>
            <w:hideMark/>
          </w:tcPr>
          <w:p w14:paraId="6104AA4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3,797.2</w:t>
            </w:r>
          </w:p>
        </w:tc>
        <w:tc>
          <w:tcPr>
            <w:tcW w:w="857" w:type="dxa"/>
            <w:noWrap/>
            <w:vAlign w:val="center"/>
            <w:hideMark/>
          </w:tcPr>
          <w:p w14:paraId="0B04958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4,167.8</w:t>
            </w:r>
          </w:p>
        </w:tc>
        <w:tc>
          <w:tcPr>
            <w:tcW w:w="635" w:type="dxa"/>
            <w:noWrap/>
            <w:vAlign w:val="center"/>
            <w:hideMark/>
          </w:tcPr>
          <w:p w14:paraId="49E9E11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24.0</w:t>
            </w:r>
          </w:p>
        </w:tc>
        <w:tc>
          <w:tcPr>
            <w:tcW w:w="635" w:type="dxa"/>
            <w:noWrap/>
            <w:vAlign w:val="center"/>
            <w:hideMark/>
          </w:tcPr>
          <w:p w14:paraId="2C6D294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24.8</w:t>
            </w:r>
          </w:p>
        </w:tc>
        <w:tc>
          <w:tcPr>
            <w:tcW w:w="638" w:type="dxa"/>
            <w:noWrap/>
            <w:vAlign w:val="center"/>
            <w:hideMark/>
          </w:tcPr>
          <w:p w14:paraId="72D4DD7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25.4</w:t>
            </w:r>
          </w:p>
        </w:tc>
        <w:tc>
          <w:tcPr>
            <w:tcW w:w="638" w:type="dxa"/>
            <w:noWrap/>
            <w:vAlign w:val="center"/>
            <w:hideMark/>
          </w:tcPr>
          <w:p w14:paraId="6B41B85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25.5</w:t>
            </w:r>
          </w:p>
        </w:tc>
        <w:tc>
          <w:tcPr>
            <w:tcW w:w="647" w:type="dxa"/>
            <w:noWrap/>
            <w:vAlign w:val="center"/>
            <w:hideMark/>
          </w:tcPr>
          <w:p w14:paraId="5349906F"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25.7</w:t>
            </w:r>
          </w:p>
        </w:tc>
      </w:tr>
      <w:tr w:rsidR="00082769" w:rsidRPr="008B63B1" w14:paraId="0BF11AAE" w14:textId="77777777" w:rsidTr="00873AE6">
        <w:trPr>
          <w:trHeight w:val="432"/>
        </w:trPr>
        <w:tc>
          <w:tcPr>
            <w:tcW w:w="2405" w:type="dxa"/>
            <w:vAlign w:val="center"/>
            <w:hideMark/>
          </w:tcPr>
          <w:p w14:paraId="7C4B5602"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Ավելացված արժեքի հարկ</w:t>
            </w:r>
          </w:p>
        </w:tc>
        <w:tc>
          <w:tcPr>
            <w:tcW w:w="854" w:type="dxa"/>
            <w:noWrap/>
            <w:vAlign w:val="center"/>
            <w:hideMark/>
          </w:tcPr>
          <w:p w14:paraId="712F8A5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914.3</w:t>
            </w:r>
          </w:p>
        </w:tc>
        <w:tc>
          <w:tcPr>
            <w:tcW w:w="848" w:type="dxa"/>
            <w:noWrap/>
            <w:vAlign w:val="center"/>
            <w:hideMark/>
          </w:tcPr>
          <w:p w14:paraId="47DA9F3E"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1,018.9</w:t>
            </w:r>
          </w:p>
        </w:tc>
        <w:tc>
          <w:tcPr>
            <w:tcW w:w="837" w:type="dxa"/>
            <w:noWrap/>
            <w:vAlign w:val="center"/>
            <w:hideMark/>
          </w:tcPr>
          <w:p w14:paraId="291BE890"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1,105.1</w:t>
            </w:r>
          </w:p>
        </w:tc>
        <w:tc>
          <w:tcPr>
            <w:tcW w:w="846" w:type="dxa"/>
            <w:noWrap/>
            <w:vAlign w:val="center"/>
            <w:hideMark/>
          </w:tcPr>
          <w:p w14:paraId="2EB5AA6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1,228.3</w:t>
            </w:r>
          </w:p>
        </w:tc>
        <w:tc>
          <w:tcPr>
            <w:tcW w:w="857" w:type="dxa"/>
            <w:noWrap/>
            <w:vAlign w:val="center"/>
            <w:hideMark/>
          </w:tcPr>
          <w:p w14:paraId="0A567C26"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1,364.7</w:t>
            </w:r>
          </w:p>
        </w:tc>
        <w:tc>
          <w:tcPr>
            <w:tcW w:w="635" w:type="dxa"/>
            <w:noWrap/>
            <w:vAlign w:val="center"/>
            <w:hideMark/>
          </w:tcPr>
          <w:p w14:paraId="32E56BA9"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8.1</w:t>
            </w:r>
          </w:p>
        </w:tc>
        <w:tc>
          <w:tcPr>
            <w:tcW w:w="635" w:type="dxa"/>
            <w:noWrap/>
            <w:vAlign w:val="center"/>
            <w:hideMark/>
          </w:tcPr>
          <w:p w14:paraId="2660128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8.2</w:t>
            </w:r>
          </w:p>
        </w:tc>
        <w:tc>
          <w:tcPr>
            <w:tcW w:w="638" w:type="dxa"/>
            <w:noWrap/>
            <w:vAlign w:val="center"/>
            <w:hideMark/>
          </w:tcPr>
          <w:p w14:paraId="4EB3A09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8.1</w:t>
            </w:r>
          </w:p>
        </w:tc>
        <w:tc>
          <w:tcPr>
            <w:tcW w:w="638" w:type="dxa"/>
            <w:noWrap/>
            <w:vAlign w:val="center"/>
            <w:hideMark/>
          </w:tcPr>
          <w:p w14:paraId="5C2532C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8.3</w:t>
            </w:r>
          </w:p>
        </w:tc>
        <w:tc>
          <w:tcPr>
            <w:tcW w:w="647" w:type="dxa"/>
            <w:noWrap/>
            <w:vAlign w:val="center"/>
            <w:hideMark/>
          </w:tcPr>
          <w:p w14:paraId="1A1AA9CF"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8.4</w:t>
            </w:r>
          </w:p>
        </w:tc>
      </w:tr>
      <w:tr w:rsidR="00082769" w:rsidRPr="008B63B1" w14:paraId="518D03E4" w14:textId="77777777" w:rsidTr="00873AE6">
        <w:trPr>
          <w:trHeight w:val="432"/>
        </w:trPr>
        <w:tc>
          <w:tcPr>
            <w:tcW w:w="2405" w:type="dxa"/>
            <w:vAlign w:val="center"/>
            <w:hideMark/>
          </w:tcPr>
          <w:p w14:paraId="3B994CB1"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Եկամտային հարկ</w:t>
            </w:r>
          </w:p>
        </w:tc>
        <w:tc>
          <w:tcPr>
            <w:tcW w:w="854" w:type="dxa"/>
            <w:noWrap/>
            <w:vAlign w:val="center"/>
            <w:hideMark/>
          </w:tcPr>
          <w:p w14:paraId="0320071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726.9</w:t>
            </w:r>
          </w:p>
        </w:tc>
        <w:tc>
          <w:tcPr>
            <w:tcW w:w="848" w:type="dxa"/>
            <w:noWrap/>
            <w:vAlign w:val="center"/>
            <w:hideMark/>
          </w:tcPr>
          <w:p w14:paraId="7EBC6FDD"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817.0</w:t>
            </w:r>
          </w:p>
        </w:tc>
        <w:tc>
          <w:tcPr>
            <w:tcW w:w="837" w:type="dxa"/>
            <w:noWrap/>
            <w:vAlign w:val="center"/>
            <w:hideMark/>
          </w:tcPr>
          <w:p w14:paraId="1E1C7D2E"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899.0</w:t>
            </w:r>
          </w:p>
        </w:tc>
        <w:tc>
          <w:tcPr>
            <w:tcW w:w="846" w:type="dxa"/>
            <w:noWrap/>
            <w:vAlign w:val="center"/>
            <w:hideMark/>
          </w:tcPr>
          <w:p w14:paraId="45FB1CE9"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989.4</w:t>
            </w:r>
          </w:p>
        </w:tc>
        <w:tc>
          <w:tcPr>
            <w:tcW w:w="857" w:type="dxa"/>
            <w:noWrap/>
            <w:vAlign w:val="center"/>
            <w:hideMark/>
          </w:tcPr>
          <w:p w14:paraId="4D90F04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1,085.2</w:t>
            </w:r>
          </w:p>
        </w:tc>
        <w:tc>
          <w:tcPr>
            <w:tcW w:w="635" w:type="dxa"/>
            <w:noWrap/>
            <w:vAlign w:val="center"/>
            <w:hideMark/>
          </w:tcPr>
          <w:p w14:paraId="4C5DF71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6.4</w:t>
            </w:r>
          </w:p>
        </w:tc>
        <w:tc>
          <w:tcPr>
            <w:tcW w:w="635" w:type="dxa"/>
            <w:noWrap/>
            <w:vAlign w:val="center"/>
            <w:hideMark/>
          </w:tcPr>
          <w:p w14:paraId="4BDDAC90"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6.6</w:t>
            </w:r>
          </w:p>
        </w:tc>
        <w:tc>
          <w:tcPr>
            <w:tcW w:w="638" w:type="dxa"/>
            <w:noWrap/>
            <w:vAlign w:val="center"/>
            <w:hideMark/>
          </w:tcPr>
          <w:p w14:paraId="1231DD6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6.6</w:t>
            </w:r>
          </w:p>
        </w:tc>
        <w:tc>
          <w:tcPr>
            <w:tcW w:w="638" w:type="dxa"/>
            <w:noWrap/>
            <w:vAlign w:val="center"/>
            <w:hideMark/>
          </w:tcPr>
          <w:p w14:paraId="1E0801D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6.7</w:t>
            </w:r>
          </w:p>
        </w:tc>
        <w:tc>
          <w:tcPr>
            <w:tcW w:w="647" w:type="dxa"/>
            <w:noWrap/>
            <w:vAlign w:val="center"/>
            <w:hideMark/>
          </w:tcPr>
          <w:p w14:paraId="343ADF1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6.7</w:t>
            </w:r>
          </w:p>
        </w:tc>
      </w:tr>
      <w:tr w:rsidR="00082769" w:rsidRPr="008B63B1" w14:paraId="59C3DE99" w14:textId="77777777" w:rsidTr="00873AE6">
        <w:trPr>
          <w:trHeight w:val="432"/>
        </w:trPr>
        <w:tc>
          <w:tcPr>
            <w:tcW w:w="2405" w:type="dxa"/>
            <w:vAlign w:val="center"/>
            <w:hideMark/>
          </w:tcPr>
          <w:p w14:paraId="29DB24CF"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Սոցիալական վճարումներ</w:t>
            </w:r>
          </w:p>
        </w:tc>
        <w:tc>
          <w:tcPr>
            <w:tcW w:w="854" w:type="dxa"/>
            <w:noWrap/>
            <w:vAlign w:val="center"/>
            <w:hideMark/>
          </w:tcPr>
          <w:p w14:paraId="571FF10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116.5</w:t>
            </w:r>
          </w:p>
        </w:tc>
        <w:tc>
          <w:tcPr>
            <w:tcW w:w="848" w:type="dxa"/>
            <w:noWrap/>
            <w:vAlign w:val="center"/>
            <w:hideMark/>
          </w:tcPr>
          <w:p w14:paraId="7F6DFBC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131.0</w:t>
            </w:r>
          </w:p>
        </w:tc>
        <w:tc>
          <w:tcPr>
            <w:tcW w:w="837" w:type="dxa"/>
            <w:noWrap/>
            <w:vAlign w:val="center"/>
            <w:hideMark/>
          </w:tcPr>
          <w:p w14:paraId="396196AE"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143.7</w:t>
            </w:r>
          </w:p>
        </w:tc>
        <w:tc>
          <w:tcPr>
            <w:tcW w:w="846" w:type="dxa"/>
            <w:noWrap/>
            <w:vAlign w:val="center"/>
            <w:hideMark/>
          </w:tcPr>
          <w:p w14:paraId="6FDE557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158.2</w:t>
            </w:r>
          </w:p>
        </w:tc>
        <w:tc>
          <w:tcPr>
            <w:tcW w:w="857" w:type="dxa"/>
            <w:noWrap/>
            <w:vAlign w:val="center"/>
            <w:hideMark/>
          </w:tcPr>
          <w:p w14:paraId="3F81C8A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173.6</w:t>
            </w:r>
          </w:p>
        </w:tc>
        <w:tc>
          <w:tcPr>
            <w:tcW w:w="635" w:type="dxa"/>
            <w:noWrap/>
            <w:vAlign w:val="center"/>
            <w:hideMark/>
          </w:tcPr>
          <w:p w14:paraId="70FB12B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1.0</w:t>
            </w:r>
          </w:p>
        </w:tc>
        <w:tc>
          <w:tcPr>
            <w:tcW w:w="635" w:type="dxa"/>
            <w:noWrap/>
            <w:vAlign w:val="center"/>
            <w:hideMark/>
          </w:tcPr>
          <w:p w14:paraId="6B0A003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1.1</w:t>
            </w:r>
          </w:p>
        </w:tc>
        <w:tc>
          <w:tcPr>
            <w:tcW w:w="638" w:type="dxa"/>
            <w:noWrap/>
            <w:vAlign w:val="center"/>
            <w:hideMark/>
          </w:tcPr>
          <w:p w14:paraId="79B678F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1.1</w:t>
            </w:r>
          </w:p>
        </w:tc>
        <w:tc>
          <w:tcPr>
            <w:tcW w:w="638" w:type="dxa"/>
            <w:noWrap/>
            <w:vAlign w:val="center"/>
            <w:hideMark/>
          </w:tcPr>
          <w:p w14:paraId="684BB73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1.1</w:t>
            </w:r>
          </w:p>
        </w:tc>
        <w:tc>
          <w:tcPr>
            <w:tcW w:w="647" w:type="dxa"/>
            <w:noWrap/>
            <w:vAlign w:val="center"/>
            <w:hideMark/>
          </w:tcPr>
          <w:p w14:paraId="3BC0427F"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1.1</w:t>
            </w:r>
          </w:p>
        </w:tc>
      </w:tr>
      <w:tr w:rsidR="00082769" w:rsidRPr="008B63B1" w14:paraId="09BB1F71" w14:textId="77777777" w:rsidTr="00873AE6">
        <w:trPr>
          <w:trHeight w:val="432"/>
        </w:trPr>
        <w:tc>
          <w:tcPr>
            <w:tcW w:w="2405" w:type="dxa"/>
            <w:noWrap/>
            <w:vAlign w:val="center"/>
            <w:hideMark/>
          </w:tcPr>
          <w:p w14:paraId="4A3F72F7"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Շահութահարկ</w:t>
            </w:r>
          </w:p>
        </w:tc>
        <w:tc>
          <w:tcPr>
            <w:tcW w:w="854" w:type="dxa"/>
            <w:noWrap/>
            <w:vAlign w:val="center"/>
            <w:hideMark/>
          </w:tcPr>
          <w:p w14:paraId="7F2A505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401.5</w:t>
            </w:r>
          </w:p>
        </w:tc>
        <w:tc>
          <w:tcPr>
            <w:tcW w:w="848" w:type="dxa"/>
            <w:noWrap/>
            <w:vAlign w:val="center"/>
            <w:hideMark/>
          </w:tcPr>
          <w:p w14:paraId="1558CE9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453.7</w:t>
            </w:r>
          </w:p>
        </w:tc>
        <w:tc>
          <w:tcPr>
            <w:tcW w:w="837" w:type="dxa"/>
            <w:noWrap/>
            <w:vAlign w:val="center"/>
            <w:hideMark/>
          </w:tcPr>
          <w:p w14:paraId="0AF9EDC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512.0</w:t>
            </w:r>
          </w:p>
        </w:tc>
        <w:tc>
          <w:tcPr>
            <w:tcW w:w="846" w:type="dxa"/>
            <w:noWrap/>
            <w:vAlign w:val="center"/>
            <w:hideMark/>
          </w:tcPr>
          <w:p w14:paraId="3124390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564.7</w:t>
            </w:r>
          </w:p>
        </w:tc>
        <w:tc>
          <w:tcPr>
            <w:tcW w:w="857" w:type="dxa"/>
            <w:noWrap/>
            <w:vAlign w:val="center"/>
            <w:hideMark/>
          </w:tcPr>
          <w:p w14:paraId="55AD52F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621.1</w:t>
            </w:r>
          </w:p>
        </w:tc>
        <w:tc>
          <w:tcPr>
            <w:tcW w:w="635" w:type="dxa"/>
            <w:noWrap/>
            <w:vAlign w:val="center"/>
            <w:hideMark/>
          </w:tcPr>
          <w:p w14:paraId="7554536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3.5</w:t>
            </w:r>
          </w:p>
        </w:tc>
        <w:tc>
          <w:tcPr>
            <w:tcW w:w="635" w:type="dxa"/>
            <w:noWrap/>
            <w:vAlign w:val="center"/>
            <w:hideMark/>
          </w:tcPr>
          <w:p w14:paraId="3F114EF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3.6</w:t>
            </w:r>
          </w:p>
        </w:tc>
        <w:tc>
          <w:tcPr>
            <w:tcW w:w="638" w:type="dxa"/>
            <w:noWrap/>
            <w:vAlign w:val="center"/>
            <w:hideMark/>
          </w:tcPr>
          <w:p w14:paraId="160E655F"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3.8</w:t>
            </w:r>
          </w:p>
        </w:tc>
        <w:tc>
          <w:tcPr>
            <w:tcW w:w="638" w:type="dxa"/>
            <w:noWrap/>
            <w:vAlign w:val="center"/>
            <w:hideMark/>
          </w:tcPr>
          <w:p w14:paraId="41539D9E"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3.8</w:t>
            </w:r>
          </w:p>
        </w:tc>
        <w:tc>
          <w:tcPr>
            <w:tcW w:w="647" w:type="dxa"/>
            <w:noWrap/>
            <w:vAlign w:val="center"/>
            <w:hideMark/>
          </w:tcPr>
          <w:p w14:paraId="3FD28167"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3.8</w:t>
            </w:r>
          </w:p>
        </w:tc>
      </w:tr>
      <w:tr w:rsidR="00082769" w:rsidRPr="008B63B1" w14:paraId="44FE82D1" w14:textId="77777777" w:rsidTr="00873AE6">
        <w:trPr>
          <w:trHeight w:val="432"/>
        </w:trPr>
        <w:tc>
          <w:tcPr>
            <w:tcW w:w="2405" w:type="dxa"/>
            <w:noWrap/>
            <w:vAlign w:val="center"/>
            <w:hideMark/>
          </w:tcPr>
          <w:p w14:paraId="6AB1EF6A"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Ակցիզային հարկ</w:t>
            </w:r>
          </w:p>
        </w:tc>
        <w:tc>
          <w:tcPr>
            <w:tcW w:w="854" w:type="dxa"/>
            <w:noWrap/>
            <w:vAlign w:val="center"/>
            <w:hideMark/>
          </w:tcPr>
          <w:p w14:paraId="473AACA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164.3</w:t>
            </w:r>
          </w:p>
        </w:tc>
        <w:tc>
          <w:tcPr>
            <w:tcW w:w="848" w:type="dxa"/>
            <w:noWrap/>
            <w:vAlign w:val="center"/>
            <w:hideMark/>
          </w:tcPr>
          <w:p w14:paraId="30FE0870"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180.6</w:t>
            </w:r>
          </w:p>
        </w:tc>
        <w:tc>
          <w:tcPr>
            <w:tcW w:w="837" w:type="dxa"/>
            <w:noWrap/>
            <w:vAlign w:val="center"/>
            <w:hideMark/>
          </w:tcPr>
          <w:p w14:paraId="1C968A01"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192.9</w:t>
            </w:r>
          </w:p>
        </w:tc>
        <w:tc>
          <w:tcPr>
            <w:tcW w:w="846" w:type="dxa"/>
            <w:noWrap/>
            <w:vAlign w:val="center"/>
            <w:hideMark/>
          </w:tcPr>
          <w:p w14:paraId="56390F9E"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212.1</w:t>
            </w:r>
          </w:p>
        </w:tc>
        <w:tc>
          <w:tcPr>
            <w:tcW w:w="857" w:type="dxa"/>
            <w:noWrap/>
            <w:vAlign w:val="center"/>
            <w:hideMark/>
          </w:tcPr>
          <w:p w14:paraId="661916A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232.4</w:t>
            </w:r>
          </w:p>
        </w:tc>
        <w:tc>
          <w:tcPr>
            <w:tcW w:w="635" w:type="dxa"/>
            <w:noWrap/>
            <w:vAlign w:val="center"/>
            <w:hideMark/>
          </w:tcPr>
          <w:p w14:paraId="6B8636D1"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1.4</w:t>
            </w:r>
          </w:p>
        </w:tc>
        <w:tc>
          <w:tcPr>
            <w:tcW w:w="635" w:type="dxa"/>
            <w:noWrap/>
            <w:vAlign w:val="center"/>
            <w:hideMark/>
          </w:tcPr>
          <w:p w14:paraId="16F1D45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1.4</w:t>
            </w:r>
          </w:p>
        </w:tc>
        <w:tc>
          <w:tcPr>
            <w:tcW w:w="638" w:type="dxa"/>
            <w:noWrap/>
            <w:vAlign w:val="center"/>
            <w:hideMark/>
          </w:tcPr>
          <w:p w14:paraId="566B83A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1.4</w:t>
            </w:r>
          </w:p>
        </w:tc>
        <w:tc>
          <w:tcPr>
            <w:tcW w:w="638" w:type="dxa"/>
            <w:noWrap/>
            <w:vAlign w:val="center"/>
            <w:hideMark/>
          </w:tcPr>
          <w:p w14:paraId="75A5FE5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1.4</w:t>
            </w:r>
          </w:p>
        </w:tc>
        <w:tc>
          <w:tcPr>
            <w:tcW w:w="647" w:type="dxa"/>
            <w:noWrap/>
            <w:vAlign w:val="center"/>
            <w:hideMark/>
          </w:tcPr>
          <w:p w14:paraId="7C1B7904"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1.4</w:t>
            </w:r>
          </w:p>
        </w:tc>
      </w:tr>
      <w:tr w:rsidR="00082769" w:rsidRPr="008B63B1" w14:paraId="74AC9D2D" w14:textId="77777777" w:rsidTr="00873AE6">
        <w:trPr>
          <w:trHeight w:val="432"/>
        </w:trPr>
        <w:tc>
          <w:tcPr>
            <w:tcW w:w="2405" w:type="dxa"/>
            <w:noWrap/>
            <w:vAlign w:val="center"/>
            <w:hideMark/>
          </w:tcPr>
          <w:p w14:paraId="72ED6935"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Մաքսատուրք</w:t>
            </w:r>
          </w:p>
        </w:tc>
        <w:tc>
          <w:tcPr>
            <w:tcW w:w="854" w:type="dxa"/>
            <w:noWrap/>
            <w:vAlign w:val="center"/>
            <w:hideMark/>
          </w:tcPr>
          <w:p w14:paraId="18EA1BEE"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75.2</w:t>
            </w:r>
          </w:p>
        </w:tc>
        <w:tc>
          <w:tcPr>
            <w:tcW w:w="848" w:type="dxa"/>
            <w:noWrap/>
            <w:vAlign w:val="center"/>
            <w:hideMark/>
          </w:tcPr>
          <w:p w14:paraId="683E2EB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75.4</w:t>
            </w:r>
          </w:p>
        </w:tc>
        <w:tc>
          <w:tcPr>
            <w:tcW w:w="837" w:type="dxa"/>
            <w:noWrap/>
            <w:vAlign w:val="center"/>
            <w:hideMark/>
          </w:tcPr>
          <w:p w14:paraId="3493C1C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78.7</w:t>
            </w:r>
          </w:p>
        </w:tc>
        <w:tc>
          <w:tcPr>
            <w:tcW w:w="846" w:type="dxa"/>
            <w:noWrap/>
            <w:vAlign w:val="center"/>
            <w:hideMark/>
          </w:tcPr>
          <w:p w14:paraId="237CF2B0"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83.4</w:t>
            </w:r>
          </w:p>
        </w:tc>
        <w:tc>
          <w:tcPr>
            <w:tcW w:w="857" w:type="dxa"/>
            <w:noWrap/>
            <w:vAlign w:val="center"/>
            <w:hideMark/>
          </w:tcPr>
          <w:p w14:paraId="0B77212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89.5</w:t>
            </w:r>
          </w:p>
        </w:tc>
        <w:tc>
          <w:tcPr>
            <w:tcW w:w="635" w:type="dxa"/>
            <w:noWrap/>
            <w:vAlign w:val="center"/>
            <w:hideMark/>
          </w:tcPr>
          <w:p w14:paraId="743FBF7D"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0.7</w:t>
            </w:r>
          </w:p>
        </w:tc>
        <w:tc>
          <w:tcPr>
            <w:tcW w:w="635" w:type="dxa"/>
            <w:noWrap/>
            <w:vAlign w:val="center"/>
            <w:hideMark/>
          </w:tcPr>
          <w:p w14:paraId="4CA214F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0.6</w:t>
            </w:r>
          </w:p>
        </w:tc>
        <w:tc>
          <w:tcPr>
            <w:tcW w:w="638" w:type="dxa"/>
            <w:noWrap/>
            <w:vAlign w:val="center"/>
            <w:hideMark/>
          </w:tcPr>
          <w:p w14:paraId="010A6F8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0.6</w:t>
            </w:r>
          </w:p>
        </w:tc>
        <w:tc>
          <w:tcPr>
            <w:tcW w:w="638" w:type="dxa"/>
            <w:noWrap/>
            <w:vAlign w:val="center"/>
            <w:hideMark/>
          </w:tcPr>
          <w:p w14:paraId="0865E2FE"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0.6</w:t>
            </w:r>
          </w:p>
        </w:tc>
        <w:tc>
          <w:tcPr>
            <w:tcW w:w="647" w:type="dxa"/>
            <w:noWrap/>
            <w:vAlign w:val="center"/>
            <w:hideMark/>
          </w:tcPr>
          <w:p w14:paraId="47C1E64B"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0.6</w:t>
            </w:r>
          </w:p>
        </w:tc>
      </w:tr>
      <w:tr w:rsidR="00082769" w:rsidRPr="008B63B1" w14:paraId="0F16A69B" w14:textId="77777777" w:rsidTr="00873AE6">
        <w:trPr>
          <w:trHeight w:val="432"/>
        </w:trPr>
        <w:tc>
          <w:tcPr>
            <w:tcW w:w="2405" w:type="dxa"/>
            <w:vAlign w:val="center"/>
            <w:hideMark/>
          </w:tcPr>
          <w:p w14:paraId="1D16CC46"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Շրջանառության հարկ</w:t>
            </w:r>
          </w:p>
        </w:tc>
        <w:tc>
          <w:tcPr>
            <w:tcW w:w="854" w:type="dxa"/>
            <w:noWrap/>
            <w:vAlign w:val="center"/>
            <w:hideMark/>
          </w:tcPr>
          <w:p w14:paraId="0EA755E6"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79.2</w:t>
            </w:r>
          </w:p>
        </w:tc>
        <w:tc>
          <w:tcPr>
            <w:tcW w:w="848" w:type="dxa"/>
            <w:noWrap/>
            <w:vAlign w:val="center"/>
            <w:hideMark/>
          </w:tcPr>
          <w:p w14:paraId="4497226F"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92.3</w:t>
            </w:r>
          </w:p>
        </w:tc>
        <w:tc>
          <w:tcPr>
            <w:tcW w:w="837" w:type="dxa"/>
            <w:noWrap/>
            <w:vAlign w:val="center"/>
            <w:hideMark/>
          </w:tcPr>
          <w:p w14:paraId="7510D9E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101.6</w:t>
            </w:r>
          </w:p>
        </w:tc>
        <w:tc>
          <w:tcPr>
            <w:tcW w:w="846" w:type="dxa"/>
            <w:noWrap/>
            <w:vAlign w:val="center"/>
            <w:hideMark/>
          </w:tcPr>
          <w:p w14:paraId="22849477"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112.9</w:t>
            </w:r>
          </w:p>
        </w:tc>
        <w:tc>
          <w:tcPr>
            <w:tcW w:w="857" w:type="dxa"/>
            <w:noWrap/>
            <w:vAlign w:val="center"/>
            <w:hideMark/>
          </w:tcPr>
          <w:p w14:paraId="5340646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125.4</w:t>
            </w:r>
          </w:p>
        </w:tc>
        <w:tc>
          <w:tcPr>
            <w:tcW w:w="635" w:type="dxa"/>
            <w:noWrap/>
            <w:vAlign w:val="center"/>
            <w:hideMark/>
          </w:tcPr>
          <w:p w14:paraId="6857E48E"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0.7</w:t>
            </w:r>
          </w:p>
        </w:tc>
        <w:tc>
          <w:tcPr>
            <w:tcW w:w="635" w:type="dxa"/>
            <w:noWrap/>
            <w:vAlign w:val="center"/>
            <w:hideMark/>
          </w:tcPr>
          <w:p w14:paraId="0EE81D71"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0.7</w:t>
            </w:r>
          </w:p>
        </w:tc>
        <w:tc>
          <w:tcPr>
            <w:tcW w:w="638" w:type="dxa"/>
            <w:noWrap/>
            <w:vAlign w:val="center"/>
            <w:hideMark/>
          </w:tcPr>
          <w:p w14:paraId="79BE233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0.7</w:t>
            </w:r>
          </w:p>
        </w:tc>
        <w:tc>
          <w:tcPr>
            <w:tcW w:w="638" w:type="dxa"/>
            <w:noWrap/>
            <w:vAlign w:val="center"/>
            <w:hideMark/>
          </w:tcPr>
          <w:p w14:paraId="0E599A13"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0.8</w:t>
            </w:r>
          </w:p>
        </w:tc>
        <w:tc>
          <w:tcPr>
            <w:tcW w:w="647" w:type="dxa"/>
            <w:noWrap/>
            <w:vAlign w:val="center"/>
            <w:hideMark/>
          </w:tcPr>
          <w:p w14:paraId="1E787B15"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0.8</w:t>
            </w:r>
          </w:p>
        </w:tc>
      </w:tr>
      <w:tr w:rsidR="00082769" w:rsidRPr="008B63B1" w14:paraId="6D0B0BBE" w14:textId="77777777" w:rsidTr="00873AE6">
        <w:trPr>
          <w:trHeight w:val="432"/>
        </w:trPr>
        <w:tc>
          <w:tcPr>
            <w:tcW w:w="2405" w:type="dxa"/>
            <w:noWrap/>
            <w:vAlign w:val="center"/>
            <w:hideMark/>
          </w:tcPr>
          <w:p w14:paraId="730230D8" w14:textId="77777777" w:rsidR="00082769" w:rsidRPr="008B63B1" w:rsidRDefault="00082769" w:rsidP="00082769">
            <w:pPr>
              <w:spacing w:after="0"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Այլ հարկեր</w:t>
            </w:r>
          </w:p>
        </w:tc>
        <w:tc>
          <w:tcPr>
            <w:tcW w:w="854" w:type="dxa"/>
            <w:noWrap/>
            <w:vAlign w:val="center"/>
            <w:hideMark/>
          </w:tcPr>
          <w:p w14:paraId="3618B293"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247.3</w:t>
            </w:r>
          </w:p>
        </w:tc>
        <w:tc>
          <w:tcPr>
            <w:tcW w:w="848" w:type="dxa"/>
            <w:noWrap/>
            <w:vAlign w:val="center"/>
            <w:hideMark/>
          </w:tcPr>
          <w:p w14:paraId="6C877EA7"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321.5</w:t>
            </w:r>
          </w:p>
        </w:tc>
        <w:tc>
          <w:tcPr>
            <w:tcW w:w="837" w:type="dxa"/>
            <w:noWrap/>
            <w:vAlign w:val="center"/>
            <w:hideMark/>
          </w:tcPr>
          <w:p w14:paraId="2512B0ED"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429.6</w:t>
            </w:r>
          </w:p>
        </w:tc>
        <w:tc>
          <w:tcPr>
            <w:tcW w:w="846" w:type="dxa"/>
            <w:noWrap/>
            <w:vAlign w:val="center"/>
            <w:hideMark/>
          </w:tcPr>
          <w:p w14:paraId="591A2912"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448.2</w:t>
            </w:r>
          </w:p>
        </w:tc>
        <w:tc>
          <w:tcPr>
            <w:tcW w:w="857" w:type="dxa"/>
            <w:noWrap/>
            <w:vAlign w:val="center"/>
            <w:hideMark/>
          </w:tcPr>
          <w:p w14:paraId="5BA6817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475.9</w:t>
            </w:r>
          </w:p>
        </w:tc>
        <w:tc>
          <w:tcPr>
            <w:tcW w:w="635" w:type="dxa"/>
            <w:noWrap/>
            <w:vAlign w:val="center"/>
            <w:hideMark/>
          </w:tcPr>
          <w:p w14:paraId="1DC26C1C"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2.2</w:t>
            </w:r>
          </w:p>
        </w:tc>
        <w:tc>
          <w:tcPr>
            <w:tcW w:w="635" w:type="dxa"/>
            <w:noWrap/>
            <w:vAlign w:val="center"/>
            <w:hideMark/>
          </w:tcPr>
          <w:p w14:paraId="46BA1D87"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2.6</w:t>
            </w:r>
          </w:p>
        </w:tc>
        <w:tc>
          <w:tcPr>
            <w:tcW w:w="638" w:type="dxa"/>
            <w:noWrap/>
            <w:vAlign w:val="center"/>
            <w:hideMark/>
          </w:tcPr>
          <w:p w14:paraId="6D0B9616"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3.2</w:t>
            </w:r>
          </w:p>
        </w:tc>
        <w:tc>
          <w:tcPr>
            <w:tcW w:w="638" w:type="dxa"/>
            <w:noWrap/>
            <w:vAlign w:val="center"/>
            <w:hideMark/>
          </w:tcPr>
          <w:p w14:paraId="7089C638"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3.0</w:t>
            </w:r>
          </w:p>
        </w:tc>
        <w:tc>
          <w:tcPr>
            <w:tcW w:w="647" w:type="dxa"/>
            <w:noWrap/>
            <w:vAlign w:val="center"/>
            <w:hideMark/>
          </w:tcPr>
          <w:p w14:paraId="708658D6" w14:textId="77777777" w:rsidR="00082769" w:rsidRPr="008B63B1" w:rsidRDefault="00082769" w:rsidP="00082769">
            <w:pPr>
              <w:spacing w:after="0" w:line="240" w:lineRule="auto"/>
              <w:ind w:hanging="11"/>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404040"/>
                <w:sz w:val="18"/>
                <w:szCs w:val="18"/>
              </w:rPr>
              <w:t>2.9</w:t>
            </w:r>
          </w:p>
        </w:tc>
      </w:tr>
    </w:tbl>
    <w:p w14:paraId="5BCE578E" w14:textId="77777777" w:rsidR="00082769" w:rsidRPr="008B63B1" w:rsidRDefault="00082769" w:rsidP="00082769">
      <w:pPr>
        <w:ind w:hanging="11"/>
        <w:jc w:val="both"/>
        <w:rPr>
          <w:rFonts w:ascii="GHEA Grapalat" w:eastAsia="Times New Roman" w:hAnsi="GHEA Grapalat" w:cs="Times New Roman"/>
          <w:color w:val="404040"/>
        </w:rPr>
      </w:pPr>
      <w:r w:rsidRPr="008B63B1">
        <w:rPr>
          <w:rFonts w:ascii="GHEA Grapalat" w:eastAsia="Times New Roman" w:hAnsi="GHEA Grapalat" w:cs="Times New Roman"/>
          <w:color w:val="404040"/>
        </w:rPr>
        <w:t>Ծանոթագրություն</w:t>
      </w:r>
      <w:r w:rsidRPr="008B63B1">
        <w:rPr>
          <w:rFonts w:ascii="Cambria Math" w:eastAsia="Times New Roman" w:hAnsi="Cambria Math" w:cs="Cambria Math"/>
          <w:color w:val="404040"/>
        </w:rPr>
        <w:t>․</w:t>
      </w:r>
      <w:r w:rsidRPr="008B63B1">
        <w:rPr>
          <w:rFonts w:ascii="GHEA Grapalat" w:eastAsia="Times New Roman" w:hAnsi="GHEA Grapalat" w:cs="Times New Roman"/>
          <w:color w:val="404040"/>
        </w:rPr>
        <w:t xml:space="preserve"> 2025 </w:t>
      </w:r>
      <w:r w:rsidRPr="008B63B1">
        <w:rPr>
          <w:rFonts w:ascii="GHEA Grapalat" w:eastAsia="Times New Roman" w:hAnsi="GHEA Grapalat" w:cs="GHEA Grapalat"/>
          <w:color w:val="404040"/>
        </w:rPr>
        <w:t>թ</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տվյալները</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փաստացի</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են</w:t>
      </w:r>
      <w:r w:rsidRPr="008B63B1">
        <w:rPr>
          <w:rFonts w:ascii="GHEA Grapalat" w:eastAsia="Times New Roman" w:hAnsi="GHEA Grapalat" w:cs="Times New Roman"/>
          <w:color w:val="404040"/>
        </w:rPr>
        <w:t xml:space="preserve">, 2026 </w:t>
      </w:r>
      <w:r w:rsidRPr="008B63B1">
        <w:rPr>
          <w:rFonts w:ascii="GHEA Grapalat" w:eastAsia="Times New Roman" w:hAnsi="GHEA Grapalat" w:cs="GHEA Grapalat"/>
          <w:color w:val="404040"/>
        </w:rPr>
        <w:t>թ</w:t>
      </w:r>
      <w:r w:rsidRPr="008B63B1">
        <w:rPr>
          <w:rFonts w:ascii="GHEA Grapalat" w:eastAsia="Times New Roman" w:hAnsi="GHEA Grapalat" w:cs="Times New Roman"/>
          <w:color w:val="404040"/>
        </w:rPr>
        <w:t>.</w:t>
      </w:r>
      <w:r w:rsidRPr="008B63B1">
        <w:rPr>
          <w:rFonts w:ascii="GHEA Grapalat" w:eastAsia="Times New Roman" w:hAnsi="GHEA Grapalat" w:cs="GHEA Grapalat"/>
          <w:color w:val="404040"/>
        </w:rPr>
        <w:t>՝</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սպասում</w:t>
      </w:r>
      <w:r w:rsidRPr="008B63B1">
        <w:rPr>
          <w:rFonts w:ascii="GHEA Grapalat" w:eastAsia="Times New Roman" w:hAnsi="GHEA Grapalat" w:cs="Times New Roman"/>
          <w:color w:val="404040"/>
        </w:rPr>
        <w:t xml:space="preserve">, 2027 </w:t>
      </w:r>
      <w:r w:rsidRPr="008B63B1">
        <w:rPr>
          <w:rFonts w:ascii="GHEA Grapalat" w:eastAsia="Times New Roman" w:hAnsi="GHEA Grapalat" w:cs="GHEA Grapalat"/>
          <w:color w:val="404040"/>
        </w:rPr>
        <w:t>թ</w:t>
      </w:r>
      <w:r w:rsidRPr="008B63B1">
        <w:rPr>
          <w:rFonts w:ascii="GHEA Grapalat" w:eastAsia="Times New Roman" w:hAnsi="GHEA Grapalat" w:cs="Times New Roman"/>
          <w:color w:val="404040"/>
        </w:rPr>
        <w:t>.</w:t>
      </w:r>
      <w:r w:rsidRPr="008B63B1">
        <w:rPr>
          <w:rFonts w:ascii="GHEA Grapalat" w:eastAsia="Times New Roman" w:hAnsi="GHEA Grapalat" w:cs="GHEA Grapalat"/>
          <w:color w:val="404040"/>
        </w:rPr>
        <w:t>՝</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բյուջեի</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նախագծի</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հիմքում</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դրված</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գնահատական</w:t>
      </w:r>
      <w:r w:rsidRPr="008B63B1">
        <w:rPr>
          <w:rFonts w:ascii="GHEA Grapalat" w:eastAsia="Times New Roman" w:hAnsi="GHEA Grapalat" w:cs="Times New Roman"/>
          <w:color w:val="404040"/>
        </w:rPr>
        <w:t>, 2028</w:t>
      </w:r>
      <w:r w:rsidRPr="008B63B1">
        <w:rPr>
          <w:rFonts w:ascii="GHEA Grapalat" w:eastAsia="Times New Roman" w:hAnsi="GHEA Grapalat" w:cs="GHEA Grapalat"/>
          <w:color w:val="404040"/>
        </w:rPr>
        <w:t>–</w:t>
      </w:r>
      <w:r w:rsidRPr="008B63B1">
        <w:rPr>
          <w:rFonts w:ascii="GHEA Grapalat" w:eastAsia="Times New Roman" w:hAnsi="GHEA Grapalat" w:cs="Times New Roman"/>
          <w:color w:val="404040"/>
        </w:rPr>
        <w:t xml:space="preserve">2029 </w:t>
      </w:r>
      <w:r w:rsidRPr="008B63B1">
        <w:rPr>
          <w:rFonts w:ascii="GHEA Grapalat" w:eastAsia="Times New Roman" w:hAnsi="GHEA Grapalat" w:cs="GHEA Grapalat"/>
          <w:color w:val="404040"/>
        </w:rPr>
        <w:t>թթ</w:t>
      </w:r>
      <w:r w:rsidRPr="008B63B1">
        <w:rPr>
          <w:rFonts w:ascii="GHEA Grapalat" w:eastAsia="Times New Roman" w:hAnsi="GHEA Grapalat" w:cs="Times New Roman"/>
          <w:color w:val="404040"/>
        </w:rPr>
        <w:t>.</w:t>
      </w:r>
      <w:r w:rsidRPr="008B63B1">
        <w:rPr>
          <w:rFonts w:ascii="GHEA Grapalat" w:eastAsia="Times New Roman" w:hAnsi="GHEA Grapalat" w:cs="GHEA Grapalat"/>
          <w:color w:val="404040"/>
        </w:rPr>
        <w:t>՝</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կանխատեսում։</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«Այլ</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հարկեր»</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խմբում</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ներառված</w:t>
      </w:r>
      <w:r w:rsidRPr="008B63B1">
        <w:rPr>
          <w:rFonts w:ascii="GHEA Grapalat" w:eastAsia="Times New Roman" w:hAnsi="GHEA Grapalat" w:cs="Times New Roman"/>
          <w:color w:val="404040"/>
        </w:rPr>
        <w:t xml:space="preserve"> </w:t>
      </w:r>
      <w:r w:rsidRPr="008B63B1">
        <w:rPr>
          <w:rFonts w:ascii="GHEA Grapalat" w:eastAsia="Times New Roman" w:hAnsi="GHEA Grapalat" w:cs="GHEA Grapalat"/>
          <w:color w:val="404040"/>
        </w:rPr>
        <w:t>են</w:t>
      </w:r>
      <w:r w:rsidRPr="008B63B1">
        <w:rPr>
          <w:rFonts w:ascii="GHEA Grapalat" w:eastAsia="Times New Roman" w:hAnsi="GHEA Grapalat" w:cs="Times New Roman"/>
          <w:color w:val="404040"/>
        </w:rPr>
        <w:t>, մասնավորապես, ռոյալթին, բնապահպանական այլ վճարները, պետական տուրքը, դրոշմանիշային և առողջության ապահովագրության վճարները։</w:t>
      </w:r>
    </w:p>
    <w:p w14:paraId="1601D335" w14:textId="77777777" w:rsidR="00082769" w:rsidRPr="008B63B1" w:rsidRDefault="00082769" w:rsidP="00082769">
      <w:pPr>
        <w:ind w:hanging="11"/>
        <w:jc w:val="both"/>
        <w:rPr>
          <w:rFonts w:ascii="GHEA Grapalat" w:eastAsia="Times New Roman" w:hAnsi="GHEA Grapalat" w:cs="Times New Roman"/>
          <w:color w:val="404040"/>
          <w:szCs w:val="20"/>
        </w:rPr>
      </w:pPr>
      <w:bookmarkStart w:id="269" w:name="_Toc178595155"/>
      <w:r w:rsidRPr="008B63B1">
        <w:rPr>
          <w:rFonts w:ascii="GHEA Grapalat" w:eastAsia="Times New Roman" w:hAnsi="GHEA Grapalat" w:cs="Times New Roman"/>
          <w:color w:val="404040"/>
          <w:szCs w:val="20"/>
        </w:rPr>
        <w:t>Միջնաժամկետ հատվածում ընթացիկ ծախսերի կշիռը ՀՆԱ-ում նվազում է՝ արտացոլելով հարկաբյուջետային կոնսոլիդացիայի ազդեցությունը, իսկ կապիտալ ծախսերը կայունանում են պատմական մակարդակներից զգալիորեն բարձր մակարդակում՝ տնտեսական և անվտանգային ենթակառուցվածքների ամրապնդման նպատակադրմամբ պայմանավորված։ Հարկաբյուջետային քաղաքականության ուղղությունը պահպանվելու է հարկաբյուջետային կոնսոլիդացիայի ապահովման տրամաբանության մեջ, մասնավորապես՝ 2026</w:t>
      </w:r>
      <w:r w:rsidRPr="008B63B1">
        <w:rPr>
          <w:rFonts w:ascii="GHEA Grapalat" w:eastAsia="Times New Roman" w:hAnsi="GHEA Grapalat" w:cs="Times New Roman"/>
          <w:color w:val="404040"/>
          <w:szCs w:val="20"/>
          <w:lang w:val="hy-AM"/>
        </w:rPr>
        <w:t xml:space="preserve"> թվական</w:t>
      </w:r>
      <w:r w:rsidRPr="008B63B1">
        <w:rPr>
          <w:rFonts w:ascii="GHEA Grapalat" w:eastAsia="Times New Roman" w:hAnsi="GHEA Grapalat" w:cs="Times New Roman"/>
          <w:color w:val="404040"/>
          <w:szCs w:val="20"/>
        </w:rPr>
        <w:t>ի նախատեսված 4.0% մակարդակից հետո հաջորդող տարիներին ծրագրվում է պետական բյուջեի պակասուրդը նվազեցնել մինչև ՀՆԱ-ի 1.8%-ը 2029</w:t>
      </w:r>
      <w:r w:rsidRPr="008B63B1">
        <w:rPr>
          <w:rFonts w:ascii="GHEA Grapalat" w:eastAsia="Times New Roman" w:hAnsi="GHEA Grapalat" w:cs="Times New Roman"/>
          <w:color w:val="404040"/>
          <w:szCs w:val="20"/>
          <w:lang w:val="hy-AM"/>
        </w:rPr>
        <w:t xml:space="preserve"> </w:t>
      </w:r>
      <w:r w:rsidRPr="008B63B1">
        <w:rPr>
          <w:rFonts w:ascii="GHEA Grapalat" w:eastAsia="Times New Roman" w:hAnsi="GHEA Grapalat" w:cs="Times New Roman"/>
          <w:color w:val="404040"/>
          <w:szCs w:val="20"/>
        </w:rPr>
        <w:t>թ</w:t>
      </w:r>
      <w:r w:rsidRPr="008B63B1">
        <w:rPr>
          <w:rFonts w:ascii="GHEA Grapalat" w:eastAsia="Times New Roman" w:hAnsi="GHEA Grapalat" w:cs="Times New Roman"/>
          <w:color w:val="404040"/>
          <w:szCs w:val="20"/>
          <w:lang w:val="hy-AM"/>
        </w:rPr>
        <w:t>վական</w:t>
      </w:r>
      <w:r w:rsidRPr="008B63B1">
        <w:rPr>
          <w:rFonts w:ascii="GHEA Grapalat" w:eastAsia="Times New Roman" w:hAnsi="GHEA Grapalat" w:cs="Times New Roman"/>
          <w:color w:val="404040"/>
          <w:szCs w:val="20"/>
        </w:rPr>
        <w:t>ին։ Արդյունքում, կառավարության պարտք/ՀՆԱ ցուցանիշի աճը նախ՝ կայունանում, ապա նվազում է՝ 2029թ</w:t>
      </w:r>
      <w:r w:rsidRPr="008B63B1">
        <w:rPr>
          <w:rFonts w:ascii="Cambria Math" w:eastAsia="Times New Roman" w:hAnsi="Cambria Math" w:cs="Cambria Math"/>
          <w:color w:val="404040"/>
          <w:szCs w:val="20"/>
        </w:rPr>
        <w:t>․</w:t>
      </w:r>
      <w:r>
        <w:rPr>
          <w:rFonts w:ascii="GHEA Grapalat" w:eastAsia="Times New Roman" w:hAnsi="GHEA Grapalat" w:cs="Times New Roman"/>
          <w:color w:val="404040"/>
          <w:szCs w:val="20"/>
        </w:rPr>
        <w:t>-ին արձանագրելով 46.4</w:t>
      </w:r>
      <w:r w:rsidRPr="008B63B1">
        <w:rPr>
          <w:rFonts w:ascii="GHEA Grapalat" w:eastAsia="Times New Roman" w:hAnsi="GHEA Grapalat" w:cs="Times New Roman"/>
          <w:color w:val="404040"/>
          <w:szCs w:val="20"/>
        </w:rPr>
        <w:t>% կառավարության պարտք/ՀՆԱ ցուցանիշ։ Միջնաժամկետ հատվածում պարտքի բեռի նվազումն ապահովվում է տնտեսական աճի և զգալի առաջնային հավելուրդի ձևավորման պայմաններում, որը 2029թ</w:t>
      </w:r>
      <w:r w:rsidRPr="008B63B1">
        <w:rPr>
          <w:rFonts w:ascii="Cambria Math" w:eastAsia="Times New Roman" w:hAnsi="Cambria Math" w:cs="Cambria Math"/>
          <w:color w:val="404040"/>
          <w:szCs w:val="20"/>
        </w:rPr>
        <w:t>․</w:t>
      </w:r>
      <w:r w:rsidRPr="008B63B1">
        <w:rPr>
          <w:rFonts w:ascii="GHEA Grapalat" w:eastAsia="Times New Roman" w:hAnsi="GHEA Grapalat" w:cs="Times New Roman"/>
          <w:color w:val="404040"/>
          <w:szCs w:val="20"/>
        </w:rPr>
        <w:t xml:space="preserve">-ին հասնում է ՀՆԱ-ի 1.2%-ին։ Միաժամանակ, իրական տոկոսադրույքի՝ պարտքի դինամիկայի վրա դրական ազդեցությունը հակազդում է պարտքը նվազեցնող գործոնների ազդեցությանը, և հնարավորություն չի տալիս ապահովել պարտքի բեռի ավելի արագ նվազում։ </w:t>
      </w:r>
    </w:p>
    <w:p w14:paraId="5F104BF4" w14:textId="77777777" w:rsidR="00082769" w:rsidRPr="001D56CB" w:rsidRDefault="00082769" w:rsidP="001D56CB">
      <w:pPr>
        <w:pStyle w:val="Charts"/>
        <w:ind w:right="-22"/>
        <w:rPr>
          <w:b w:val="0"/>
          <w:bCs/>
          <w:color w:val="auto"/>
          <w:sz w:val="20"/>
          <w:szCs w:val="18"/>
        </w:rPr>
      </w:pPr>
      <w:r w:rsidRPr="001D56CB">
        <w:rPr>
          <w:b w:val="0"/>
          <w:bCs/>
          <w:color w:val="auto"/>
          <w:sz w:val="20"/>
          <w:szCs w:val="18"/>
        </w:rPr>
        <w:t>Գծապատկեր 2.3. Պետական բյուջեի եկամուտները, ծախսերը և հաշվեկշիռը (մլրդ ՀՀ դրամով) և պետական բյուջեի պակասուրդի մակարդակները (կշիռը ՀՆԱ-ում, %)</w:t>
      </w:r>
      <w:bookmarkEnd w:id="269"/>
    </w:p>
    <w:p w14:paraId="0F3EB639" w14:textId="77777777" w:rsidR="00082769" w:rsidRPr="008B63B1" w:rsidRDefault="00082769" w:rsidP="00082769">
      <w:pPr>
        <w:ind w:hanging="11"/>
        <w:jc w:val="both"/>
        <w:rPr>
          <w:rFonts w:ascii="GHEA Grapalat" w:eastAsia="Times New Roman" w:hAnsi="GHEA Grapalat" w:cs="Times New Roman"/>
          <w:bCs/>
          <w:color w:val="404040"/>
          <w:szCs w:val="20"/>
          <w:lang w:val="hy-AM"/>
        </w:rPr>
      </w:pPr>
      <w:r w:rsidRPr="008B63B1">
        <w:rPr>
          <w:rFonts w:ascii="GHEA Grapalat" w:eastAsia="Times New Roman" w:hAnsi="GHEA Grapalat" w:cs="Times New Roman"/>
          <w:noProof/>
          <w:color w:val="404040"/>
        </w:rPr>
        <w:drawing>
          <wp:anchor distT="0" distB="0" distL="114300" distR="114300" simplePos="0" relativeHeight="251755520" behindDoc="0" locked="0" layoutInCell="1" allowOverlap="1" wp14:anchorId="7C51383B" wp14:editId="52E72DE9">
            <wp:simplePos x="0" y="0"/>
            <wp:positionH relativeFrom="column">
              <wp:posOffset>3246120</wp:posOffset>
            </wp:positionH>
            <wp:positionV relativeFrom="paragraph">
              <wp:posOffset>290195</wp:posOffset>
            </wp:positionV>
            <wp:extent cx="2926080" cy="1920240"/>
            <wp:effectExtent l="0" t="0" r="7620" b="3810"/>
            <wp:wrapTopAndBottom/>
            <wp:docPr id="43" name="Chart 4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anchor>
        </w:drawing>
      </w:r>
      <w:r w:rsidRPr="008B63B1">
        <w:rPr>
          <w:rFonts w:ascii="GHEA Grapalat" w:eastAsia="Times New Roman" w:hAnsi="GHEA Grapalat" w:cs="Times New Roman"/>
          <w:noProof/>
          <w:color w:val="404040"/>
        </w:rPr>
        <w:drawing>
          <wp:anchor distT="0" distB="0" distL="114300" distR="114300" simplePos="0" relativeHeight="251756544" behindDoc="0" locked="0" layoutInCell="1" allowOverlap="1" wp14:anchorId="09D934DD" wp14:editId="6CCDC75E">
            <wp:simplePos x="0" y="0"/>
            <wp:positionH relativeFrom="column">
              <wp:posOffset>0</wp:posOffset>
            </wp:positionH>
            <wp:positionV relativeFrom="paragraph">
              <wp:posOffset>289560</wp:posOffset>
            </wp:positionV>
            <wp:extent cx="2926080" cy="1920240"/>
            <wp:effectExtent l="0" t="0" r="7620" b="3810"/>
            <wp:wrapTopAndBottom/>
            <wp:docPr id="44" name="Chart 4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14:sizeRelV relativeFrom="margin">
              <wp14:pctHeight>0</wp14:pctHeight>
            </wp14:sizeRelV>
          </wp:anchor>
        </w:drawing>
      </w:r>
    </w:p>
    <w:p w14:paraId="73E14F5E" w14:textId="77777777" w:rsidR="00082769" w:rsidRPr="008B63B1" w:rsidRDefault="00082769" w:rsidP="00082769">
      <w:pPr>
        <w:ind w:hanging="11"/>
        <w:jc w:val="center"/>
        <w:rPr>
          <w:rFonts w:ascii="GHEA Grapalat" w:eastAsia="Times New Roman" w:hAnsi="GHEA Grapalat" w:cs="Times New Roman"/>
          <w:i/>
          <w:color w:val="A6A6A6"/>
          <w:sz w:val="18"/>
          <w:lang w:val="hy-AM"/>
        </w:rPr>
      </w:pPr>
      <w:r w:rsidRPr="008B63B1">
        <w:rPr>
          <w:rFonts w:ascii="GHEA Grapalat" w:eastAsia="Times New Roman" w:hAnsi="GHEA Grapalat" w:cs="Times New Roman"/>
          <w:i/>
          <w:color w:val="A6A6A6"/>
          <w:sz w:val="18"/>
          <w:lang w:val="hy-AM"/>
        </w:rPr>
        <w:t xml:space="preserve"> Աղբյուրը՝ ՀՀ ՖՆ </w:t>
      </w:r>
    </w:p>
    <w:p w14:paraId="25AEBEDD"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2026թ.-ին հարկաբյուջետային քաղաքականությունը կունենա հիմնականում թույլ խթանող ազդեցություն ամբողջական պահանջարկի վրա՝ եկամուտների զսպող և ծախսերի խթանող ազդեցությունների համադրությամբ։ </w:t>
      </w:r>
    </w:p>
    <w:p w14:paraId="3BDCE58C" w14:textId="77777777" w:rsidR="00082769" w:rsidRPr="008B63B1" w:rsidRDefault="00082769" w:rsidP="00082769">
      <w:pPr>
        <w:ind w:hanging="11"/>
        <w:jc w:val="both"/>
        <w:rPr>
          <w:rFonts w:ascii="GHEA Grapalat" w:eastAsia="Times New Roman" w:hAnsi="GHEA Grapalat" w:cs="Times New Roman"/>
          <w:color w:val="404040"/>
          <w:szCs w:val="20"/>
          <w:lang w:val="hy-AM"/>
        </w:rPr>
      </w:pPr>
      <w:bookmarkStart w:id="270" w:name="_Toc178595156"/>
      <w:r w:rsidRPr="008B63B1">
        <w:rPr>
          <w:rFonts w:ascii="GHEA Grapalat" w:eastAsia="Times New Roman" w:hAnsi="GHEA Grapalat" w:cs="Times New Roman"/>
          <w:color w:val="404040"/>
          <w:szCs w:val="20"/>
          <w:lang w:val="hy-AM"/>
        </w:rPr>
        <w:t>Միջնաժամկետ հարկաբյուջետային կոնսոլիդացիայի պայմաններում քաղաքականությունն ամբողջական պահանջարկի վրա կունենա չափավոր զսպող ազդեցություն, որը հորիզոնի վերջում կթուլանա։ Ծախսերի կառուցվածքի բարելավումն ու արդյունավետ ներդրումները կնպաստեն տնտեսության ներուժի բարձրացմանը։</w:t>
      </w:r>
    </w:p>
    <w:p w14:paraId="245F0DB8" w14:textId="77777777" w:rsidR="00082769" w:rsidRPr="001D56CB" w:rsidRDefault="00082769" w:rsidP="001D56CB">
      <w:pPr>
        <w:pStyle w:val="Charts"/>
        <w:ind w:right="-22"/>
        <w:rPr>
          <w:b w:val="0"/>
          <w:bCs/>
          <w:color w:val="auto"/>
          <w:sz w:val="20"/>
          <w:szCs w:val="18"/>
        </w:rPr>
      </w:pPr>
      <w:r w:rsidRPr="001D56CB">
        <w:rPr>
          <w:b w:val="0"/>
          <w:bCs/>
          <w:color w:val="auto"/>
          <w:sz w:val="20"/>
          <w:szCs w:val="18"/>
        </w:rPr>
        <w:t>Գծապատկեր 2.4. Հարկաբյուջետային ազդակը</w:t>
      </w:r>
      <w:r w:rsidRPr="001D56CB">
        <w:rPr>
          <w:b w:val="0"/>
          <w:bCs/>
          <w:color w:val="auto"/>
          <w:sz w:val="20"/>
          <w:szCs w:val="18"/>
        </w:rPr>
        <w:footnoteReference w:id="21"/>
      </w:r>
      <w:bookmarkEnd w:id="270"/>
    </w:p>
    <w:p w14:paraId="6D9E07DC" w14:textId="77777777" w:rsidR="00082769" w:rsidRPr="008B63B1" w:rsidRDefault="00082769" w:rsidP="00082769">
      <w:pPr>
        <w:ind w:hanging="11"/>
        <w:jc w:val="both"/>
        <w:rPr>
          <w:rFonts w:ascii="GHEA Grapalat" w:eastAsia="Times New Roman" w:hAnsi="GHEA Grapalat" w:cs="Times New Roman"/>
          <w:color w:val="404040"/>
        </w:rPr>
      </w:pPr>
      <w:r w:rsidRPr="008B63B1">
        <w:rPr>
          <w:rFonts w:ascii="GHEA Grapalat" w:eastAsia="Times New Roman" w:hAnsi="GHEA Grapalat" w:cs="Times New Roman"/>
          <w:noProof/>
          <w:color w:val="404040"/>
        </w:rPr>
        <mc:AlternateContent>
          <mc:Choice Requires="wps">
            <w:drawing>
              <wp:anchor distT="0" distB="0" distL="114300" distR="114300" simplePos="0" relativeHeight="251757568" behindDoc="0" locked="0" layoutInCell="1" allowOverlap="1" wp14:anchorId="2D664D1F" wp14:editId="48A96E5C">
                <wp:simplePos x="0" y="0"/>
                <wp:positionH relativeFrom="column">
                  <wp:posOffset>2905124</wp:posOffset>
                </wp:positionH>
                <wp:positionV relativeFrom="paragraph">
                  <wp:posOffset>38100</wp:posOffset>
                </wp:positionV>
                <wp:extent cx="3004185" cy="2057407"/>
                <wp:effectExtent l="0" t="0" r="5715" b="0"/>
                <wp:wrapNone/>
                <wp:docPr id="1545876458" name="Rounded Rectangle 1"/>
                <wp:cNvGraphicFramePr/>
                <a:graphic xmlns:a="http://schemas.openxmlformats.org/drawingml/2006/main">
                  <a:graphicData uri="http://schemas.microsoft.com/office/word/2010/wordprocessingShape">
                    <wps:wsp>
                      <wps:cNvSpPr/>
                      <wps:spPr>
                        <a:xfrm>
                          <a:off x="0" y="0"/>
                          <a:ext cx="3004185" cy="2057407"/>
                        </a:xfrm>
                        <a:prstGeom prst="rect">
                          <a:avLst/>
                        </a:prstGeom>
                        <a:solidFill>
                          <a:sysClr val="window" lastClr="FFFFFF">
                            <a:lumMod val="85000"/>
                            <a:alpha val="30000"/>
                          </a:sysClr>
                        </a:solidFill>
                        <a:ln>
                          <a:noFill/>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234D3A" id="Rounded Rectangle 1" o:spid="_x0000_s1026" style="position:absolute;margin-left:228.75pt;margin-top:3pt;width:236.55pt;height:162pt;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" fillcolor="#d9d9d9" stroked="f">
                <v:fill opacity="19789f"/>
              </v:rect>
            </w:pict>
          </mc:Fallback>
        </mc:AlternateContent>
      </w:r>
      <w:r w:rsidRPr="008B63B1">
        <w:rPr>
          <w:rFonts w:ascii="GHEA Grapalat" w:eastAsia="Times New Roman" w:hAnsi="GHEA Grapalat" w:cs="Times New Roman"/>
          <w:noProof/>
          <w:color w:val="404040"/>
        </w:rPr>
        <w:drawing>
          <wp:inline distT="0" distB="0" distL="0" distR="0" wp14:anchorId="26FB9FEE" wp14:editId="1E334581">
            <wp:extent cx="6172200" cy="2461260"/>
            <wp:effectExtent l="0" t="0" r="0" b="15240"/>
            <wp:docPr id="45" name="Chart 4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62A06FB7" w14:textId="77777777" w:rsidR="00082769" w:rsidRPr="008B63B1" w:rsidRDefault="00082769" w:rsidP="00082769">
      <w:pPr>
        <w:ind w:hanging="11"/>
        <w:jc w:val="right"/>
        <w:rPr>
          <w:rFonts w:ascii="GHEA Grapalat" w:eastAsia="Times New Roman" w:hAnsi="GHEA Grapalat" w:cs="Times New Roman"/>
          <w:i/>
          <w:color w:val="A6A6A6"/>
          <w:sz w:val="18"/>
        </w:rPr>
      </w:pPr>
      <w:r w:rsidRPr="008B63B1">
        <w:rPr>
          <w:rFonts w:ascii="GHEA Grapalat" w:eastAsia="Times New Roman" w:hAnsi="GHEA Grapalat" w:cs="Times New Roman"/>
          <w:i/>
          <w:color w:val="A6A6A6"/>
          <w:sz w:val="18"/>
        </w:rPr>
        <w:t>Աղբյուրը՝ ՀՀ ՖՆ գնահատականներ</w:t>
      </w:r>
    </w:p>
    <w:p w14:paraId="3FEAB5CB" w14:textId="77777777" w:rsidR="00082769" w:rsidRPr="008B63B1" w:rsidRDefault="00082769" w:rsidP="00082769">
      <w:pPr>
        <w:spacing w:after="0"/>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bCs/>
          <w:color w:val="404040"/>
          <w:szCs w:val="20"/>
          <w:lang w:val="hy-AM"/>
        </w:rPr>
        <w:t>Միջնաժամկետ հարկաբյուջետային շրջանակն ամրապնդում է «ոսկե կանոնների» տրամաբանությունը:</w:t>
      </w:r>
      <w:r w:rsidRPr="008B63B1">
        <w:rPr>
          <w:rFonts w:ascii="GHEA Grapalat" w:eastAsia="Times New Roman" w:hAnsi="GHEA Grapalat" w:cs="Times New Roman"/>
          <w:color w:val="404040"/>
          <w:szCs w:val="20"/>
          <w:lang w:val="hy-AM"/>
        </w:rPr>
        <w:t xml:space="preserve"> Մասնավորապես, ընդհանուր ծախսերում կապիտալ ծախսերի բարձր մասնաբաժնի ապահովմամբ և ծրագրված հարկաբյուջետային կոնսոլիդացիայով կապիտալ ծախսերի ծավալը միջնաժամկետ ժամանակահատվածում զգալիորեն կգերազանցի պետական բյուջեի պակասուրդը։ Միաժամանակ, թեպետ կառավարության պարտք/ՀՆԱ՝ 60%-ից ցածր մակարդակի պայմաններում «ակտիվ չէ» ընթացիկ ծախսերի գծով «ոսկե կանոնը», հարկաբյուջետային շրջանակն ապահովում է հարկային եկամուտների ու տուրքերի և ընթացիկ ծախսերի մեծացող դրական տարբերություն՝ նպաստելով երկարաժամկետ հարկաբյուջետային կայունությանը։</w:t>
      </w:r>
    </w:p>
    <w:p w14:paraId="2A4CFF52" w14:textId="77777777" w:rsidR="00082769" w:rsidRPr="008B63B1" w:rsidRDefault="00082769" w:rsidP="00082769">
      <w:pPr>
        <w:spacing w:after="0"/>
        <w:ind w:hanging="11"/>
        <w:jc w:val="both"/>
        <w:rPr>
          <w:rFonts w:ascii="GHEA Grapalat" w:eastAsia="Times New Roman" w:hAnsi="GHEA Grapalat" w:cs="Times New Roman"/>
          <w:color w:val="404040"/>
          <w:szCs w:val="20"/>
          <w:lang w:val="hy-AM"/>
        </w:rPr>
      </w:pPr>
    </w:p>
    <w:p w14:paraId="66EBA6B5" w14:textId="77777777" w:rsidR="00082769" w:rsidRPr="008B63B1" w:rsidRDefault="00082769" w:rsidP="00082769">
      <w:pPr>
        <w:spacing w:after="0"/>
        <w:ind w:hanging="11"/>
        <w:jc w:val="both"/>
        <w:rPr>
          <w:rFonts w:ascii="GHEA Grapalat" w:eastAsia="Times New Roman" w:hAnsi="GHEA Grapalat" w:cs="Times New Roman"/>
          <w:color w:val="404040"/>
          <w:lang w:val="hy-AM"/>
        </w:rPr>
      </w:pPr>
      <w:r w:rsidRPr="008B63B1">
        <w:rPr>
          <w:rFonts w:ascii="GHEA Grapalat" w:eastAsia="Times New Roman" w:hAnsi="GHEA Grapalat" w:cs="Times New Roman"/>
          <w:bCs/>
          <w:color w:val="404040"/>
          <w:sz w:val="20"/>
          <w:lang w:val="hy-AM"/>
        </w:rPr>
        <w:t>Գծապատկեր 2.5. Ընթա</w:t>
      </w:r>
      <w:r w:rsidRPr="001D56CB">
        <w:rPr>
          <w:rFonts w:ascii="GHEA Grapalat" w:hAnsi="GHEA Grapalat"/>
          <w:bCs/>
          <w:color w:val="auto"/>
          <w:sz w:val="20"/>
          <w:szCs w:val="18"/>
          <w:lang w:val="hy-AM"/>
        </w:rPr>
        <w:t>ցիկ և կապիտալ ծախսերի համապատասխանությունը «ոսկե կանոններին»</w:t>
      </w:r>
      <w:r w:rsidRPr="008B63B1">
        <w:rPr>
          <w:rFonts w:ascii="GHEA Grapalat" w:eastAsia="Times New Roman" w:hAnsi="GHEA Grapalat" w:cs="Times New Roman"/>
          <w:noProof/>
          <w:color w:val="404040"/>
        </w:rPr>
        <w:drawing>
          <wp:anchor distT="0" distB="0" distL="114300" distR="114300" simplePos="0" relativeHeight="251758592" behindDoc="0" locked="0" layoutInCell="1" allowOverlap="1" wp14:anchorId="2FFE29C0" wp14:editId="449473F4">
            <wp:simplePos x="0" y="0"/>
            <wp:positionH relativeFrom="column">
              <wp:posOffset>3230245</wp:posOffset>
            </wp:positionH>
            <wp:positionV relativeFrom="paragraph">
              <wp:posOffset>401681</wp:posOffset>
            </wp:positionV>
            <wp:extent cx="2926080" cy="1645920"/>
            <wp:effectExtent l="0" t="0" r="7620" b="11430"/>
            <wp:wrapTopAndBottom/>
            <wp:docPr id="1545876471" name="Chart 154587647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anchor>
        </w:drawing>
      </w:r>
      <w:r w:rsidRPr="008B63B1">
        <w:rPr>
          <w:rFonts w:ascii="GHEA Grapalat" w:eastAsia="Times New Roman" w:hAnsi="GHEA Grapalat" w:cs="Times New Roman"/>
          <w:noProof/>
          <w:color w:val="404040"/>
        </w:rPr>
        <w:drawing>
          <wp:anchor distT="0" distB="0" distL="114300" distR="114300" simplePos="0" relativeHeight="251759616" behindDoc="0" locked="0" layoutInCell="1" allowOverlap="1" wp14:anchorId="0E31433E" wp14:editId="12ED4EB5">
            <wp:simplePos x="0" y="0"/>
            <wp:positionH relativeFrom="column">
              <wp:posOffset>3175</wp:posOffset>
            </wp:positionH>
            <wp:positionV relativeFrom="paragraph">
              <wp:posOffset>402281</wp:posOffset>
            </wp:positionV>
            <wp:extent cx="2926080" cy="1645920"/>
            <wp:effectExtent l="0" t="0" r="7620" b="11430"/>
            <wp:wrapTopAndBottom/>
            <wp:docPr id="1545876472" name="Chart 154587647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14:sizeRelH relativeFrom="page">
              <wp14:pctWidth>0</wp14:pctWidth>
            </wp14:sizeRelH>
            <wp14:sizeRelV relativeFrom="page">
              <wp14:pctHeight>0</wp14:pctHeight>
            </wp14:sizeRelV>
          </wp:anchor>
        </w:drawing>
      </w:r>
    </w:p>
    <w:p w14:paraId="79675740" w14:textId="77777777" w:rsidR="00082769" w:rsidRPr="008B63B1" w:rsidRDefault="00082769" w:rsidP="00082769">
      <w:pPr>
        <w:ind w:hanging="11"/>
        <w:jc w:val="right"/>
        <w:rPr>
          <w:rFonts w:ascii="GHEA Grapalat" w:eastAsia="Times New Roman" w:hAnsi="GHEA Grapalat" w:cs="Times New Roman"/>
          <w:i/>
          <w:color w:val="A6A6A6"/>
          <w:sz w:val="18"/>
          <w:lang w:val="hy-AM"/>
        </w:rPr>
      </w:pPr>
    </w:p>
    <w:p w14:paraId="0C8B28DD" w14:textId="77777777" w:rsidR="00082769" w:rsidRPr="008B63B1" w:rsidRDefault="00082769" w:rsidP="00082769">
      <w:pPr>
        <w:ind w:hanging="11"/>
        <w:jc w:val="right"/>
        <w:rPr>
          <w:rFonts w:ascii="GHEA Grapalat" w:eastAsia="Times New Roman" w:hAnsi="GHEA Grapalat" w:cs="Times New Roman"/>
          <w:i/>
          <w:color w:val="A6A6A6"/>
          <w:sz w:val="18"/>
          <w:lang w:val="hy-AM"/>
        </w:rPr>
      </w:pPr>
      <w:r w:rsidRPr="008B63B1">
        <w:rPr>
          <w:rFonts w:ascii="GHEA Grapalat" w:eastAsia="Times New Roman" w:hAnsi="GHEA Grapalat" w:cs="Times New Roman"/>
          <w:i/>
          <w:color w:val="A6A6A6"/>
          <w:sz w:val="18"/>
          <w:lang w:val="hy-AM"/>
        </w:rPr>
        <w:t>Աղբյուրը՝ ՀՀ ՖՆ</w:t>
      </w:r>
    </w:p>
    <w:p w14:paraId="51AB6E71" w14:textId="77777777" w:rsidR="00082769" w:rsidRPr="008B63B1" w:rsidRDefault="00082769" w:rsidP="00082769">
      <w:pPr>
        <w:spacing w:before="360" w:line="240" w:lineRule="auto"/>
        <w:ind w:hanging="11"/>
        <w:jc w:val="both"/>
        <w:rPr>
          <w:rFonts w:ascii="GHEA Grapalat" w:eastAsia="Times New Roman" w:hAnsi="GHEA Grapalat" w:cs="Times New Roman"/>
          <w:b/>
          <w:color w:val="404040"/>
          <w:szCs w:val="20"/>
          <w:lang w:val="hy-AM"/>
        </w:rPr>
      </w:pPr>
      <w:r w:rsidRPr="001D56CB">
        <w:rPr>
          <w:rFonts w:ascii="GHEA Grapalat" w:hAnsi="GHEA Grapalat"/>
          <w:bCs/>
          <w:noProof/>
          <w:color w:val="auto"/>
          <w:sz w:val="20"/>
          <w:szCs w:val="18"/>
        </w:rPr>
        <w:drawing>
          <wp:anchor distT="0" distB="0" distL="114300" distR="114300" simplePos="0" relativeHeight="251761664" behindDoc="0" locked="0" layoutInCell="1" allowOverlap="1" wp14:anchorId="34F13D89" wp14:editId="25D28B0F">
            <wp:simplePos x="0" y="0"/>
            <wp:positionH relativeFrom="column">
              <wp:posOffset>3226435</wp:posOffset>
            </wp:positionH>
            <wp:positionV relativeFrom="paragraph">
              <wp:posOffset>438785</wp:posOffset>
            </wp:positionV>
            <wp:extent cx="2926080" cy="2286000"/>
            <wp:effectExtent l="0" t="0" r="7620" b="0"/>
            <wp:wrapTopAndBottom/>
            <wp:docPr id="48" name="Chart 4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14:sizeRelV relativeFrom="margin">
              <wp14:pctHeight>0</wp14:pctHeight>
            </wp14:sizeRelV>
          </wp:anchor>
        </w:drawing>
      </w:r>
      <w:r w:rsidRPr="001D56CB">
        <w:rPr>
          <w:rFonts w:ascii="GHEA Grapalat" w:hAnsi="GHEA Grapalat"/>
          <w:bCs/>
          <w:noProof/>
          <w:color w:val="auto"/>
          <w:sz w:val="20"/>
          <w:szCs w:val="18"/>
        </w:rPr>
        <w:drawing>
          <wp:anchor distT="0" distB="0" distL="114300" distR="114300" simplePos="0" relativeHeight="251760640" behindDoc="0" locked="0" layoutInCell="1" allowOverlap="1" wp14:anchorId="192D9392" wp14:editId="048308B5">
            <wp:simplePos x="0" y="0"/>
            <wp:positionH relativeFrom="column">
              <wp:posOffset>5080</wp:posOffset>
            </wp:positionH>
            <wp:positionV relativeFrom="paragraph">
              <wp:posOffset>431638</wp:posOffset>
            </wp:positionV>
            <wp:extent cx="2926080" cy="2286000"/>
            <wp:effectExtent l="0" t="0" r="7620" b="0"/>
            <wp:wrapTopAndBottom/>
            <wp:docPr id="1545876473" name="Chart 1545876473"/>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14:sizeRelV relativeFrom="margin">
              <wp14:pctHeight>0</wp14:pctHeight>
            </wp14:sizeRelV>
          </wp:anchor>
        </w:drawing>
      </w:r>
      <w:r w:rsidRPr="001D56CB">
        <w:rPr>
          <w:rFonts w:ascii="GHEA Grapalat" w:hAnsi="GHEA Grapalat"/>
          <w:bCs/>
          <w:color w:val="auto"/>
          <w:sz w:val="20"/>
          <w:szCs w:val="18"/>
          <w:lang w:val="hy-AM"/>
        </w:rPr>
        <w:t>Գծապատկեր 2.6. ՀՀ կառավարության պարտքի դինամիկան և այն պայմանավորող գործոնները</w:t>
      </w:r>
      <w:r w:rsidRPr="008B63B1">
        <w:rPr>
          <w:rFonts w:ascii="GHEA Grapalat" w:eastAsia="Times New Roman" w:hAnsi="GHEA Grapalat" w:cs="Times New Roman"/>
          <w:b/>
          <w:color w:val="404040"/>
          <w:sz w:val="18"/>
          <w:szCs w:val="16"/>
          <w:vertAlign w:val="superscript"/>
          <w:lang w:val="hy-AM"/>
        </w:rPr>
        <w:footnoteReference w:id="22"/>
      </w:r>
    </w:p>
    <w:p w14:paraId="220A27CE" w14:textId="77777777" w:rsidR="00082769" w:rsidRPr="008B63B1" w:rsidRDefault="00082769" w:rsidP="00082769">
      <w:pPr>
        <w:ind w:hanging="11"/>
        <w:jc w:val="right"/>
        <w:rPr>
          <w:rFonts w:ascii="GHEA Grapalat" w:eastAsia="Times New Roman" w:hAnsi="GHEA Grapalat" w:cs="Times New Roman"/>
          <w:i/>
          <w:color w:val="A6A6A6"/>
          <w:sz w:val="18"/>
          <w:lang w:val="hy-AM"/>
        </w:rPr>
      </w:pPr>
      <w:r w:rsidRPr="008B63B1">
        <w:rPr>
          <w:rFonts w:ascii="GHEA Grapalat" w:eastAsia="Times New Roman" w:hAnsi="GHEA Grapalat" w:cs="Times New Roman"/>
          <w:i/>
          <w:color w:val="A6A6A6"/>
          <w:sz w:val="18"/>
          <w:lang w:val="hy-AM"/>
        </w:rPr>
        <w:t>Աղբյուրը՝ ՀՀ ՖՆ</w:t>
      </w:r>
    </w:p>
    <w:p w14:paraId="7AA5CC5E" w14:textId="77777777" w:rsidR="00082769" w:rsidRPr="008B63B1" w:rsidRDefault="00082769" w:rsidP="00082769">
      <w:pPr>
        <w:keepNext/>
        <w:keepLines/>
        <w:spacing w:before="40" w:after="0" w:line="240" w:lineRule="auto"/>
        <w:ind w:hanging="11"/>
        <w:outlineLvl w:val="1"/>
        <w:rPr>
          <w:rFonts w:ascii="GHEA Grapalat" w:eastAsia="Times New Roman" w:hAnsi="GHEA Grapalat" w:cs="Times New Roman"/>
          <w:color w:val="A5A6AC"/>
          <w:sz w:val="28"/>
          <w:szCs w:val="20"/>
          <w:lang w:val="hy-AM"/>
        </w:rPr>
      </w:pPr>
      <w:bookmarkStart w:id="271" w:name="_Toc210126092"/>
      <w:bookmarkStart w:id="272" w:name="_Toc241687672"/>
      <w:bookmarkEnd w:id="261"/>
      <w:bookmarkEnd w:id="262"/>
      <w:bookmarkEnd w:id="263"/>
      <w:bookmarkEnd w:id="264"/>
      <w:bookmarkEnd w:id="265"/>
      <w:r w:rsidRPr="008B63B1">
        <w:rPr>
          <w:rFonts w:ascii="GHEA Grapalat" w:eastAsia="Times New Roman" w:hAnsi="GHEA Grapalat" w:cs="Times New Roman"/>
          <w:color w:val="A5A6AC"/>
          <w:sz w:val="28"/>
          <w:szCs w:val="20"/>
          <w:lang w:val="hy-AM"/>
        </w:rPr>
        <w:t>2.3. ՀԱՐԿԱԲՅՈՒՋԵՏԱՅԻՆ ՌԻՍԿԵՐ</w:t>
      </w:r>
      <w:bookmarkEnd w:id="271"/>
      <w:bookmarkEnd w:id="272"/>
    </w:p>
    <w:p w14:paraId="459E3DBD" w14:textId="77777777" w:rsidR="00082769" w:rsidRPr="008B63B1" w:rsidRDefault="00082769" w:rsidP="00082769">
      <w:pPr>
        <w:ind w:hanging="11"/>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Հարկաբյուջետային կանխատեսումները հիմնված են մի շարք ենթադրությունների և հիմնական դատողությունների վրա, որոնց համար օգտագործվել է տվյալ պահի դրությամբ առկա և հասանելի ամբողջ տեղեկատվությունը: Ինչպես ցանկացած կանխատեսում, հարկաբյուջետային կանխատեսումները նույնպես պարունակում են ռիսկեր՝ կապված այն հանգամանքի հետ, որ փաստացի իրադարձությունները կարող են տարբերվել սպասումներից: 2027 թվականի պետական բյուջեի հիմնական մակրոտնտեսական բնույթի հարկաբյուջետային ռիսկերը հետևյալն են.</w:t>
      </w:r>
    </w:p>
    <w:p w14:paraId="62B364C8" w14:textId="77777777" w:rsidR="00082769" w:rsidRPr="008B63B1" w:rsidRDefault="00082769" w:rsidP="00082769">
      <w:pPr>
        <w:ind w:hanging="11"/>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Ներքին կամ արտաքին ցնցումների ներքո մակրոտնտեսական անբարենպաստ զարգացումների ռիսկ</w:t>
      </w:r>
    </w:p>
    <w:p w14:paraId="172E46CB" w14:textId="77777777" w:rsidR="00082769" w:rsidRPr="008B63B1" w:rsidRDefault="00082769" w:rsidP="00082769">
      <w:pPr>
        <w:ind w:hanging="11"/>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 xml:space="preserve">«1.5. Մակրոտնտեսական կանխատեսումների ռիսկերը» բաժնում քննարկված՝ արտաքին կամ ներքին միջավայրից բխող ռիսկերը, ինչպես, օրինակ՝ ռուս-ուկրաինական պատերազմի արդյունքում առաջացած դրական գործոնների չեզոքացումը և մարդկանց ու կապիտալի գրանցված հոսքերի հետշրջումը, տարածաշրջանային և աշխարհաքաղաքական լարվածությունների սրման պայմաններում ներմուծվող ռազմավարական ապրանքների գների հնարավոր բարձրացումը, ՀՀ ապրանքների արտահանման մատակարարումների լոգիստիկ խնդիրների խորացումը բացասաբար կանդրադառնան ֆինանսավորման պահանջի վրա՝ մի կողմից հանգեցնելով սպասվածից փոքր հարկման բազաների ձևավորման, մյուս կողմից՝ ծախսային ճնշումների մեծացման։ </w:t>
      </w:r>
    </w:p>
    <w:p w14:paraId="655E9011" w14:textId="77777777" w:rsidR="00082769" w:rsidRPr="008B63B1" w:rsidRDefault="00082769" w:rsidP="00082769">
      <w:pPr>
        <w:ind w:hanging="11"/>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 xml:space="preserve">Հարկեր/ՀՆԱ ցուցանիշի՝ հարկային վարչարարության ազդեցությամբ սպասվողից ավելի դանդաղ բարելավման ռիսկ։ </w:t>
      </w:r>
    </w:p>
    <w:p w14:paraId="77C9D076" w14:textId="77777777" w:rsidR="00082769" w:rsidRPr="008B63B1" w:rsidRDefault="00082769" w:rsidP="00082769">
      <w:pPr>
        <w:ind w:hanging="11"/>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Միջնաժամկետ հատվածի համար պլանավորված է հարկեր/ՀՆԱ բարելավումներում հարկային վարչարարության</w:t>
      </w:r>
      <w:r w:rsidRPr="008B63B1">
        <w:rPr>
          <w:rFonts w:ascii="GHEA Grapalat" w:eastAsia="Times New Roman" w:hAnsi="GHEA Grapalat" w:cs="Times New Roman"/>
          <w:color w:val="404040"/>
          <w:szCs w:val="20"/>
          <w:lang w:val="hy-AM"/>
        </w:rPr>
        <w:t xml:space="preserve"> </w:t>
      </w:r>
      <w:r w:rsidRPr="008B63B1">
        <w:rPr>
          <w:rFonts w:ascii="GHEA Grapalat" w:eastAsia="Times New Roman" w:hAnsi="GHEA Grapalat" w:cs="Times New Roman"/>
          <w:color w:val="404040"/>
          <w:lang w:val="hy-AM"/>
        </w:rPr>
        <w:t>միջինում 0</w:t>
      </w:r>
      <w:r w:rsidRPr="008B63B1">
        <w:rPr>
          <w:rFonts w:ascii="Cambria Math" w:eastAsia="Times New Roman" w:hAnsi="Cambria Math" w:cs="Cambria Math"/>
          <w:color w:val="404040"/>
          <w:lang w:val="hy-AM"/>
        </w:rPr>
        <w:t>․</w:t>
      </w:r>
      <w:r w:rsidRPr="008B63B1">
        <w:rPr>
          <w:rFonts w:ascii="GHEA Grapalat" w:eastAsia="Times New Roman" w:hAnsi="GHEA Grapalat" w:cs="Times New Roman"/>
          <w:color w:val="404040"/>
          <w:lang w:val="hy-AM"/>
        </w:rPr>
        <w:t xml:space="preserve">4 տոկոսային կետ մասնակցություն 2026-2029 թվականներին։ Հարկային վարչարարության արդյունքում հարկեր/ՀՆԱ բարելավումները պետք է տեղի ունենան հարկային վարչարարության առկա ճեղքի նվազեցման հաշվին, որի վրա հարկային վարչարարության միջոցառումների ազդեցությունը ոչ գծային է և զգայուն է տնտեսական պարբերաշրջանի նկատմամբ։ </w:t>
      </w:r>
    </w:p>
    <w:p w14:paraId="144F3B7A" w14:textId="77777777" w:rsidR="00082769" w:rsidRPr="008B63B1" w:rsidRDefault="00082769" w:rsidP="00082769">
      <w:pPr>
        <w:ind w:hanging="11"/>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Միջազգային ֆինանսական շուկաների անկայունության և ֆինանսավորման պայմանների վատթարացման ռիսկ:</w:t>
      </w:r>
    </w:p>
    <w:p w14:paraId="3EA96D7E" w14:textId="2053D3B5" w:rsidR="00082769" w:rsidRPr="008B63B1" w:rsidRDefault="00082769" w:rsidP="00082769">
      <w:pPr>
        <w:ind w:hanging="11"/>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Համաշխարհային տնտեսության հեռանկարների շուրջ անորոշությունը, այդ թվում՝ ԱՄՆ-ի մաքսատուրքային քաղաքականության շուրջ, ինչպես նաև ռուս-ուկրաինական պատերազմի երկարումից բխող բացասական ազդեցությունները իրենց արտացոլումն են գտնում համաշխարհային ֆինանսական շուկայի պայմաններում և կարող են հանգեցնել տոկոսադրույքների ավելի բարձր հետագծի։ Զարգացած երկրներում տոկոսադրույքների սպասվող նվազեցման փոխարեն դրանց բարձր մակարդակի պահպանումը կամ հետագա աճը, ցածր եկամուտ ունեցող և զարգացող երկրներում պարտքային հիմնախնդիրների սրումը, համաշխարհային ֆինանսական շուկայում այլ ռիսկերի առարկայացումը կարող են վատթարացնել միջազգային ֆինանսական շուկաներից փոխառությունների պայմանները</w:t>
      </w:r>
      <w:r w:rsidR="00177C18">
        <w:rPr>
          <w:rFonts w:ascii="GHEA Grapalat" w:eastAsia="Times New Roman" w:hAnsi="GHEA Grapalat" w:cs="Times New Roman"/>
          <w:color w:val="404040"/>
          <w:lang w:val="hy-AM"/>
        </w:rPr>
        <w:t xml:space="preserve"> ՀՀ կառավարության համար և դժվարա</w:t>
      </w:r>
      <w:r w:rsidRPr="008B63B1">
        <w:rPr>
          <w:rFonts w:ascii="GHEA Grapalat" w:eastAsia="Times New Roman" w:hAnsi="GHEA Grapalat" w:cs="Times New Roman"/>
          <w:color w:val="404040"/>
          <w:lang w:val="hy-AM"/>
        </w:rPr>
        <w:t xml:space="preserve">ցնել բյուջեի պակասուրդի ֆինանսավորումը։ Պարտքի կայունության և պարտքի կառավարման ռազմավարության իրականացման համար նման ռիսկերի շրջանակն արտացոլված է համապատասխան բաժիններում։ </w:t>
      </w:r>
    </w:p>
    <w:p w14:paraId="04DA6121" w14:textId="77777777" w:rsidR="00082769" w:rsidRPr="008B63B1" w:rsidRDefault="00082769" w:rsidP="00082769">
      <w:pPr>
        <w:ind w:hanging="11"/>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Լրացուցիչ ֆինանսավորման պահանջ առաջացնող այլ ներքին ռիսկեր։</w:t>
      </w:r>
    </w:p>
    <w:p w14:paraId="48CCE71C" w14:textId="77777777" w:rsidR="00082769" w:rsidRPr="008B63B1" w:rsidRDefault="00082769" w:rsidP="00082769">
      <w:pPr>
        <w:ind w:hanging="11"/>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color w:val="404040"/>
          <w:szCs w:val="20"/>
          <w:lang w:val="hy-AM"/>
        </w:rPr>
        <w:t xml:space="preserve">Նման ռիսկերի շարքում են Ղարաբաղից բռնի տեղահանված անձանց՝ ՀՀ տնտեսությանը ինտեգրման դանդաղումը և աջակցության ծրագրերի երկարաձգումը, տարածաշրջանային անվտանգային միջավայրի վատթարացման պայմաններում անվտանգությանն ու պաշտպանությանն ուղղվող միջոցների ծավալի աճի լրացուցիչ կարիքի առաջացումը, արտահանելի հատվածի համար տնտեսական աջակցության լրացուցիչ ծրագրերի իրականացումը և այլ հնարավոր ծախսային ճնշումները։ </w:t>
      </w:r>
    </w:p>
    <w:p w14:paraId="77CAF8E2" w14:textId="77777777" w:rsidR="00082769" w:rsidRPr="008B63B1" w:rsidRDefault="00082769" w:rsidP="00082769">
      <w:pPr>
        <w:ind w:hanging="11"/>
        <w:jc w:val="both"/>
        <w:rPr>
          <w:rFonts w:ascii="GHEA Grapalat" w:eastAsia="Times New Roman" w:hAnsi="GHEA Grapalat" w:cs="Times New Roman"/>
          <w:b/>
          <w:color w:val="404040"/>
          <w:szCs w:val="20"/>
          <w:lang w:val="hy-AM"/>
        </w:rPr>
      </w:pPr>
    </w:p>
    <w:p w14:paraId="40BADC87" w14:textId="77777777" w:rsidR="00082769" w:rsidRPr="008B63B1" w:rsidRDefault="00082769" w:rsidP="00082769">
      <w:pPr>
        <w:ind w:hanging="11"/>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Ծախսերի թերակատարում և բազային սցենարի համեմատ ավելի զսպող ազդակի ձևավորում</w:t>
      </w:r>
    </w:p>
    <w:p w14:paraId="5BAB0C92" w14:textId="77777777" w:rsidR="00082769" w:rsidRPr="008B63B1" w:rsidRDefault="00082769" w:rsidP="00082769">
      <w:pPr>
        <w:ind w:hanging="11"/>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color w:val="404040"/>
          <w:szCs w:val="20"/>
          <w:lang w:val="hy-AM"/>
        </w:rPr>
        <w:t xml:space="preserve">2027 թվականի պետական բյուջեի հարկաբյուջետային սցենարում նախատեսվել է կապիտալ ծախսերի կայունացում բարձր՝ ՀՆԱ շուրջ 5.6%-ի շրջանակներում: Սակայն հաշվի առնելով նախորդ տարիների փաստացի կատարողականները (չնայած այն հանգամանքին, որ առկա է եղել կատարողականների բարելավման միտում), առկա է ծրագրավորված ցուցանիշների թերակատարման ռիսկ, ինչը կարող է բացասական ազդեցություն ունենալ ինչպես ամբողջական պահանջարկի և ընթացիկ տնտեսական ցուցանիշների վրա, այնպես էլ ունենալ երկարաժամկետ ազդեցություններ տնտեսության ներուժի վրա։ </w:t>
      </w:r>
      <w:r w:rsidRPr="008B63B1">
        <w:rPr>
          <w:rFonts w:ascii="GHEA Grapalat" w:eastAsia="Times New Roman" w:hAnsi="GHEA Grapalat" w:cs="Times New Roman"/>
          <w:b/>
          <w:color w:val="404040"/>
          <w:szCs w:val="20"/>
          <w:lang w:val="hy-AM"/>
        </w:rPr>
        <w:t>Հարկաբյուջետային շրջանակի հնարավոր փոփոխությունները մակրոտնտեսական կանխատեսումների շեղումների դեպքում և սթրես թեստերի ներքո</w:t>
      </w:r>
      <w:r w:rsidRPr="008B63B1">
        <w:rPr>
          <w:rFonts w:ascii="GHEA Grapalat" w:eastAsia="Times New Roman" w:hAnsi="GHEA Grapalat" w:cs="Times New Roman"/>
          <w:b/>
          <w:color w:val="404040"/>
          <w:szCs w:val="20"/>
          <w:vertAlign w:val="superscript"/>
        </w:rPr>
        <w:footnoteReference w:id="23"/>
      </w:r>
      <w:r w:rsidRPr="008B63B1">
        <w:rPr>
          <w:rFonts w:ascii="GHEA Grapalat" w:eastAsia="Times New Roman" w:hAnsi="GHEA Grapalat" w:cs="Times New Roman"/>
          <w:b/>
          <w:color w:val="404040"/>
          <w:szCs w:val="20"/>
          <w:vertAlign w:val="superscript"/>
          <w:lang w:val="hy-AM"/>
        </w:rPr>
        <w:t>.</w:t>
      </w:r>
    </w:p>
    <w:p w14:paraId="4C0E1B99" w14:textId="77777777" w:rsidR="00082769" w:rsidRPr="008B63B1" w:rsidRDefault="00082769" w:rsidP="00082769">
      <w:pPr>
        <w:ind w:hanging="11"/>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Հարկային եկամուտներ</w:t>
      </w:r>
    </w:p>
    <w:p w14:paraId="54459F43"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2027թ. և միջնաժամկետ հորիզոնում ՀՀ պետական բյուջեի հարկային եկամուտների վրա գնահատվել է մակրոտնտեսական ցուցանիշների՝ իրական ՀՆԱ-ի աճի, գնաճի, փոխարժեքի տատանողականության և ներմուծման կանխատեսումներից շեղման ռիսկերի ամփոփ ազդեցությունը, ինչպես նաև հարկային վարչարարության բարելավման ռիսկերի ազդեցությունը: Հարկային եկամուտների վրա ազդող վերոնշյալ ռիսկերի միաժամանակյա ի հայտ գալու պարագայում հարկային եկամուտների ծրագրված մակարդակից դիտարկված սցենարներում առավելագույն բացասական շեղումը 2027 թ.-ի համար կկազմի շուրջ 65.4 մլրդ ՀՀ դրամ, իսկ 2028 և 2029 թթ.-ի համար համապատասխանաբար 93.1 մլրդ ՀՀ դրամ և 111.3 մլրդ ՀՀ դրամ:</w:t>
      </w:r>
    </w:p>
    <w:p w14:paraId="0DFBAFA6" w14:textId="77777777" w:rsidR="00082769" w:rsidRPr="008B63B1" w:rsidRDefault="00082769" w:rsidP="00082769">
      <w:pPr>
        <w:ind w:hanging="11"/>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Պետական բյուջեի ծախսեր</w:t>
      </w:r>
    </w:p>
    <w:p w14:paraId="0B8E32C6"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Կանխատեսումներում մեծ ուշադրություն է դարձվում նաև պետական բյուջեի ծախսերի պլանավորված մակարդակների ապահովումը խաթարող ռիսկերին, որոնք կարող են հանգեցնել լրացուցիչ ֆինանսավորման պահանջի առաջացման: ՀՀ պետական բյուջեի ծախսերի վրա գնահատված են մակրոտնտեսական ցուցանիշների՝ իրական ՀՆԱ-ի աճի, գնաճի, փոխարժեքի տատանողականության և ներմուծման կանխատեսումներից շեղման, ինչպես նաև՝ հարկային քաղաքականության և վարչարարության պլանավորված ուղեգծից ավելի դանդաղ իրականացման ռիսկերի ազդեցության չափերը։ Մասնավորապես, ՀՀ պետական բյուջեի եկամուտների հավաքագրման և ծախսերի կատարման տեսանկյունից 2027 թվականին ՀՀ պետական բյուջեի պակասուրդի լրացուցիչ ֆինանսավորման պահանջը դիտարկված սցենարներում առավելագույնը կկազմի շուրջ 65.4 մլրդ ՀՀ դրամ կամ ՀՆԱ-ի 0.5%-ը, իսկ 2028 և 2029 թթ.-ին կկազմի համապատասխանաբար 95.3 և 114.6 մլրդ ՀՀ դրամ կամ ՀՆԱ-ի 0.6-0.7%-ը: Ռիսկերի առարկայացման դեպքում ծախսային առաջնահերթությունների վերանայումը և արդեն բյուջեում նախատեսված պահուստային ֆոնդի վերաբաշխումը կարող են մեղմել լրացուցիչ ծախսային ճնշումները։ Գանձապետական իրացվելիության բարձիկը կարող է ապահովել առաջացած դրամական միջոցների պակասի ժամանակավոր ֆինանսավորումը, սակայն դրա օգտագործումն ինքնին չի նվազեցնում բյուջեի պակասուրդը և կարող է առաջացնել բարձիկի հետագա վերականգնման անհրաժեշտություն։ </w:t>
      </w:r>
    </w:p>
    <w:p w14:paraId="693E83A2"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color w:val="404040"/>
          <w:szCs w:val="20"/>
          <w:lang w:val="hy-AM"/>
        </w:rPr>
        <w:t>Ամփոփելով հարկաբյուջետային ռիսկերի նկարագրությունը՝ կարող ենք նշել, որ 2027-2029թթ. հարկաբյուջետային շրջանակի հիմնական ռիսկերը վերաբերում են մակրոտնտեսական անբարենպաստ զարգացումներին, հարկային եկամուտներ/ՀՆԱ ցուցանիշի թիրախավորված բարելավումների ոչ ամբողջական ապահովմանը, միջազգային ֆինանսական շուկաների իրավիճակի վատթարացմանը և ՀՀ կառավարության փոխառության հնարավորությունների սահմանափակմանը, լրացուցիչ ծախսային կարիքների առաջացմանը, ծախսերի թերակատարմանը և բազային սցենարի համեմատ ավելի զսպող ազդակի ձևավորմանը։</w:t>
      </w:r>
      <w:r w:rsidRPr="008B63B1">
        <w:rPr>
          <w:rFonts w:ascii="GHEA Grapalat" w:eastAsia="Times New Roman" w:hAnsi="GHEA Grapalat" w:cs="Times New Roman"/>
          <w:color w:val="404040"/>
          <w:szCs w:val="20"/>
          <w:lang w:val="hy-AM"/>
        </w:rPr>
        <w:t xml:space="preserve"> Սցենարային վերլուծության միջոցով նշված ռիսկերի մի մասին տրվել է քանակական արտահայտություն, և դրանց կառավարման համար ձեռնարկվել են համարժեք միջոցառումներ՝ ՀՆԱ-ի 0.3-0.6%-ի շրջանակներում պահուստային ֆոնդերի նախատեսման և գանձապետական կայունացման հաշվում առնվազն ՀՆԱ-ի 1% չափով «իրացվելիության բարձիկի» ստեղծման ճանապարհով։ </w:t>
      </w:r>
    </w:p>
    <w:p w14:paraId="1E4CD66A" w14:textId="77777777" w:rsidR="00082769"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Միաժամանակ, տարբեր ռիսկերի առարկայացման պարագայում կառավարությունը կկիրառի հասանելի գործիքները եկամտային ներուժի բարձրացման նպատակով (այդ թվում՝ հարկային վարչարարության լրացուցիչ գործիքների կիրառում), կճշգրտվեն ծախսային առաջնահերթություններն ու շրջանակը, իսկ հարկաբյուջետային կայունության ռիսկերի առարկայացման դեպքում՝ կվերանայվի հարկաբյուջետային շրջանակը։ Բացի այդ, առաջացող ռիսկերին դիմագրավելու տեսակետից յուրաքանչյուր տարվա պետական բյուջեում կնախատեսվեն լրացուցիչ «բարձիկներ» պահուստային ֆոնդերում։</w:t>
      </w:r>
    </w:p>
    <w:p w14:paraId="405E91EB" w14:textId="77777777" w:rsidR="00082769" w:rsidRPr="008B63B1" w:rsidRDefault="00082769" w:rsidP="00082769">
      <w:pPr>
        <w:ind w:hanging="11"/>
        <w:jc w:val="both"/>
        <w:rPr>
          <w:rFonts w:ascii="GHEA Grapalat" w:eastAsia="Times New Roman" w:hAnsi="GHEA Grapalat" w:cs="Times New Roman"/>
          <w:color w:val="404040"/>
          <w:szCs w:val="20"/>
          <w:lang w:val="hy-AM"/>
        </w:rPr>
      </w:pPr>
    </w:p>
    <w:p w14:paraId="04CA5DF4" w14:textId="77777777" w:rsidR="00082769" w:rsidRPr="008B63B1" w:rsidRDefault="00082769" w:rsidP="006422CA">
      <w:pPr>
        <w:ind w:hanging="11"/>
        <w:rPr>
          <w:rFonts w:ascii="GHEA Grapalat" w:eastAsia="Times New Roman" w:hAnsi="GHEA Grapalat" w:cs="Times New Roman"/>
          <w:color w:val="A5A6AC"/>
          <w:sz w:val="28"/>
          <w:szCs w:val="20"/>
          <w:lang w:val="hy-AM"/>
        </w:rPr>
      </w:pPr>
      <w:bookmarkStart w:id="273" w:name="_Toc178356574"/>
      <w:bookmarkStart w:id="274" w:name="_Toc170926309"/>
      <w:bookmarkStart w:id="275" w:name="_Toc170750548"/>
      <w:bookmarkStart w:id="276" w:name="_Toc138956190"/>
      <w:bookmarkStart w:id="277" w:name="_Toc107428585"/>
      <w:bookmarkStart w:id="278" w:name="_Toc178612096"/>
      <w:bookmarkStart w:id="279" w:name="_Toc183801080"/>
      <w:bookmarkStart w:id="280" w:name="_Toc210126093"/>
      <w:r w:rsidRPr="008B63B1">
        <w:rPr>
          <w:rFonts w:ascii="GHEA Grapalat" w:eastAsia="Times New Roman" w:hAnsi="GHEA Grapalat" w:cs="Times New Roman"/>
          <w:color w:val="A5A6AC"/>
          <w:sz w:val="28"/>
          <w:szCs w:val="20"/>
          <w:lang w:val="hy-AM"/>
        </w:rPr>
        <w:t>2.4. ՀԱՐԿԱԲՅՈՒՋԵՏԱՅԻՆ ՔԱՂԱՔԱԿԱՆՈՒԹՅԱՆ ՀԱՄԱՊԱՏԱՍԽԱՆՈՒԹՅՈՒՆԸ ՀԱՐԿԱԲՅՈՒՋԵՏԱՅԻՆ ԿԱՆՈՆՆԵՐԻՆ</w:t>
      </w:r>
      <w:bookmarkEnd w:id="273"/>
      <w:bookmarkEnd w:id="274"/>
      <w:bookmarkEnd w:id="275"/>
      <w:bookmarkEnd w:id="276"/>
      <w:bookmarkEnd w:id="277"/>
      <w:bookmarkEnd w:id="278"/>
      <w:bookmarkEnd w:id="279"/>
      <w:bookmarkEnd w:id="280"/>
    </w:p>
    <w:p w14:paraId="62830B04" w14:textId="4BE9CC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ՀՀ հարկաբյուջետային կանոնների ներկա համակարգը գործարկվել է ՀՀ Ազգային ժողովի կողմից 2017 թ. դեկտեմբերի 20-ին «ՀՀ բյուջետային համակարգի մասին» և «Պետական պարտքի մասին» ՀՀ օրենքներում փոփոխություններ և լրացումն</w:t>
      </w:r>
      <w:r w:rsidRPr="008B63B1">
        <w:rPr>
          <w:rFonts w:ascii="GHEA Grapalat" w:eastAsia="Times New Roman" w:hAnsi="GHEA Grapalat" w:cs="Times New Roman"/>
          <w:color w:val="404040"/>
          <w:szCs w:val="20"/>
          <w:lang w:val="hy-AM"/>
        </w:rPr>
        <w:softHyphen/>
        <w:t xml:space="preserve">եր կատարող օրենքների, ինչպես նաև ՀՀ </w:t>
      </w:r>
      <w:r w:rsidR="0047681E">
        <w:rPr>
          <w:rFonts w:ascii="GHEA Grapalat" w:eastAsia="Times New Roman" w:hAnsi="GHEA Grapalat" w:cs="Times New Roman"/>
          <w:color w:val="404040"/>
          <w:szCs w:val="20"/>
          <w:lang w:val="hy-AM"/>
        </w:rPr>
        <w:t>կ</w:t>
      </w:r>
      <w:r w:rsidRPr="008B63B1">
        <w:rPr>
          <w:rFonts w:ascii="GHEA Grapalat" w:eastAsia="Times New Roman" w:hAnsi="GHEA Grapalat" w:cs="Times New Roman"/>
          <w:color w:val="404040"/>
          <w:szCs w:val="20"/>
          <w:lang w:val="hy-AM"/>
        </w:rPr>
        <w:t>առավարության՝ 2018 թ. օգոստոսի 23-ի N 942-Ն որոշման ընդունմամբ: Կանոնների համակարգը ներառում է ծախսային կանոններ, որոնք ուժի մեջ են մտնում պարտքի սահմանված շեմերը գերազանցելիս։ Մասնավորապես.</w:t>
      </w:r>
    </w:p>
    <w:p w14:paraId="584A8D31" w14:textId="77777777" w:rsidR="00082769" w:rsidRPr="008B63B1" w:rsidRDefault="00082769" w:rsidP="00082769">
      <w:pPr>
        <w:numPr>
          <w:ilvl w:val="0"/>
          <w:numId w:val="17"/>
        </w:numPr>
        <w:ind w:left="0"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Երբ ՀՀ կառավարության պարտք/ՀՆԱ հարաբերակցությունը գերազանցում է 40%-ը, պետական բյուջեի կապիտալ ծախսերը չպետք է փոքր լինեն բյուջեի պակասուրդից:</w:t>
      </w:r>
    </w:p>
    <w:p w14:paraId="3F176A7E" w14:textId="77777777" w:rsidR="00082769" w:rsidRPr="008B63B1" w:rsidRDefault="00082769" w:rsidP="00082769">
      <w:pPr>
        <w:numPr>
          <w:ilvl w:val="0"/>
          <w:numId w:val="17"/>
        </w:numPr>
        <w:ind w:left="0"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Նախորդ տարվա վերջի ՀՀ կառավարության պարտք/ՀՆԱ հարաբերակցության՝ 50%-ը գերազանցելու և 60%-ը չգերազանցելու դեպքում նախագծով նախատեսվող ընթացիկ առաջնային ծախսերի՝ նախորդ բյուջետային տարվա փաստացի մակարդակի նկատմամբ տոկոսային աճի կեսը չի կարող գերազանցել վերջին 7 տարիների ՀՆԱ-ի միջին անվանական աճը, ինչպես նաև հաջորդ տարում կազմվող պետական միջնաժամկետ ծախսերի ծրագրում ՀՀ կառավարությունը ներկայացնում է միջոցառումների ծրագիր՝ համախառն ներքին արդյունքի նկատմամբ ՀՀ կառավարության պարտքի մակարդակի կանխատեսվող հետագիծը 5 տարիների ընթացքում 50 տոկոսից նվազեցնելու համար:</w:t>
      </w:r>
    </w:p>
    <w:p w14:paraId="005D2783" w14:textId="77777777" w:rsidR="00082769" w:rsidRPr="008B63B1" w:rsidRDefault="00082769" w:rsidP="00082769">
      <w:pPr>
        <w:numPr>
          <w:ilvl w:val="0"/>
          <w:numId w:val="17"/>
        </w:numPr>
        <w:ind w:left="0"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Երբ նախորդ տարվա վերջի ՀՀ կառավարության պարտքը գերազանցում է ՀՆԱ-ի 60%-ը, նախագծով նախատեսվող ընթացիկ առաջնային ծախսերի՝ նախորդ բյուջետային տարվա փաստացի մակարդակի նկատմամբ տոկոսային աճի կեսը չի կարող գերազանցել վերջին 7 տարիների ՀՆԱ-ի միջին անվանական աճից 0.5 տոկոսային կետով նվազեցված ցուցանիշը, ընթացիկ ծախսերը սահմանափակվում են հարկերի և տուրքերի մեծությամբ, ինչպես նաև ՀՀ կառավարությունը Ազգային ժողովի ֆինանսավարկային և բյուջետային ու տնտեսական հարցերի մշտական հանձնաժողովների քննարկմանը ներկայացնում է միջոցառումների ծրագիր՝ ՀՆԱ նկատմամբ ՀՀ կառավարության պարտքի մակարդակի կանխատեսվող հետագիծը 5 տարիների ընթացքում 60 տոկոսից նվազեցնելու համար: </w:t>
      </w:r>
    </w:p>
    <w:p w14:paraId="10C187DD" w14:textId="77777777" w:rsidR="00082769" w:rsidRPr="008B63B1" w:rsidRDefault="00082769" w:rsidP="00082769">
      <w:pPr>
        <w:numPr>
          <w:ilvl w:val="0"/>
          <w:numId w:val="17"/>
        </w:numPr>
        <w:ind w:left="0"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Ներկայացված սահմանափակումները չեն գործում ՀՀ կառավարության որոշմամբ սահմանված բացառիկ դեպքերում՝ ելնելով խոշորածավալ տարերային և տեխնածին աղետների, պատերազմական գործողությունների, տնտեսությունը խաղաղ ժամանակաշրջանից պատերազմական ժամանակաշրջանի փոխադրման, տնտեսական ցնցման հանգամանքներով պայմանավորված բացասական տնտեսական զարգացումների պարագայում:</w:t>
      </w:r>
    </w:p>
    <w:p w14:paraId="6B85D066"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b/>
          <w:color w:val="404040"/>
          <w:szCs w:val="20"/>
          <w:lang w:val="hy-AM"/>
        </w:rPr>
        <w:t>2021-2024 թվականներին հարկաբյուջետային քաղաքականությունն աստիճանաբար վերադարձել է բնականոն իրավիճակների համար գործող կանոններին համապատասխանության տիրույթ` COVID-19 համավարակի և 44-օրյա պատերազմի տնտեսական և հարկաբյուջետային հետևանքների ազդեցությամբ «բացառիկ դեպքի» կարգավորումների ակտիվացումից հետո։</w:t>
      </w:r>
      <w:r w:rsidRPr="008B63B1">
        <w:rPr>
          <w:rFonts w:ascii="GHEA Grapalat" w:eastAsia="Times New Roman" w:hAnsi="GHEA Grapalat" w:cs="Times New Roman"/>
          <w:color w:val="404040"/>
          <w:szCs w:val="20"/>
          <w:lang w:val="hy-AM"/>
        </w:rPr>
        <w:t xml:space="preserve"> Ընդ որում, 2021թ</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 xml:space="preserve">-ին, այդ հետևանքների ոչ ամբողջական հաղթահարման պայմաններում «բացառիկ դեպքի» կարգավորումները պահպանվել են, սակայն կառավարությունը կրճատել է կանոններից շեղման չափերը։ </w:t>
      </w:r>
    </w:p>
    <w:p w14:paraId="0798BA39" w14:textId="77777777" w:rsidR="00082769" w:rsidRPr="008B63B1" w:rsidRDefault="00082769" w:rsidP="00082769">
      <w:pPr>
        <w:ind w:hanging="11"/>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2022թ.-ին արդեն կապիտալ ծախսերի կանոնին համապատասխանությունը վերականգնվել է, և պետական բյուջեի կապիտալ ծախսերը գերազանցել են պետական բյուջեի պակասուրդը շուրջ 201 մլրդ ՀՀ դրամով, իսկ ընթացիկ առաջնային ծախսերի շեղման չափը կանոնից կրճատվել է 30 մլրդ ՀՀ դրամով։ 2023 թվականին պետական բյուջեի կապիտալ ծախսերը գերազանցել են պետական բյուջեի պակասուրդը շուրջ 283.7 մլրդ ՀՀ դրամով, իսկ ընթացիկ առաջնային ծախսերի շեղման չափը կանոնից կազմել է 42.6 մլրդ ՀՀ դրամ։ Կարևոր է նշել, որ ընթացիկ ծախսերի մասով շեղումները գրանցվել են տարվա ընթացքում պետական բյուջեի եկամուտների պլանի բարձրացման պայմաններում՝ համապատասխան տարիների պետական բյուջեի մասին օրենքի դրույթներին համապատասխան (ինչը թույլ է տալիս ավելացնել ծախսերը հարկային եկամուտների ավելացման պարագայում), բացի այդ՝ պլանավորված մակարդակից ծախսերի ավելացումները հիմնականում միանգամյա ծախսերի բնույթ են կրել և չեն ենթադրել երկարաժամկետ ծախսային պարտավորությունների բեռի ավելացում (օրինակ՝ Ղարաբաղից բռնի տեղահանված անձանց սոցիալական կարիքների ուղղությամբ կատարված ծախսերը), ինչի արդյունքում հաշվարկված շեղումը գնահատվում է որպես երկարաժամկետ ճնշումներ չառաջացնող և հարկաբյուջետային կայունության տեսակետից վտանգներ չի ստեղծում։</w:t>
      </w:r>
    </w:p>
    <w:p w14:paraId="092CC83E" w14:textId="77777777" w:rsidR="00082769" w:rsidRPr="008B63B1" w:rsidRDefault="00082769" w:rsidP="00082769">
      <w:pPr>
        <w:ind w:hanging="11"/>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Միաժամանակ, կառավարությունը վերականգնել է համապատասխանությունը նաև պարտքի կանոնին, հաշվի առնելով, որ 2022թ.-ի վերջի դրությամբ ՀՀ կառավարության պարտք/ՀՆԱ հարաբերակցությունը կազմել է 46.7%, իսկ 2023 և 2024 թթ</w:t>
      </w:r>
      <w:r w:rsidRPr="008B63B1">
        <w:rPr>
          <w:rFonts w:ascii="Cambria Math" w:eastAsia="Times New Roman" w:hAnsi="Cambria Math" w:cs="Cambria Math"/>
          <w:color w:val="404040"/>
          <w:lang w:val="hy-AM"/>
        </w:rPr>
        <w:t>․</w:t>
      </w:r>
      <w:r w:rsidRPr="008B63B1">
        <w:rPr>
          <w:rFonts w:ascii="GHEA Grapalat" w:eastAsia="Times New Roman" w:hAnsi="GHEA Grapalat" w:cs="Times New Roman"/>
          <w:color w:val="404040"/>
          <w:lang w:val="hy-AM"/>
        </w:rPr>
        <w:t>-ի վերջին՝ համապատասխանաբար 48</w:t>
      </w:r>
      <w:r w:rsidRPr="008B63B1">
        <w:rPr>
          <w:rFonts w:ascii="Cambria Math" w:eastAsia="Times New Roman" w:hAnsi="Cambria Math" w:cs="Cambria Math"/>
          <w:color w:val="404040"/>
          <w:lang w:val="hy-AM"/>
        </w:rPr>
        <w:t>․</w:t>
      </w:r>
      <w:r w:rsidRPr="008B63B1">
        <w:rPr>
          <w:rFonts w:ascii="GHEA Grapalat" w:eastAsia="Times New Roman" w:hAnsi="GHEA Grapalat" w:cs="Times New Roman"/>
          <w:color w:val="404040"/>
          <w:lang w:val="hy-AM"/>
        </w:rPr>
        <w:t>2% և 47.7%` ցածր լինելով 50%-ի շեմից՝ այդպիսով ոչ միայն ապահովելով ՀՀ կառավարության պարտքի նվազեցման 2022-2026թթ. վերանայված ծրագրի թիրախը, այլ նաև նվազեցնելով պարտքը դեպի ապահով մակարդակներ։</w:t>
      </w:r>
    </w:p>
    <w:p w14:paraId="160ABA75" w14:textId="55A6F9B0" w:rsidR="00082769" w:rsidRPr="008B63B1" w:rsidRDefault="00082769" w:rsidP="00082769">
      <w:pPr>
        <w:ind w:hanging="11"/>
        <w:jc w:val="both"/>
        <w:rPr>
          <w:rFonts w:ascii="GHEA Grapalat" w:eastAsia="Times New Roman" w:hAnsi="GHEA Grapalat" w:cs="Times New Roman"/>
          <w:bCs/>
          <w:color w:val="404040"/>
          <w:szCs w:val="20"/>
          <w:lang w:val="hy-AM"/>
        </w:rPr>
      </w:pPr>
      <w:r w:rsidRPr="008B63B1">
        <w:rPr>
          <w:rFonts w:ascii="GHEA Grapalat" w:eastAsia="Times New Roman" w:hAnsi="GHEA Grapalat" w:cs="Times New Roman"/>
          <w:b/>
          <w:bCs/>
          <w:color w:val="404040"/>
          <w:lang w:val="hy-AM"/>
        </w:rPr>
        <w:t>2025 թվականից հարկաբյուջետային քաղաքականությունը մուտք է գործել կանոններով սահմանափակման առավել մեղմ տիրույթ։</w:t>
      </w:r>
      <w:r w:rsidRPr="008B63B1">
        <w:rPr>
          <w:rFonts w:ascii="GHEA Grapalat" w:eastAsia="Times New Roman" w:hAnsi="GHEA Grapalat" w:cs="Times New Roman"/>
          <w:color w:val="404040"/>
          <w:lang w:val="hy-AM"/>
        </w:rPr>
        <w:t xml:space="preserve"> </w:t>
      </w:r>
      <w:r w:rsidR="0047681E">
        <w:rPr>
          <w:rFonts w:ascii="GHEA Grapalat" w:eastAsia="Times New Roman" w:hAnsi="GHEA Grapalat" w:cs="Times New Roman"/>
          <w:color w:val="404040"/>
          <w:lang w:val="hy-AM"/>
        </w:rPr>
        <w:t>ՀՀ կ</w:t>
      </w:r>
      <w:r w:rsidRPr="008B63B1">
        <w:rPr>
          <w:rFonts w:ascii="GHEA Grapalat" w:eastAsia="Times New Roman" w:hAnsi="GHEA Grapalat" w:cs="Times New Roman"/>
          <w:color w:val="404040"/>
          <w:lang w:val="hy-AM"/>
        </w:rPr>
        <w:t xml:space="preserve">առավարության պարտք/ՀՆԱ ցուցանիշի նվազումը, ընդհուպ մինչև 47.2%, հարկաբյուջետային քաղաքականությունը տեղափոխել է կանոններով սահմանափակման առավել մեղմ ռեժիմների՝ թույլ տալով վարել առավել ճկուն հարկաբյուջետային քաղաքականություն ընթացիկ ծախսերի մասով, սակայն պահպանելով «ոսկե կանոններին» համապատասխանությունը։ </w:t>
      </w:r>
    </w:p>
    <w:p w14:paraId="349FDC5E" w14:textId="77777777" w:rsidR="00082769" w:rsidRPr="001D56CB" w:rsidRDefault="00082769" w:rsidP="001D56CB">
      <w:pPr>
        <w:pStyle w:val="Charts"/>
        <w:ind w:right="-22"/>
        <w:rPr>
          <w:b w:val="0"/>
          <w:bCs/>
          <w:color w:val="auto"/>
          <w:sz w:val="20"/>
          <w:szCs w:val="18"/>
        </w:rPr>
      </w:pPr>
      <w:r w:rsidRPr="001D56CB">
        <w:rPr>
          <w:b w:val="0"/>
          <w:bCs/>
          <w:color w:val="auto"/>
          <w:sz w:val="20"/>
          <w:szCs w:val="18"/>
        </w:rPr>
        <w:t>Աղյուսակ 2.3. Փաստացի և ծրագրավորված հարկաբյուջետային քաղաքականության համապատասխանությունը հարկաբյուջետային կանոններին</w:t>
      </w:r>
    </w:p>
    <w:tbl>
      <w:tblPr>
        <w:tblW w:w="9726" w:type="dxa"/>
        <w:tblBorders>
          <w:top w:val="single" w:sz="4" w:space="0" w:color="E1E1E3"/>
          <w:left w:val="single" w:sz="4" w:space="0" w:color="E1E1E3"/>
          <w:bottom w:val="single" w:sz="4" w:space="0" w:color="E1E1E3"/>
          <w:right w:val="single" w:sz="4" w:space="0" w:color="E1E1E3"/>
          <w:insideH w:val="single" w:sz="4" w:space="0" w:color="E1E1E3"/>
          <w:insideV w:val="single" w:sz="4" w:space="0" w:color="E1E1E3"/>
        </w:tblBorders>
        <w:tblLook w:val="04A0" w:firstRow="1" w:lastRow="0" w:firstColumn="1" w:lastColumn="0" w:noHBand="0" w:noVBand="1"/>
      </w:tblPr>
      <w:tblGrid>
        <w:gridCol w:w="690"/>
        <w:gridCol w:w="1075"/>
        <w:gridCol w:w="2215"/>
        <w:gridCol w:w="2131"/>
        <w:gridCol w:w="2046"/>
        <w:gridCol w:w="1569"/>
      </w:tblGrid>
      <w:tr w:rsidR="00082769" w:rsidRPr="008B63B1" w14:paraId="6F53ED81" w14:textId="77777777" w:rsidTr="00873AE6">
        <w:trPr>
          <w:trHeight w:val="20"/>
        </w:trPr>
        <w:tc>
          <w:tcPr>
            <w:tcW w:w="1765" w:type="dxa"/>
            <w:gridSpan w:val="2"/>
            <w:tcBorders>
              <w:top w:val="single" w:sz="4" w:space="0" w:color="E1E1E3"/>
              <w:left w:val="single" w:sz="4" w:space="0" w:color="E1E1E3"/>
              <w:bottom w:val="single" w:sz="4" w:space="0" w:color="E1E1E3"/>
              <w:right w:val="single" w:sz="4" w:space="0" w:color="E1E1E3"/>
            </w:tcBorders>
            <w:shd w:val="clear" w:color="auto" w:fill="D5DCE4"/>
            <w:noWrap/>
            <w:vAlign w:val="center"/>
            <w:hideMark/>
          </w:tcPr>
          <w:p w14:paraId="73D5CF06" w14:textId="77777777" w:rsidR="00082769" w:rsidRPr="008B63B1" w:rsidRDefault="00082769" w:rsidP="00082769">
            <w:pPr>
              <w:spacing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Կանոնի ցուցանիշ</w:t>
            </w:r>
          </w:p>
        </w:tc>
        <w:tc>
          <w:tcPr>
            <w:tcW w:w="2215" w:type="dxa"/>
            <w:tcBorders>
              <w:top w:val="single" w:sz="4" w:space="0" w:color="E1E1E3"/>
              <w:left w:val="single" w:sz="4" w:space="0" w:color="E1E1E3"/>
              <w:bottom w:val="single" w:sz="4" w:space="0" w:color="E1E1E3"/>
              <w:right w:val="single" w:sz="4" w:space="0" w:color="E1E1E3"/>
            </w:tcBorders>
            <w:shd w:val="clear" w:color="auto" w:fill="D5DCE4"/>
            <w:noWrap/>
            <w:hideMark/>
          </w:tcPr>
          <w:p w14:paraId="6C7400F4" w14:textId="77777777" w:rsidR="00082769" w:rsidRPr="008B63B1" w:rsidRDefault="00082769" w:rsidP="00082769">
            <w:pPr>
              <w:spacing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Պետական բյուջեի ոչ ֆինանսական ակտիվների գծով ծախսեր</w:t>
            </w:r>
          </w:p>
        </w:tc>
        <w:tc>
          <w:tcPr>
            <w:tcW w:w="2131" w:type="dxa"/>
            <w:tcBorders>
              <w:top w:val="single" w:sz="4" w:space="0" w:color="E1E1E3"/>
              <w:left w:val="single" w:sz="4" w:space="0" w:color="E1E1E3"/>
              <w:bottom w:val="single" w:sz="4" w:space="0" w:color="E1E1E3"/>
              <w:right w:val="single" w:sz="4" w:space="0" w:color="E1E1E3"/>
            </w:tcBorders>
            <w:shd w:val="clear" w:color="auto" w:fill="D5DCE4"/>
            <w:noWrap/>
            <w:hideMark/>
          </w:tcPr>
          <w:p w14:paraId="39558082" w14:textId="77777777" w:rsidR="00082769" w:rsidRPr="008B63B1" w:rsidRDefault="00082769" w:rsidP="00082769">
            <w:pPr>
              <w:spacing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Ընթացիկ առաջնային ծախսերի տոկոսային աճ</w:t>
            </w:r>
          </w:p>
        </w:tc>
        <w:tc>
          <w:tcPr>
            <w:tcW w:w="2046" w:type="dxa"/>
            <w:tcBorders>
              <w:top w:val="single" w:sz="4" w:space="0" w:color="E1E1E3"/>
              <w:left w:val="single" w:sz="4" w:space="0" w:color="E1E1E3"/>
              <w:bottom w:val="single" w:sz="4" w:space="0" w:color="E1E1E3"/>
              <w:right w:val="single" w:sz="4" w:space="0" w:color="E1E1E3"/>
            </w:tcBorders>
            <w:shd w:val="clear" w:color="auto" w:fill="D5DCE4"/>
            <w:hideMark/>
          </w:tcPr>
          <w:p w14:paraId="202FDC69" w14:textId="77777777" w:rsidR="00082769" w:rsidRPr="008B63B1" w:rsidRDefault="00082769" w:rsidP="00082769">
            <w:pPr>
              <w:spacing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Պետական բյուջեի ընթացիկ ծախսեր</w:t>
            </w:r>
          </w:p>
        </w:tc>
        <w:tc>
          <w:tcPr>
            <w:tcW w:w="1569" w:type="dxa"/>
            <w:vMerge w:val="restart"/>
            <w:tcBorders>
              <w:left w:val="single" w:sz="4" w:space="0" w:color="E1E1E3"/>
            </w:tcBorders>
            <w:shd w:val="clear" w:color="auto" w:fill="D5DCE4"/>
            <w:noWrap/>
            <w:vAlign w:val="center"/>
            <w:hideMark/>
          </w:tcPr>
          <w:p w14:paraId="6727722C" w14:textId="77777777" w:rsidR="00082769" w:rsidRPr="008B63B1" w:rsidRDefault="00082769" w:rsidP="00082769">
            <w:pPr>
              <w:ind w:hanging="11"/>
              <w:jc w:val="center"/>
              <w:rPr>
                <w:rFonts w:ascii="GHEA Grapalat" w:eastAsia="Times New Roman" w:hAnsi="GHEA Grapalat" w:cs="Calibri"/>
                <w:color w:val="404040"/>
                <w:sz w:val="16"/>
                <w:szCs w:val="16"/>
              </w:rPr>
            </w:pPr>
            <w:r w:rsidRPr="008B63B1">
              <w:rPr>
                <w:rFonts w:ascii="GHEA Grapalat" w:eastAsia="Times New Roman" w:hAnsi="GHEA Grapalat" w:cs="Calibri"/>
                <w:color w:val="404040"/>
                <w:sz w:val="16"/>
                <w:szCs w:val="16"/>
              </w:rPr>
              <w:t>Կառավարության պարտք/ՀՆԱ, %</w:t>
            </w:r>
          </w:p>
        </w:tc>
      </w:tr>
      <w:tr w:rsidR="00082769" w:rsidRPr="008B63B1" w14:paraId="3758295E" w14:textId="77777777" w:rsidTr="00873AE6">
        <w:trPr>
          <w:trHeight w:val="20"/>
        </w:trPr>
        <w:tc>
          <w:tcPr>
            <w:tcW w:w="1765" w:type="dxa"/>
            <w:gridSpan w:val="2"/>
            <w:tcBorders>
              <w:top w:val="single" w:sz="4" w:space="0" w:color="E1E1E3"/>
              <w:left w:val="single" w:sz="4" w:space="0" w:color="E1E1E3"/>
              <w:bottom w:val="single" w:sz="4" w:space="0" w:color="E1E1E3"/>
              <w:right w:val="single" w:sz="4" w:space="0" w:color="E1E1E3"/>
            </w:tcBorders>
            <w:shd w:val="clear" w:color="auto" w:fill="D5DCE4"/>
            <w:noWrap/>
            <w:vAlign w:val="center"/>
            <w:hideMark/>
          </w:tcPr>
          <w:p w14:paraId="01CB60CF" w14:textId="77777777" w:rsidR="00082769" w:rsidRPr="008B63B1" w:rsidRDefault="00082769" w:rsidP="00082769">
            <w:pPr>
              <w:spacing w:line="240" w:lineRule="auto"/>
              <w:ind w:hanging="11"/>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Ուղենիշային ցուցանիշ</w:t>
            </w:r>
          </w:p>
        </w:tc>
        <w:tc>
          <w:tcPr>
            <w:tcW w:w="2215" w:type="dxa"/>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724D8AE3" w14:textId="77777777" w:rsidR="00082769" w:rsidRPr="008B63B1" w:rsidRDefault="00082769" w:rsidP="00082769">
            <w:pPr>
              <w:spacing w:line="240" w:lineRule="auto"/>
              <w:ind w:hanging="11"/>
              <w:rPr>
                <w:rFonts w:ascii="GHEA Grapalat" w:eastAsia="Times New Roman" w:hAnsi="GHEA Grapalat" w:cs="Calibri"/>
                <w:i/>
                <w:color w:val="6B6C74"/>
                <w:sz w:val="14"/>
                <w:szCs w:val="14"/>
              </w:rPr>
            </w:pPr>
            <w:r w:rsidRPr="008B63B1">
              <w:rPr>
                <w:rFonts w:ascii="GHEA Grapalat" w:eastAsia="Times New Roman" w:hAnsi="GHEA Grapalat" w:cs="Calibri"/>
                <w:i/>
                <w:color w:val="6B6C74"/>
                <w:sz w:val="14"/>
                <w:szCs w:val="14"/>
              </w:rPr>
              <w:t>≥ պետական բյուջեի պակասուրդ, մլրդ ՀՀ դրամ</w:t>
            </w:r>
          </w:p>
        </w:tc>
        <w:tc>
          <w:tcPr>
            <w:tcW w:w="2131" w:type="dxa"/>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23D60E52" w14:textId="77777777" w:rsidR="00082769" w:rsidRPr="008B63B1" w:rsidRDefault="00082769" w:rsidP="00082769">
            <w:pPr>
              <w:spacing w:line="240" w:lineRule="auto"/>
              <w:ind w:hanging="11"/>
              <w:rPr>
                <w:rFonts w:ascii="GHEA Grapalat" w:eastAsia="Times New Roman" w:hAnsi="GHEA Grapalat" w:cs="Calibri"/>
                <w:i/>
                <w:color w:val="6B6C74"/>
                <w:sz w:val="14"/>
                <w:szCs w:val="14"/>
              </w:rPr>
            </w:pPr>
            <w:r w:rsidRPr="008B63B1">
              <w:rPr>
                <w:rFonts w:ascii="GHEA Grapalat" w:eastAsia="Times New Roman" w:hAnsi="GHEA Grapalat" w:cs="Calibri"/>
                <w:i/>
                <w:color w:val="6B6C74"/>
                <w:sz w:val="14"/>
                <w:szCs w:val="14"/>
              </w:rPr>
              <w:t>≤ վերջին 7 տարիների անվանական ՀՆԱ-ի միջին աճ, % (պարտք/ՀՆԱ &gt;60% դեպքում՝ հանած 0.5 տոկոսային կետ)</w:t>
            </w:r>
          </w:p>
        </w:tc>
        <w:tc>
          <w:tcPr>
            <w:tcW w:w="2046" w:type="dxa"/>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65F020E6" w14:textId="77777777" w:rsidR="00082769" w:rsidRPr="008B63B1" w:rsidRDefault="00082769" w:rsidP="00082769">
            <w:pPr>
              <w:spacing w:line="240" w:lineRule="auto"/>
              <w:ind w:hanging="11"/>
              <w:rPr>
                <w:rFonts w:ascii="GHEA Grapalat" w:eastAsia="Times New Roman" w:hAnsi="GHEA Grapalat" w:cs="Calibri"/>
                <w:i/>
                <w:color w:val="6B6C74"/>
                <w:sz w:val="14"/>
                <w:szCs w:val="14"/>
              </w:rPr>
            </w:pPr>
            <w:r w:rsidRPr="008B63B1">
              <w:rPr>
                <w:rFonts w:ascii="GHEA Grapalat" w:eastAsia="Times New Roman" w:hAnsi="GHEA Grapalat" w:cs="Calibri"/>
                <w:i/>
                <w:color w:val="6B6C74"/>
                <w:sz w:val="14"/>
                <w:szCs w:val="14"/>
              </w:rPr>
              <w:t>≤ հարկային եկամուտներ և պետական տուրքեր, մլրդ ՀՀ դրամ</w:t>
            </w:r>
          </w:p>
        </w:tc>
        <w:tc>
          <w:tcPr>
            <w:tcW w:w="1569" w:type="dxa"/>
            <w:vMerge/>
            <w:tcBorders>
              <w:left w:val="single" w:sz="4" w:space="0" w:color="E1E1E3"/>
            </w:tcBorders>
            <w:shd w:val="clear" w:color="auto" w:fill="D9E2F3"/>
            <w:noWrap/>
            <w:vAlign w:val="center"/>
            <w:hideMark/>
          </w:tcPr>
          <w:p w14:paraId="482B11D6"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p>
        </w:tc>
      </w:tr>
      <w:tr w:rsidR="00082769" w:rsidRPr="008B63B1" w14:paraId="68F77B67" w14:textId="77777777" w:rsidTr="00873AE6">
        <w:trPr>
          <w:trHeight w:val="432"/>
        </w:trPr>
        <w:tc>
          <w:tcPr>
            <w:tcW w:w="690" w:type="dxa"/>
            <w:vMerge w:val="restart"/>
            <w:tcBorders>
              <w:top w:val="single" w:sz="4" w:space="0" w:color="E1E1E3"/>
            </w:tcBorders>
            <w:noWrap/>
            <w:vAlign w:val="center"/>
          </w:tcPr>
          <w:p w14:paraId="4C37C0D5"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r w:rsidRPr="008B63B1">
              <w:rPr>
                <w:rFonts w:ascii="GHEA Grapalat" w:eastAsia="Times New Roman" w:hAnsi="GHEA Grapalat" w:cs="Times New Roman"/>
                <w:sz w:val="18"/>
                <w:szCs w:val="18"/>
              </w:rPr>
              <w:t>2021</w:t>
            </w:r>
          </w:p>
        </w:tc>
        <w:tc>
          <w:tcPr>
            <w:tcW w:w="1075" w:type="dxa"/>
            <w:tcBorders>
              <w:top w:val="single" w:sz="4" w:space="0" w:color="E1E1E3"/>
            </w:tcBorders>
            <w:noWrap/>
            <w:vAlign w:val="center"/>
          </w:tcPr>
          <w:p w14:paraId="11ED8260"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Սահման.</w:t>
            </w:r>
          </w:p>
        </w:tc>
        <w:tc>
          <w:tcPr>
            <w:tcW w:w="2215" w:type="dxa"/>
            <w:tcBorders>
              <w:top w:val="single" w:sz="4" w:space="0" w:color="E1E1E3"/>
            </w:tcBorders>
            <w:noWrap/>
            <w:vAlign w:val="bottom"/>
          </w:tcPr>
          <w:p w14:paraId="5FAF4BEE"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321.0</w:t>
            </w:r>
          </w:p>
        </w:tc>
        <w:tc>
          <w:tcPr>
            <w:tcW w:w="2131" w:type="dxa"/>
            <w:tcBorders>
              <w:top w:val="single" w:sz="4" w:space="0" w:color="E1E1E3"/>
            </w:tcBorders>
            <w:noWrap/>
            <w:vAlign w:val="bottom"/>
          </w:tcPr>
          <w:p w14:paraId="6300C5FF"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6.3</w:t>
            </w:r>
          </w:p>
        </w:tc>
        <w:tc>
          <w:tcPr>
            <w:tcW w:w="2046" w:type="dxa"/>
            <w:tcBorders>
              <w:top w:val="single" w:sz="4" w:space="0" w:color="E1E1E3"/>
            </w:tcBorders>
            <w:noWrap/>
            <w:vAlign w:val="bottom"/>
          </w:tcPr>
          <w:p w14:paraId="2FB8ADFD"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w:t>
            </w:r>
          </w:p>
        </w:tc>
        <w:tc>
          <w:tcPr>
            <w:tcW w:w="1569" w:type="dxa"/>
            <w:noWrap/>
            <w:vAlign w:val="bottom"/>
          </w:tcPr>
          <w:p w14:paraId="5AF7A165"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60.2</w:t>
            </w:r>
          </w:p>
        </w:tc>
      </w:tr>
      <w:tr w:rsidR="00082769" w:rsidRPr="008B63B1" w14:paraId="4287AF61" w14:textId="77777777" w:rsidTr="00873AE6">
        <w:trPr>
          <w:trHeight w:val="432"/>
        </w:trPr>
        <w:tc>
          <w:tcPr>
            <w:tcW w:w="690" w:type="dxa"/>
            <w:vMerge/>
            <w:noWrap/>
            <w:vAlign w:val="center"/>
          </w:tcPr>
          <w:p w14:paraId="794604D7"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p>
        </w:tc>
        <w:tc>
          <w:tcPr>
            <w:tcW w:w="1075" w:type="dxa"/>
            <w:noWrap/>
            <w:vAlign w:val="center"/>
          </w:tcPr>
          <w:p w14:paraId="0E34B7ED"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Պլան</w:t>
            </w:r>
          </w:p>
        </w:tc>
        <w:tc>
          <w:tcPr>
            <w:tcW w:w="2215" w:type="dxa"/>
            <w:noWrap/>
            <w:vAlign w:val="bottom"/>
          </w:tcPr>
          <w:p w14:paraId="1780B07A"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216.0</w:t>
            </w:r>
          </w:p>
        </w:tc>
        <w:tc>
          <w:tcPr>
            <w:tcW w:w="2131" w:type="dxa"/>
            <w:noWrap/>
            <w:vAlign w:val="bottom"/>
          </w:tcPr>
          <w:p w14:paraId="3EFF06B2"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12.8</w:t>
            </w:r>
          </w:p>
        </w:tc>
        <w:tc>
          <w:tcPr>
            <w:tcW w:w="2046" w:type="dxa"/>
            <w:noWrap/>
            <w:vAlign w:val="bottom"/>
          </w:tcPr>
          <w:p w14:paraId="58B0B45A"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1810.7</w:t>
            </w:r>
          </w:p>
        </w:tc>
        <w:tc>
          <w:tcPr>
            <w:tcW w:w="1569" w:type="dxa"/>
            <w:noWrap/>
            <w:vAlign w:val="bottom"/>
          </w:tcPr>
          <w:p w14:paraId="0E03CACC"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p>
        </w:tc>
      </w:tr>
      <w:tr w:rsidR="00082769" w:rsidRPr="008B63B1" w14:paraId="7B2676C9" w14:textId="77777777" w:rsidTr="00873AE6">
        <w:trPr>
          <w:trHeight w:val="432"/>
        </w:trPr>
        <w:tc>
          <w:tcPr>
            <w:tcW w:w="690" w:type="dxa"/>
            <w:vMerge w:val="restart"/>
            <w:noWrap/>
            <w:vAlign w:val="center"/>
          </w:tcPr>
          <w:p w14:paraId="6A5FE9B6"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r w:rsidRPr="008B63B1">
              <w:rPr>
                <w:rFonts w:ascii="GHEA Grapalat" w:eastAsia="Times New Roman" w:hAnsi="GHEA Grapalat" w:cs="Times New Roman"/>
                <w:sz w:val="18"/>
                <w:szCs w:val="18"/>
              </w:rPr>
              <w:t>2022</w:t>
            </w:r>
          </w:p>
        </w:tc>
        <w:tc>
          <w:tcPr>
            <w:tcW w:w="1075" w:type="dxa"/>
            <w:noWrap/>
            <w:vAlign w:val="center"/>
          </w:tcPr>
          <w:p w14:paraId="7C95E446"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Սահման.</w:t>
            </w:r>
          </w:p>
        </w:tc>
        <w:tc>
          <w:tcPr>
            <w:tcW w:w="2215" w:type="dxa"/>
            <w:noWrap/>
            <w:vAlign w:val="bottom"/>
          </w:tcPr>
          <w:p w14:paraId="1D63469F"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180.0</w:t>
            </w:r>
          </w:p>
        </w:tc>
        <w:tc>
          <w:tcPr>
            <w:tcW w:w="2131" w:type="dxa"/>
            <w:noWrap/>
            <w:vAlign w:val="bottom"/>
          </w:tcPr>
          <w:p w14:paraId="0498F88A"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4.1</w:t>
            </w:r>
          </w:p>
        </w:tc>
        <w:tc>
          <w:tcPr>
            <w:tcW w:w="2046" w:type="dxa"/>
            <w:noWrap/>
            <w:vAlign w:val="bottom"/>
          </w:tcPr>
          <w:p w14:paraId="7B837123"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1926.0</w:t>
            </w:r>
          </w:p>
        </w:tc>
        <w:tc>
          <w:tcPr>
            <w:tcW w:w="1569" w:type="dxa"/>
            <w:noWrap/>
            <w:vAlign w:val="bottom"/>
          </w:tcPr>
          <w:p w14:paraId="7C9855F4"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46.7</w:t>
            </w:r>
          </w:p>
        </w:tc>
      </w:tr>
      <w:tr w:rsidR="00082769" w:rsidRPr="008B63B1" w14:paraId="72BEC41C" w14:textId="77777777" w:rsidTr="00873AE6">
        <w:trPr>
          <w:trHeight w:val="432"/>
        </w:trPr>
        <w:tc>
          <w:tcPr>
            <w:tcW w:w="690" w:type="dxa"/>
            <w:vMerge/>
            <w:noWrap/>
            <w:vAlign w:val="center"/>
          </w:tcPr>
          <w:p w14:paraId="0DA7F4AF"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p>
        </w:tc>
        <w:tc>
          <w:tcPr>
            <w:tcW w:w="1075" w:type="dxa"/>
            <w:noWrap/>
            <w:vAlign w:val="center"/>
          </w:tcPr>
          <w:p w14:paraId="7F629432"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Պլան</w:t>
            </w:r>
          </w:p>
        </w:tc>
        <w:tc>
          <w:tcPr>
            <w:tcW w:w="2215" w:type="dxa"/>
            <w:noWrap/>
            <w:vAlign w:val="bottom"/>
          </w:tcPr>
          <w:p w14:paraId="03DC2BF8"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380.0</w:t>
            </w:r>
          </w:p>
        </w:tc>
        <w:tc>
          <w:tcPr>
            <w:tcW w:w="2131" w:type="dxa"/>
            <w:noWrap/>
            <w:vAlign w:val="bottom"/>
          </w:tcPr>
          <w:p w14:paraId="308F687D"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5.3</w:t>
            </w:r>
          </w:p>
        </w:tc>
        <w:tc>
          <w:tcPr>
            <w:tcW w:w="2046" w:type="dxa"/>
            <w:noWrap/>
            <w:vAlign w:val="bottom"/>
          </w:tcPr>
          <w:p w14:paraId="08A86160"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1898.7</w:t>
            </w:r>
          </w:p>
        </w:tc>
        <w:tc>
          <w:tcPr>
            <w:tcW w:w="1569" w:type="dxa"/>
            <w:noWrap/>
            <w:vAlign w:val="bottom"/>
          </w:tcPr>
          <w:p w14:paraId="3EAC4ACF"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p>
        </w:tc>
      </w:tr>
      <w:tr w:rsidR="00082769" w:rsidRPr="008B63B1" w14:paraId="0E110DFC" w14:textId="77777777" w:rsidTr="00873AE6">
        <w:trPr>
          <w:trHeight w:val="432"/>
        </w:trPr>
        <w:tc>
          <w:tcPr>
            <w:tcW w:w="690" w:type="dxa"/>
            <w:vMerge w:val="restart"/>
            <w:noWrap/>
            <w:vAlign w:val="center"/>
            <w:hideMark/>
          </w:tcPr>
          <w:p w14:paraId="1B764901"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r w:rsidRPr="008B63B1">
              <w:rPr>
                <w:rFonts w:ascii="GHEA Grapalat" w:eastAsia="Times New Roman" w:hAnsi="GHEA Grapalat" w:cs="Times New Roman"/>
                <w:sz w:val="18"/>
                <w:szCs w:val="18"/>
              </w:rPr>
              <w:t>2023</w:t>
            </w:r>
          </w:p>
        </w:tc>
        <w:tc>
          <w:tcPr>
            <w:tcW w:w="1075" w:type="dxa"/>
            <w:noWrap/>
            <w:vAlign w:val="center"/>
            <w:hideMark/>
          </w:tcPr>
          <w:p w14:paraId="23DB7552"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Սահման.</w:t>
            </w:r>
          </w:p>
        </w:tc>
        <w:tc>
          <w:tcPr>
            <w:tcW w:w="2215" w:type="dxa"/>
            <w:noWrap/>
            <w:vAlign w:val="bottom"/>
            <w:hideMark/>
          </w:tcPr>
          <w:p w14:paraId="353088FB"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274.0</w:t>
            </w:r>
          </w:p>
        </w:tc>
        <w:tc>
          <w:tcPr>
            <w:tcW w:w="2131" w:type="dxa"/>
            <w:noWrap/>
            <w:vAlign w:val="bottom"/>
            <w:hideMark/>
          </w:tcPr>
          <w:p w14:paraId="2203D5E2"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5.1</w:t>
            </w:r>
          </w:p>
        </w:tc>
        <w:tc>
          <w:tcPr>
            <w:tcW w:w="2046" w:type="dxa"/>
            <w:noWrap/>
            <w:vAlign w:val="bottom"/>
            <w:hideMark/>
          </w:tcPr>
          <w:p w14:paraId="08310AA2"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2235.0</w:t>
            </w:r>
          </w:p>
        </w:tc>
        <w:tc>
          <w:tcPr>
            <w:tcW w:w="1569" w:type="dxa"/>
            <w:noWrap/>
            <w:vAlign w:val="bottom"/>
            <w:hideMark/>
          </w:tcPr>
          <w:p w14:paraId="5C719FEC"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48.2</w:t>
            </w:r>
          </w:p>
        </w:tc>
      </w:tr>
      <w:tr w:rsidR="00082769" w:rsidRPr="008B63B1" w14:paraId="04040B8D" w14:textId="77777777" w:rsidTr="00873AE6">
        <w:trPr>
          <w:trHeight w:val="432"/>
        </w:trPr>
        <w:tc>
          <w:tcPr>
            <w:tcW w:w="690" w:type="dxa"/>
            <w:vMerge/>
            <w:noWrap/>
            <w:vAlign w:val="center"/>
            <w:hideMark/>
          </w:tcPr>
          <w:p w14:paraId="3F522994"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p>
        </w:tc>
        <w:tc>
          <w:tcPr>
            <w:tcW w:w="1075" w:type="dxa"/>
            <w:noWrap/>
            <w:vAlign w:val="center"/>
            <w:hideMark/>
          </w:tcPr>
          <w:p w14:paraId="4E11F2F9"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Պլան</w:t>
            </w:r>
          </w:p>
        </w:tc>
        <w:tc>
          <w:tcPr>
            <w:tcW w:w="2215" w:type="dxa"/>
            <w:noWrap/>
            <w:vAlign w:val="bottom"/>
            <w:hideMark/>
          </w:tcPr>
          <w:p w14:paraId="21A31CFD"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494.4</w:t>
            </w:r>
          </w:p>
        </w:tc>
        <w:tc>
          <w:tcPr>
            <w:tcW w:w="2131" w:type="dxa"/>
            <w:noWrap/>
            <w:vAlign w:val="bottom"/>
            <w:hideMark/>
          </w:tcPr>
          <w:p w14:paraId="099BEA48"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5.9</w:t>
            </w:r>
          </w:p>
        </w:tc>
        <w:tc>
          <w:tcPr>
            <w:tcW w:w="2046" w:type="dxa"/>
            <w:noWrap/>
            <w:vAlign w:val="bottom"/>
            <w:hideMark/>
          </w:tcPr>
          <w:p w14:paraId="3D7793DD"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2127.0</w:t>
            </w:r>
          </w:p>
        </w:tc>
        <w:tc>
          <w:tcPr>
            <w:tcW w:w="1569" w:type="dxa"/>
            <w:noWrap/>
            <w:vAlign w:val="bottom"/>
            <w:hideMark/>
          </w:tcPr>
          <w:p w14:paraId="2F70589B"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p>
        </w:tc>
      </w:tr>
      <w:tr w:rsidR="00082769" w:rsidRPr="008B63B1" w14:paraId="3E8D3EE1" w14:textId="77777777" w:rsidTr="00873AE6">
        <w:trPr>
          <w:trHeight w:val="432"/>
        </w:trPr>
        <w:tc>
          <w:tcPr>
            <w:tcW w:w="690" w:type="dxa"/>
            <w:vMerge w:val="restart"/>
            <w:noWrap/>
            <w:vAlign w:val="center"/>
            <w:hideMark/>
          </w:tcPr>
          <w:p w14:paraId="2A3BE083"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r w:rsidRPr="008B63B1">
              <w:rPr>
                <w:rFonts w:ascii="GHEA Grapalat" w:eastAsia="Times New Roman" w:hAnsi="GHEA Grapalat" w:cs="Times New Roman"/>
                <w:sz w:val="18"/>
                <w:szCs w:val="18"/>
              </w:rPr>
              <w:t>2024</w:t>
            </w:r>
          </w:p>
        </w:tc>
        <w:tc>
          <w:tcPr>
            <w:tcW w:w="1075" w:type="dxa"/>
            <w:noWrap/>
            <w:vAlign w:val="center"/>
            <w:hideMark/>
          </w:tcPr>
          <w:p w14:paraId="5620D595"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Սահման.</w:t>
            </w:r>
          </w:p>
        </w:tc>
        <w:tc>
          <w:tcPr>
            <w:tcW w:w="2215" w:type="dxa"/>
            <w:noWrap/>
            <w:vAlign w:val="bottom"/>
            <w:hideMark/>
          </w:tcPr>
          <w:p w14:paraId="44AEA6B8"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376.1</w:t>
            </w:r>
          </w:p>
        </w:tc>
        <w:tc>
          <w:tcPr>
            <w:tcW w:w="2131" w:type="dxa"/>
            <w:noWrap/>
            <w:vAlign w:val="bottom"/>
            <w:hideMark/>
          </w:tcPr>
          <w:p w14:paraId="7B3EC8C4"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w:t>
            </w:r>
          </w:p>
        </w:tc>
        <w:tc>
          <w:tcPr>
            <w:tcW w:w="2046" w:type="dxa"/>
            <w:noWrap/>
            <w:vAlign w:val="bottom"/>
            <w:hideMark/>
          </w:tcPr>
          <w:p w14:paraId="32A904EF"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w:t>
            </w:r>
          </w:p>
        </w:tc>
        <w:tc>
          <w:tcPr>
            <w:tcW w:w="1569" w:type="dxa"/>
            <w:noWrap/>
            <w:vAlign w:val="bottom"/>
            <w:hideMark/>
          </w:tcPr>
          <w:p w14:paraId="192F16E0"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47.7</w:t>
            </w:r>
          </w:p>
        </w:tc>
      </w:tr>
      <w:tr w:rsidR="00082769" w:rsidRPr="008B63B1" w14:paraId="5FE9225D" w14:textId="77777777" w:rsidTr="00873AE6">
        <w:trPr>
          <w:trHeight w:val="432"/>
        </w:trPr>
        <w:tc>
          <w:tcPr>
            <w:tcW w:w="690" w:type="dxa"/>
            <w:vMerge/>
            <w:noWrap/>
            <w:vAlign w:val="center"/>
            <w:hideMark/>
          </w:tcPr>
          <w:p w14:paraId="4BB21DB9"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p>
        </w:tc>
        <w:tc>
          <w:tcPr>
            <w:tcW w:w="1075" w:type="dxa"/>
            <w:noWrap/>
            <w:vAlign w:val="center"/>
            <w:hideMark/>
          </w:tcPr>
          <w:p w14:paraId="0B2B0FD6"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Պլան</w:t>
            </w:r>
          </w:p>
        </w:tc>
        <w:tc>
          <w:tcPr>
            <w:tcW w:w="2215" w:type="dxa"/>
            <w:noWrap/>
            <w:vAlign w:val="bottom"/>
            <w:hideMark/>
          </w:tcPr>
          <w:p w14:paraId="0E0B3F1D"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557.8</w:t>
            </w:r>
          </w:p>
        </w:tc>
        <w:tc>
          <w:tcPr>
            <w:tcW w:w="2131" w:type="dxa"/>
            <w:noWrap/>
            <w:vAlign w:val="bottom"/>
            <w:hideMark/>
          </w:tcPr>
          <w:p w14:paraId="6081021E"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13.1</w:t>
            </w:r>
          </w:p>
        </w:tc>
        <w:tc>
          <w:tcPr>
            <w:tcW w:w="2046" w:type="dxa"/>
            <w:noWrap/>
            <w:vAlign w:val="bottom"/>
            <w:hideMark/>
          </w:tcPr>
          <w:p w14:paraId="503B16C8"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2413.6</w:t>
            </w:r>
          </w:p>
        </w:tc>
        <w:tc>
          <w:tcPr>
            <w:tcW w:w="1569" w:type="dxa"/>
            <w:noWrap/>
            <w:vAlign w:val="bottom"/>
            <w:hideMark/>
          </w:tcPr>
          <w:p w14:paraId="05E5E75A"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p>
        </w:tc>
      </w:tr>
      <w:tr w:rsidR="00082769" w:rsidRPr="008B63B1" w14:paraId="6F52D4A1" w14:textId="77777777" w:rsidTr="00873AE6">
        <w:trPr>
          <w:trHeight w:val="432"/>
        </w:trPr>
        <w:tc>
          <w:tcPr>
            <w:tcW w:w="690" w:type="dxa"/>
            <w:vMerge w:val="restart"/>
            <w:noWrap/>
            <w:vAlign w:val="center"/>
            <w:hideMark/>
          </w:tcPr>
          <w:p w14:paraId="0DD82C3F"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r w:rsidRPr="008B63B1">
              <w:rPr>
                <w:rFonts w:ascii="GHEA Grapalat" w:eastAsia="Times New Roman" w:hAnsi="GHEA Grapalat" w:cs="Times New Roman"/>
                <w:sz w:val="18"/>
                <w:szCs w:val="18"/>
              </w:rPr>
              <w:t>2025</w:t>
            </w:r>
          </w:p>
        </w:tc>
        <w:tc>
          <w:tcPr>
            <w:tcW w:w="1075" w:type="dxa"/>
            <w:noWrap/>
            <w:vAlign w:val="center"/>
            <w:hideMark/>
          </w:tcPr>
          <w:p w14:paraId="392613ED"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Սահման.</w:t>
            </w:r>
          </w:p>
        </w:tc>
        <w:tc>
          <w:tcPr>
            <w:tcW w:w="2215" w:type="dxa"/>
            <w:noWrap/>
            <w:vAlign w:val="bottom"/>
            <w:hideMark/>
          </w:tcPr>
          <w:p w14:paraId="04D736EE"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418.8</w:t>
            </w:r>
          </w:p>
        </w:tc>
        <w:tc>
          <w:tcPr>
            <w:tcW w:w="2131" w:type="dxa"/>
            <w:noWrap/>
            <w:vAlign w:val="bottom"/>
            <w:hideMark/>
          </w:tcPr>
          <w:p w14:paraId="4F62F50B"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w:t>
            </w:r>
          </w:p>
        </w:tc>
        <w:tc>
          <w:tcPr>
            <w:tcW w:w="2046" w:type="dxa"/>
            <w:noWrap/>
            <w:vAlign w:val="bottom"/>
            <w:hideMark/>
          </w:tcPr>
          <w:p w14:paraId="225F83C2"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w:t>
            </w:r>
          </w:p>
        </w:tc>
        <w:tc>
          <w:tcPr>
            <w:tcW w:w="1569" w:type="dxa"/>
            <w:noWrap/>
            <w:vAlign w:val="bottom"/>
            <w:hideMark/>
          </w:tcPr>
          <w:p w14:paraId="454E7E5F"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47.2</w:t>
            </w:r>
          </w:p>
        </w:tc>
      </w:tr>
      <w:tr w:rsidR="00082769" w:rsidRPr="008B63B1" w14:paraId="39D3B69E" w14:textId="77777777" w:rsidTr="00873AE6">
        <w:trPr>
          <w:trHeight w:val="432"/>
        </w:trPr>
        <w:tc>
          <w:tcPr>
            <w:tcW w:w="690" w:type="dxa"/>
            <w:vMerge/>
            <w:noWrap/>
            <w:vAlign w:val="center"/>
            <w:hideMark/>
          </w:tcPr>
          <w:p w14:paraId="57B427B0"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p>
        </w:tc>
        <w:tc>
          <w:tcPr>
            <w:tcW w:w="1075" w:type="dxa"/>
            <w:noWrap/>
            <w:vAlign w:val="center"/>
            <w:hideMark/>
          </w:tcPr>
          <w:p w14:paraId="356366E0"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Պլան</w:t>
            </w:r>
          </w:p>
        </w:tc>
        <w:tc>
          <w:tcPr>
            <w:tcW w:w="2215" w:type="dxa"/>
            <w:noWrap/>
            <w:vAlign w:val="bottom"/>
            <w:hideMark/>
          </w:tcPr>
          <w:p w14:paraId="416E7458"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702.5</w:t>
            </w:r>
          </w:p>
        </w:tc>
        <w:tc>
          <w:tcPr>
            <w:tcW w:w="2131" w:type="dxa"/>
            <w:noWrap/>
            <w:vAlign w:val="bottom"/>
            <w:hideMark/>
          </w:tcPr>
          <w:p w14:paraId="45722D0F"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12.1</w:t>
            </w:r>
          </w:p>
        </w:tc>
        <w:tc>
          <w:tcPr>
            <w:tcW w:w="2046" w:type="dxa"/>
            <w:noWrap/>
            <w:vAlign w:val="bottom"/>
            <w:hideMark/>
          </w:tcPr>
          <w:p w14:paraId="4837712A"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2612.6</w:t>
            </w:r>
          </w:p>
        </w:tc>
        <w:tc>
          <w:tcPr>
            <w:tcW w:w="1569" w:type="dxa"/>
            <w:noWrap/>
            <w:vAlign w:val="bottom"/>
            <w:hideMark/>
          </w:tcPr>
          <w:p w14:paraId="11FD347F"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p>
        </w:tc>
      </w:tr>
      <w:tr w:rsidR="00082769" w:rsidRPr="008B63B1" w14:paraId="5DDA17AD" w14:textId="77777777" w:rsidTr="00873AE6">
        <w:trPr>
          <w:trHeight w:val="432"/>
        </w:trPr>
        <w:tc>
          <w:tcPr>
            <w:tcW w:w="690" w:type="dxa"/>
            <w:vMerge w:val="restart"/>
            <w:noWrap/>
            <w:vAlign w:val="center"/>
            <w:hideMark/>
          </w:tcPr>
          <w:p w14:paraId="0A119402"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r w:rsidRPr="008B63B1">
              <w:rPr>
                <w:rFonts w:ascii="GHEA Grapalat" w:eastAsia="Times New Roman" w:hAnsi="GHEA Grapalat" w:cs="Times New Roman"/>
                <w:sz w:val="18"/>
                <w:szCs w:val="18"/>
              </w:rPr>
              <w:t>2026</w:t>
            </w:r>
          </w:p>
        </w:tc>
        <w:tc>
          <w:tcPr>
            <w:tcW w:w="1075" w:type="dxa"/>
            <w:noWrap/>
            <w:vAlign w:val="center"/>
            <w:hideMark/>
          </w:tcPr>
          <w:p w14:paraId="5F67C493"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Սահման.</w:t>
            </w:r>
          </w:p>
        </w:tc>
        <w:tc>
          <w:tcPr>
            <w:tcW w:w="2215" w:type="dxa"/>
            <w:noWrap/>
            <w:vAlign w:val="bottom"/>
            <w:hideMark/>
          </w:tcPr>
          <w:p w14:paraId="2AED2FEB"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504.2</w:t>
            </w:r>
          </w:p>
        </w:tc>
        <w:tc>
          <w:tcPr>
            <w:tcW w:w="2131" w:type="dxa"/>
            <w:noWrap/>
            <w:vAlign w:val="bottom"/>
            <w:hideMark/>
          </w:tcPr>
          <w:p w14:paraId="68540F27"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w:t>
            </w:r>
          </w:p>
        </w:tc>
        <w:tc>
          <w:tcPr>
            <w:tcW w:w="2046" w:type="dxa"/>
            <w:noWrap/>
            <w:vAlign w:val="bottom"/>
            <w:hideMark/>
          </w:tcPr>
          <w:p w14:paraId="7BD641A0"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w:t>
            </w:r>
          </w:p>
        </w:tc>
        <w:tc>
          <w:tcPr>
            <w:tcW w:w="1569" w:type="dxa"/>
            <w:noWrap/>
            <w:vAlign w:val="bottom"/>
            <w:hideMark/>
          </w:tcPr>
          <w:p w14:paraId="65A09DFE"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46.5</w:t>
            </w:r>
          </w:p>
        </w:tc>
      </w:tr>
      <w:tr w:rsidR="00082769" w:rsidRPr="008B63B1" w14:paraId="067F1E4E" w14:textId="77777777" w:rsidTr="00873AE6">
        <w:trPr>
          <w:trHeight w:val="432"/>
        </w:trPr>
        <w:tc>
          <w:tcPr>
            <w:tcW w:w="690" w:type="dxa"/>
            <w:vMerge/>
            <w:noWrap/>
            <w:vAlign w:val="center"/>
            <w:hideMark/>
          </w:tcPr>
          <w:p w14:paraId="12CB3219"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p>
        </w:tc>
        <w:tc>
          <w:tcPr>
            <w:tcW w:w="1075" w:type="dxa"/>
            <w:noWrap/>
            <w:vAlign w:val="center"/>
            <w:hideMark/>
          </w:tcPr>
          <w:p w14:paraId="184DB24A"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Պլան</w:t>
            </w:r>
          </w:p>
        </w:tc>
        <w:tc>
          <w:tcPr>
            <w:tcW w:w="2215" w:type="dxa"/>
            <w:noWrap/>
            <w:vAlign w:val="bottom"/>
          </w:tcPr>
          <w:p w14:paraId="77BD861D"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689.6</w:t>
            </w:r>
          </w:p>
        </w:tc>
        <w:tc>
          <w:tcPr>
            <w:tcW w:w="2131" w:type="dxa"/>
            <w:noWrap/>
            <w:vAlign w:val="bottom"/>
            <w:hideMark/>
          </w:tcPr>
          <w:p w14:paraId="3CCF0072"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13.7</w:t>
            </w:r>
          </w:p>
        </w:tc>
        <w:tc>
          <w:tcPr>
            <w:tcW w:w="2046" w:type="dxa"/>
            <w:noWrap/>
            <w:vAlign w:val="bottom"/>
            <w:hideMark/>
          </w:tcPr>
          <w:p w14:paraId="6C50DD45"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3045.3</w:t>
            </w:r>
          </w:p>
        </w:tc>
        <w:tc>
          <w:tcPr>
            <w:tcW w:w="1569" w:type="dxa"/>
            <w:noWrap/>
            <w:vAlign w:val="bottom"/>
            <w:hideMark/>
          </w:tcPr>
          <w:p w14:paraId="75458152"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p>
        </w:tc>
      </w:tr>
      <w:tr w:rsidR="00082769" w:rsidRPr="008B63B1" w14:paraId="44612777" w14:textId="77777777" w:rsidTr="00873AE6">
        <w:trPr>
          <w:trHeight w:val="432"/>
        </w:trPr>
        <w:tc>
          <w:tcPr>
            <w:tcW w:w="690" w:type="dxa"/>
            <w:vMerge w:val="restart"/>
            <w:noWrap/>
            <w:vAlign w:val="center"/>
            <w:hideMark/>
          </w:tcPr>
          <w:p w14:paraId="55BA3F05"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r w:rsidRPr="008B63B1">
              <w:rPr>
                <w:rFonts w:ascii="GHEA Grapalat" w:eastAsia="Times New Roman" w:hAnsi="GHEA Grapalat" w:cs="Times New Roman"/>
                <w:sz w:val="18"/>
                <w:szCs w:val="18"/>
              </w:rPr>
              <w:t>2027</w:t>
            </w:r>
          </w:p>
        </w:tc>
        <w:tc>
          <w:tcPr>
            <w:tcW w:w="1075" w:type="dxa"/>
            <w:noWrap/>
            <w:vAlign w:val="center"/>
            <w:hideMark/>
          </w:tcPr>
          <w:p w14:paraId="651094DB"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Սահման.</w:t>
            </w:r>
          </w:p>
        </w:tc>
        <w:tc>
          <w:tcPr>
            <w:tcW w:w="2215" w:type="dxa"/>
            <w:noWrap/>
            <w:vAlign w:val="bottom"/>
          </w:tcPr>
          <w:p w14:paraId="482B80EE"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468.2</w:t>
            </w:r>
          </w:p>
        </w:tc>
        <w:tc>
          <w:tcPr>
            <w:tcW w:w="2131" w:type="dxa"/>
            <w:noWrap/>
            <w:vAlign w:val="bottom"/>
            <w:hideMark/>
          </w:tcPr>
          <w:p w14:paraId="47FE0F77"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w:t>
            </w:r>
          </w:p>
        </w:tc>
        <w:tc>
          <w:tcPr>
            <w:tcW w:w="2046" w:type="dxa"/>
            <w:noWrap/>
            <w:vAlign w:val="bottom"/>
            <w:hideMark/>
          </w:tcPr>
          <w:p w14:paraId="78A41C5F"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w:t>
            </w:r>
          </w:p>
        </w:tc>
        <w:tc>
          <w:tcPr>
            <w:tcW w:w="1569" w:type="dxa"/>
            <w:noWrap/>
            <w:vAlign w:val="bottom"/>
            <w:hideMark/>
          </w:tcPr>
          <w:p w14:paraId="4AE1680A"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47.4</w:t>
            </w:r>
          </w:p>
        </w:tc>
      </w:tr>
      <w:tr w:rsidR="00082769" w:rsidRPr="008B63B1" w14:paraId="01A24D2F" w14:textId="77777777" w:rsidTr="00873AE6">
        <w:trPr>
          <w:trHeight w:val="432"/>
        </w:trPr>
        <w:tc>
          <w:tcPr>
            <w:tcW w:w="690" w:type="dxa"/>
            <w:vMerge/>
            <w:noWrap/>
            <w:vAlign w:val="center"/>
            <w:hideMark/>
          </w:tcPr>
          <w:p w14:paraId="5E33E648"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p>
        </w:tc>
        <w:tc>
          <w:tcPr>
            <w:tcW w:w="1075" w:type="dxa"/>
            <w:noWrap/>
            <w:vAlign w:val="center"/>
            <w:hideMark/>
          </w:tcPr>
          <w:p w14:paraId="08164122"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Պլան</w:t>
            </w:r>
          </w:p>
        </w:tc>
        <w:tc>
          <w:tcPr>
            <w:tcW w:w="2215" w:type="dxa"/>
            <w:noWrap/>
            <w:vAlign w:val="bottom"/>
          </w:tcPr>
          <w:p w14:paraId="58CD7B2F"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771.4</w:t>
            </w:r>
          </w:p>
        </w:tc>
        <w:tc>
          <w:tcPr>
            <w:tcW w:w="2131" w:type="dxa"/>
            <w:noWrap/>
            <w:vAlign w:val="bottom"/>
            <w:hideMark/>
          </w:tcPr>
          <w:p w14:paraId="5DFB9F00"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8.1</w:t>
            </w:r>
          </w:p>
        </w:tc>
        <w:tc>
          <w:tcPr>
            <w:tcW w:w="2046" w:type="dxa"/>
            <w:noWrap/>
            <w:vAlign w:val="bottom"/>
            <w:hideMark/>
          </w:tcPr>
          <w:p w14:paraId="190FB68B"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3310.6</w:t>
            </w:r>
          </w:p>
        </w:tc>
        <w:tc>
          <w:tcPr>
            <w:tcW w:w="1569" w:type="dxa"/>
            <w:noWrap/>
            <w:vAlign w:val="bottom"/>
            <w:hideMark/>
          </w:tcPr>
          <w:p w14:paraId="0ADAA96C"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p>
        </w:tc>
      </w:tr>
      <w:tr w:rsidR="00082769" w:rsidRPr="008B63B1" w14:paraId="7592E095" w14:textId="77777777" w:rsidTr="00873AE6">
        <w:trPr>
          <w:trHeight w:val="432"/>
        </w:trPr>
        <w:tc>
          <w:tcPr>
            <w:tcW w:w="690" w:type="dxa"/>
            <w:vMerge w:val="restart"/>
            <w:noWrap/>
            <w:vAlign w:val="center"/>
          </w:tcPr>
          <w:p w14:paraId="4A77B959"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2028</w:t>
            </w:r>
          </w:p>
        </w:tc>
        <w:tc>
          <w:tcPr>
            <w:tcW w:w="1075" w:type="dxa"/>
            <w:noWrap/>
            <w:vAlign w:val="center"/>
          </w:tcPr>
          <w:p w14:paraId="6E0E6ACA"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Սահման.</w:t>
            </w:r>
          </w:p>
        </w:tc>
        <w:tc>
          <w:tcPr>
            <w:tcW w:w="2215" w:type="dxa"/>
            <w:noWrap/>
            <w:vAlign w:val="bottom"/>
          </w:tcPr>
          <w:p w14:paraId="3A23BC6C"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414.2</w:t>
            </w:r>
          </w:p>
        </w:tc>
        <w:tc>
          <w:tcPr>
            <w:tcW w:w="2131" w:type="dxa"/>
            <w:noWrap/>
            <w:vAlign w:val="bottom"/>
          </w:tcPr>
          <w:p w14:paraId="08004A96"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w:t>
            </w:r>
          </w:p>
        </w:tc>
        <w:tc>
          <w:tcPr>
            <w:tcW w:w="2046" w:type="dxa"/>
            <w:noWrap/>
            <w:vAlign w:val="bottom"/>
          </w:tcPr>
          <w:p w14:paraId="0E3A1DAF"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w:t>
            </w:r>
          </w:p>
        </w:tc>
        <w:tc>
          <w:tcPr>
            <w:tcW w:w="1569" w:type="dxa"/>
            <w:noWrap/>
            <w:vAlign w:val="bottom"/>
          </w:tcPr>
          <w:p w14:paraId="66917719"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47.3</w:t>
            </w:r>
          </w:p>
        </w:tc>
      </w:tr>
      <w:tr w:rsidR="00082769" w:rsidRPr="008B63B1" w14:paraId="6620CEAD" w14:textId="77777777" w:rsidTr="00873AE6">
        <w:trPr>
          <w:trHeight w:val="432"/>
        </w:trPr>
        <w:tc>
          <w:tcPr>
            <w:tcW w:w="690" w:type="dxa"/>
            <w:vMerge/>
            <w:noWrap/>
            <w:vAlign w:val="center"/>
          </w:tcPr>
          <w:p w14:paraId="1EBEA08D"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p>
        </w:tc>
        <w:tc>
          <w:tcPr>
            <w:tcW w:w="1075" w:type="dxa"/>
            <w:noWrap/>
            <w:vAlign w:val="center"/>
          </w:tcPr>
          <w:p w14:paraId="122214C5"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Պլան</w:t>
            </w:r>
          </w:p>
        </w:tc>
        <w:tc>
          <w:tcPr>
            <w:tcW w:w="2215" w:type="dxa"/>
            <w:noWrap/>
            <w:vAlign w:val="bottom"/>
          </w:tcPr>
          <w:p w14:paraId="40839159"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869.4</w:t>
            </w:r>
          </w:p>
        </w:tc>
        <w:tc>
          <w:tcPr>
            <w:tcW w:w="2131" w:type="dxa"/>
            <w:noWrap/>
            <w:vAlign w:val="bottom"/>
          </w:tcPr>
          <w:p w14:paraId="126BDDA0"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5.5</w:t>
            </w:r>
          </w:p>
        </w:tc>
        <w:tc>
          <w:tcPr>
            <w:tcW w:w="2046" w:type="dxa"/>
            <w:noWrap/>
            <w:vAlign w:val="bottom"/>
          </w:tcPr>
          <w:p w14:paraId="4F21F1E1"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3504.9</w:t>
            </w:r>
          </w:p>
        </w:tc>
        <w:tc>
          <w:tcPr>
            <w:tcW w:w="1569" w:type="dxa"/>
            <w:noWrap/>
            <w:vAlign w:val="bottom"/>
          </w:tcPr>
          <w:p w14:paraId="64492BC3"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p>
        </w:tc>
      </w:tr>
      <w:tr w:rsidR="00082769" w:rsidRPr="008B63B1" w14:paraId="5BB2AFB3" w14:textId="77777777" w:rsidTr="00873AE6">
        <w:trPr>
          <w:trHeight w:val="432"/>
        </w:trPr>
        <w:tc>
          <w:tcPr>
            <w:tcW w:w="690" w:type="dxa"/>
            <w:vMerge w:val="restart"/>
            <w:noWrap/>
            <w:vAlign w:val="center"/>
          </w:tcPr>
          <w:p w14:paraId="13A59FD6"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r w:rsidRPr="008B63B1">
              <w:rPr>
                <w:rFonts w:ascii="GHEA Grapalat" w:eastAsia="Times New Roman" w:hAnsi="GHEA Grapalat" w:cs="Times New Roman"/>
                <w:sz w:val="18"/>
                <w:szCs w:val="18"/>
              </w:rPr>
              <w:t>2029</w:t>
            </w:r>
          </w:p>
        </w:tc>
        <w:tc>
          <w:tcPr>
            <w:tcW w:w="1075" w:type="dxa"/>
            <w:noWrap/>
            <w:vAlign w:val="center"/>
          </w:tcPr>
          <w:p w14:paraId="53F1982D"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Սահման.</w:t>
            </w:r>
          </w:p>
        </w:tc>
        <w:tc>
          <w:tcPr>
            <w:tcW w:w="2215" w:type="dxa"/>
            <w:noWrap/>
            <w:vAlign w:val="bottom"/>
          </w:tcPr>
          <w:p w14:paraId="7667E277"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291.4</w:t>
            </w:r>
          </w:p>
        </w:tc>
        <w:tc>
          <w:tcPr>
            <w:tcW w:w="2131" w:type="dxa"/>
            <w:noWrap/>
            <w:vAlign w:val="bottom"/>
          </w:tcPr>
          <w:p w14:paraId="0A67F38F"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w:t>
            </w:r>
          </w:p>
        </w:tc>
        <w:tc>
          <w:tcPr>
            <w:tcW w:w="2046" w:type="dxa"/>
            <w:noWrap/>
            <w:vAlign w:val="bottom"/>
          </w:tcPr>
          <w:p w14:paraId="50F76008"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w:t>
            </w:r>
          </w:p>
        </w:tc>
        <w:tc>
          <w:tcPr>
            <w:tcW w:w="1569" w:type="dxa"/>
            <w:noWrap/>
            <w:vAlign w:val="bottom"/>
          </w:tcPr>
          <w:p w14:paraId="3D2BFDC1"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46.4</w:t>
            </w:r>
          </w:p>
        </w:tc>
      </w:tr>
      <w:tr w:rsidR="00082769" w:rsidRPr="008B63B1" w14:paraId="63603FCD" w14:textId="77777777" w:rsidTr="00873AE6">
        <w:trPr>
          <w:trHeight w:val="432"/>
        </w:trPr>
        <w:tc>
          <w:tcPr>
            <w:tcW w:w="690" w:type="dxa"/>
            <w:vMerge/>
            <w:noWrap/>
            <w:vAlign w:val="center"/>
          </w:tcPr>
          <w:p w14:paraId="710B5704"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rPr>
            </w:pPr>
          </w:p>
        </w:tc>
        <w:tc>
          <w:tcPr>
            <w:tcW w:w="1075" w:type="dxa"/>
            <w:noWrap/>
            <w:vAlign w:val="center"/>
          </w:tcPr>
          <w:p w14:paraId="5B16315B" w14:textId="77777777" w:rsidR="00082769" w:rsidRPr="008B63B1" w:rsidRDefault="00082769" w:rsidP="00082769">
            <w:pPr>
              <w:spacing w:after="0" w:line="240" w:lineRule="auto"/>
              <w:ind w:hanging="11"/>
              <w:jc w:val="center"/>
              <w:rPr>
                <w:rFonts w:ascii="GHEA Grapalat" w:eastAsia="Times New Roman" w:hAnsi="GHEA Grapalat" w:cs="Times New Roman"/>
                <w:sz w:val="18"/>
                <w:szCs w:val="18"/>
                <w:lang w:val="hy-AM"/>
              </w:rPr>
            </w:pPr>
            <w:r w:rsidRPr="008B63B1">
              <w:rPr>
                <w:rFonts w:ascii="GHEA Grapalat" w:eastAsia="Times New Roman" w:hAnsi="GHEA Grapalat" w:cs="Times New Roman"/>
                <w:sz w:val="18"/>
                <w:szCs w:val="18"/>
                <w:lang w:val="hy-AM"/>
              </w:rPr>
              <w:t>Պլան</w:t>
            </w:r>
          </w:p>
        </w:tc>
        <w:tc>
          <w:tcPr>
            <w:tcW w:w="2215" w:type="dxa"/>
            <w:noWrap/>
            <w:vAlign w:val="bottom"/>
          </w:tcPr>
          <w:p w14:paraId="7D706877"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966.69</w:t>
            </w:r>
          </w:p>
        </w:tc>
        <w:tc>
          <w:tcPr>
            <w:tcW w:w="2131" w:type="dxa"/>
            <w:noWrap/>
            <w:vAlign w:val="bottom"/>
          </w:tcPr>
          <w:p w14:paraId="5C649976"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3.4</w:t>
            </w:r>
          </w:p>
        </w:tc>
        <w:tc>
          <w:tcPr>
            <w:tcW w:w="2046" w:type="dxa"/>
            <w:noWrap/>
            <w:vAlign w:val="bottom"/>
          </w:tcPr>
          <w:p w14:paraId="1A602401"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r w:rsidRPr="00214A8B">
              <w:rPr>
                <w:rFonts w:ascii="GHEA Grapalat" w:hAnsi="GHEA Grapalat" w:cs="Arial"/>
                <w:sz w:val="18"/>
                <w:szCs w:val="18"/>
              </w:rPr>
              <w:t>3646.1</w:t>
            </w:r>
          </w:p>
        </w:tc>
        <w:tc>
          <w:tcPr>
            <w:tcW w:w="1569" w:type="dxa"/>
            <w:noWrap/>
            <w:vAlign w:val="bottom"/>
          </w:tcPr>
          <w:p w14:paraId="7551EF8F" w14:textId="77777777" w:rsidR="00082769" w:rsidRPr="00214A8B" w:rsidRDefault="00082769" w:rsidP="00082769">
            <w:pPr>
              <w:spacing w:after="0" w:line="240" w:lineRule="auto"/>
              <w:ind w:hanging="11"/>
              <w:jc w:val="center"/>
              <w:rPr>
                <w:rFonts w:ascii="GHEA Grapalat" w:eastAsia="Times New Roman" w:hAnsi="GHEA Grapalat" w:cs="Times New Roman"/>
                <w:sz w:val="18"/>
                <w:szCs w:val="18"/>
                <w:lang w:val="hy-AM"/>
              </w:rPr>
            </w:pPr>
          </w:p>
        </w:tc>
      </w:tr>
    </w:tbl>
    <w:p w14:paraId="7E7C893D" w14:textId="77777777" w:rsidR="00082769" w:rsidRPr="008B63B1" w:rsidRDefault="00082769" w:rsidP="00082769">
      <w:pPr>
        <w:ind w:hanging="11"/>
        <w:jc w:val="both"/>
        <w:rPr>
          <w:rFonts w:ascii="GHEA Grapalat" w:eastAsia="Times New Roman" w:hAnsi="GHEA Grapalat" w:cs="Times New Roman"/>
          <w:bCs/>
          <w:color w:val="404040"/>
          <w:szCs w:val="20"/>
          <w:lang w:val="hy-AM"/>
        </w:rPr>
      </w:pPr>
    </w:p>
    <w:p w14:paraId="0AA9ED56" w14:textId="77777777" w:rsidR="00082769" w:rsidRPr="008B63B1" w:rsidRDefault="00082769" w:rsidP="00082769">
      <w:pPr>
        <w:ind w:hanging="11"/>
        <w:jc w:val="right"/>
        <w:rPr>
          <w:rFonts w:ascii="GHEA Grapalat" w:eastAsia="Times New Roman" w:hAnsi="GHEA Grapalat" w:cs="Times New Roman"/>
          <w:i/>
          <w:color w:val="A6A6A6"/>
          <w:sz w:val="18"/>
          <w:lang w:val="hy-AM"/>
        </w:rPr>
      </w:pPr>
      <w:r w:rsidRPr="008B63B1">
        <w:rPr>
          <w:rFonts w:ascii="GHEA Grapalat" w:eastAsia="Times New Roman" w:hAnsi="GHEA Grapalat" w:cs="Times New Roman"/>
          <w:i/>
          <w:color w:val="A6A6A6"/>
          <w:sz w:val="18"/>
          <w:lang w:val="hy-AM"/>
        </w:rPr>
        <w:t>«-»-ը նշանակում է, որ կառավարության պարտքի առկա չափի դեպքում կիրառելի չէ</w:t>
      </w:r>
    </w:p>
    <w:p w14:paraId="3402BF9B" w14:textId="77777777" w:rsidR="00082769" w:rsidRPr="008B63B1" w:rsidRDefault="00082769" w:rsidP="00082769">
      <w:pPr>
        <w:ind w:hanging="11"/>
        <w:rPr>
          <w:rFonts w:ascii="GHEA Grapalat" w:eastAsia="Times New Roman" w:hAnsi="GHEA Grapalat" w:cs="Times New Roman"/>
          <w:color w:val="404040"/>
          <w:lang w:val="hy-AM"/>
        </w:rPr>
      </w:pPr>
      <w:bookmarkStart w:id="281" w:name="_Toc152228531"/>
      <w:bookmarkStart w:id="282" w:name="_Toc115686029"/>
      <w:bookmarkStart w:id="283" w:name="_Toc83972841"/>
      <w:bookmarkStart w:id="284" w:name="_Toc57655457"/>
      <w:bookmarkStart w:id="285" w:name="_Toc52452096"/>
      <w:bookmarkStart w:id="286" w:name="_Toc46154356"/>
      <w:bookmarkStart w:id="287" w:name="_Toc45838555"/>
      <w:bookmarkStart w:id="288" w:name="_Toc178356575"/>
    </w:p>
    <w:p w14:paraId="687D5C19" w14:textId="77777777" w:rsidR="00082769" w:rsidRPr="008B63B1" w:rsidRDefault="00082769" w:rsidP="00082769">
      <w:pPr>
        <w:keepNext/>
        <w:keepLines/>
        <w:spacing w:before="40" w:after="0" w:line="240" w:lineRule="auto"/>
        <w:ind w:hanging="11"/>
        <w:outlineLvl w:val="1"/>
        <w:rPr>
          <w:rFonts w:ascii="GHEA Grapalat" w:eastAsia="Times New Roman" w:hAnsi="GHEA Grapalat" w:cs="Times New Roman"/>
          <w:color w:val="A5A6AC"/>
          <w:sz w:val="28"/>
          <w:szCs w:val="20"/>
          <w:lang w:val="hy-AM"/>
        </w:rPr>
      </w:pPr>
      <w:bookmarkStart w:id="289" w:name="_Toc178612097"/>
      <w:bookmarkStart w:id="290" w:name="_Toc183801081"/>
      <w:bookmarkStart w:id="291" w:name="_Toc210126094"/>
      <w:bookmarkStart w:id="292" w:name="_Toc241687673"/>
      <w:bookmarkEnd w:id="281"/>
      <w:bookmarkEnd w:id="282"/>
      <w:bookmarkEnd w:id="283"/>
      <w:bookmarkEnd w:id="284"/>
      <w:bookmarkEnd w:id="285"/>
      <w:bookmarkEnd w:id="286"/>
      <w:bookmarkEnd w:id="287"/>
      <w:bookmarkEnd w:id="288"/>
      <w:r w:rsidRPr="008B63B1">
        <w:rPr>
          <w:rFonts w:ascii="GHEA Grapalat" w:eastAsia="Times New Roman" w:hAnsi="GHEA Grapalat" w:cs="Times New Roman"/>
          <w:color w:val="A5A6AC"/>
          <w:sz w:val="28"/>
          <w:szCs w:val="20"/>
          <w:lang w:val="hy-AM"/>
        </w:rPr>
        <w:t>2.5. ՊԵՏԱԿԱՆ ԲՅՈՒՋԵԻ ՑՈՒՑԱՆԻՇՆԵՐԻ ԿԱՆԽԱՏԵՍՈՒՄՆԵՐԻ ՀԱՄԵՄԱՏԱԿԱՆ ԱՂՅՈՒՍԱԿՆԵՐ</w:t>
      </w:r>
      <w:bookmarkEnd w:id="289"/>
      <w:bookmarkEnd w:id="290"/>
      <w:bookmarkEnd w:id="291"/>
      <w:bookmarkEnd w:id="292"/>
    </w:p>
    <w:p w14:paraId="2C430D2A" w14:textId="77777777" w:rsidR="00082769" w:rsidRPr="001D56CB" w:rsidRDefault="00082769" w:rsidP="001D56CB">
      <w:pPr>
        <w:pStyle w:val="Charts"/>
        <w:ind w:right="-22"/>
        <w:rPr>
          <w:b w:val="0"/>
          <w:bCs/>
          <w:color w:val="auto"/>
          <w:sz w:val="20"/>
          <w:szCs w:val="18"/>
        </w:rPr>
      </w:pPr>
      <w:r w:rsidRPr="001D56CB">
        <w:rPr>
          <w:b w:val="0"/>
          <w:bCs/>
          <w:color w:val="auto"/>
          <w:sz w:val="20"/>
          <w:szCs w:val="18"/>
        </w:rPr>
        <w:t>Աղյուսակ 2.4. Պետական բյուջեի եկամուտների կանխատեսումների համեմատական աղյուսակը, մլրդ ՀՀ դրամ</w:t>
      </w:r>
    </w:p>
    <w:tbl>
      <w:tblPr>
        <w:tblW w:w="10480" w:type="dxa"/>
        <w:tblInd w:w="-10" w:type="dxa"/>
        <w:tblLook w:val="04A0" w:firstRow="1" w:lastRow="0" w:firstColumn="1" w:lastColumn="0" w:noHBand="0" w:noVBand="1"/>
      </w:tblPr>
      <w:tblGrid>
        <w:gridCol w:w="1540"/>
        <w:gridCol w:w="3180"/>
        <w:gridCol w:w="960"/>
        <w:gridCol w:w="960"/>
        <w:gridCol w:w="960"/>
        <w:gridCol w:w="960"/>
        <w:gridCol w:w="960"/>
        <w:gridCol w:w="960"/>
      </w:tblGrid>
      <w:tr w:rsidR="00082769" w:rsidRPr="008B63B1" w14:paraId="5FA301F7" w14:textId="77777777" w:rsidTr="00873AE6">
        <w:trPr>
          <w:trHeight w:val="555"/>
        </w:trPr>
        <w:tc>
          <w:tcPr>
            <w:tcW w:w="1540" w:type="dxa"/>
            <w:tcBorders>
              <w:top w:val="single" w:sz="8" w:space="0" w:color="E1E1E3"/>
              <w:left w:val="single" w:sz="8" w:space="0" w:color="E1E1E3"/>
              <w:bottom w:val="single" w:sz="8" w:space="0" w:color="E1E1E3"/>
              <w:right w:val="single" w:sz="8" w:space="0" w:color="E1E1E3"/>
            </w:tcBorders>
            <w:shd w:val="clear" w:color="000000" w:fill="D5DCE4"/>
            <w:vAlign w:val="center"/>
            <w:hideMark/>
          </w:tcPr>
          <w:p w14:paraId="235CD52F"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Ընդունման տարին</w:t>
            </w:r>
          </w:p>
        </w:tc>
        <w:tc>
          <w:tcPr>
            <w:tcW w:w="3180" w:type="dxa"/>
            <w:tcBorders>
              <w:top w:val="single" w:sz="8" w:space="0" w:color="E1E1E3"/>
              <w:left w:val="nil"/>
              <w:bottom w:val="single" w:sz="8" w:space="0" w:color="E1E1E3"/>
              <w:right w:val="single" w:sz="8" w:space="0" w:color="E1E1E3"/>
            </w:tcBorders>
            <w:shd w:val="clear" w:color="000000" w:fill="D5DCE4"/>
            <w:noWrap/>
            <w:vAlign w:val="center"/>
            <w:hideMark/>
          </w:tcPr>
          <w:p w14:paraId="3B6B2625" w14:textId="77777777" w:rsidR="00082769" w:rsidRPr="008B63B1" w:rsidRDefault="00082769" w:rsidP="00082769">
            <w:pPr>
              <w:spacing w:after="0" w:line="240" w:lineRule="auto"/>
              <w:ind w:hanging="11"/>
              <w:jc w:val="both"/>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Ծրագիր</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18A32A84"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2024</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46A2D1F6"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2025</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6F5D9332"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2026</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73E4D448"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2027</w:t>
            </w:r>
          </w:p>
        </w:tc>
        <w:tc>
          <w:tcPr>
            <w:tcW w:w="960" w:type="dxa"/>
            <w:tcBorders>
              <w:top w:val="single" w:sz="8" w:space="0" w:color="E1E1E3"/>
              <w:left w:val="nil"/>
              <w:bottom w:val="single" w:sz="8" w:space="0" w:color="E1E1E3"/>
              <w:right w:val="single" w:sz="8" w:space="0" w:color="E1E1E3"/>
            </w:tcBorders>
            <w:shd w:val="clear" w:color="000000" w:fill="D5DCE4"/>
            <w:vAlign w:val="center"/>
            <w:hideMark/>
          </w:tcPr>
          <w:p w14:paraId="2CB0B662"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2028</w:t>
            </w:r>
          </w:p>
        </w:tc>
        <w:tc>
          <w:tcPr>
            <w:tcW w:w="960" w:type="dxa"/>
            <w:tcBorders>
              <w:top w:val="single" w:sz="8" w:space="0" w:color="E1E1E3"/>
              <w:left w:val="nil"/>
              <w:bottom w:val="single" w:sz="8" w:space="0" w:color="E1E1E3"/>
              <w:right w:val="single" w:sz="8" w:space="0" w:color="E1E1E3"/>
            </w:tcBorders>
            <w:shd w:val="clear" w:color="000000" w:fill="D5DCE4"/>
            <w:vAlign w:val="center"/>
            <w:hideMark/>
          </w:tcPr>
          <w:p w14:paraId="12519A8E"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2029</w:t>
            </w:r>
          </w:p>
        </w:tc>
      </w:tr>
      <w:tr w:rsidR="00082769" w:rsidRPr="008B63B1" w14:paraId="3DAC4E00"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0B8F4C6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w:t>
            </w:r>
          </w:p>
        </w:tc>
        <w:tc>
          <w:tcPr>
            <w:tcW w:w="3180" w:type="dxa"/>
            <w:tcBorders>
              <w:top w:val="nil"/>
              <w:left w:val="nil"/>
              <w:bottom w:val="single" w:sz="8" w:space="0" w:color="E1E1E3"/>
              <w:right w:val="single" w:sz="8" w:space="0" w:color="E1E1E3"/>
            </w:tcBorders>
            <w:noWrap/>
            <w:vAlign w:val="center"/>
            <w:hideMark/>
          </w:tcPr>
          <w:p w14:paraId="1372E5EF"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Փաստացի</w:t>
            </w:r>
          </w:p>
        </w:tc>
        <w:tc>
          <w:tcPr>
            <w:tcW w:w="960" w:type="dxa"/>
            <w:tcBorders>
              <w:top w:val="nil"/>
              <w:left w:val="nil"/>
              <w:bottom w:val="single" w:sz="8" w:space="0" w:color="E1E1E3"/>
              <w:right w:val="single" w:sz="8" w:space="0" w:color="E1E1E3"/>
            </w:tcBorders>
            <w:noWrap/>
            <w:vAlign w:val="center"/>
            <w:hideMark/>
          </w:tcPr>
          <w:p w14:paraId="39EBC57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2,579.2</w:t>
            </w:r>
          </w:p>
        </w:tc>
        <w:tc>
          <w:tcPr>
            <w:tcW w:w="960" w:type="dxa"/>
            <w:tcBorders>
              <w:top w:val="nil"/>
              <w:left w:val="nil"/>
              <w:bottom w:val="single" w:sz="8" w:space="0" w:color="E1E1E3"/>
              <w:right w:val="single" w:sz="8" w:space="0" w:color="E1E1E3"/>
            </w:tcBorders>
            <w:noWrap/>
            <w:vAlign w:val="center"/>
            <w:hideMark/>
          </w:tcPr>
          <w:p w14:paraId="250400B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2,886.5</w:t>
            </w:r>
          </w:p>
        </w:tc>
        <w:tc>
          <w:tcPr>
            <w:tcW w:w="960" w:type="dxa"/>
            <w:tcBorders>
              <w:top w:val="nil"/>
              <w:left w:val="nil"/>
              <w:bottom w:val="single" w:sz="8" w:space="0" w:color="E1E1E3"/>
              <w:right w:val="single" w:sz="8" w:space="0" w:color="E1E1E3"/>
            </w:tcBorders>
            <w:noWrap/>
            <w:vAlign w:val="center"/>
            <w:hideMark/>
          </w:tcPr>
          <w:p w14:paraId="259C17B7"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04699E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F8B054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7355CD2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2F4AA278"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16392128"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28B9B620"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noWrap/>
            <w:vAlign w:val="center"/>
            <w:hideMark/>
          </w:tcPr>
          <w:p w14:paraId="778CC51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25.2%</w:t>
            </w:r>
          </w:p>
        </w:tc>
        <w:tc>
          <w:tcPr>
            <w:tcW w:w="960" w:type="dxa"/>
            <w:tcBorders>
              <w:top w:val="nil"/>
              <w:left w:val="nil"/>
              <w:bottom w:val="single" w:sz="8" w:space="0" w:color="E1E1E3"/>
              <w:right w:val="single" w:sz="8" w:space="0" w:color="E1E1E3"/>
            </w:tcBorders>
            <w:noWrap/>
            <w:vAlign w:val="center"/>
            <w:hideMark/>
          </w:tcPr>
          <w:p w14:paraId="6E72BB0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25.4%</w:t>
            </w:r>
          </w:p>
        </w:tc>
        <w:tc>
          <w:tcPr>
            <w:tcW w:w="960" w:type="dxa"/>
            <w:tcBorders>
              <w:top w:val="nil"/>
              <w:left w:val="nil"/>
              <w:bottom w:val="single" w:sz="8" w:space="0" w:color="E1E1E3"/>
              <w:right w:val="single" w:sz="8" w:space="0" w:color="E1E1E3"/>
            </w:tcBorders>
            <w:noWrap/>
            <w:vAlign w:val="center"/>
            <w:hideMark/>
          </w:tcPr>
          <w:p w14:paraId="427EF9E7"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C45E97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11A25D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32A780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05C5F334"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5D47A2D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2022</w:t>
            </w:r>
          </w:p>
        </w:tc>
        <w:tc>
          <w:tcPr>
            <w:tcW w:w="3180" w:type="dxa"/>
            <w:tcBorders>
              <w:top w:val="nil"/>
              <w:left w:val="nil"/>
              <w:bottom w:val="single" w:sz="8" w:space="0" w:color="E1E1E3"/>
              <w:right w:val="single" w:sz="8" w:space="0" w:color="E1E1E3"/>
            </w:tcBorders>
            <w:noWrap/>
            <w:vAlign w:val="center"/>
            <w:hideMark/>
          </w:tcPr>
          <w:p w14:paraId="203F1CBA"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2023-2025</w:t>
            </w:r>
          </w:p>
        </w:tc>
        <w:tc>
          <w:tcPr>
            <w:tcW w:w="960" w:type="dxa"/>
            <w:tcBorders>
              <w:top w:val="nil"/>
              <w:left w:val="nil"/>
              <w:bottom w:val="single" w:sz="8" w:space="0" w:color="E1E1E3"/>
              <w:right w:val="single" w:sz="8" w:space="0" w:color="E1E1E3"/>
            </w:tcBorders>
            <w:vAlign w:val="center"/>
            <w:hideMark/>
          </w:tcPr>
          <w:p w14:paraId="303DC06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2,609.6</w:t>
            </w:r>
          </w:p>
        </w:tc>
        <w:tc>
          <w:tcPr>
            <w:tcW w:w="960" w:type="dxa"/>
            <w:tcBorders>
              <w:top w:val="nil"/>
              <w:left w:val="nil"/>
              <w:bottom w:val="single" w:sz="8" w:space="0" w:color="E1E1E3"/>
              <w:right w:val="single" w:sz="8" w:space="0" w:color="E1E1E3"/>
            </w:tcBorders>
            <w:vAlign w:val="center"/>
            <w:hideMark/>
          </w:tcPr>
          <w:p w14:paraId="4C0ABEB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2,940.6</w:t>
            </w:r>
          </w:p>
        </w:tc>
        <w:tc>
          <w:tcPr>
            <w:tcW w:w="960" w:type="dxa"/>
            <w:tcBorders>
              <w:top w:val="nil"/>
              <w:left w:val="nil"/>
              <w:bottom w:val="single" w:sz="8" w:space="0" w:color="E1E1E3"/>
              <w:right w:val="single" w:sz="8" w:space="0" w:color="E1E1E3"/>
            </w:tcBorders>
            <w:noWrap/>
            <w:vAlign w:val="center"/>
            <w:hideMark/>
          </w:tcPr>
          <w:p w14:paraId="5342DB54"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6E4FA7C"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96A402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5C2B576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19C72FFD"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160FB602"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3C63354"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15AC1E1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25.8%</w:t>
            </w:r>
          </w:p>
        </w:tc>
        <w:tc>
          <w:tcPr>
            <w:tcW w:w="960" w:type="dxa"/>
            <w:tcBorders>
              <w:top w:val="nil"/>
              <w:left w:val="nil"/>
              <w:bottom w:val="single" w:sz="8" w:space="0" w:color="E1E1E3"/>
              <w:right w:val="single" w:sz="8" w:space="0" w:color="E1E1E3"/>
            </w:tcBorders>
            <w:vAlign w:val="center"/>
            <w:hideMark/>
          </w:tcPr>
          <w:p w14:paraId="070B4CD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26.2%</w:t>
            </w:r>
          </w:p>
        </w:tc>
        <w:tc>
          <w:tcPr>
            <w:tcW w:w="960" w:type="dxa"/>
            <w:tcBorders>
              <w:top w:val="nil"/>
              <w:left w:val="nil"/>
              <w:bottom w:val="single" w:sz="8" w:space="0" w:color="E1E1E3"/>
              <w:right w:val="single" w:sz="8" w:space="0" w:color="E1E1E3"/>
            </w:tcBorders>
            <w:noWrap/>
            <w:vAlign w:val="center"/>
            <w:hideMark/>
          </w:tcPr>
          <w:p w14:paraId="5790CBCB"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8E72135"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05F1CEC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895E6E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2A7C8C0F"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0988C61E"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5F253221"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2023թ. Պետական բյուջե</w:t>
            </w:r>
          </w:p>
        </w:tc>
        <w:tc>
          <w:tcPr>
            <w:tcW w:w="960" w:type="dxa"/>
            <w:tcBorders>
              <w:top w:val="nil"/>
              <w:left w:val="nil"/>
              <w:bottom w:val="single" w:sz="8" w:space="0" w:color="E1E1E3"/>
              <w:right w:val="single" w:sz="8" w:space="0" w:color="E1E1E3"/>
            </w:tcBorders>
            <w:vAlign w:val="center"/>
            <w:hideMark/>
          </w:tcPr>
          <w:p w14:paraId="310115E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1B1E057"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6FF81D87"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C91BF87"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E6D5EB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64D7163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496F38A1"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0715DEE3"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6D147038"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442218AB"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B192991"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F5C8A8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C3B116B"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1180E6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72EEACF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0E95835D"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4ADC66B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2023</w:t>
            </w:r>
          </w:p>
        </w:tc>
        <w:tc>
          <w:tcPr>
            <w:tcW w:w="3180" w:type="dxa"/>
            <w:tcBorders>
              <w:top w:val="nil"/>
              <w:left w:val="nil"/>
              <w:bottom w:val="single" w:sz="8" w:space="0" w:color="E1E1E3"/>
              <w:right w:val="single" w:sz="8" w:space="0" w:color="E1E1E3"/>
            </w:tcBorders>
            <w:noWrap/>
            <w:vAlign w:val="center"/>
            <w:hideMark/>
          </w:tcPr>
          <w:p w14:paraId="045D0F04"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2024-2026</w:t>
            </w:r>
          </w:p>
        </w:tc>
        <w:tc>
          <w:tcPr>
            <w:tcW w:w="960" w:type="dxa"/>
            <w:tcBorders>
              <w:top w:val="nil"/>
              <w:left w:val="nil"/>
              <w:bottom w:val="single" w:sz="8" w:space="0" w:color="E1E1E3"/>
              <w:right w:val="single" w:sz="8" w:space="0" w:color="E1E1E3"/>
            </w:tcBorders>
            <w:vAlign w:val="center"/>
            <w:hideMark/>
          </w:tcPr>
          <w:p w14:paraId="0115B71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2,671.1</w:t>
            </w:r>
          </w:p>
        </w:tc>
        <w:tc>
          <w:tcPr>
            <w:tcW w:w="960" w:type="dxa"/>
            <w:tcBorders>
              <w:top w:val="nil"/>
              <w:left w:val="nil"/>
              <w:bottom w:val="single" w:sz="8" w:space="0" w:color="E1E1E3"/>
              <w:right w:val="single" w:sz="8" w:space="0" w:color="E1E1E3"/>
            </w:tcBorders>
            <w:vAlign w:val="center"/>
            <w:hideMark/>
          </w:tcPr>
          <w:p w14:paraId="391DAE6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2,986.4</w:t>
            </w:r>
          </w:p>
        </w:tc>
        <w:tc>
          <w:tcPr>
            <w:tcW w:w="960" w:type="dxa"/>
            <w:tcBorders>
              <w:top w:val="nil"/>
              <w:left w:val="nil"/>
              <w:bottom w:val="single" w:sz="8" w:space="0" w:color="E1E1E3"/>
              <w:right w:val="single" w:sz="8" w:space="0" w:color="E1E1E3"/>
            </w:tcBorders>
            <w:vAlign w:val="center"/>
            <w:hideMark/>
          </w:tcPr>
          <w:p w14:paraId="42B825A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3,367.4</w:t>
            </w:r>
          </w:p>
        </w:tc>
        <w:tc>
          <w:tcPr>
            <w:tcW w:w="960" w:type="dxa"/>
            <w:tcBorders>
              <w:top w:val="nil"/>
              <w:left w:val="nil"/>
              <w:bottom w:val="single" w:sz="8" w:space="0" w:color="E1E1E3"/>
              <w:right w:val="single" w:sz="8" w:space="0" w:color="E1E1E3"/>
            </w:tcBorders>
            <w:vAlign w:val="center"/>
            <w:hideMark/>
          </w:tcPr>
          <w:p w14:paraId="2D88FECA"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BA348A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4227DEA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5ED12C12"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18DD4055"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AF9C388"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5ACF439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25.2%</w:t>
            </w:r>
          </w:p>
        </w:tc>
        <w:tc>
          <w:tcPr>
            <w:tcW w:w="960" w:type="dxa"/>
            <w:tcBorders>
              <w:top w:val="nil"/>
              <w:left w:val="nil"/>
              <w:bottom w:val="single" w:sz="8" w:space="0" w:color="E1E1E3"/>
              <w:right w:val="single" w:sz="8" w:space="0" w:color="E1E1E3"/>
            </w:tcBorders>
            <w:vAlign w:val="center"/>
            <w:hideMark/>
          </w:tcPr>
          <w:p w14:paraId="5C62177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25.3%</w:t>
            </w:r>
          </w:p>
        </w:tc>
        <w:tc>
          <w:tcPr>
            <w:tcW w:w="960" w:type="dxa"/>
            <w:tcBorders>
              <w:top w:val="nil"/>
              <w:left w:val="nil"/>
              <w:bottom w:val="single" w:sz="8" w:space="0" w:color="E1E1E3"/>
              <w:right w:val="single" w:sz="8" w:space="0" w:color="E1E1E3"/>
            </w:tcBorders>
            <w:vAlign w:val="center"/>
            <w:hideMark/>
          </w:tcPr>
          <w:p w14:paraId="3A2BB90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25.6%</w:t>
            </w:r>
          </w:p>
        </w:tc>
        <w:tc>
          <w:tcPr>
            <w:tcW w:w="960" w:type="dxa"/>
            <w:tcBorders>
              <w:top w:val="nil"/>
              <w:left w:val="nil"/>
              <w:bottom w:val="single" w:sz="8" w:space="0" w:color="E1E1E3"/>
              <w:right w:val="single" w:sz="8" w:space="0" w:color="E1E1E3"/>
            </w:tcBorders>
            <w:vAlign w:val="center"/>
            <w:hideMark/>
          </w:tcPr>
          <w:p w14:paraId="3A66183C"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9BC95B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2C8076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07E7D11C"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1994A215"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761AB68C"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2024թ. Պետական բյուջե</w:t>
            </w:r>
          </w:p>
        </w:tc>
        <w:tc>
          <w:tcPr>
            <w:tcW w:w="960" w:type="dxa"/>
            <w:tcBorders>
              <w:top w:val="nil"/>
              <w:left w:val="nil"/>
              <w:bottom w:val="single" w:sz="8" w:space="0" w:color="E1E1E3"/>
              <w:right w:val="single" w:sz="8" w:space="0" w:color="E1E1E3"/>
            </w:tcBorders>
            <w:vAlign w:val="center"/>
            <w:hideMark/>
          </w:tcPr>
          <w:p w14:paraId="79DA1E8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2,663.1</w:t>
            </w:r>
          </w:p>
        </w:tc>
        <w:tc>
          <w:tcPr>
            <w:tcW w:w="960" w:type="dxa"/>
            <w:tcBorders>
              <w:top w:val="nil"/>
              <w:left w:val="nil"/>
              <w:bottom w:val="single" w:sz="8" w:space="0" w:color="E1E1E3"/>
              <w:right w:val="single" w:sz="8" w:space="0" w:color="E1E1E3"/>
            </w:tcBorders>
            <w:noWrap/>
            <w:vAlign w:val="center"/>
            <w:hideMark/>
          </w:tcPr>
          <w:p w14:paraId="3FD2230B"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B973C87"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3F9F795"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79C08B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18080D0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3F5A6EDF"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634DC84E"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3A0A4DD3"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38586A4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25.3%</w:t>
            </w:r>
          </w:p>
        </w:tc>
        <w:tc>
          <w:tcPr>
            <w:tcW w:w="960" w:type="dxa"/>
            <w:tcBorders>
              <w:top w:val="nil"/>
              <w:left w:val="nil"/>
              <w:bottom w:val="single" w:sz="8" w:space="0" w:color="E1E1E3"/>
              <w:right w:val="single" w:sz="8" w:space="0" w:color="E1E1E3"/>
            </w:tcBorders>
            <w:vAlign w:val="center"/>
            <w:hideMark/>
          </w:tcPr>
          <w:p w14:paraId="32F2CCDD"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7A9F94D"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ECDCF99"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8A1E52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75E077A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1E98D483"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0B5C45F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2024</w:t>
            </w:r>
          </w:p>
        </w:tc>
        <w:tc>
          <w:tcPr>
            <w:tcW w:w="3180" w:type="dxa"/>
            <w:tcBorders>
              <w:top w:val="nil"/>
              <w:left w:val="nil"/>
              <w:bottom w:val="single" w:sz="8" w:space="0" w:color="E1E1E3"/>
              <w:right w:val="single" w:sz="8" w:space="0" w:color="E1E1E3"/>
            </w:tcBorders>
            <w:noWrap/>
            <w:vAlign w:val="center"/>
            <w:hideMark/>
          </w:tcPr>
          <w:p w14:paraId="6DF3FBB9"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2025-2027</w:t>
            </w:r>
          </w:p>
        </w:tc>
        <w:tc>
          <w:tcPr>
            <w:tcW w:w="960" w:type="dxa"/>
            <w:tcBorders>
              <w:top w:val="nil"/>
              <w:left w:val="nil"/>
              <w:bottom w:val="single" w:sz="8" w:space="0" w:color="E1E1E3"/>
              <w:right w:val="single" w:sz="8" w:space="0" w:color="E1E1E3"/>
            </w:tcBorders>
            <w:vAlign w:val="center"/>
            <w:hideMark/>
          </w:tcPr>
          <w:p w14:paraId="440CEBD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2,634.7</w:t>
            </w:r>
          </w:p>
        </w:tc>
        <w:tc>
          <w:tcPr>
            <w:tcW w:w="960" w:type="dxa"/>
            <w:tcBorders>
              <w:top w:val="nil"/>
              <w:left w:val="nil"/>
              <w:bottom w:val="single" w:sz="8" w:space="0" w:color="E1E1E3"/>
              <w:right w:val="single" w:sz="8" w:space="0" w:color="E1E1E3"/>
            </w:tcBorders>
            <w:vAlign w:val="center"/>
            <w:hideMark/>
          </w:tcPr>
          <w:p w14:paraId="3EC10FF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2,897.6</w:t>
            </w:r>
          </w:p>
        </w:tc>
        <w:tc>
          <w:tcPr>
            <w:tcW w:w="960" w:type="dxa"/>
            <w:tcBorders>
              <w:top w:val="nil"/>
              <w:left w:val="nil"/>
              <w:bottom w:val="single" w:sz="8" w:space="0" w:color="E1E1E3"/>
              <w:right w:val="single" w:sz="8" w:space="0" w:color="E1E1E3"/>
            </w:tcBorders>
            <w:vAlign w:val="center"/>
            <w:hideMark/>
          </w:tcPr>
          <w:p w14:paraId="0F8D732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3,258.2</w:t>
            </w:r>
          </w:p>
        </w:tc>
        <w:tc>
          <w:tcPr>
            <w:tcW w:w="960" w:type="dxa"/>
            <w:tcBorders>
              <w:top w:val="nil"/>
              <w:left w:val="nil"/>
              <w:bottom w:val="single" w:sz="8" w:space="0" w:color="E1E1E3"/>
              <w:right w:val="single" w:sz="8" w:space="0" w:color="E1E1E3"/>
            </w:tcBorders>
            <w:vAlign w:val="center"/>
            <w:hideMark/>
          </w:tcPr>
          <w:p w14:paraId="4087A0D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3,614.1</w:t>
            </w:r>
          </w:p>
        </w:tc>
        <w:tc>
          <w:tcPr>
            <w:tcW w:w="960" w:type="dxa"/>
            <w:tcBorders>
              <w:top w:val="nil"/>
              <w:left w:val="nil"/>
              <w:bottom w:val="single" w:sz="8" w:space="0" w:color="E1E1E3"/>
              <w:right w:val="single" w:sz="8" w:space="0" w:color="E1E1E3"/>
            </w:tcBorders>
            <w:vAlign w:val="center"/>
            <w:hideMark/>
          </w:tcPr>
          <w:p w14:paraId="2E334E9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015B174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09F92D41"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681D77A3"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4D838995"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4A4207B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25.7%</w:t>
            </w:r>
          </w:p>
        </w:tc>
        <w:tc>
          <w:tcPr>
            <w:tcW w:w="960" w:type="dxa"/>
            <w:tcBorders>
              <w:top w:val="nil"/>
              <w:left w:val="nil"/>
              <w:bottom w:val="single" w:sz="8" w:space="0" w:color="E1E1E3"/>
              <w:right w:val="single" w:sz="8" w:space="0" w:color="E1E1E3"/>
            </w:tcBorders>
            <w:vAlign w:val="center"/>
            <w:hideMark/>
          </w:tcPr>
          <w:p w14:paraId="622F21F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25.9%</w:t>
            </w:r>
          </w:p>
        </w:tc>
        <w:tc>
          <w:tcPr>
            <w:tcW w:w="960" w:type="dxa"/>
            <w:tcBorders>
              <w:top w:val="nil"/>
              <w:left w:val="nil"/>
              <w:bottom w:val="single" w:sz="8" w:space="0" w:color="E1E1E3"/>
              <w:right w:val="single" w:sz="8" w:space="0" w:color="E1E1E3"/>
            </w:tcBorders>
            <w:vAlign w:val="center"/>
            <w:hideMark/>
          </w:tcPr>
          <w:p w14:paraId="4535FD4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26.5%</w:t>
            </w:r>
          </w:p>
        </w:tc>
        <w:tc>
          <w:tcPr>
            <w:tcW w:w="960" w:type="dxa"/>
            <w:tcBorders>
              <w:top w:val="nil"/>
              <w:left w:val="nil"/>
              <w:bottom w:val="single" w:sz="8" w:space="0" w:color="E1E1E3"/>
              <w:right w:val="single" w:sz="8" w:space="0" w:color="E1E1E3"/>
            </w:tcBorders>
            <w:vAlign w:val="center"/>
            <w:hideMark/>
          </w:tcPr>
          <w:p w14:paraId="4343829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26.8%</w:t>
            </w:r>
          </w:p>
        </w:tc>
        <w:tc>
          <w:tcPr>
            <w:tcW w:w="960" w:type="dxa"/>
            <w:tcBorders>
              <w:top w:val="nil"/>
              <w:left w:val="nil"/>
              <w:bottom w:val="single" w:sz="8" w:space="0" w:color="E1E1E3"/>
              <w:right w:val="single" w:sz="8" w:space="0" w:color="E1E1E3"/>
            </w:tcBorders>
            <w:vAlign w:val="center"/>
            <w:hideMark/>
          </w:tcPr>
          <w:p w14:paraId="0FF67C6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7E0E69A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2E279932"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3749BF9A"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23483823"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2025թ. Պետական բյուջե</w:t>
            </w:r>
          </w:p>
        </w:tc>
        <w:tc>
          <w:tcPr>
            <w:tcW w:w="960" w:type="dxa"/>
            <w:tcBorders>
              <w:top w:val="nil"/>
              <w:left w:val="nil"/>
              <w:bottom w:val="single" w:sz="8" w:space="0" w:color="E1E1E3"/>
              <w:right w:val="single" w:sz="8" w:space="0" w:color="E1E1E3"/>
            </w:tcBorders>
            <w:vAlign w:val="center"/>
            <w:hideMark/>
          </w:tcPr>
          <w:p w14:paraId="249E4B3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2,593.6</w:t>
            </w:r>
          </w:p>
        </w:tc>
        <w:tc>
          <w:tcPr>
            <w:tcW w:w="960" w:type="dxa"/>
            <w:tcBorders>
              <w:top w:val="nil"/>
              <w:left w:val="nil"/>
              <w:bottom w:val="single" w:sz="8" w:space="0" w:color="E1E1E3"/>
              <w:right w:val="single" w:sz="8" w:space="0" w:color="E1E1E3"/>
            </w:tcBorders>
            <w:vAlign w:val="center"/>
            <w:hideMark/>
          </w:tcPr>
          <w:p w14:paraId="67B949A9" w14:textId="77777777" w:rsidR="00082769" w:rsidRPr="008B63B1" w:rsidRDefault="00082769" w:rsidP="00082769">
            <w:pPr>
              <w:spacing w:after="0" w:line="240" w:lineRule="auto"/>
              <w:ind w:hanging="11"/>
              <w:jc w:val="center"/>
              <w:rPr>
                <w:rFonts w:ascii="GHEA Grapalat" w:eastAsia="Times New Roman" w:hAnsi="GHEA Grapalat" w:cs="Calibri"/>
                <w:color w:val="000000"/>
                <w:sz w:val="18"/>
                <w:szCs w:val="18"/>
              </w:rPr>
            </w:pPr>
            <w:r w:rsidRPr="008B63B1">
              <w:rPr>
                <w:rFonts w:ascii="GHEA Grapalat" w:eastAsia="Times New Roman" w:hAnsi="GHEA Grapalat" w:cs="Calibri"/>
                <w:color w:val="000000"/>
                <w:sz w:val="18"/>
                <w:szCs w:val="18"/>
              </w:rPr>
              <w:t>2,837.6</w:t>
            </w:r>
          </w:p>
        </w:tc>
        <w:tc>
          <w:tcPr>
            <w:tcW w:w="960" w:type="dxa"/>
            <w:tcBorders>
              <w:top w:val="nil"/>
              <w:left w:val="nil"/>
              <w:bottom w:val="single" w:sz="8" w:space="0" w:color="E1E1E3"/>
              <w:right w:val="single" w:sz="8" w:space="0" w:color="E1E1E3"/>
            </w:tcBorders>
            <w:vAlign w:val="center"/>
            <w:hideMark/>
          </w:tcPr>
          <w:p w14:paraId="4A4BC4D1" w14:textId="77777777" w:rsidR="00082769" w:rsidRPr="008B63B1" w:rsidRDefault="00082769" w:rsidP="00082769">
            <w:pPr>
              <w:spacing w:after="0" w:line="240" w:lineRule="auto"/>
              <w:ind w:hanging="11"/>
              <w:jc w:val="center"/>
              <w:rPr>
                <w:rFonts w:ascii="GHEA Grapalat" w:eastAsia="Times New Roman" w:hAnsi="GHEA Grapalat" w:cs="Calibri"/>
                <w:color w:val="000000"/>
                <w:sz w:val="18"/>
                <w:szCs w:val="18"/>
              </w:rPr>
            </w:pPr>
            <w:r w:rsidRPr="008B63B1">
              <w:rPr>
                <w:rFonts w:ascii="GHEA Grapalat" w:eastAsia="Times New Roman" w:hAnsi="GHEA Grapalat" w:cs="Calibri"/>
                <w:color w:val="000000"/>
                <w:sz w:val="18"/>
                <w:szCs w:val="18"/>
              </w:rPr>
              <w:t>3,123.2</w:t>
            </w:r>
          </w:p>
        </w:tc>
        <w:tc>
          <w:tcPr>
            <w:tcW w:w="960" w:type="dxa"/>
            <w:tcBorders>
              <w:top w:val="nil"/>
              <w:left w:val="nil"/>
              <w:bottom w:val="single" w:sz="8" w:space="0" w:color="E1E1E3"/>
              <w:right w:val="single" w:sz="8" w:space="0" w:color="E1E1E3"/>
            </w:tcBorders>
            <w:vAlign w:val="center"/>
            <w:hideMark/>
          </w:tcPr>
          <w:p w14:paraId="57CA5965" w14:textId="77777777" w:rsidR="00082769" w:rsidRPr="008B63B1" w:rsidRDefault="00082769" w:rsidP="00082769">
            <w:pPr>
              <w:spacing w:after="0" w:line="240" w:lineRule="auto"/>
              <w:ind w:hanging="11"/>
              <w:jc w:val="center"/>
              <w:rPr>
                <w:rFonts w:ascii="GHEA Grapalat" w:eastAsia="Times New Roman" w:hAnsi="GHEA Grapalat" w:cs="Calibri"/>
                <w:color w:val="000000"/>
                <w:sz w:val="18"/>
                <w:szCs w:val="18"/>
              </w:rPr>
            </w:pPr>
            <w:r w:rsidRPr="008B63B1">
              <w:rPr>
                <w:rFonts w:ascii="GHEA Grapalat" w:eastAsia="Times New Roman" w:hAnsi="GHEA Grapalat" w:cs="Calibri"/>
                <w:color w:val="000000"/>
                <w:sz w:val="18"/>
                <w:szCs w:val="18"/>
              </w:rPr>
              <w:t>3,458.6</w:t>
            </w:r>
          </w:p>
        </w:tc>
        <w:tc>
          <w:tcPr>
            <w:tcW w:w="960" w:type="dxa"/>
            <w:tcBorders>
              <w:top w:val="nil"/>
              <w:left w:val="nil"/>
              <w:bottom w:val="single" w:sz="8" w:space="0" w:color="E1E1E3"/>
              <w:right w:val="single" w:sz="8" w:space="0" w:color="E1E1E3"/>
            </w:tcBorders>
            <w:vAlign w:val="center"/>
            <w:hideMark/>
          </w:tcPr>
          <w:p w14:paraId="08D45EDF" w14:textId="77777777" w:rsidR="00082769" w:rsidRPr="008B63B1" w:rsidRDefault="00082769" w:rsidP="00082769">
            <w:pPr>
              <w:spacing w:after="0" w:line="240" w:lineRule="auto"/>
              <w:ind w:hanging="11"/>
              <w:jc w:val="center"/>
              <w:rPr>
                <w:rFonts w:ascii="GHEA Grapalat" w:eastAsia="Times New Roman" w:hAnsi="GHEA Grapalat" w:cs="Calibri"/>
                <w:color w:val="000000"/>
                <w:sz w:val="18"/>
                <w:szCs w:val="18"/>
              </w:rPr>
            </w:pPr>
            <w:r w:rsidRPr="008B63B1">
              <w:rPr>
                <w:rFonts w:ascii="Calibri" w:eastAsia="Times New Roman" w:hAnsi="Calibri" w:cs="Calibri"/>
                <w:color w:val="000000"/>
                <w:sz w:val="18"/>
                <w:szCs w:val="18"/>
              </w:rPr>
              <w:t> </w:t>
            </w:r>
          </w:p>
        </w:tc>
        <w:tc>
          <w:tcPr>
            <w:tcW w:w="960" w:type="dxa"/>
            <w:tcBorders>
              <w:top w:val="nil"/>
              <w:left w:val="nil"/>
              <w:bottom w:val="single" w:sz="8" w:space="0" w:color="E1E1E3"/>
              <w:right w:val="single" w:sz="8" w:space="0" w:color="E1E1E3"/>
            </w:tcBorders>
            <w:vAlign w:val="center"/>
            <w:hideMark/>
          </w:tcPr>
          <w:p w14:paraId="5648490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35BE3E8E"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402CD75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134E566A"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3F55D54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25.7%</w:t>
            </w:r>
          </w:p>
        </w:tc>
        <w:tc>
          <w:tcPr>
            <w:tcW w:w="960" w:type="dxa"/>
            <w:tcBorders>
              <w:top w:val="nil"/>
              <w:left w:val="nil"/>
              <w:bottom w:val="single" w:sz="8" w:space="0" w:color="E1E1E3"/>
              <w:right w:val="single" w:sz="8" w:space="0" w:color="E1E1E3"/>
            </w:tcBorders>
            <w:vAlign w:val="center"/>
            <w:hideMark/>
          </w:tcPr>
          <w:p w14:paraId="5AE31A0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26.1%</w:t>
            </w:r>
          </w:p>
        </w:tc>
        <w:tc>
          <w:tcPr>
            <w:tcW w:w="960" w:type="dxa"/>
            <w:tcBorders>
              <w:top w:val="nil"/>
              <w:left w:val="nil"/>
              <w:bottom w:val="single" w:sz="8" w:space="0" w:color="E1E1E3"/>
              <w:right w:val="single" w:sz="8" w:space="0" w:color="E1E1E3"/>
            </w:tcBorders>
            <w:vAlign w:val="center"/>
            <w:hideMark/>
          </w:tcPr>
          <w:p w14:paraId="556A11E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26.2%</w:t>
            </w:r>
          </w:p>
        </w:tc>
        <w:tc>
          <w:tcPr>
            <w:tcW w:w="960" w:type="dxa"/>
            <w:tcBorders>
              <w:top w:val="nil"/>
              <w:left w:val="nil"/>
              <w:bottom w:val="single" w:sz="8" w:space="0" w:color="E1E1E3"/>
              <w:right w:val="single" w:sz="8" w:space="0" w:color="E1E1E3"/>
            </w:tcBorders>
            <w:vAlign w:val="center"/>
            <w:hideMark/>
          </w:tcPr>
          <w:p w14:paraId="613C92F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26.5%</w:t>
            </w:r>
          </w:p>
        </w:tc>
        <w:tc>
          <w:tcPr>
            <w:tcW w:w="960" w:type="dxa"/>
            <w:tcBorders>
              <w:top w:val="nil"/>
              <w:left w:val="nil"/>
              <w:bottom w:val="single" w:sz="8" w:space="0" w:color="E1E1E3"/>
              <w:right w:val="single" w:sz="8" w:space="0" w:color="E1E1E3"/>
            </w:tcBorders>
            <w:vAlign w:val="center"/>
            <w:hideMark/>
          </w:tcPr>
          <w:p w14:paraId="6BDF10B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6790B6B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348A1184" w14:textId="77777777" w:rsidTr="00873AE6">
        <w:trPr>
          <w:trHeight w:val="315"/>
        </w:trPr>
        <w:tc>
          <w:tcPr>
            <w:tcW w:w="1540" w:type="dxa"/>
            <w:vMerge w:val="restart"/>
            <w:tcBorders>
              <w:top w:val="nil"/>
              <w:left w:val="single" w:sz="8" w:space="0" w:color="E1E1E3"/>
              <w:bottom w:val="single" w:sz="8" w:space="0" w:color="E1E1E3"/>
              <w:right w:val="single" w:sz="8" w:space="0" w:color="E1E1E3"/>
            </w:tcBorders>
            <w:vAlign w:val="center"/>
            <w:hideMark/>
          </w:tcPr>
          <w:p w14:paraId="5E72B0A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2025</w:t>
            </w:r>
          </w:p>
        </w:tc>
        <w:tc>
          <w:tcPr>
            <w:tcW w:w="3180" w:type="dxa"/>
            <w:tcBorders>
              <w:top w:val="nil"/>
              <w:left w:val="nil"/>
              <w:bottom w:val="single" w:sz="8" w:space="0" w:color="E1E1E3"/>
              <w:right w:val="single" w:sz="8" w:space="0" w:color="E1E1E3"/>
            </w:tcBorders>
            <w:vAlign w:val="center"/>
            <w:hideMark/>
          </w:tcPr>
          <w:p w14:paraId="70EF625C"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lang w:val="ru-RU"/>
              </w:rPr>
              <w:t xml:space="preserve"> ՄԺԾԾ 2026-2028</w:t>
            </w:r>
          </w:p>
        </w:tc>
        <w:tc>
          <w:tcPr>
            <w:tcW w:w="960" w:type="dxa"/>
            <w:tcBorders>
              <w:top w:val="nil"/>
              <w:left w:val="nil"/>
              <w:bottom w:val="single" w:sz="8" w:space="0" w:color="E1E1E3"/>
              <w:right w:val="single" w:sz="8" w:space="0" w:color="E1E1E3"/>
            </w:tcBorders>
            <w:vAlign w:val="center"/>
            <w:hideMark/>
          </w:tcPr>
          <w:p w14:paraId="2A9D5B0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71B931A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2,773.2</w:t>
            </w:r>
          </w:p>
        </w:tc>
        <w:tc>
          <w:tcPr>
            <w:tcW w:w="960" w:type="dxa"/>
            <w:tcBorders>
              <w:top w:val="nil"/>
              <w:left w:val="nil"/>
              <w:bottom w:val="single" w:sz="8" w:space="0" w:color="E1E1E3"/>
              <w:right w:val="single" w:sz="8" w:space="0" w:color="E1E1E3"/>
            </w:tcBorders>
            <w:vAlign w:val="center"/>
            <w:hideMark/>
          </w:tcPr>
          <w:p w14:paraId="68B3541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3,049.3</w:t>
            </w:r>
          </w:p>
        </w:tc>
        <w:tc>
          <w:tcPr>
            <w:tcW w:w="960" w:type="dxa"/>
            <w:tcBorders>
              <w:top w:val="nil"/>
              <w:left w:val="nil"/>
              <w:bottom w:val="single" w:sz="8" w:space="0" w:color="E1E1E3"/>
              <w:right w:val="single" w:sz="8" w:space="0" w:color="E1E1E3"/>
            </w:tcBorders>
            <w:vAlign w:val="center"/>
            <w:hideMark/>
          </w:tcPr>
          <w:p w14:paraId="42AD268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3,308.4</w:t>
            </w:r>
          </w:p>
        </w:tc>
        <w:tc>
          <w:tcPr>
            <w:tcW w:w="960" w:type="dxa"/>
            <w:tcBorders>
              <w:top w:val="nil"/>
              <w:left w:val="nil"/>
              <w:bottom w:val="single" w:sz="8" w:space="0" w:color="E1E1E3"/>
              <w:right w:val="single" w:sz="8" w:space="0" w:color="E1E1E3"/>
            </w:tcBorders>
            <w:vAlign w:val="center"/>
            <w:hideMark/>
          </w:tcPr>
          <w:p w14:paraId="07AD04A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3,603.2</w:t>
            </w:r>
          </w:p>
        </w:tc>
        <w:tc>
          <w:tcPr>
            <w:tcW w:w="960" w:type="dxa"/>
            <w:tcBorders>
              <w:top w:val="nil"/>
              <w:left w:val="nil"/>
              <w:bottom w:val="single" w:sz="8" w:space="0" w:color="E1E1E3"/>
              <w:right w:val="single" w:sz="8" w:space="0" w:color="E1E1E3"/>
            </w:tcBorders>
            <w:vAlign w:val="center"/>
            <w:hideMark/>
          </w:tcPr>
          <w:p w14:paraId="139775A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0F8E2DAD"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2FCEBA1D"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28C6B71D"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6A6B9F6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3DD0659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25.3%</w:t>
            </w:r>
          </w:p>
        </w:tc>
        <w:tc>
          <w:tcPr>
            <w:tcW w:w="960" w:type="dxa"/>
            <w:tcBorders>
              <w:top w:val="nil"/>
              <w:left w:val="nil"/>
              <w:bottom w:val="single" w:sz="8" w:space="0" w:color="E1E1E3"/>
              <w:right w:val="single" w:sz="8" w:space="0" w:color="E1E1E3"/>
            </w:tcBorders>
            <w:vAlign w:val="center"/>
            <w:hideMark/>
          </w:tcPr>
          <w:p w14:paraId="7ED69D9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25.7%</w:t>
            </w:r>
          </w:p>
        </w:tc>
        <w:tc>
          <w:tcPr>
            <w:tcW w:w="960" w:type="dxa"/>
            <w:tcBorders>
              <w:top w:val="nil"/>
              <w:left w:val="nil"/>
              <w:bottom w:val="single" w:sz="8" w:space="0" w:color="E1E1E3"/>
              <w:right w:val="single" w:sz="8" w:space="0" w:color="E1E1E3"/>
            </w:tcBorders>
            <w:vAlign w:val="center"/>
            <w:hideMark/>
          </w:tcPr>
          <w:p w14:paraId="0A6858C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25.7%</w:t>
            </w:r>
          </w:p>
        </w:tc>
        <w:tc>
          <w:tcPr>
            <w:tcW w:w="960" w:type="dxa"/>
            <w:tcBorders>
              <w:top w:val="nil"/>
              <w:left w:val="nil"/>
              <w:bottom w:val="single" w:sz="8" w:space="0" w:color="E1E1E3"/>
              <w:right w:val="single" w:sz="8" w:space="0" w:color="E1E1E3"/>
            </w:tcBorders>
            <w:vAlign w:val="center"/>
            <w:hideMark/>
          </w:tcPr>
          <w:p w14:paraId="6021FF9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25.8%</w:t>
            </w:r>
          </w:p>
        </w:tc>
        <w:tc>
          <w:tcPr>
            <w:tcW w:w="960" w:type="dxa"/>
            <w:tcBorders>
              <w:top w:val="nil"/>
              <w:left w:val="nil"/>
              <w:bottom w:val="single" w:sz="8" w:space="0" w:color="E1E1E3"/>
              <w:right w:val="single" w:sz="8" w:space="0" w:color="E1E1E3"/>
            </w:tcBorders>
            <w:vAlign w:val="center"/>
            <w:hideMark/>
          </w:tcPr>
          <w:p w14:paraId="13571A0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72D7C2B9"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5C7B02FD"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62E8623"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2026թ. Պետական բյուջե</w:t>
            </w:r>
          </w:p>
        </w:tc>
        <w:tc>
          <w:tcPr>
            <w:tcW w:w="960" w:type="dxa"/>
            <w:tcBorders>
              <w:top w:val="nil"/>
              <w:left w:val="nil"/>
              <w:bottom w:val="single" w:sz="8" w:space="0" w:color="E1E1E3"/>
              <w:right w:val="single" w:sz="8" w:space="0" w:color="E1E1E3"/>
            </w:tcBorders>
            <w:vAlign w:val="center"/>
            <w:hideMark/>
          </w:tcPr>
          <w:p w14:paraId="71DCF1E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43A5C8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2,832.8</w:t>
            </w:r>
          </w:p>
        </w:tc>
        <w:tc>
          <w:tcPr>
            <w:tcW w:w="960" w:type="dxa"/>
            <w:tcBorders>
              <w:top w:val="nil"/>
              <w:left w:val="nil"/>
              <w:bottom w:val="single" w:sz="8" w:space="0" w:color="E1E1E3"/>
              <w:right w:val="single" w:sz="8" w:space="0" w:color="E1E1E3"/>
            </w:tcBorders>
            <w:vAlign w:val="center"/>
            <w:hideMark/>
          </w:tcPr>
          <w:p w14:paraId="0DFC86E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3,090.9</w:t>
            </w:r>
          </w:p>
        </w:tc>
        <w:tc>
          <w:tcPr>
            <w:tcW w:w="960" w:type="dxa"/>
            <w:tcBorders>
              <w:top w:val="nil"/>
              <w:left w:val="nil"/>
              <w:bottom w:val="single" w:sz="8" w:space="0" w:color="E1E1E3"/>
              <w:right w:val="single" w:sz="8" w:space="0" w:color="E1E1E3"/>
            </w:tcBorders>
            <w:vAlign w:val="center"/>
            <w:hideMark/>
          </w:tcPr>
          <w:p w14:paraId="2BCF256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3,352.6</w:t>
            </w:r>
          </w:p>
        </w:tc>
        <w:tc>
          <w:tcPr>
            <w:tcW w:w="960" w:type="dxa"/>
            <w:tcBorders>
              <w:top w:val="nil"/>
              <w:left w:val="nil"/>
              <w:bottom w:val="single" w:sz="8" w:space="0" w:color="E1E1E3"/>
              <w:right w:val="single" w:sz="8" w:space="0" w:color="E1E1E3"/>
            </w:tcBorders>
            <w:vAlign w:val="center"/>
            <w:hideMark/>
          </w:tcPr>
          <w:p w14:paraId="44DBAF9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3,638.2</w:t>
            </w:r>
          </w:p>
        </w:tc>
        <w:tc>
          <w:tcPr>
            <w:tcW w:w="960" w:type="dxa"/>
            <w:tcBorders>
              <w:top w:val="nil"/>
              <w:left w:val="nil"/>
              <w:bottom w:val="single" w:sz="8" w:space="0" w:color="E1E1E3"/>
              <w:right w:val="single" w:sz="8" w:space="0" w:color="E1E1E3"/>
            </w:tcBorders>
            <w:vAlign w:val="center"/>
            <w:hideMark/>
          </w:tcPr>
          <w:p w14:paraId="3AEB603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10EE577A"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5A5626BF"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36194AD3"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0358478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6CBD262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25.8%</w:t>
            </w:r>
          </w:p>
        </w:tc>
        <w:tc>
          <w:tcPr>
            <w:tcW w:w="960" w:type="dxa"/>
            <w:tcBorders>
              <w:top w:val="nil"/>
              <w:left w:val="nil"/>
              <w:bottom w:val="single" w:sz="8" w:space="0" w:color="E1E1E3"/>
              <w:right w:val="single" w:sz="8" w:space="0" w:color="E1E1E3"/>
            </w:tcBorders>
            <w:vAlign w:val="center"/>
            <w:hideMark/>
          </w:tcPr>
          <w:p w14:paraId="2F6DF97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25.9%</w:t>
            </w:r>
          </w:p>
        </w:tc>
        <w:tc>
          <w:tcPr>
            <w:tcW w:w="960" w:type="dxa"/>
            <w:tcBorders>
              <w:top w:val="nil"/>
              <w:left w:val="nil"/>
              <w:bottom w:val="single" w:sz="8" w:space="0" w:color="E1E1E3"/>
              <w:right w:val="single" w:sz="8" w:space="0" w:color="E1E1E3"/>
            </w:tcBorders>
            <w:vAlign w:val="center"/>
            <w:hideMark/>
          </w:tcPr>
          <w:p w14:paraId="29082CC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25.9%</w:t>
            </w:r>
          </w:p>
        </w:tc>
        <w:tc>
          <w:tcPr>
            <w:tcW w:w="960" w:type="dxa"/>
            <w:tcBorders>
              <w:top w:val="nil"/>
              <w:left w:val="nil"/>
              <w:bottom w:val="single" w:sz="8" w:space="0" w:color="E1E1E3"/>
              <w:right w:val="single" w:sz="8" w:space="0" w:color="E1E1E3"/>
            </w:tcBorders>
            <w:vAlign w:val="center"/>
            <w:hideMark/>
          </w:tcPr>
          <w:p w14:paraId="39AA093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25.9%</w:t>
            </w:r>
          </w:p>
        </w:tc>
        <w:tc>
          <w:tcPr>
            <w:tcW w:w="960" w:type="dxa"/>
            <w:tcBorders>
              <w:top w:val="nil"/>
              <w:left w:val="nil"/>
              <w:bottom w:val="single" w:sz="8" w:space="0" w:color="E1E1E3"/>
              <w:right w:val="single" w:sz="8" w:space="0" w:color="E1E1E3"/>
            </w:tcBorders>
            <w:vAlign w:val="center"/>
            <w:hideMark/>
          </w:tcPr>
          <w:p w14:paraId="4B30245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61088C56" w14:textId="77777777" w:rsidTr="00873AE6">
        <w:trPr>
          <w:trHeight w:val="315"/>
        </w:trPr>
        <w:tc>
          <w:tcPr>
            <w:tcW w:w="1540" w:type="dxa"/>
            <w:vMerge w:val="restart"/>
            <w:tcBorders>
              <w:top w:val="nil"/>
              <w:left w:val="single" w:sz="8" w:space="0" w:color="E1E1E3"/>
              <w:bottom w:val="single" w:sz="8" w:space="0" w:color="E1E1E3"/>
              <w:right w:val="single" w:sz="8" w:space="0" w:color="E1E1E3"/>
            </w:tcBorders>
            <w:vAlign w:val="center"/>
            <w:hideMark/>
          </w:tcPr>
          <w:p w14:paraId="229E963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2026</w:t>
            </w:r>
          </w:p>
        </w:tc>
        <w:tc>
          <w:tcPr>
            <w:tcW w:w="3180" w:type="dxa"/>
            <w:tcBorders>
              <w:top w:val="nil"/>
              <w:left w:val="nil"/>
              <w:bottom w:val="single" w:sz="8" w:space="0" w:color="E1E1E3"/>
              <w:right w:val="single" w:sz="8" w:space="0" w:color="E1E1E3"/>
            </w:tcBorders>
            <w:vAlign w:val="center"/>
            <w:hideMark/>
          </w:tcPr>
          <w:p w14:paraId="38F4E2D1"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lang w:val="ru-RU"/>
              </w:rPr>
              <w:t xml:space="preserve"> ՄԺԾԾ 2027-2029</w:t>
            </w:r>
          </w:p>
        </w:tc>
        <w:tc>
          <w:tcPr>
            <w:tcW w:w="960" w:type="dxa"/>
            <w:tcBorders>
              <w:top w:val="nil"/>
              <w:left w:val="nil"/>
              <w:bottom w:val="single" w:sz="8" w:space="0" w:color="E1E1E3"/>
              <w:right w:val="single" w:sz="8" w:space="0" w:color="E1E1E3"/>
            </w:tcBorders>
            <w:vAlign w:val="center"/>
            <w:hideMark/>
          </w:tcPr>
          <w:p w14:paraId="25AE3FE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8D70BF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5CF2C44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3,140.71</w:t>
            </w:r>
          </w:p>
        </w:tc>
        <w:tc>
          <w:tcPr>
            <w:tcW w:w="960" w:type="dxa"/>
            <w:tcBorders>
              <w:top w:val="nil"/>
              <w:left w:val="nil"/>
              <w:bottom w:val="single" w:sz="8" w:space="0" w:color="E1E1E3"/>
              <w:right w:val="single" w:sz="8" w:space="0" w:color="E1E1E3"/>
            </w:tcBorders>
            <w:vAlign w:val="center"/>
            <w:hideMark/>
          </w:tcPr>
          <w:p w14:paraId="6861489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3,475.33</w:t>
            </w:r>
          </w:p>
        </w:tc>
        <w:tc>
          <w:tcPr>
            <w:tcW w:w="960" w:type="dxa"/>
            <w:tcBorders>
              <w:top w:val="nil"/>
              <w:left w:val="nil"/>
              <w:bottom w:val="single" w:sz="8" w:space="0" w:color="E1E1E3"/>
              <w:right w:val="single" w:sz="8" w:space="0" w:color="E1E1E3"/>
            </w:tcBorders>
            <w:vAlign w:val="center"/>
            <w:hideMark/>
          </w:tcPr>
          <w:p w14:paraId="772B80E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3,794.18</w:t>
            </w:r>
          </w:p>
        </w:tc>
        <w:tc>
          <w:tcPr>
            <w:tcW w:w="960" w:type="dxa"/>
            <w:tcBorders>
              <w:top w:val="nil"/>
              <w:left w:val="nil"/>
              <w:bottom w:val="single" w:sz="8" w:space="0" w:color="E1E1E3"/>
              <w:right w:val="single" w:sz="8" w:space="0" w:color="E1E1E3"/>
            </w:tcBorders>
            <w:vAlign w:val="center"/>
            <w:hideMark/>
          </w:tcPr>
          <w:p w14:paraId="5AFE18C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4,174.50</w:t>
            </w:r>
          </w:p>
        </w:tc>
      </w:tr>
      <w:tr w:rsidR="00082769" w:rsidRPr="008B63B1" w14:paraId="33621019"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1FFCB27C"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3C580076"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1716784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411D5B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B41EDE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25.5%</w:t>
            </w:r>
          </w:p>
        </w:tc>
        <w:tc>
          <w:tcPr>
            <w:tcW w:w="960" w:type="dxa"/>
            <w:tcBorders>
              <w:top w:val="nil"/>
              <w:left w:val="nil"/>
              <w:bottom w:val="single" w:sz="8" w:space="0" w:color="E1E1E3"/>
              <w:right w:val="single" w:sz="8" w:space="0" w:color="E1E1E3"/>
            </w:tcBorders>
            <w:vAlign w:val="center"/>
            <w:hideMark/>
          </w:tcPr>
          <w:p w14:paraId="3B51B2B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25.9%</w:t>
            </w:r>
          </w:p>
        </w:tc>
        <w:tc>
          <w:tcPr>
            <w:tcW w:w="960" w:type="dxa"/>
            <w:tcBorders>
              <w:top w:val="nil"/>
              <w:left w:val="nil"/>
              <w:bottom w:val="single" w:sz="8" w:space="0" w:color="E1E1E3"/>
              <w:right w:val="single" w:sz="8" w:space="0" w:color="E1E1E3"/>
            </w:tcBorders>
            <w:vAlign w:val="center"/>
            <w:hideMark/>
          </w:tcPr>
          <w:p w14:paraId="48427FA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26.0%</w:t>
            </w:r>
          </w:p>
        </w:tc>
        <w:tc>
          <w:tcPr>
            <w:tcW w:w="960" w:type="dxa"/>
            <w:tcBorders>
              <w:top w:val="nil"/>
              <w:left w:val="nil"/>
              <w:bottom w:val="single" w:sz="8" w:space="0" w:color="E1E1E3"/>
              <w:right w:val="single" w:sz="8" w:space="0" w:color="E1E1E3"/>
            </w:tcBorders>
            <w:vAlign w:val="center"/>
            <w:hideMark/>
          </w:tcPr>
          <w:p w14:paraId="3A28341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26.2%</w:t>
            </w:r>
          </w:p>
        </w:tc>
      </w:tr>
      <w:tr w:rsidR="00082769" w:rsidRPr="008B63B1" w14:paraId="6F8A6D22"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54105118"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1103E089"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2027թ. Պետական բյուջե</w:t>
            </w:r>
          </w:p>
        </w:tc>
        <w:tc>
          <w:tcPr>
            <w:tcW w:w="960" w:type="dxa"/>
            <w:tcBorders>
              <w:top w:val="nil"/>
              <w:left w:val="nil"/>
              <w:bottom w:val="single" w:sz="8" w:space="0" w:color="E1E1E3"/>
              <w:right w:val="single" w:sz="8" w:space="0" w:color="E1E1E3"/>
            </w:tcBorders>
            <w:vAlign w:val="center"/>
            <w:hideMark/>
          </w:tcPr>
          <w:p w14:paraId="5CC9A0F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3E3007B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53A5640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3,220.7</w:t>
            </w:r>
          </w:p>
        </w:tc>
        <w:tc>
          <w:tcPr>
            <w:tcW w:w="960" w:type="dxa"/>
            <w:tcBorders>
              <w:top w:val="nil"/>
              <w:left w:val="nil"/>
              <w:bottom w:val="single" w:sz="8" w:space="0" w:color="E1E1E3"/>
              <w:right w:val="single" w:sz="8" w:space="0" w:color="E1E1E3"/>
            </w:tcBorders>
            <w:vAlign w:val="center"/>
            <w:hideMark/>
          </w:tcPr>
          <w:p w14:paraId="0AFB4B3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3,603.8</w:t>
            </w:r>
          </w:p>
        </w:tc>
        <w:tc>
          <w:tcPr>
            <w:tcW w:w="960" w:type="dxa"/>
            <w:tcBorders>
              <w:top w:val="nil"/>
              <w:left w:val="nil"/>
              <w:bottom w:val="single" w:sz="8" w:space="0" w:color="E1E1E3"/>
              <w:right w:val="single" w:sz="8" w:space="0" w:color="E1E1E3"/>
            </w:tcBorders>
            <w:vAlign w:val="center"/>
            <w:hideMark/>
          </w:tcPr>
          <w:p w14:paraId="6582562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3,950.2</w:t>
            </w:r>
          </w:p>
        </w:tc>
        <w:tc>
          <w:tcPr>
            <w:tcW w:w="960" w:type="dxa"/>
            <w:tcBorders>
              <w:top w:val="nil"/>
              <w:left w:val="nil"/>
              <w:bottom w:val="single" w:sz="8" w:space="0" w:color="E1E1E3"/>
              <w:right w:val="single" w:sz="8" w:space="0" w:color="E1E1E3"/>
            </w:tcBorders>
            <w:vAlign w:val="center"/>
            <w:hideMark/>
          </w:tcPr>
          <w:p w14:paraId="5430CF3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4,311.4</w:t>
            </w:r>
          </w:p>
        </w:tc>
      </w:tr>
      <w:tr w:rsidR="00082769" w:rsidRPr="008B63B1" w14:paraId="0574367A"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2C89B0BB"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394DC7AE"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77F23E9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357312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630524A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25.8%</w:t>
            </w:r>
          </w:p>
        </w:tc>
        <w:tc>
          <w:tcPr>
            <w:tcW w:w="960" w:type="dxa"/>
            <w:tcBorders>
              <w:top w:val="nil"/>
              <w:left w:val="nil"/>
              <w:bottom w:val="single" w:sz="8" w:space="0" w:color="E1E1E3"/>
              <w:right w:val="single" w:sz="8" w:space="0" w:color="E1E1E3"/>
            </w:tcBorders>
            <w:vAlign w:val="center"/>
            <w:hideMark/>
          </w:tcPr>
          <w:p w14:paraId="575B9D5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26.5%</w:t>
            </w:r>
          </w:p>
        </w:tc>
        <w:tc>
          <w:tcPr>
            <w:tcW w:w="960" w:type="dxa"/>
            <w:tcBorders>
              <w:top w:val="nil"/>
              <w:left w:val="nil"/>
              <w:bottom w:val="single" w:sz="8" w:space="0" w:color="E1E1E3"/>
              <w:right w:val="single" w:sz="8" w:space="0" w:color="E1E1E3"/>
            </w:tcBorders>
            <w:vAlign w:val="center"/>
            <w:hideMark/>
          </w:tcPr>
          <w:p w14:paraId="70B0E74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26.6%</w:t>
            </w:r>
          </w:p>
        </w:tc>
        <w:tc>
          <w:tcPr>
            <w:tcW w:w="960" w:type="dxa"/>
            <w:tcBorders>
              <w:top w:val="nil"/>
              <w:left w:val="nil"/>
              <w:bottom w:val="single" w:sz="8" w:space="0" w:color="E1E1E3"/>
              <w:right w:val="single" w:sz="8" w:space="0" w:color="E1E1E3"/>
            </w:tcBorders>
            <w:vAlign w:val="center"/>
            <w:hideMark/>
          </w:tcPr>
          <w:p w14:paraId="4DA6721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26.6%</w:t>
            </w:r>
          </w:p>
        </w:tc>
      </w:tr>
    </w:tbl>
    <w:p w14:paraId="0906020F" w14:textId="77777777" w:rsidR="00082769" w:rsidRDefault="00082769" w:rsidP="00082769">
      <w:pPr>
        <w:ind w:hanging="11"/>
        <w:jc w:val="both"/>
        <w:rPr>
          <w:rFonts w:ascii="GHEA Grapalat" w:eastAsia="Times New Roman" w:hAnsi="GHEA Grapalat" w:cs="Times New Roman"/>
          <w:bCs/>
          <w:color w:val="404040"/>
          <w:szCs w:val="20"/>
        </w:rPr>
      </w:pPr>
    </w:p>
    <w:p w14:paraId="565A906E" w14:textId="26398DEA" w:rsidR="00082769" w:rsidRPr="001D56CB" w:rsidRDefault="00082769" w:rsidP="001D56CB">
      <w:pPr>
        <w:pStyle w:val="Charts"/>
        <w:ind w:right="-22"/>
        <w:rPr>
          <w:b w:val="0"/>
          <w:bCs/>
          <w:color w:val="auto"/>
          <w:sz w:val="20"/>
          <w:szCs w:val="18"/>
        </w:rPr>
      </w:pPr>
      <w:r w:rsidRPr="001D56CB">
        <w:rPr>
          <w:b w:val="0"/>
          <w:bCs/>
          <w:color w:val="auto"/>
          <w:sz w:val="20"/>
          <w:szCs w:val="18"/>
        </w:rPr>
        <w:t>Աղյուսակ 2.5. Պետական բյուջեի հարկային եկամուտների կանխատեսումների համեմատական աղյուսակը, մլրդ ՀՀ դրամ</w:t>
      </w:r>
    </w:p>
    <w:tbl>
      <w:tblPr>
        <w:tblW w:w="10480" w:type="dxa"/>
        <w:tblInd w:w="-10" w:type="dxa"/>
        <w:tblLook w:val="04A0" w:firstRow="1" w:lastRow="0" w:firstColumn="1" w:lastColumn="0" w:noHBand="0" w:noVBand="1"/>
      </w:tblPr>
      <w:tblGrid>
        <w:gridCol w:w="1540"/>
        <w:gridCol w:w="3180"/>
        <w:gridCol w:w="960"/>
        <w:gridCol w:w="960"/>
        <w:gridCol w:w="960"/>
        <w:gridCol w:w="960"/>
        <w:gridCol w:w="960"/>
        <w:gridCol w:w="960"/>
      </w:tblGrid>
      <w:tr w:rsidR="00082769" w:rsidRPr="008B63B1" w14:paraId="021DB5DD" w14:textId="77777777" w:rsidTr="00873AE6">
        <w:trPr>
          <w:trHeight w:val="555"/>
        </w:trPr>
        <w:tc>
          <w:tcPr>
            <w:tcW w:w="1540" w:type="dxa"/>
            <w:tcBorders>
              <w:top w:val="single" w:sz="8" w:space="0" w:color="E1E1E3"/>
              <w:left w:val="single" w:sz="8" w:space="0" w:color="E1E1E3"/>
              <w:bottom w:val="single" w:sz="8" w:space="0" w:color="E1E1E3"/>
              <w:right w:val="single" w:sz="8" w:space="0" w:color="E1E1E3"/>
            </w:tcBorders>
            <w:shd w:val="clear" w:color="000000" w:fill="D5DCE4"/>
            <w:vAlign w:val="center"/>
            <w:hideMark/>
          </w:tcPr>
          <w:p w14:paraId="6B63A8F2"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Ընդունման տարին</w:t>
            </w:r>
          </w:p>
        </w:tc>
        <w:tc>
          <w:tcPr>
            <w:tcW w:w="3180" w:type="dxa"/>
            <w:tcBorders>
              <w:top w:val="single" w:sz="8" w:space="0" w:color="E1E1E3"/>
              <w:left w:val="nil"/>
              <w:bottom w:val="single" w:sz="8" w:space="0" w:color="E1E1E3"/>
              <w:right w:val="single" w:sz="8" w:space="0" w:color="E1E1E3"/>
            </w:tcBorders>
            <w:shd w:val="clear" w:color="000000" w:fill="D5DCE4"/>
            <w:noWrap/>
            <w:vAlign w:val="center"/>
            <w:hideMark/>
          </w:tcPr>
          <w:p w14:paraId="695535B6" w14:textId="77777777" w:rsidR="00082769" w:rsidRPr="008B63B1" w:rsidRDefault="00082769" w:rsidP="00082769">
            <w:pPr>
              <w:spacing w:after="0" w:line="240" w:lineRule="auto"/>
              <w:ind w:hanging="11"/>
              <w:jc w:val="both"/>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Ծրագիր</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04FA733E"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2024</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1723C920"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2025</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52E77B8F"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2026</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157BF9DD"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2027</w:t>
            </w:r>
          </w:p>
        </w:tc>
        <w:tc>
          <w:tcPr>
            <w:tcW w:w="960" w:type="dxa"/>
            <w:tcBorders>
              <w:top w:val="single" w:sz="8" w:space="0" w:color="E1E1E3"/>
              <w:left w:val="nil"/>
              <w:bottom w:val="single" w:sz="8" w:space="0" w:color="E1E1E3"/>
              <w:right w:val="single" w:sz="8" w:space="0" w:color="E1E1E3"/>
            </w:tcBorders>
            <w:shd w:val="clear" w:color="000000" w:fill="D5DCE4"/>
            <w:vAlign w:val="center"/>
            <w:hideMark/>
          </w:tcPr>
          <w:p w14:paraId="502D4FC0"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2028</w:t>
            </w:r>
          </w:p>
        </w:tc>
        <w:tc>
          <w:tcPr>
            <w:tcW w:w="960" w:type="dxa"/>
            <w:tcBorders>
              <w:top w:val="single" w:sz="8" w:space="0" w:color="E1E1E3"/>
              <w:left w:val="nil"/>
              <w:bottom w:val="single" w:sz="8" w:space="0" w:color="E1E1E3"/>
              <w:right w:val="single" w:sz="8" w:space="0" w:color="E1E1E3"/>
            </w:tcBorders>
            <w:shd w:val="clear" w:color="000000" w:fill="D5DCE4"/>
            <w:vAlign w:val="center"/>
            <w:hideMark/>
          </w:tcPr>
          <w:p w14:paraId="755968FD"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2029</w:t>
            </w:r>
          </w:p>
        </w:tc>
      </w:tr>
      <w:tr w:rsidR="00082769" w:rsidRPr="008B63B1" w14:paraId="2BD513A9"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48D68DD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w:t>
            </w:r>
          </w:p>
        </w:tc>
        <w:tc>
          <w:tcPr>
            <w:tcW w:w="3180" w:type="dxa"/>
            <w:tcBorders>
              <w:top w:val="nil"/>
              <w:left w:val="nil"/>
              <w:bottom w:val="single" w:sz="8" w:space="0" w:color="E1E1E3"/>
              <w:right w:val="single" w:sz="8" w:space="0" w:color="E1E1E3"/>
            </w:tcBorders>
            <w:noWrap/>
            <w:vAlign w:val="center"/>
            <w:hideMark/>
          </w:tcPr>
          <w:p w14:paraId="6A0B5D0C"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Փաստացի</w:t>
            </w:r>
          </w:p>
        </w:tc>
        <w:tc>
          <w:tcPr>
            <w:tcW w:w="960" w:type="dxa"/>
            <w:tcBorders>
              <w:top w:val="nil"/>
              <w:left w:val="nil"/>
              <w:bottom w:val="single" w:sz="8" w:space="0" w:color="E1E1E3"/>
              <w:right w:val="single" w:sz="8" w:space="0" w:color="E1E1E3"/>
            </w:tcBorders>
            <w:noWrap/>
            <w:vAlign w:val="center"/>
            <w:hideMark/>
          </w:tcPr>
          <w:p w14:paraId="50FD893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2,390.9</w:t>
            </w:r>
          </w:p>
        </w:tc>
        <w:tc>
          <w:tcPr>
            <w:tcW w:w="960" w:type="dxa"/>
            <w:tcBorders>
              <w:top w:val="nil"/>
              <w:left w:val="nil"/>
              <w:bottom w:val="single" w:sz="8" w:space="0" w:color="E1E1E3"/>
              <w:right w:val="single" w:sz="8" w:space="0" w:color="E1E1E3"/>
            </w:tcBorders>
            <w:noWrap/>
            <w:vAlign w:val="center"/>
            <w:hideMark/>
          </w:tcPr>
          <w:p w14:paraId="29853C5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2,725.2</w:t>
            </w:r>
          </w:p>
        </w:tc>
        <w:tc>
          <w:tcPr>
            <w:tcW w:w="960" w:type="dxa"/>
            <w:tcBorders>
              <w:top w:val="nil"/>
              <w:left w:val="nil"/>
              <w:bottom w:val="single" w:sz="8" w:space="0" w:color="E1E1E3"/>
              <w:right w:val="single" w:sz="8" w:space="0" w:color="E1E1E3"/>
            </w:tcBorders>
            <w:noWrap/>
            <w:vAlign w:val="center"/>
            <w:hideMark/>
          </w:tcPr>
          <w:p w14:paraId="77680AF9"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D79F5F4"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ADD897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1FEEEBB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7C860183"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286007DF"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071AC8D0"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noWrap/>
            <w:vAlign w:val="center"/>
            <w:hideMark/>
          </w:tcPr>
          <w:p w14:paraId="29967C0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23.3%</w:t>
            </w:r>
          </w:p>
        </w:tc>
        <w:tc>
          <w:tcPr>
            <w:tcW w:w="960" w:type="dxa"/>
            <w:tcBorders>
              <w:top w:val="nil"/>
              <w:left w:val="nil"/>
              <w:bottom w:val="single" w:sz="8" w:space="0" w:color="E1E1E3"/>
              <w:right w:val="single" w:sz="8" w:space="0" w:color="E1E1E3"/>
            </w:tcBorders>
            <w:noWrap/>
            <w:vAlign w:val="center"/>
            <w:hideMark/>
          </w:tcPr>
          <w:p w14:paraId="0D20CF5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24.0%</w:t>
            </w:r>
          </w:p>
        </w:tc>
        <w:tc>
          <w:tcPr>
            <w:tcW w:w="960" w:type="dxa"/>
            <w:tcBorders>
              <w:top w:val="nil"/>
              <w:left w:val="nil"/>
              <w:bottom w:val="single" w:sz="8" w:space="0" w:color="E1E1E3"/>
              <w:right w:val="single" w:sz="8" w:space="0" w:color="E1E1E3"/>
            </w:tcBorders>
            <w:noWrap/>
            <w:vAlign w:val="center"/>
            <w:hideMark/>
          </w:tcPr>
          <w:p w14:paraId="3EBE27CC"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009A0FE"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C71E89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8F5E60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7C6D90A5"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3BF50B8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2022</w:t>
            </w:r>
          </w:p>
        </w:tc>
        <w:tc>
          <w:tcPr>
            <w:tcW w:w="3180" w:type="dxa"/>
            <w:tcBorders>
              <w:top w:val="nil"/>
              <w:left w:val="nil"/>
              <w:bottom w:val="single" w:sz="8" w:space="0" w:color="E1E1E3"/>
              <w:right w:val="single" w:sz="8" w:space="0" w:color="E1E1E3"/>
            </w:tcBorders>
            <w:noWrap/>
            <w:vAlign w:val="center"/>
            <w:hideMark/>
          </w:tcPr>
          <w:p w14:paraId="42C82D82"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2023-2025</w:t>
            </w:r>
          </w:p>
        </w:tc>
        <w:tc>
          <w:tcPr>
            <w:tcW w:w="960" w:type="dxa"/>
            <w:tcBorders>
              <w:top w:val="nil"/>
              <w:left w:val="nil"/>
              <w:bottom w:val="single" w:sz="8" w:space="0" w:color="E1E1E3"/>
              <w:right w:val="single" w:sz="8" w:space="0" w:color="E1E1E3"/>
            </w:tcBorders>
            <w:vAlign w:val="center"/>
            <w:hideMark/>
          </w:tcPr>
          <w:p w14:paraId="1486AA8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2,539.0</w:t>
            </w:r>
          </w:p>
        </w:tc>
        <w:tc>
          <w:tcPr>
            <w:tcW w:w="960" w:type="dxa"/>
            <w:tcBorders>
              <w:top w:val="nil"/>
              <w:left w:val="nil"/>
              <w:bottom w:val="single" w:sz="8" w:space="0" w:color="E1E1E3"/>
              <w:right w:val="single" w:sz="8" w:space="0" w:color="E1E1E3"/>
            </w:tcBorders>
            <w:vAlign w:val="center"/>
            <w:hideMark/>
          </w:tcPr>
          <w:p w14:paraId="0D4979E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2,874.4</w:t>
            </w:r>
          </w:p>
        </w:tc>
        <w:tc>
          <w:tcPr>
            <w:tcW w:w="960" w:type="dxa"/>
            <w:tcBorders>
              <w:top w:val="nil"/>
              <w:left w:val="nil"/>
              <w:bottom w:val="single" w:sz="8" w:space="0" w:color="E1E1E3"/>
              <w:right w:val="single" w:sz="8" w:space="0" w:color="E1E1E3"/>
            </w:tcBorders>
            <w:noWrap/>
            <w:vAlign w:val="center"/>
            <w:hideMark/>
          </w:tcPr>
          <w:p w14:paraId="56D7545C"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DCC3068"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D69B73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1BA74E2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3883B93F"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1252F46B"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137764B2"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665EC08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25.1%</w:t>
            </w:r>
          </w:p>
        </w:tc>
        <w:tc>
          <w:tcPr>
            <w:tcW w:w="960" w:type="dxa"/>
            <w:tcBorders>
              <w:top w:val="nil"/>
              <w:left w:val="nil"/>
              <w:bottom w:val="single" w:sz="8" w:space="0" w:color="E1E1E3"/>
              <w:right w:val="single" w:sz="8" w:space="0" w:color="E1E1E3"/>
            </w:tcBorders>
            <w:vAlign w:val="center"/>
            <w:hideMark/>
          </w:tcPr>
          <w:p w14:paraId="5C0BE56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25.6%</w:t>
            </w:r>
          </w:p>
        </w:tc>
        <w:tc>
          <w:tcPr>
            <w:tcW w:w="960" w:type="dxa"/>
            <w:tcBorders>
              <w:top w:val="nil"/>
              <w:left w:val="nil"/>
              <w:bottom w:val="single" w:sz="8" w:space="0" w:color="E1E1E3"/>
              <w:right w:val="single" w:sz="8" w:space="0" w:color="E1E1E3"/>
            </w:tcBorders>
            <w:noWrap/>
            <w:vAlign w:val="center"/>
            <w:hideMark/>
          </w:tcPr>
          <w:p w14:paraId="4F6CD119"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C9E91C3"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0A4AABF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6DB449E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409D12A7"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306684D2"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68024B72"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2023թ. Պետական բյուջե</w:t>
            </w:r>
          </w:p>
        </w:tc>
        <w:tc>
          <w:tcPr>
            <w:tcW w:w="960" w:type="dxa"/>
            <w:tcBorders>
              <w:top w:val="nil"/>
              <w:left w:val="nil"/>
              <w:bottom w:val="single" w:sz="8" w:space="0" w:color="E1E1E3"/>
              <w:right w:val="single" w:sz="8" w:space="0" w:color="E1E1E3"/>
            </w:tcBorders>
            <w:vAlign w:val="center"/>
            <w:hideMark/>
          </w:tcPr>
          <w:p w14:paraId="3B15487B"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A8A580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685FA0A4"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7A291D7"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2C1ABE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0AECFC70"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672613D0"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64E172D2"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37FEE08B"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47F910CF"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906A6A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F33F2CA"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6F609F9"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7E9601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F18028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3B875E68"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3AD30EC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2023</w:t>
            </w:r>
          </w:p>
        </w:tc>
        <w:tc>
          <w:tcPr>
            <w:tcW w:w="3180" w:type="dxa"/>
            <w:tcBorders>
              <w:top w:val="nil"/>
              <w:left w:val="nil"/>
              <w:bottom w:val="single" w:sz="8" w:space="0" w:color="E1E1E3"/>
              <w:right w:val="single" w:sz="8" w:space="0" w:color="E1E1E3"/>
            </w:tcBorders>
            <w:noWrap/>
            <w:vAlign w:val="center"/>
            <w:hideMark/>
          </w:tcPr>
          <w:p w14:paraId="4DEB61BB"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2024-2026</w:t>
            </w:r>
          </w:p>
        </w:tc>
        <w:tc>
          <w:tcPr>
            <w:tcW w:w="960" w:type="dxa"/>
            <w:tcBorders>
              <w:top w:val="nil"/>
              <w:left w:val="nil"/>
              <w:bottom w:val="single" w:sz="8" w:space="0" w:color="E1E1E3"/>
              <w:right w:val="single" w:sz="8" w:space="0" w:color="E1E1E3"/>
            </w:tcBorders>
            <w:vAlign w:val="center"/>
            <w:hideMark/>
          </w:tcPr>
          <w:p w14:paraId="5A11108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2,573.1</w:t>
            </w:r>
          </w:p>
        </w:tc>
        <w:tc>
          <w:tcPr>
            <w:tcW w:w="960" w:type="dxa"/>
            <w:tcBorders>
              <w:top w:val="nil"/>
              <w:left w:val="nil"/>
              <w:bottom w:val="single" w:sz="8" w:space="0" w:color="E1E1E3"/>
              <w:right w:val="single" w:sz="8" w:space="0" w:color="E1E1E3"/>
            </w:tcBorders>
            <w:vAlign w:val="center"/>
            <w:hideMark/>
          </w:tcPr>
          <w:p w14:paraId="5BB51EA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2,896.9</w:t>
            </w:r>
          </w:p>
        </w:tc>
        <w:tc>
          <w:tcPr>
            <w:tcW w:w="960" w:type="dxa"/>
            <w:tcBorders>
              <w:top w:val="nil"/>
              <w:left w:val="nil"/>
              <w:bottom w:val="single" w:sz="8" w:space="0" w:color="E1E1E3"/>
              <w:right w:val="single" w:sz="8" w:space="0" w:color="E1E1E3"/>
            </w:tcBorders>
            <w:vAlign w:val="center"/>
            <w:hideMark/>
          </w:tcPr>
          <w:p w14:paraId="4E66E62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3,281.2</w:t>
            </w:r>
          </w:p>
        </w:tc>
        <w:tc>
          <w:tcPr>
            <w:tcW w:w="960" w:type="dxa"/>
            <w:tcBorders>
              <w:top w:val="nil"/>
              <w:left w:val="nil"/>
              <w:bottom w:val="single" w:sz="8" w:space="0" w:color="E1E1E3"/>
              <w:right w:val="single" w:sz="8" w:space="0" w:color="E1E1E3"/>
            </w:tcBorders>
            <w:vAlign w:val="center"/>
            <w:hideMark/>
          </w:tcPr>
          <w:p w14:paraId="5C986A6A"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E37553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0BCC6690"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6DBAAFC7"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533D892E"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AC49BE6"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639DBFD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24.3%</w:t>
            </w:r>
          </w:p>
        </w:tc>
        <w:tc>
          <w:tcPr>
            <w:tcW w:w="960" w:type="dxa"/>
            <w:tcBorders>
              <w:top w:val="nil"/>
              <w:left w:val="nil"/>
              <w:bottom w:val="single" w:sz="8" w:space="0" w:color="E1E1E3"/>
              <w:right w:val="single" w:sz="8" w:space="0" w:color="E1E1E3"/>
            </w:tcBorders>
            <w:vAlign w:val="center"/>
            <w:hideMark/>
          </w:tcPr>
          <w:p w14:paraId="35D65E1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24.5%</w:t>
            </w:r>
          </w:p>
        </w:tc>
        <w:tc>
          <w:tcPr>
            <w:tcW w:w="960" w:type="dxa"/>
            <w:tcBorders>
              <w:top w:val="nil"/>
              <w:left w:val="nil"/>
              <w:bottom w:val="single" w:sz="8" w:space="0" w:color="E1E1E3"/>
              <w:right w:val="single" w:sz="8" w:space="0" w:color="E1E1E3"/>
            </w:tcBorders>
            <w:vAlign w:val="center"/>
            <w:hideMark/>
          </w:tcPr>
          <w:p w14:paraId="7BE5A71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25.0%</w:t>
            </w:r>
          </w:p>
        </w:tc>
        <w:tc>
          <w:tcPr>
            <w:tcW w:w="960" w:type="dxa"/>
            <w:tcBorders>
              <w:top w:val="nil"/>
              <w:left w:val="nil"/>
              <w:bottom w:val="single" w:sz="8" w:space="0" w:color="E1E1E3"/>
              <w:right w:val="single" w:sz="8" w:space="0" w:color="E1E1E3"/>
            </w:tcBorders>
            <w:vAlign w:val="center"/>
            <w:hideMark/>
          </w:tcPr>
          <w:p w14:paraId="344944A0"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9DA8B6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0231A7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6555D57D"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2DF644C1"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5BB8637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2024թ. Պետական բյուջե</w:t>
            </w:r>
          </w:p>
        </w:tc>
        <w:tc>
          <w:tcPr>
            <w:tcW w:w="960" w:type="dxa"/>
            <w:tcBorders>
              <w:top w:val="nil"/>
              <w:left w:val="nil"/>
              <w:bottom w:val="single" w:sz="8" w:space="0" w:color="E1E1E3"/>
              <w:right w:val="single" w:sz="8" w:space="0" w:color="E1E1E3"/>
            </w:tcBorders>
            <w:vAlign w:val="center"/>
            <w:hideMark/>
          </w:tcPr>
          <w:p w14:paraId="4BCCFE1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2,553.1</w:t>
            </w:r>
          </w:p>
        </w:tc>
        <w:tc>
          <w:tcPr>
            <w:tcW w:w="960" w:type="dxa"/>
            <w:tcBorders>
              <w:top w:val="nil"/>
              <w:left w:val="nil"/>
              <w:bottom w:val="single" w:sz="8" w:space="0" w:color="E1E1E3"/>
              <w:right w:val="single" w:sz="8" w:space="0" w:color="E1E1E3"/>
            </w:tcBorders>
            <w:vAlign w:val="center"/>
            <w:hideMark/>
          </w:tcPr>
          <w:p w14:paraId="123D5A42"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56BC4089"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0F04A835"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0B5A3F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136002B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1F0B8EC8"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28EC0B88"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2832233"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7BC39E1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24.3%</w:t>
            </w:r>
          </w:p>
        </w:tc>
        <w:tc>
          <w:tcPr>
            <w:tcW w:w="960" w:type="dxa"/>
            <w:tcBorders>
              <w:top w:val="nil"/>
              <w:left w:val="nil"/>
              <w:bottom w:val="single" w:sz="8" w:space="0" w:color="E1E1E3"/>
              <w:right w:val="single" w:sz="8" w:space="0" w:color="E1E1E3"/>
            </w:tcBorders>
            <w:vAlign w:val="center"/>
            <w:hideMark/>
          </w:tcPr>
          <w:p w14:paraId="1A940471"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3B7B1CD2"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D0D7FD9"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09EEA6B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37D755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235F2CBB"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1971520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2024</w:t>
            </w:r>
          </w:p>
        </w:tc>
        <w:tc>
          <w:tcPr>
            <w:tcW w:w="3180" w:type="dxa"/>
            <w:tcBorders>
              <w:top w:val="nil"/>
              <w:left w:val="nil"/>
              <w:bottom w:val="single" w:sz="8" w:space="0" w:color="E1E1E3"/>
              <w:right w:val="single" w:sz="8" w:space="0" w:color="E1E1E3"/>
            </w:tcBorders>
            <w:noWrap/>
            <w:vAlign w:val="center"/>
            <w:hideMark/>
          </w:tcPr>
          <w:p w14:paraId="2B64489C"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2025-2027</w:t>
            </w:r>
          </w:p>
        </w:tc>
        <w:tc>
          <w:tcPr>
            <w:tcW w:w="960" w:type="dxa"/>
            <w:tcBorders>
              <w:top w:val="nil"/>
              <w:left w:val="nil"/>
              <w:bottom w:val="single" w:sz="8" w:space="0" w:color="E1E1E3"/>
              <w:right w:val="single" w:sz="8" w:space="0" w:color="E1E1E3"/>
            </w:tcBorders>
            <w:vAlign w:val="center"/>
            <w:hideMark/>
          </w:tcPr>
          <w:p w14:paraId="4142446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2,496.9</w:t>
            </w:r>
          </w:p>
        </w:tc>
        <w:tc>
          <w:tcPr>
            <w:tcW w:w="960" w:type="dxa"/>
            <w:tcBorders>
              <w:top w:val="nil"/>
              <w:left w:val="nil"/>
              <w:bottom w:val="single" w:sz="8" w:space="0" w:color="E1E1E3"/>
              <w:right w:val="single" w:sz="8" w:space="0" w:color="E1E1E3"/>
            </w:tcBorders>
            <w:vAlign w:val="center"/>
            <w:hideMark/>
          </w:tcPr>
          <w:p w14:paraId="2646814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2,812.3</w:t>
            </w:r>
          </w:p>
        </w:tc>
        <w:tc>
          <w:tcPr>
            <w:tcW w:w="960" w:type="dxa"/>
            <w:tcBorders>
              <w:top w:val="nil"/>
              <w:left w:val="nil"/>
              <w:bottom w:val="single" w:sz="8" w:space="0" w:color="E1E1E3"/>
              <w:right w:val="single" w:sz="8" w:space="0" w:color="E1E1E3"/>
            </w:tcBorders>
            <w:vAlign w:val="center"/>
            <w:hideMark/>
          </w:tcPr>
          <w:p w14:paraId="79D954A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3,182.0</w:t>
            </w:r>
          </w:p>
        </w:tc>
        <w:tc>
          <w:tcPr>
            <w:tcW w:w="960" w:type="dxa"/>
            <w:tcBorders>
              <w:top w:val="nil"/>
              <w:left w:val="nil"/>
              <w:bottom w:val="single" w:sz="8" w:space="0" w:color="E1E1E3"/>
              <w:right w:val="single" w:sz="8" w:space="0" w:color="E1E1E3"/>
            </w:tcBorders>
            <w:vAlign w:val="center"/>
            <w:hideMark/>
          </w:tcPr>
          <w:p w14:paraId="21928EA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3,541.2</w:t>
            </w:r>
          </w:p>
        </w:tc>
        <w:tc>
          <w:tcPr>
            <w:tcW w:w="960" w:type="dxa"/>
            <w:tcBorders>
              <w:top w:val="nil"/>
              <w:left w:val="nil"/>
              <w:bottom w:val="single" w:sz="8" w:space="0" w:color="E1E1E3"/>
              <w:right w:val="single" w:sz="8" w:space="0" w:color="E1E1E3"/>
            </w:tcBorders>
            <w:vAlign w:val="center"/>
            <w:hideMark/>
          </w:tcPr>
          <w:p w14:paraId="0E773E7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0FA40BA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1263F7FD"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1543C47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63D514D2"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008CA55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24.4%</w:t>
            </w:r>
          </w:p>
        </w:tc>
        <w:tc>
          <w:tcPr>
            <w:tcW w:w="960" w:type="dxa"/>
            <w:tcBorders>
              <w:top w:val="nil"/>
              <w:left w:val="nil"/>
              <w:bottom w:val="single" w:sz="8" w:space="0" w:color="E1E1E3"/>
              <w:right w:val="single" w:sz="8" w:space="0" w:color="E1E1E3"/>
            </w:tcBorders>
            <w:vAlign w:val="center"/>
            <w:hideMark/>
          </w:tcPr>
          <w:p w14:paraId="2EAFC76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25.1%</w:t>
            </w:r>
          </w:p>
        </w:tc>
        <w:tc>
          <w:tcPr>
            <w:tcW w:w="960" w:type="dxa"/>
            <w:tcBorders>
              <w:top w:val="nil"/>
              <w:left w:val="nil"/>
              <w:bottom w:val="single" w:sz="8" w:space="0" w:color="E1E1E3"/>
              <w:right w:val="single" w:sz="8" w:space="0" w:color="E1E1E3"/>
            </w:tcBorders>
            <w:vAlign w:val="center"/>
            <w:hideMark/>
          </w:tcPr>
          <w:p w14:paraId="2881C19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25.9%</w:t>
            </w:r>
          </w:p>
        </w:tc>
        <w:tc>
          <w:tcPr>
            <w:tcW w:w="960" w:type="dxa"/>
            <w:tcBorders>
              <w:top w:val="nil"/>
              <w:left w:val="nil"/>
              <w:bottom w:val="single" w:sz="8" w:space="0" w:color="E1E1E3"/>
              <w:right w:val="single" w:sz="8" w:space="0" w:color="E1E1E3"/>
            </w:tcBorders>
            <w:vAlign w:val="center"/>
            <w:hideMark/>
          </w:tcPr>
          <w:p w14:paraId="14EC96E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26.2%</w:t>
            </w:r>
          </w:p>
        </w:tc>
        <w:tc>
          <w:tcPr>
            <w:tcW w:w="960" w:type="dxa"/>
            <w:tcBorders>
              <w:top w:val="nil"/>
              <w:left w:val="nil"/>
              <w:bottom w:val="single" w:sz="8" w:space="0" w:color="E1E1E3"/>
              <w:right w:val="single" w:sz="8" w:space="0" w:color="E1E1E3"/>
            </w:tcBorders>
            <w:vAlign w:val="center"/>
            <w:hideMark/>
          </w:tcPr>
          <w:p w14:paraId="53662AB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180B9C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47640F47"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202D5F95"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07B8933A"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2025թ. Պետական բյուջե</w:t>
            </w:r>
          </w:p>
        </w:tc>
        <w:tc>
          <w:tcPr>
            <w:tcW w:w="960" w:type="dxa"/>
            <w:tcBorders>
              <w:top w:val="nil"/>
              <w:left w:val="nil"/>
              <w:bottom w:val="single" w:sz="8" w:space="0" w:color="E1E1E3"/>
              <w:right w:val="single" w:sz="8" w:space="0" w:color="E1E1E3"/>
            </w:tcBorders>
            <w:vAlign w:val="center"/>
            <w:hideMark/>
          </w:tcPr>
          <w:p w14:paraId="4EF4BF1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2,455.8</w:t>
            </w:r>
          </w:p>
        </w:tc>
        <w:tc>
          <w:tcPr>
            <w:tcW w:w="960" w:type="dxa"/>
            <w:tcBorders>
              <w:top w:val="nil"/>
              <w:left w:val="nil"/>
              <w:bottom w:val="single" w:sz="8" w:space="0" w:color="E1E1E3"/>
              <w:right w:val="single" w:sz="8" w:space="0" w:color="E1E1E3"/>
            </w:tcBorders>
            <w:vAlign w:val="center"/>
            <w:hideMark/>
          </w:tcPr>
          <w:p w14:paraId="1E546100"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2,720.3</w:t>
            </w:r>
          </w:p>
        </w:tc>
        <w:tc>
          <w:tcPr>
            <w:tcW w:w="960" w:type="dxa"/>
            <w:tcBorders>
              <w:top w:val="nil"/>
              <w:left w:val="nil"/>
              <w:bottom w:val="single" w:sz="8" w:space="0" w:color="E1E1E3"/>
              <w:right w:val="single" w:sz="8" w:space="0" w:color="E1E1E3"/>
            </w:tcBorders>
            <w:vAlign w:val="center"/>
            <w:hideMark/>
          </w:tcPr>
          <w:p w14:paraId="261A0FF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3,047.0</w:t>
            </w:r>
          </w:p>
        </w:tc>
        <w:tc>
          <w:tcPr>
            <w:tcW w:w="960" w:type="dxa"/>
            <w:tcBorders>
              <w:top w:val="nil"/>
              <w:left w:val="nil"/>
              <w:bottom w:val="single" w:sz="8" w:space="0" w:color="E1E1E3"/>
              <w:right w:val="single" w:sz="8" w:space="0" w:color="E1E1E3"/>
            </w:tcBorders>
            <w:vAlign w:val="center"/>
            <w:hideMark/>
          </w:tcPr>
          <w:p w14:paraId="50E293A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3,385.8</w:t>
            </w:r>
          </w:p>
        </w:tc>
        <w:tc>
          <w:tcPr>
            <w:tcW w:w="960" w:type="dxa"/>
            <w:tcBorders>
              <w:top w:val="nil"/>
              <w:left w:val="nil"/>
              <w:bottom w:val="single" w:sz="8" w:space="0" w:color="E1E1E3"/>
              <w:right w:val="single" w:sz="8" w:space="0" w:color="E1E1E3"/>
            </w:tcBorders>
            <w:vAlign w:val="center"/>
            <w:hideMark/>
          </w:tcPr>
          <w:p w14:paraId="1F4828B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2E4FD32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50B306EC"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64AAF2A7"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D2BE509"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67FE411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24.3%</w:t>
            </w:r>
          </w:p>
        </w:tc>
        <w:tc>
          <w:tcPr>
            <w:tcW w:w="960" w:type="dxa"/>
            <w:tcBorders>
              <w:top w:val="nil"/>
              <w:left w:val="nil"/>
              <w:bottom w:val="single" w:sz="8" w:space="0" w:color="E1E1E3"/>
              <w:right w:val="single" w:sz="8" w:space="0" w:color="E1E1E3"/>
            </w:tcBorders>
            <w:vAlign w:val="center"/>
            <w:hideMark/>
          </w:tcPr>
          <w:p w14:paraId="2014F43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25.0%</w:t>
            </w:r>
          </w:p>
        </w:tc>
        <w:tc>
          <w:tcPr>
            <w:tcW w:w="960" w:type="dxa"/>
            <w:tcBorders>
              <w:top w:val="nil"/>
              <w:left w:val="nil"/>
              <w:bottom w:val="single" w:sz="8" w:space="0" w:color="E1E1E3"/>
              <w:right w:val="single" w:sz="8" w:space="0" w:color="E1E1E3"/>
            </w:tcBorders>
            <w:vAlign w:val="center"/>
            <w:hideMark/>
          </w:tcPr>
          <w:p w14:paraId="5EEAA7E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25.6%</w:t>
            </w:r>
          </w:p>
        </w:tc>
        <w:tc>
          <w:tcPr>
            <w:tcW w:w="960" w:type="dxa"/>
            <w:tcBorders>
              <w:top w:val="nil"/>
              <w:left w:val="nil"/>
              <w:bottom w:val="single" w:sz="8" w:space="0" w:color="E1E1E3"/>
              <w:right w:val="single" w:sz="8" w:space="0" w:color="E1E1E3"/>
            </w:tcBorders>
            <w:vAlign w:val="center"/>
            <w:hideMark/>
          </w:tcPr>
          <w:p w14:paraId="6B38C17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26.0%</w:t>
            </w:r>
          </w:p>
        </w:tc>
        <w:tc>
          <w:tcPr>
            <w:tcW w:w="960" w:type="dxa"/>
            <w:tcBorders>
              <w:top w:val="nil"/>
              <w:left w:val="nil"/>
              <w:bottom w:val="single" w:sz="8" w:space="0" w:color="E1E1E3"/>
              <w:right w:val="single" w:sz="8" w:space="0" w:color="E1E1E3"/>
            </w:tcBorders>
            <w:vAlign w:val="center"/>
            <w:hideMark/>
          </w:tcPr>
          <w:p w14:paraId="7B626C3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09DF259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38EE6000" w14:textId="77777777" w:rsidTr="00873AE6">
        <w:trPr>
          <w:trHeight w:val="315"/>
        </w:trPr>
        <w:tc>
          <w:tcPr>
            <w:tcW w:w="1540" w:type="dxa"/>
            <w:vMerge w:val="restart"/>
            <w:tcBorders>
              <w:top w:val="nil"/>
              <w:left w:val="single" w:sz="8" w:space="0" w:color="E1E1E3"/>
              <w:bottom w:val="single" w:sz="8" w:space="0" w:color="E1E1E3"/>
              <w:right w:val="single" w:sz="8" w:space="0" w:color="E1E1E3"/>
            </w:tcBorders>
            <w:vAlign w:val="center"/>
            <w:hideMark/>
          </w:tcPr>
          <w:p w14:paraId="7F1D747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2025</w:t>
            </w:r>
          </w:p>
        </w:tc>
        <w:tc>
          <w:tcPr>
            <w:tcW w:w="3180" w:type="dxa"/>
            <w:tcBorders>
              <w:top w:val="nil"/>
              <w:left w:val="nil"/>
              <w:bottom w:val="single" w:sz="8" w:space="0" w:color="E1E1E3"/>
              <w:right w:val="single" w:sz="8" w:space="0" w:color="E1E1E3"/>
            </w:tcBorders>
            <w:vAlign w:val="center"/>
            <w:hideMark/>
          </w:tcPr>
          <w:p w14:paraId="280A9057"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 xml:space="preserve"> ՄԺԾԾ 2026-2028</w:t>
            </w:r>
          </w:p>
        </w:tc>
        <w:tc>
          <w:tcPr>
            <w:tcW w:w="960" w:type="dxa"/>
            <w:tcBorders>
              <w:top w:val="nil"/>
              <w:left w:val="nil"/>
              <w:bottom w:val="single" w:sz="8" w:space="0" w:color="E1E1E3"/>
              <w:right w:val="single" w:sz="8" w:space="0" w:color="E1E1E3"/>
            </w:tcBorders>
            <w:vAlign w:val="center"/>
            <w:hideMark/>
          </w:tcPr>
          <w:p w14:paraId="3850249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759947B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2,655.9</w:t>
            </w:r>
          </w:p>
        </w:tc>
        <w:tc>
          <w:tcPr>
            <w:tcW w:w="960" w:type="dxa"/>
            <w:tcBorders>
              <w:top w:val="nil"/>
              <w:left w:val="nil"/>
              <w:bottom w:val="single" w:sz="8" w:space="0" w:color="E1E1E3"/>
              <w:right w:val="single" w:sz="8" w:space="0" w:color="E1E1E3"/>
            </w:tcBorders>
            <w:vAlign w:val="center"/>
            <w:hideMark/>
          </w:tcPr>
          <w:p w14:paraId="1460350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2,934.9</w:t>
            </w:r>
          </w:p>
        </w:tc>
        <w:tc>
          <w:tcPr>
            <w:tcW w:w="960" w:type="dxa"/>
            <w:tcBorders>
              <w:top w:val="nil"/>
              <w:left w:val="nil"/>
              <w:bottom w:val="single" w:sz="8" w:space="0" w:color="E1E1E3"/>
              <w:right w:val="single" w:sz="8" w:space="0" w:color="E1E1E3"/>
            </w:tcBorders>
            <w:vAlign w:val="center"/>
            <w:hideMark/>
          </w:tcPr>
          <w:p w14:paraId="49DF44C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3,206.1</w:t>
            </w:r>
          </w:p>
        </w:tc>
        <w:tc>
          <w:tcPr>
            <w:tcW w:w="960" w:type="dxa"/>
            <w:tcBorders>
              <w:top w:val="nil"/>
              <w:left w:val="nil"/>
              <w:bottom w:val="single" w:sz="8" w:space="0" w:color="E1E1E3"/>
              <w:right w:val="single" w:sz="8" w:space="0" w:color="E1E1E3"/>
            </w:tcBorders>
            <w:vAlign w:val="center"/>
            <w:hideMark/>
          </w:tcPr>
          <w:p w14:paraId="155D799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3,503.3</w:t>
            </w:r>
          </w:p>
        </w:tc>
        <w:tc>
          <w:tcPr>
            <w:tcW w:w="960" w:type="dxa"/>
            <w:tcBorders>
              <w:top w:val="nil"/>
              <w:left w:val="nil"/>
              <w:bottom w:val="single" w:sz="8" w:space="0" w:color="E1E1E3"/>
              <w:right w:val="single" w:sz="8" w:space="0" w:color="E1E1E3"/>
            </w:tcBorders>
            <w:vAlign w:val="center"/>
            <w:hideMark/>
          </w:tcPr>
          <w:p w14:paraId="3E0DF7F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61BF7907"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2BE5AC5A"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2511D60F"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384DBD5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966704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24.2%</w:t>
            </w:r>
          </w:p>
        </w:tc>
        <w:tc>
          <w:tcPr>
            <w:tcW w:w="960" w:type="dxa"/>
            <w:tcBorders>
              <w:top w:val="nil"/>
              <w:left w:val="nil"/>
              <w:bottom w:val="single" w:sz="8" w:space="0" w:color="E1E1E3"/>
              <w:right w:val="single" w:sz="8" w:space="0" w:color="E1E1E3"/>
            </w:tcBorders>
            <w:vAlign w:val="center"/>
            <w:hideMark/>
          </w:tcPr>
          <w:p w14:paraId="09EF19C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24.7%</w:t>
            </w:r>
          </w:p>
        </w:tc>
        <w:tc>
          <w:tcPr>
            <w:tcW w:w="960" w:type="dxa"/>
            <w:tcBorders>
              <w:top w:val="nil"/>
              <w:left w:val="nil"/>
              <w:bottom w:val="single" w:sz="8" w:space="0" w:color="E1E1E3"/>
              <w:right w:val="single" w:sz="8" w:space="0" w:color="E1E1E3"/>
            </w:tcBorders>
            <w:vAlign w:val="center"/>
            <w:hideMark/>
          </w:tcPr>
          <w:p w14:paraId="34BDD9E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24.9%</w:t>
            </w:r>
          </w:p>
        </w:tc>
        <w:tc>
          <w:tcPr>
            <w:tcW w:w="960" w:type="dxa"/>
            <w:tcBorders>
              <w:top w:val="nil"/>
              <w:left w:val="nil"/>
              <w:bottom w:val="single" w:sz="8" w:space="0" w:color="E1E1E3"/>
              <w:right w:val="single" w:sz="8" w:space="0" w:color="E1E1E3"/>
            </w:tcBorders>
            <w:vAlign w:val="center"/>
            <w:hideMark/>
          </w:tcPr>
          <w:p w14:paraId="725CC27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25.1%</w:t>
            </w:r>
          </w:p>
        </w:tc>
        <w:tc>
          <w:tcPr>
            <w:tcW w:w="960" w:type="dxa"/>
            <w:tcBorders>
              <w:top w:val="nil"/>
              <w:left w:val="nil"/>
              <w:bottom w:val="single" w:sz="8" w:space="0" w:color="E1E1E3"/>
              <w:right w:val="single" w:sz="8" w:space="0" w:color="E1E1E3"/>
            </w:tcBorders>
            <w:vAlign w:val="center"/>
            <w:hideMark/>
          </w:tcPr>
          <w:p w14:paraId="6B9C2EE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3C683783"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0992F52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65D3E3C9"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2026թ. Պետական բյուջե</w:t>
            </w:r>
          </w:p>
        </w:tc>
        <w:tc>
          <w:tcPr>
            <w:tcW w:w="960" w:type="dxa"/>
            <w:tcBorders>
              <w:top w:val="nil"/>
              <w:left w:val="nil"/>
              <w:bottom w:val="single" w:sz="8" w:space="0" w:color="E1E1E3"/>
              <w:right w:val="single" w:sz="8" w:space="0" w:color="E1E1E3"/>
            </w:tcBorders>
            <w:vAlign w:val="center"/>
            <w:hideMark/>
          </w:tcPr>
          <w:p w14:paraId="0CD6713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9C1DA4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2,690.4</w:t>
            </w:r>
          </w:p>
        </w:tc>
        <w:tc>
          <w:tcPr>
            <w:tcW w:w="960" w:type="dxa"/>
            <w:tcBorders>
              <w:top w:val="nil"/>
              <w:left w:val="nil"/>
              <w:bottom w:val="single" w:sz="8" w:space="0" w:color="E1E1E3"/>
              <w:right w:val="single" w:sz="8" w:space="0" w:color="E1E1E3"/>
            </w:tcBorders>
            <w:vAlign w:val="center"/>
            <w:hideMark/>
          </w:tcPr>
          <w:p w14:paraId="3CDF3EA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2,972.9</w:t>
            </w:r>
          </w:p>
        </w:tc>
        <w:tc>
          <w:tcPr>
            <w:tcW w:w="960" w:type="dxa"/>
            <w:tcBorders>
              <w:top w:val="nil"/>
              <w:left w:val="nil"/>
              <w:bottom w:val="single" w:sz="8" w:space="0" w:color="E1E1E3"/>
              <w:right w:val="single" w:sz="8" w:space="0" w:color="E1E1E3"/>
            </w:tcBorders>
            <w:vAlign w:val="center"/>
            <w:hideMark/>
          </w:tcPr>
          <w:p w14:paraId="5B72EE8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3,244.9</w:t>
            </w:r>
          </w:p>
        </w:tc>
        <w:tc>
          <w:tcPr>
            <w:tcW w:w="960" w:type="dxa"/>
            <w:tcBorders>
              <w:top w:val="nil"/>
              <w:left w:val="nil"/>
              <w:bottom w:val="single" w:sz="8" w:space="0" w:color="E1E1E3"/>
              <w:right w:val="single" w:sz="8" w:space="0" w:color="E1E1E3"/>
            </w:tcBorders>
            <w:vAlign w:val="center"/>
            <w:hideMark/>
          </w:tcPr>
          <w:p w14:paraId="633649F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3,533.9</w:t>
            </w:r>
          </w:p>
        </w:tc>
        <w:tc>
          <w:tcPr>
            <w:tcW w:w="960" w:type="dxa"/>
            <w:tcBorders>
              <w:top w:val="nil"/>
              <w:left w:val="nil"/>
              <w:bottom w:val="single" w:sz="8" w:space="0" w:color="E1E1E3"/>
              <w:right w:val="single" w:sz="8" w:space="0" w:color="E1E1E3"/>
            </w:tcBorders>
            <w:vAlign w:val="center"/>
            <w:hideMark/>
          </w:tcPr>
          <w:p w14:paraId="34BFC7F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21A2E26C"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05266713"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2D4CE625"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7A25F3A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D01422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24.5%</w:t>
            </w:r>
          </w:p>
        </w:tc>
        <w:tc>
          <w:tcPr>
            <w:tcW w:w="960" w:type="dxa"/>
            <w:tcBorders>
              <w:top w:val="nil"/>
              <w:left w:val="nil"/>
              <w:bottom w:val="single" w:sz="8" w:space="0" w:color="E1E1E3"/>
              <w:right w:val="single" w:sz="8" w:space="0" w:color="E1E1E3"/>
            </w:tcBorders>
            <w:vAlign w:val="center"/>
            <w:hideMark/>
          </w:tcPr>
          <w:p w14:paraId="5454C9E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24.9%</w:t>
            </w:r>
          </w:p>
        </w:tc>
        <w:tc>
          <w:tcPr>
            <w:tcW w:w="960" w:type="dxa"/>
            <w:tcBorders>
              <w:top w:val="nil"/>
              <w:left w:val="nil"/>
              <w:bottom w:val="single" w:sz="8" w:space="0" w:color="E1E1E3"/>
              <w:right w:val="single" w:sz="8" w:space="0" w:color="E1E1E3"/>
            </w:tcBorders>
            <w:vAlign w:val="center"/>
            <w:hideMark/>
          </w:tcPr>
          <w:p w14:paraId="53D3ACE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25.1%</w:t>
            </w:r>
          </w:p>
        </w:tc>
        <w:tc>
          <w:tcPr>
            <w:tcW w:w="960" w:type="dxa"/>
            <w:tcBorders>
              <w:top w:val="nil"/>
              <w:left w:val="nil"/>
              <w:bottom w:val="single" w:sz="8" w:space="0" w:color="E1E1E3"/>
              <w:right w:val="single" w:sz="8" w:space="0" w:color="E1E1E3"/>
            </w:tcBorders>
            <w:vAlign w:val="center"/>
            <w:hideMark/>
          </w:tcPr>
          <w:p w14:paraId="7A9C833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25.2%</w:t>
            </w:r>
          </w:p>
        </w:tc>
        <w:tc>
          <w:tcPr>
            <w:tcW w:w="960" w:type="dxa"/>
            <w:tcBorders>
              <w:top w:val="nil"/>
              <w:left w:val="nil"/>
              <w:bottom w:val="single" w:sz="8" w:space="0" w:color="E1E1E3"/>
              <w:right w:val="single" w:sz="8" w:space="0" w:color="E1E1E3"/>
            </w:tcBorders>
            <w:vAlign w:val="center"/>
            <w:hideMark/>
          </w:tcPr>
          <w:p w14:paraId="6162AD6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02CBB71E" w14:textId="77777777" w:rsidTr="00873AE6">
        <w:trPr>
          <w:trHeight w:val="315"/>
        </w:trPr>
        <w:tc>
          <w:tcPr>
            <w:tcW w:w="1540" w:type="dxa"/>
            <w:vMerge w:val="restart"/>
            <w:tcBorders>
              <w:top w:val="nil"/>
              <w:left w:val="single" w:sz="8" w:space="0" w:color="E1E1E3"/>
              <w:bottom w:val="single" w:sz="8" w:space="0" w:color="E1E1E3"/>
              <w:right w:val="single" w:sz="8" w:space="0" w:color="E1E1E3"/>
            </w:tcBorders>
            <w:vAlign w:val="center"/>
            <w:hideMark/>
          </w:tcPr>
          <w:p w14:paraId="00D4FDD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2026</w:t>
            </w:r>
          </w:p>
        </w:tc>
        <w:tc>
          <w:tcPr>
            <w:tcW w:w="3180" w:type="dxa"/>
            <w:tcBorders>
              <w:top w:val="nil"/>
              <w:left w:val="nil"/>
              <w:bottom w:val="single" w:sz="8" w:space="0" w:color="E1E1E3"/>
              <w:right w:val="single" w:sz="8" w:space="0" w:color="E1E1E3"/>
            </w:tcBorders>
            <w:vAlign w:val="center"/>
            <w:hideMark/>
          </w:tcPr>
          <w:p w14:paraId="061AC1DA"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lang w:val="ru-RU"/>
              </w:rPr>
              <w:t xml:space="preserve"> ՄԺԾԾ 2027-2029</w:t>
            </w:r>
          </w:p>
        </w:tc>
        <w:tc>
          <w:tcPr>
            <w:tcW w:w="960" w:type="dxa"/>
            <w:tcBorders>
              <w:top w:val="nil"/>
              <w:left w:val="nil"/>
              <w:bottom w:val="single" w:sz="8" w:space="0" w:color="E1E1E3"/>
              <w:right w:val="single" w:sz="8" w:space="0" w:color="E1E1E3"/>
            </w:tcBorders>
            <w:vAlign w:val="center"/>
            <w:hideMark/>
          </w:tcPr>
          <w:p w14:paraId="4B8B8A2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33F19B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66C985F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3,016.2</w:t>
            </w:r>
          </w:p>
        </w:tc>
        <w:tc>
          <w:tcPr>
            <w:tcW w:w="960" w:type="dxa"/>
            <w:tcBorders>
              <w:top w:val="nil"/>
              <w:left w:val="nil"/>
              <w:bottom w:val="single" w:sz="8" w:space="0" w:color="E1E1E3"/>
              <w:right w:val="single" w:sz="8" w:space="0" w:color="E1E1E3"/>
            </w:tcBorders>
            <w:vAlign w:val="center"/>
            <w:hideMark/>
          </w:tcPr>
          <w:p w14:paraId="5C267AA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3,349.9</w:t>
            </w:r>
          </w:p>
        </w:tc>
        <w:tc>
          <w:tcPr>
            <w:tcW w:w="960" w:type="dxa"/>
            <w:tcBorders>
              <w:top w:val="nil"/>
              <w:left w:val="nil"/>
              <w:bottom w:val="single" w:sz="8" w:space="0" w:color="E1E1E3"/>
              <w:right w:val="single" w:sz="8" w:space="0" w:color="E1E1E3"/>
            </w:tcBorders>
            <w:vAlign w:val="center"/>
            <w:hideMark/>
          </w:tcPr>
          <w:p w14:paraId="4B3C2B8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3,685.9</w:t>
            </w:r>
          </w:p>
        </w:tc>
        <w:tc>
          <w:tcPr>
            <w:tcW w:w="960" w:type="dxa"/>
            <w:tcBorders>
              <w:top w:val="nil"/>
              <w:left w:val="nil"/>
              <w:bottom w:val="single" w:sz="8" w:space="0" w:color="E1E1E3"/>
              <w:right w:val="single" w:sz="8" w:space="0" w:color="E1E1E3"/>
            </w:tcBorders>
            <w:vAlign w:val="center"/>
            <w:hideMark/>
          </w:tcPr>
          <w:p w14:paraId="5E5F22E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4,063.6</w:t>
            </w:r>
          </w:p>
        </w:tc>
      </w:tr>
      <w:tr w:rsidR="00082769" w:rsidRPr="008B63B1" w14:paraId="5B8E4B0D"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5C3CA548"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1D9D9B85"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4263F80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03040E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6359AA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24.5%</w:t>
            </w:r>
          </w:p>
        </w:tc>
        <w:tc>
          <w:tcPr>
            <w:tcW w:w="960" w:type="dxa"/>
            <w:tcBorders>
              <w:top w:val="nil"/>
              <w:left w:val="nil"/>
              <w:bottom w:val="single" w:sz="8" w:space="0" w:color="E1E1E3"/>
              <w:right w:val="single" w:sz="8" w:space="0" w:color="E1E1E3"/>
            </w:tcBorders>
            <w:vAlign w:val="center"/>
            <w:hideMark/>
          </w:tcPr>
          <w:p w14:paraId="717AEB3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25.0%</w:t>
            </w:r>
          </w:p>
        </w:tc>
        <w:tc>
          <w:tcPr>
            <w:tcW w:w="960" w:type="dxa"/>
            <w:tcBorders>
              <w:top w:val="nil"/>
              <w:left w:val="nil"/>
              <w:bottom w:val="single" w:sz="8" w:space="0" w:color="E1E1E3"/>
              <w:right w:val="single" w:sz="8" w:space="0" w:color="E1E1E3"/>
            </w:tcBorders>
            <w:vAlign w:val="center"/>
            <w:hideMark/>
          </w:tcPr>
          <w:p w14:paraId="139F2C3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25.2%</w:t>
            </w:r>
          </w:p>
        </w:tc>
        <w:tc>
          <w:tcPr>
            <w:tcW w:w="960" w:type="dxa"/>
            <w:tcBorders>
              <w:top w:val="nil"/>
              <w:left w:val="nil"/>
              <w:bottom w:val="single" w:sz="8" w:space="0" w:color="E1E1E3"/>
              <w:right w:val="single" w:sz="8" w:space="0" w:color="E1E1E3"/>
            </w:tcBorders>
            <w:vAlign w:val="center"/>
            <w:hideMark/>
          </w:tcPr>
          <w:p w14:paraId="5C704ED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25.5%</w:t>
            </w:r>
          </w:p>
        </w:tc>
      </w:tr>
      <w:tr w:rsidR="00082769" w:rsidRPr="008B63B1" w14:paraId="3629BAF6"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7CE2189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8D68E7C"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2027թ. Պետական բյուջե</w:t>
            </w:r>
          </w:p>
        </w:tc>
        <w:tc>
          <w:tcPr>
            <w:tcW w:w="960" w:type="dxa"/>
            <w:tcBorders>
              <w:top w:val="nil"/>
              <w:left w:val="nil"/>
              <w:bottom w:val="single" w:sz="8" w:space="0" w:color="E1E1E3"/>
              <w:right w:val="single" w:sz="8" w:space="0" w:color="E1E1E3"/>
            </w:tcBorders>
            <w:vAlign w:val="center"/>
            <w:hideMark/>
          </w:tcPr>
          <w:p w14:paraId="2A24E9E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652E78B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42D9117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3,090.4</w:t>
            </w:r>
          </w:p>
        </w:tc>
        <w:tc>
          <w:tcPr>
            <w:tcW w:w="960" w:type="dxa"/>
            <w:tcBorders>
              <w:top w:val="nil"/>
              <w:left w:val="nil"/>
              <w:bottom w:val="single" w:sz="8" w:space="0" w:color="E1E1E3"/>
              <w:right w:val="single" w:sz="8" w:space="0" w:color="E1E1E3"/>
            </w:tcBorders>
            <w:vAlign w:val="center"/>
            <w:hideMark/>
          </w:tcPr>
          <w:p w14:paraId="1C7FE30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3,462.7</w:t>
            </w:r>
          </w:p>
        </w:tc>
        <w:tc>
          <w:tcPr>
            <w:tcW w:w="960" w:type="dxa"/>
            <w:tcBorders>
              <w:top w:val="nil"/>
              <w:left w:val="nil"/>
              <w:bottom w:val="single" w:sz="8" w:space="0" w:color="E1E1E3"/>
              <w:right w:val="single" w:sz="8" w:space="0" w:color="E1E1E3"/>
            </w:tcBorders>
            <w:vAlign w:val="center"/>
            <w:hideMark/>
          </w:tcPr>
          <w:p w14:paraId="7135C42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3,797.2</w:t>
            </w:r>
          </w:p>
        </w:tc>
        <w:tc>
          <w:tcPr>
            <w:tcW w:w="960" w:type="dxa"/>
            <w:tcBorders>
              <w:top w:val="nil"/>
              <w:left w:val="nil"/>
              <w:bottom w:val="single" w:sz="8" w:space="0" w:color="E1E1E3"/>
              <w:right w:val="single" w:sz="8" w:space="0" w:color="E1E1E3"/>
            </w:tcBorders>
            <w:vAlign w:val="center"/>
            <w:hideMark/>
          </w:tcPr>
          <w:p w14:paraId="36B418D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4,167.8</w:t>
            </w:r>
          </w:p>
        </w:tc>
      </w:tr>
      <w:tr w:rsidR="00082769" w:rsidRPr="008B63B1" w14:paraId="351CA390"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79F63473"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5470BBF"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419A94D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624D296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53AA68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24.8%</w:t>
            </w:r>
          </w:p>
        </w:tc>
        <w:tc>
          <w:tcPr>
            <w:tcW w:w="960" w:type="dxa"/>
            <w:tcBorders>
              <w:top w:val="nil"/>
              <w:left w:val="nil"/>
              <w:bottom w:val="single" w:sz="8" w:space="0" w:color="E1E1E3"/>
              <w:right w:val="single" w:sz="8" w:space="0" w:color="E1E1E3"/>
            </w:tcBorders>
            <w:vAlign w:val="center"/>
            <w:hideMark/>
          </w:tcPr>
          <w:p w14:paraId="7612FC1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25.4%</w:t>
            </w:r>
          </w:p>
        </w:tc>
        <w:tc>
          <w:tcPr>
            <w:tcW w:w="960" w:type="dxa"/>
            <w:tcBorders>
              <w:top w:val="nil"/>
              <w:left w:val="nil"/>
              <w:bottom w:val="single" w:sz="8" w:space="0" w:color="E1E1E3"/>
              <w:right w:val="single" w:sz="8" w:space="0" w:color="E1E1E3"/>
            </w:tcBorders>
            <w:vAlign w:val="center"/>
            <w:hideMark/>
          </w:tcPr>
          <w:p w14:paraId="515D7B3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25.5%</w:t>
            </w:r>
          </w:p>
        </w:tc>
        <w:tc>
          <w:tcPr>
            <w:tcW w:w="960" w:type="dxa"/>
            <w:tcBorders>
              <w:top w:val="nil"/>
              <w:left w:val="nil"/>
              <w:bottom w:val="single" w:sz="8" w:space="0" w:color="E1E1E3"/>
              <w:right w:val="single" w:sz="8" w:space="0" w:color="E1E1E3"/>
            </w:tcBorders>
            <w:vAlign w:val="center"/>
            <w:hideMark/>
          </w:tcPr>
          <w:p w14:paraId="0A4C887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25.7%</w:t>
            </w:r>
          </w:p>
        </w:tc>
      </w:tr>
    </w:tbl>
    <w:p w14:paraId="3CE7DDEC" w14:textId="77777777" w:rsidR="00082769" w:rsidRDefault="00082769" w:rsidP="00082769">
      <w:pPr>
        <w:ind w:hanging="11"/>
        <w:jc w:val="both"/>
        <w:rPr>
          <w:rFonts w:ascii="GHEA Grapalat" w:eastAsia="Times New Roman" w:hAnsi="GHEA Grapalat" w:cs="Times New Roman"/>
          <w:bCs/>
          <w:color w:val="404040"/>
          <w:szCs w:val="20"/>
        </w:rPr>
      </w:pPr>
    </w:p>
    <w:p w14:paraId="26BB8CBA" w14:textId="4A9B2504" w:rsidR="00082769" w:rsidRPr="001D56CB" w:rsidRDefault="00082769" w:rsidP="001D56CB">
      <w:pPr>
        <w:pStyle w:val="Charts"/>
        <w:ind w:right="-22"/>
        <w:rPr>
          <w:b w:val="0"/>
          <w:bCs/>
          <w:color w:val="auto"/>
          <w:sz w:val="20"/>
          <w:szCs w:val="18"/>
        </w:rPr>
      </w:pPr>
      <w:r w:rsidRPr="001D56CB">
        <w:rPr>
          <w:b w:val="0"/>
          <w:bCs/>
          <w:color w:val="auto"/>
          <w:sz w:val="20"/>
          <w:szCs w:val="18"/>
        </w:rPr>
        <w:t>Աղյուսակ 2.6. Պետական բյուջեի ծախսերի կանխատեսումների համեմատական աղյուսակը, մլրդ ՀՀ դրամ</w:t>
      </w:r>
    </w:p>
    <w:tbl>
      <w:tblPr>
        <w:tblW w:w="10480" w:type="dxa"/>
        <w:tblInd w:w="-10" w:type="dxa"/>
        <w:tblLook w:val="04A0" w:firstRow="1" w:lastRow="0" w:firstColumn="1" w:lastColumn="0" w:noHBand="0" w:noVBand="1"/>
      </w:tblPr>
      <w:tblGrid>
        <w:gridCol w:w="1540"/>
        <w:gridCol w:w="3180"/>
        <w:gridCol w:w="960"/>
        <w:gridCol w:w="960"/>
        <w:gridCol w:w="960"/>
        <w:gridCol w:w="960"/>
        <w:gridCol w:w="960"/>
        <w:gridCol w:w="960"/>
      </w:tblGrid>
      <w:tr w:rsidR="00082769" w:rsidRPr="008B63B1" w14:paraId="0374951C" w14:textId="77777777" w:rsidTr="00873AE6">
        <w:trPr>
          <w:trHeight w:val="555"/>
        </w:trPr>
        <w:tc>
          <w:tcPr>
            <w:tcW w:w="1540" w:type="dxa"/>
            <w:tcBorders>
              <w:top w:val="single" w:sz="8" w:space="0" w:color="E1E1E3"/>
              <w:left w:val="single" w:sz="8" w:space="0" w:color="E1E1E3"/>
              <w:bottom w:val="single" w:sz="8" w:space="0" w:color="E1E1E3"/>
              <w:right w:val="single" w:sz="8" w:space="0" w:color="E1E1E3"/>
            </w:tcBorders>
            <w:shd w:val="clear" w:color="000000" w:fill="D5DCE4"/>
            <w:vAlign w:val="center"/>
            <w:hideMark/>
          </w:tcPr>
          <w:p w14:paraId="04128501"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Ընդունման տարին</w:t>
            </w:r>
          </w:p>
        </w:tc>
        <w:tc>
          <w:tcPr>
            <w:tcW w:w="3180" w:type="dxa"/>
            <w:tcBorders>
              <w:top w:val="single" w:sz="8" w:space="0" w:color="E1E1E3"/>
              <w:left w:val="nil"/>
              <w:bottom w:val="single" w:sz="8" w:space="0" w:color="E1E1E3"/>
              <w:right w:val="single" w:sz="8" w:space="0" w:color="E1E1E3"/>
            </w:tcBorders>
            <w:shd w:val="clear" w:color="000000" w:fill="D5DCE4"/>
            <w:noWrap/>
            <w:vAlign w:val="center"/>
            <w:hideMark/>
          </w:tcPr>
          <w:p w14:paraId="55852B23" w14:textId="77777777" w:rsidR="00082769" w:rsidRPr="008B63B1" w:rsidRDefault="00082769" w:rsidP="00082769">
            <w:pPr>
              <w:spacing w:after="0" w:line="240" w:lineRule="auto"/>
              <w:ind w:hanging="11"/>
              <w:jc w:val="both"/>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Ծրագիր</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70D4CB42"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2024</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2E86923F"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2025</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7BA54AAF"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2026</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0F2F0693"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2027</w:t>
            </w:r>
          </w:p>
        </w:tc>
        <w:tc>
          <w:tcPr>
            <w:tcW w:w="960" w:type="dxa"/>
            <w:tcBorders>
              <w:top w:val="single" w:sz="8" w:space="0" w:color="E1E1E3"/>
              <w:left w:val="nil"/>
              <w:bottom w:val="single" w:sz="8" w:space="0" w:color="E1E1E3"/>
              <w:right w:val="single" w:sz="8" w:space="0" w:color="E1E1E3"/>
            </w:tcBorders>
            <w:shd w:val="clear" w:color="000000" w:fill="D5DCE4"/>
            <w:vAlign w:val="center"/>
            <w:hideMark/>
          </w:tcPr>
          <w:p w14:paraId="1A1BF791"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2028</w:t>
            </w:r>
          </w:p>
        </w:tc>
        <w:tc>
          <w:tcPr>
            <w:tcW w:w="960" w:type="dxa"/>
            <w:tcBorders>
              <w:top w:val="single" w:sz="8" w:space="0" w:color="E1E1E3"/>
              <w:left w:val="nil"/>
              <w:bottom w:val="single" w:sz="8" w:space="0" w:color="E1E1E3"/>
              <w:right w:val="single" w:sz="8" w:space="0" w:color="E1E1E3"/>
            </w:tcBorders>
            <w:shd w:val="clear" w:color="000000" w:fill="D5DCE4"/>
            <w:vAlign w:val="center"/>
            <w:hideMark/>
          </w:tcPr>
          <w:p w14:paraId="3DF53810"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2029</w:t>
            </w:r>
          </w:p>
        </w:tc>
      </w:tr>
      <w:tr w:rsidR="00082769" w:rsidRPr="008B63B1" w14:paraId="4553610E"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2A88F7B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w:t>
            </w:r>
          </w:p>
        </w:tc>
        <w:tc>
          <w:tcPr>
            <w:tcW w:w="3180" w:type="dxa"/>
            <w:tcBorders>
              <w:top w:val="nil"/>
              <w:left w:val="nil"/>
              <w:bottom w:val="single" w:sz="8" w:space="0" w:color="E1E1E3"/>
              <w:right w:val="single" w:sz="8" w:space="0" w:color="E1E1E3"/>
            </w:tcBorders>
            <w:noWrap/>
            <w:vAlign w:val="center"/>
            <w:hideMark/>
          </w:tcPr>
          <w:p w14:paraId="6394D9B6"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Փաստացի</w:t>
            </w:r>
          </w:p>
        </w:tc>
        <w:tc>
          <w:tcPr>
            <w:tcW w:w="960" w:type="dxa"/>
            <w:tcBorders>
              <w:top w:val="nil"/>
              <w:left w:val="nil"/>
              <w:bottom w:val="single" w:sz="8" w:space="0" w:color="E1E1E3"/>
              <w:right w:val="single" w:sz="8" w:space="0" w:color="E1E1E3"/>
            </w:tcBorders>
            <w:noWrap/>
            <w:vAlign w:val="center"/>
            <w:hideMark/>
          </w:tcPr>
          <w:p w14:paraId="607102F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2,955.3</w:t>
            </w:r>
          </w:p>
        </w:tc>
        <w:tc>
          <w:tcPr>
            <w:tcW w:w="960" w:type="dxa"/>
            <w:tcBorders>
              <w:top w:val="nil"/>
              <w:left w:val="nil"/>
              <w:bottom w:val="single" w:sz="8" w:space="0" w:color="E1E1E3"/>
              <w:right w:val="single" w:sz="8" w:space="0" w:color="E1E1E3"/>
            </w:tcBorders>
            <w:noWrap/>
            <w:vAlign w:val="center"/>
            <w:hideMark/>
          </w:tcPr>
          <w:p w14:paraId="6A8BB47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3,305.3</w:t>
            </w:r>
          </w:p>
        </w:tc>
        <w:tc>
          <w:tcPr>
            <w:tcW w:w="960" w:type="dxa"/>
            <w:tcBorders>
              <w:top w:val="nil"/>
              <w:left w:val="nil"/>
              <w:bottom w:val="single" w:sz="8" w:space="0" w:color="E1E1E3"/>
              <w:right w:val="single" w:sz="8" w:space="0" w:color="E1E1E3"/>
            </w:tcBorders>
            <w:noWrap/>
            <w:vAlign w:val="center"/>
            <w:hideMark/>
          </w:tcPr>
          <w:p w14:paraId="0C981BCB"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26F024E"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7B82FB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300B875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02EB3D3F"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2ABF3120"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03CC66B4"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noWrap/>
            <w:vAlign w:val="center"/>
            <w:hideMark/>
          </w:tcPr>
          <w:p w14:paraId="538CC53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28.8%</w:t>
            </w:r>
          </w:p>
        </w:tc>
        <w:tc>
          <w:tcPr>
            <w:tcW w:w="960" w:type="dxa"/>
            <w:tcBorders>
              <w:top w:val="nil"/>
              <w:left w:val="nil"/>
              <w:bottom w:val="single" w:sz="8" w:space="0" w:color="E1E1E3"/>
              <w:right w:val="single" w:sz="8" w:space="0" w:color="E1E1E3"/>
            </w:tcBorders>
            <w:noWrap/>
            <w:vAlign w:val="center"/>
            <w:hideMark/>
          </w:tcPr>
          <w:p w14:paraId="5A76567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29.1%</w:t>
            </w:r>
          </w:p>
        </w:tc>
        <w:tc>
          <w:tcPr>
            <w:tcW w:w="960" w:type="dxa"/>
            <w:tcBorders>
              <w:top w:val="nil"/>
              <w:left w:val="nil"/>
              <w:bottom w:val="single" w:sz="8" w:space="0" w:color="E1E1E3"/>
              <w:right w:val="single" w:sz="8" w:space="0" w:color="E1E1E3"/>
            </w:tcBorders>
            <w:noWrap/>
            <w:vAlign w:val="center"/>
            <w:hideMark/>
          </w:tcPr>
          <w:p w14:paraId="08E04018"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E078DEC"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2DC48D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77E40D9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54ADB68D"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15993B1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2022</w:t>
            </w:r>
          </w:p>
        </w:tc>
        <w:tc>
          <w:tcPr>
            <w:tcW w:w="3180" w:type="dxa"/>
            <w:tcBorders>
              <w:top w:val="nil"/>
              <w:left w:val="nil"/>
              <w:bottom w:val="single" w:sz="8" w:space="0" w:color="E1E1E3"/>
              <w:right w:val="single" w:sz="8" w:space="0" w:color="E1E1E3"/>
            </w:tcBorders>
            <w:noWrap/>
            <w:vAlign w:val="center"/>
            <w:hideMark/>
          </w:tcPr>
          <w:p w14:paraId="327C5A04"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2023-2025</w:t>
            </w:r>
          </w:p>
        </w:tc>
        <w:tc>
          <w:tcPr>
            <w:tcW w:w="960" w:type="dxa"/>
            <w:tcBorders>
              <w:top w:val="nil"/>
              <w:left w:val="nil"/>
              <w:bottom w:val="single" w:sz="8" w:space="0" w:color="E1E1E3"/>
              <w:right w:val="single" w:sz="8" w:space="0" w:color="E1E1E3"/>
            </w:tcBorders>
            <w:vAlign w:val="center"/>
            <w:hideMark/>
          </w:tcPr>
          <w:p w14:paraId="67961D9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2,882.9</w:t>
            </w:r>
          </w:p>
        </w:tc>
        <w:tc>
          <w:tcPr>
            <w:tcW w:w="960" w:type="dxa"/>
            <w:tcBorders>
              <w:top w:val="nil"/>
              <w:left w:val="nil"/>
              <w:bottom w:val="single" w:sz="8" w:space="0" w:color="E1E1E3"/>
              <w:right w:val="single" w:sz="8" w:space="0" w:color="E1E1E3"/>
            </w:tcBorders>
            <w:vAlign w:val="center"/>
            <w:hideMark/>
          </w:tcPr>
          <w:p w14:paraId="04F96D3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3,223.0</w:t>
            </w:r>
          </w:p>
        </w:tc>
        <w:tc>
          <w:tcPr>
            <w:tcW w:w="960" w:type="dxa"/>
            <w:tcBorders>
              <w:top w:val="nil"/>
              <w:left w:val="nil"/>
              <w:bottom w:val="single" w:sz="8" w:space="0" w:color="E1E1E3"/>
              <w:right w:val="single" w:sz="8" w:space="0" w:color="E1E1E3"/>
            </w:tcBorders>
            <w:noWrap/>
            <w:vAlign w:val="center"/>
            <w:hideMark/>
          </w:tcPr>
          <w:p w14:paraId="6FE09905"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65B492F"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71346F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499783F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432EC437"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27411EAF"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842E2CA"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0903103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28.5%</w:t>
            </w:r>
          </w:p>
        </w:tc>
        <w:tc>
          <w:tcPr>
            <w:tcW w:w="960" w:type="dxa"/>
            <w:tcBorders>
              <w:top w:val="nil"/>
              <w:left w:val="nil"/>
              <w:bottom w:val="single" w:sz="8" w:space="0" w:color="E1E1E3"/>
              <w:right w:val="single" w:sz="8" w:space="0" w:color="E1E1E3"/>
            </w:tcBorders>
            <w:vAlign w:val="center"/>
            <w:hideMark/>
          </w:tcPr>
          <w:p w14:paraId="5592B81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28.7%</w:t>
            </w:r>
          </w:p>
        </w:tc>
        <w:tc>
          <w:tcPr>
            <w:tcW w:w="960" w:type="dxa"/>
            <w:tcBorders>
              <w:top w:val="nil"/>
              <w:left w:val="nil"/>
              <w:bottom w:val="single" w:sz="8" w:space="0" w:color="E1E1E3"/>
              <w:right w:val="single" w:sz="8" w:space="0" w:color="E1E1E3"/>
            </w:tcBorders>
            <w:noWrap/>
            <w:vAlign w:val="center"/>
            <w:hideMark/>
          </w:tcPr>
          <w:p w14:paraId="78AE4D6F"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1DD82CD"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9EFC67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3E9DB4D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4DBACFC9"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742A4958"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154CAD3B"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2023թ. Պետական բյուջե</w:t>
            </w:r>
          </w:p>
        </w:tc>
        <w:tc>
          <w:tcPr>
            <w:tcW w:w="960" w:type="dxa"/>
            <w:tcBorders>
              <w:top w:val="nil"/>
              <w:left w:val="nil"/>
              <w:bottom w:val="single" w:sz="8" w:space="0" w:color="E1E1E3"/>
              <w:right w:val="single" w:sz="8" w:space="0" w:color="E1E1E3"/>
            </w:tcBorders>
            <w:vAlign w:val="center"/>
            <w:hideMark/>
          </w:tcPr>
          <w:p w14:paraId="399E7871"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0F7F4FE2"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222859DC"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010C0EB7"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69D220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152F2C1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1E53B51C"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12C227AA"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3D786FD6"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50673EBB"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3DE6B8B"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6D084A5"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87D7CEB"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12E081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0DF8D6C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5B3D0494"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0C57A47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2023</w:t>
            </w:r>
          </w:p>
        </w:tc>
        <w:tc>
          <w:tcPr>
            <w:tcW w:w="3180" w:type="dxa"/>
            <w:tcBorders>
              <w:top w:val="nil"/>
              <w:left w:val="nil"/>
              <w:bottom w:val="single" w:sz="8" w:space="0" w:color="E1E1E3"/>
              <w:right w:val="single" w:sz="8" w:space="0" w:color="E1E1E3"/>
            </w:tcBorders>
            <w:noWrap/>
            <w:vAlign w:val="center"/>
            <w:hideMark/>
          </w:tcPr>
          <w:p w14:paraId="194DA3BB"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2024-2026</w:t>
            </w:r>
          </w:p>
        </w:tc>
        <w:tc>
          <w:tcPr>
            <w:tcW w:w="960" w:type="dxa"/>
            <w:tcBorders>
              <w:top w:val="nil"/>
              <w:left w:val="nil"/>
              <w:bottom w:val="single" w:sz="8" w:space="0" w:color="E1E1E3"/>
              <w:right w:val="single" w:sz="8" w:space="0" w:color="E1E1E3"/>
            </w:tcBorders>
            <w:vAlign w:val="center"/>
            <w:hideMark/>
          </w:tcPr>
          <w:p w14:paraId="528EF46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2,973.6</w:t>
            </w:r>
          </w:p>
        </w:tc>
        <w:tc>
          <w:tcPr>
            <w:tcW w:w="960" w:type="dxa"/>
            <w:tcBorders>
              <w:top w:val="nil"/>
              <w:left w:val="nil"/>
              <w:bottom w:val="single" w:sz="8" w:space="0" w:color="E1E1E3"/>
              <w:right w:val="single" w:sz="8" w:space="0" w:color="E1E1E3"/>
            </w:tcBorders>
            <w:vAlign w:val="center"/>
            <w:hideMark/>
          </w:tcPr>
          <w:p w14:paraId="514216F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3,306.1</w:t>
            </w:r>
          </w:p>
        </w:tc>
        <w:tc>
          <w:tcPr>
            <w:tcW w:w="960" w:type="dxa"/>
            <w:tcBorders>
              <w:top w:val="nil"/>
              <w:left w:val="nil"/>
              <w:bottom w:val="single" w:sz="8" w:space="0" w:color="E1E1E3"/>
              <w:right w:val="single" w:sz="8" w:space="0" w:color="E1E1E3"/>
            </w:tcBorders>
            <w:vAlign w:val="center"/>
            <w:hideMark/>
          </w:tcPr>
          <w:p w14:paraId="6F77C08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3,701.9</w:t>
            </w:r>
          </w:p>
        </w:tc>
        <w:tc>
          <w:tcPr>
            <w:tcW w:w="960" w:type="dxa"/>
            <w:tcBorders>
              <w:top w:val="nil"/>
              <w:left w:val="nil"/>
              <w:bottom w:val="single" w:sz="8" w:space="0" w:color="E1E1E3"/>
              <w:right w:val="single" w:sz="8" w:space="0" w:color="E1E1E3"/>
            </w:tcBorders>
            <w:vAlign w:val="center"/>
            <w:hideMark/>
          </w:tcPr>
          <w:p w14:paraId="60219065"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02AD6A0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51CA5C1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7565B5F1"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4EE58126"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55987169"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5443A47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28.0%</w:t>
            </w:r>
          </w:p>
        </w:tc>
        <w:tc>
          <w:tcPr>
            <w:tcW w:w="960" w:type="dxa"/>
            <w:tcBorders>
              <w:top w:val="nil"/>
              <w:left w:val="nil"/>
              <w:bottom w:val="single" w:sz="8" w:space="0" w:color="E1E1E3"/>
              <w:right w:val="single" w:sz="8" w:space="0" w:color="E1E1E3"/>
            </w:tcBorders>
            <w:vAlign w:val="center"/>
            <w:hideMark/>
          </w:tcPr>
          <w:p w14:paraId="4209ECA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28.0%</w:t>
            </w:r>
          </w:p>
        </w:tc>
        <w:tc>
          <w:tcPr>
            <w:tcW w:w="960" w:type="dxa"/>
            <w:tcBorders>
              <w:top w:val="nil"/>
              <w:left w:val="nil"/>
              <w:bottom w:val="single" w:sz="8" w:space="0" w:color="E1E1E3"/>
              <w:right w:val="single" w:sz="8" w:space="0" w:color="E1E1E3"/>
            </w:tcBorders>
            <w:vAlign w:val="center"/>
            <w:hideMark/>
          </w:tcPr>
          <w:p w14:paraId="11C7D68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28.2%</w:t>
            </w:r>
          </w:p>
        </w:tc>
        <w:tc>
          <w:tcPr>
            <w:tcW w:w="960" w:type="dxa"/>
            <w:tcBorders>
              <w:top w:val="nil"/>
              <w:left w:val="nil"/>
              <w:bottom w:val="single" w:sz="8" w:space="0" w:color="E1E1E3"/>
              <w:right w:val="single" w:sz="8" w:space="0" w:color="E1E1E3"/>
            </w:tcBorders>
            <w:vAlign w:val="center"/>
            <w:hideMark/>
          </w:tcPr>
          <w:p w14:paraId="3A7E8E94"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43095D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76F0226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3BD05F5F"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5A01D29D"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12F9B8D0"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2024թ. Պետական բյուջե</w:t>
            </w:r>
          </w:p>
        </w:tc>
        <w:tc>
          <w:tcPr>
            <w:tcW w:w="960" w:type="dxa"/>
            <w:tcBorders>
              <w:top w:val="nil"/>
              <w:left w:val="nil"/>
              <w:bottom w:val="single" w:sz="8" w:space="0" w:color="E1E1E3"/>
              <w:right w:val="single" w:sz="8" w:space="0" w:color="E1E1E3"/>
            </w:tcBorders>
            <w:vAlign w:val="center"/>
            <w:hideMark/>
          </w:tcPr>
          <w:p w14:paraId="1133CCF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3,146.0</w:t>
            </w:r>
          </w:p>
        </w:tc>
        <w:tc>
          <w:tcPr>
            <w:tcW w:w="960" w:type="dxa"/>
            <w:tcBorders>
              <w:top w:val="nil"/>
              <w:left w:val="nil"/>
              <w:bottom w:val="single" w:sz="8" w:space="0" w:color="E1E1E3"/>
              <w:right w:val="single" w:sz="8" w:space="0" w:color="E1E1E3"/>
            </w:tcBorders>
            <w:vAlign w:val="center"/>
            <w:hideMark/>
          </w:tcPr>
          <w:p w14:paraId="0B4C066A"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7E9ED7B0"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EC56A35"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688430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148134B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5BF8DA74"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43E781E6"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236F2BD9"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7AF1EEC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29.9%</w:t>
            </w:r>
          </w:p>
        </w:tc>
        <w:tc>
          <w:tcPr>
            <w:tcW w:w="960" w:type="dxa"/>
            <w:tcBorders>
              <w:top w:val="nil"/>
              <w:left w:val="nil"/>
              <w:bottom w:val="single" w:sz="8" w:space="0" w:color="E1E1E3"/>
              <w:right w:val="single" w:sz="8" w:space="0" w:color="E1E1E3"/>
            </w:tcBorders>
            <w:vAlign w:val="center"/>
            <w:hideMark/>
          </w:tcPr>
          <w:p w14:paraId="2E617AE5"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6CB464C0"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F8A177A"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FB39BB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386A2AC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7799BEE0"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74E18820"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2024</w:t>
            </w:r>
          </w:p>
        </w:tc>
        <w:tc>
          <w:tcPr>
            <w:tcW w:w="3180" w:type="dxa"/>
            <w:tcBorders>
              <w:top w:val="nil"/>
              <w:left w:val="nil"/>
              <w:bottom w:val="single" w:sz="8" w:space="0" w:color="E1E1E3"/>
              <w:right w:val="single" w:sz="8" w:space="0" w:color="E1E1E3"/>
            </w:tcBorders>
            <w:noWrap/>
            <w:vAlign w:val="center"/>
            <w:hideMark/>
          </w:tcPr>
          <w:p w14:paraId="0B303AB9"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2025-2027</w:t>
            </w:r>
          </w:p>
        </w:tc>
        <w:tc>
          <w:tcPr>
            <w:tcW w:w="960" w:type="dxa"/>
            <w:tcBorders>
              <w:top w:val="nil"/>
              <w:left w:val="nil"/>
              <w:bottom w:val="single" w:sz="8" w:space="0" w:color="E1E1E3"/>
              <w:right w:val="single" w:sz="8" w:space="0" w:color="E1E1E3"/>
            </w:tcBorders>
            <w:vAlign w:val="center"/>
            <w:hideMark/>
          </w:tcPr>
          <w:p w14:paraId="544991D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3,117.6</w:t>
            </w:r>
          </w:p>
        </w:tc>
        <w:tc>
          <w:tcPr>
            <w:tcW w:w="960" w:type="dxa"/>
            <w:tcBorders>
              <w:top w:val="nil"/>
              <w:left w:val="nil"/>
              <w:bottom w:val="single" w:sz="8" w:space="0" w:color="E1E1E3"/>
              <w:right w:val="single" w:sz="8" w:space="0" w:color="E1E1E3"/>
            </w:tcBorders>
            <w:vAlign w:val="center"/>
            <w:hideMark/>
          </w:tcPr>
          <w:p w14:paraId="256DB02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3,513.4</w:t>
            </w:r>
          </w:p>
        </w:tc>
        <w:tc>
          <w:tcPr>
            <w:tcW w:w="960" w:type="dxa"/>
            <w:tcBorders>
              <w:top w:val="nil"/>
              <w:left w:val="nil"/>
              <w:bottom w:val="single" w:sz="8" w:space="0" w:color="E1E1E3"/>
              <w:right w:val="single" w:sz="8" w:space="0" w:color="E1E1E3"/>
            </w:tcBorders>
            <w:vAlign w:val="center"/>
            <w:hideMark/>
          </w:tcPr>
          <w:p w14:paraId="7C0B1B4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3,812.1</w:t>
            </w:r>
          </w:p>
        </w:tc>
        <w:tc>
          <w:tcPr>
            <w:tcW w:w="960" w:type="dxa"/>
            <w:tcBorders>
              <w:top w:val="nil"/>
              <w:left w:val="nil"/>
              <w:bottom w:val="single" w:sz="8" w:space="0" w:color="E1E1E3"/>
              <w:right w:val="single" w:sz="8" w:space="0" w:color="E1E1E3"/>
            </w:tcBorders>
            <w:vAlign w:val="center"/>
            <w:hideMark/>
          </w:tcPr>
          <w:p w14:paraId="5122A0E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4,086.8</w:t>
            </w:r>
          </w:p>
        </w:tc>
        <w:tc>
          <w:tcPr>
            <w:tcW w:w="960" w:type="dxa"/>
            <w:tcBorders>
              <w:top w:val="nil"/>
              <w:left w:val="nil"/>
              <w:bottom w:val="single" w:sz="8" w:space="0" w:color="E1E1E3"/>
              <w:right w:val="single" w:sz="8" w:space="0" w:color="E1E1E3"/>
            </w:tcBorders>
            <w:vAlign w:val="center"/>
            <w:hideMark/>
          </w:tcPr>
          <w:p w14:paraId="3884830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4EA3A91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13D5709E"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603C7F13"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BE3E4BB"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40CA91D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30.5%</w:t>
            </w:r>
          </w:p>
        </w:tc>
        <w:tc>
          <w:tcPr>
            <w:tcW w:w="960" w:type="dxa"/>
            <w:tcBorders>
              <w:top w:val="nil"/>
              <w:left w:val="nil"/>
              <w:bottom w:val="single" w:sz="8" w:space="0" w:color="E1E1E3"/>
              <w:right w:val="single" w:sz="8" w:space="0" w:color="E1E1E3"/>
            </w:tcBorders>
            <w:vAlign w:val="center"/>
            <w:hideMark/>
          </w:tcPr>
          <w:p w14:paraId="36495F3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31.4%</w:t>
            </w:r>
          </w:p>
        </w:tc>
        <w:tc>
          <w:tcPr>
            <w:tcW w:w="960" w:type="dxa"/>
            <w:tcBorders>
              <w:top w:val="nil"/>
              <w:left w:val="nil"/>
              <w:bottom w:val="single" w:sz="8" w:space="0" w:color="E1E1E3"/>
              <w:right w:val="single" w:sz="8" w:space="0" w:color="E1E1E3"/>
            </w:tcBorders>
            <w:vAlign w:val="center"/>
            <w:hideMark/>
          </w:tcPr>
          <w:p w14:paraId="37D580D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31.0%</w:t>
            </w:r>
          </w:p>
        </w:tc>
        <w:tc>
          <w:tcPr>
            <w:tcW w:w="960" w:type="dxa"/>
            <w:tcBorders>
              <w:top w:val="nil"/>
              <w:left w:val="nil"/>
              <w:bottom w:val="single" w:sz="8" w:space="0" w:color="E1E1E3"/>
              <w:right w:val="single" w:sz="8" w:space="0" w:color="E1E1E3"/>
            </w:tcBorders>
            <w:vAlign w:val="center"/>
            <w:hideMark/>
          </w:tcPr>
          <w:p w14:paraId="14BD829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30.3%</w:t>
            </w:r>
          </w:p>
        </w:tc>
        <w:tc>
          <w:tcPr>
            <w:tcW w:w="960" w:type="dxa"/>
            <w:tcBorders>
              <w:top w:val="nil"/>
              <w:left w:val="nil"/>
              <w:bottom w:val="single" w:sz="8" w:space="0" w:color="E1E1E3"/>
              <w:right w:val="single" w:sz="8" w:space="0" w:color="E1E1E3"/>
            </w:tcBorders>
            <w:vAlign w:val="center"/>
            <w:hideMark/>
          </w:tcPr>
          <w:p w14:paraId="4548A33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0EA966B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06C55841"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7E4E087B"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12A84189"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2025թ. Պետական բյուջե</w:t>
            </w:r>
          </w:p>
        </w:tc>
        <w:tc>
          <w:tcPr>
            <w:tcW w:w="960" w:type="dxa"/>
            <w:tcBorders>
              <w:top w:val="nil"/>
              <w:left w:val="nil"/>
              <w:bottom w:val="single" w:sz="8" w:space="0" w:color="E1E1E3"/>
              <w:right w:val="single" w:sz="8" w:space="0" w:color="E1E1E3"/>
            </w:tcBorders>
            <w:vAlign w:val="center"/>
            <w:hideMark/>
          </w:tcPr>
          <w:p w14:paraId="5BE6D92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3,076.5</w:t>
            </w:r>
          </w:p>
        </w:tc>
        <w:tc>
          <w:tcPr>
            <w:tcW w:w="960" w:type="dxa"/>
            <w:tcBorders>
              <w:top w:val="nil"/>
              <w:left w:val="nil"/>
              <w:bottom w:val="single" w:sz="8" w:space="0" w:color="E1E1E3"/>
              <w:right w:val="single" w:sz="8" w:space="0" w:color="E1E1E3"/>
            </w:tcBorders>
            <w:vAlign w:val="center"/>
            <w:hideMark/>
          </w:tcPr>
          <w:p w14:paraId="4225390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3,441.6</w:t>
            </w:r>
          </w:p>
        </w:tc>
        <w:tc>
          <w:tcPr>
            <w:tcW w:w="960" w:type="dxa"/>
            <w:tcBorders>
              <w:top w:val="nil"/>
              <w:left w:val="nil"/>
              <w:bottom w:val="single" w:sz="8" w:space="0" w:color="E1E1E3"/>
              <w:right w:val="single" w:sz="8" w:space="0" w:color="E1E1E3"/>
            </w:tcBorders>
            <w:vAlign w:val="center"/>
            <w:hideMark/>
          </w:tcPr>
          <w:p w14:paraId="2908D00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3,629.5</w:t>
            </w:r>
          </w:p>
        </w:tc>
        <w:tc>
          <w:tcPr>
            <w:tcW w:w="960" w:type="dxa"/>
            <w:tcBorders>
              <w:top w:val="nil"/>
              <w:left w:val="nil"/>
              <w:bottom w:val="single" w:sz="8" w:space="0" w:color="E1E1E3"/>
              <w:right w:val="single" w:sz="8" w:space="0" w:color="E1E1E3"/>
            </w:tcBorders>
            <w:vAlign w:val="center"/>
            <w:hideMark/>
          </w:tcPr>
          <w:p w14:paraId="52216F4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3,849.8</w:t>
            </w:r>
          </w:p>
        </w:tc>
        <w:tc>
          <w:tcPr>
            <w:tcW w:w="960" w:type="dxa"/>
            <w:tcBorders>
              <w:top w:val="nil"/>
              <w:left w:val="nil"/>
              <w:bottom w:val="single" w:sz="8" w:space="0" w:color="E1E1E3"/>
              <w:right w:val="single" w:sz="8" w:space="0" w:color="E1E1E3"/>
            </w:tcBorders>
            <w:vAlign w:val="center"/>
            <w:hideMark/>
          </w:tcPr>
          <w:p w14:paraId="67B64B8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577D8E3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1441E384"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5BD776A6"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3EFB19E"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4D7DE92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30.4%</w:t>
            </w:r>
          </w:p>
        </w:tc>
        <w:tc>
          <w:tcPr>
            <w:tcW w:w="960" w:type="dxa"/>
            <w:tcBorders>
              <w:top w:val="nil"/>
              <w:left w:val="nil"/>
              <w:bottom w:val="single" w:sz="8" w:space="0" w:color="E1E1E3"/>
              <w:right w:val="single" w:sz="8" w:space="0" w:color="E1E1E3"/>
            </w:tcBorders>
            <w:vAlign w:val="center"/>
            <w:hideMark/>
          </w:tcPr>
          <w:p w14:paraId="7265F5E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31.6%</w:t>
            </w:r>
          </w:p>
        </w:tc>
        <w:tc>
          <w:tcPr>
            <w:tcW w:w="960" w:type="dxa"/>
            <w:tcBorders>
              <w:top w:val="nil"/>
              <w:left w:val="nil"/>
              <w:bottom w:val="single" w:sz="8" w:space="0" w:color="E1E1E3"/>
              <w:right w:val="single" w:sz="8" w:space="0" w:color="E1E1E3"/>
            </w:tcBorders>
            <w:vAlign w:val="center"/>
            <w:hideMark/>
          </w:tcPr>
          <w:p w14:paraId="4C97610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30.5%</w:t>
            </w:r>
          </w:p>
        </w:tc>
        <w:tc>
          <w:tcPr>
            <w:tcW w:w="960" w:type="dxa"/>
            <w:tcBorders>
              <w:top w:val="nil"/>
              <w:left w:val="nil"/>
              <w:bottom w:val="single" w:sz="8" w:space="0" w:color="E1E1E3"/>
              <w:right w:val="single" w:sz="8" w:space="0" w:color="E1E1E3"/>
            </w:tcBorders>
            <w:vAlign w:val="center"/>
            <w:hideMark/>
          </w:tcPr>
          <w:p w14:paraId="6671454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29.5%</w:t>
            </w:r>
          </w:p>
        </w:tc>
        <w:tc>
          <w:tcPr>
            <w:tcW w:w="960" w:type="dxa"/>
            <w:tcBorders>
              <w:top w:val="nil"/>
              <w:left w:val="nil"/>
              <w:bottom w:val="single" w:sz="8" w:space="0" w:color="E1E1E3"/>
              <w:right w:val="single" w:sz="8" w:space="0" w:color="E1E1E3"/>
            </w:tcBorders>
            <w:vAlign w:val="center"/>
            <w:hideMark/>
          </w:tcPr>
          <w:p w14:paraId="227C379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26DAAE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2A596135" w14:textId="77777777" w:rsidTr="00873AE6">
        <w:trPr>
          <w:trHeight w:val="315"/>
        </w:trPr>
        <w:tc>
          <w:tcPr>
            <w:tcW w:w="1540" w:type="dxa"/>
            <w:vMerge w:val="restart"/>
            <w:tcBorders>
              <w:top w:val="nil"/>
              <w:left w:val="single" w:sz="8" w:space="0" w:color="E1E1E3"/>
              <w:bottom w:val="single" w:sz="8" w:space="0" w:color="E1E1E3"/>
              <w:right w:val="single" w:sz="8" w:space="0" w:color="E1E1E3"/>
            </w:tcBorders>
            <w:vAlign w:val="center"/>
            <w:hideMark/>
          </w:tcPr>
          <w:p w14:paraId="3EC20E0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2025</w:t>
            </w:r>
          </w:p>
        </w:tc>
        <w:tc>
          <w:tcPr>
            <w:tcW w:w="3180" w:type="dxa"/>
            <w:tcBorders>
              <w:top w:val="nil"/>
              <w:left w:val="nil"/>
              <w:bottom w:val="single" w:sz="8" w:space="0" w:color="E1E1E3"/>
              <w:right w:val="single" w:sz="8" w:space="0" w:color="E1E1E3"/>
            </w:tcBorders>
            <w:vAlign w:val="center"/>
            <w:hideMark/>
          </w:tcPr>
          <w:p w14:paraId="35A0080B"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 xml:space="preserve"> ՄԺԾԾ 2026-2028</w:t>
            </w:r>
          </w:p>
        </w:tc>
        <w:tc>
          <w:tcPr>
            <w:tcW w:w="960" w:type="dxa"/>
            <w:tcBorders>
              <w:top w:val="nil"/>
              <w:left w:val="nil"/>
              <w:bottom w:val="single" w:sz="8" w:space="0" w:color="E1E1E3"/>
              <w:right w:val="single" w:sz="8" w:space="0" w:color="E1E1E3"/>
            </w:tcBorders>
            <w:vAlign w:val="center"/>
            <w:hideMark/>
          </w:tcPr>
          <w:p w14:paraId="5761530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BBA325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3,376.9</w:t>
            </w:r>
          </w:p>
        </w:tc>
        <w:tc>
          <w:tcPr>
            <w:tcW w:w="960" w:type="dxa"/>
            <w:tcBorders>
              <w:top w:val="nil"/>
              <w:left w:val="nil"/>
              <w:bottom w:val="single" w:sz="8" w:space="0" w:color="E1E1E3"/>
              <w:right w:val="single" w:sz="8" w:space="0" w:color="E1E1E3"/>
            </w:tcBorders>
            <w:vAlign w:val="center"/>
            <w:hideMark/>
          </w:tcPr>
          <w:p w14:paraId="412B144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3,584.7</w:t>
            </w:r>
          </w:p>
        </w:tc>
        <w:tc>
          <w:tcPr>
            <w:tcW w:w="960" w:type="dxa"/>
            <w:tcBorders>
              <w:top w:val="nil"/>
              <w:left w:val="nil"/>
              <w:bottom w:val="single" w:sz="8" w:space="0" w:color="E1E1E3"/>
              <w:right w:val="single" w:sz="8" w:space="0" w:color="E1E1E3"/>
            </w:tcBorders>
            <w:vAlign w:val="center"/>
            <w:hideMark/>
          </w:tcPr>
          <w:p w14:paraId="2CB65A6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3,755.4</w:t>
            </w:r>
          </w:p>
        </w:tc>
        <w:tc>
          <w:tcPr>
            <w:tcW w:w="960" w:type="dxa"/>
            <w:tcBorders>
              <w:top w:val="nil"/>
              <w:left w:val="nil"/>
              <w:bottom w:val="single" w:sz="8" w:space="0" w:color="E1E1E3"/>
              <w:right w:val="single" w:sz="8" w:space="0" w:color="E1E1E3"/>
            </w:tcBorders>
            <w:vAlign w:val="center"/>
            <w:hideMark/>
          </w:tcPr>
          <w:p w14:paraId="6AB74DD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3,994.6</w:t>
            </w:r>
          </w:p>
        </w:tc>
        <w:tc>
          <w:tcPr>
            <w:tcW w:w="960" w:type="dxa"/>
            <w:tcBorders>
              <w:top w:val="nil"/>
              <w:left w:val="nil"/>
              <w:bottom w:val="single" w:sz="8" w:space="0" w:color="E1E1E3"/>
              <w:right w:val="single" w:sz="8" w:space="0" w:color="E1E1E3"/>
            </w:tcBorders>
            <w:vAlign w:val="center"/>
            <w:hideMark/>
          </w:tcPr>
          <w:p w14:paraId="1531962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528A7585"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41F2F357"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206E1637"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3A570C0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38745BE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30.8%</w:t>
            </w:r>
          </w:p>
        </w:tc>
        <w:tc>
          <w:tcPr>
            <w:tcW w:w="960" w:type="dxa"/>
            <w:tcBorders>
              <w:top w:val="nil"/>
              <w:left w:val="nil"/>
              <w:bottom w:val="single" w:sz="8" w:space="0" w:color="E1E1E3"/>
              <w:right w:val="single" w:sz="8" w:space="0" w:color="E1E1E3"/>
            </w:tcBorders>
            <w:vAlign w:val="center"/>
            <w:hideMark/>
          </w:tcPr>
          <w:p w14:paraId="62F6891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30.2%</w:t>
            </w:r>
          </w:p>
        </w:tc>
        <w:tc>
          <w:tcPr>
            <w:tcW w:w="960" w:type="dxa"/>
            <w:tcBorders>
              <w:top w:val="nil"/>
              <w:left w:val="nil"/>
              <w:bottom w:val="single" w:sz="8" w:space="0" w:color="E1E1E3"/>
              <w:right w:val="single" w:sz="8" w:space="0" w:color="E1E1E3"/>
            </w:tcBorders>
            <w:vAlign w:val="center"/>
            <w:hideMark/>
          </w:tcPr>
          <w:p w14:paraId="26F5AE2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29.1%</w:t>
            </w:r>
          </w:p>
        </w:tc>
        <w:tc>
          <w:tcPr>
            <w:tcW w:w="960" w:type="dxa"/>
            <w:tcBorders>
              <w:top w:val="nil"/>
              <w:left w:val="nil"/>
              <w:bottom w:val="single" w:sz="8" w:space="0" w:color="E1E1E3"/>
              <w:right w:val="single" w:sz="8" w:space="0" w:color="E1E1E3"/>
            </w:tcBorders>
            <w:vAlign w:val="center"/>
            <w:hideMark/>
          </w:tcPr>
          <w:p w14:paraId="3A2667C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28.6%</w:t>
            </w:r>
          </w:p>
        </w:tc>
        <w:tc>
          <w:tcPr>
            <w:tcW w:w="960" w:type="dxa"/>
            <w:tcBorders>
              <w:top w:val="nil"/>
              <w:left w:val="nil"/>
              <w:bottom w:val="single" w:sz="8" w:space="0" w:color="E1E1E3"/>
              <w:right w:val="single" w:sz="8" w:space="0" w:color="E1E1E3"/>
            </w:tcBorders>
            <w:vAlign w:val="center"/>
            <w:hideMark/>
          </w:tcPr>
          <w:p w14:paraId="6E6923A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0063FF56"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24CB48DC"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25B6D5B9"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2026թ. Պետական բյուջե</w:t>
            </w:r>
          </w:p>
        </w:tc>
        <w:tc>
          <w:tcPr>
            <w:tcW w:w="960" w:type="dxa"/>
            <w:tcBorders>
              <w:top w:val="nil"/>
              <w:left w:val="nil"/>
              <w:bottom w:val="single" w:sz="8" w:space="0" w:color="E1E1E3"/>
              <w:right w:val="single" w:sz="8" w:space="0" w:color="E1E1E3"/>
            </w:tcBorders>
            <w:vAlign w:val="center"/>
            <w:hideMark/>
          </w:tcPr>
          <w:p w14:paraId="7231DDB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7E13A89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3,432.6</w:t>
            </w:r>
          </w:p>
        </w:tc>
        <w:tc>
          <w:tcPr>
            <w:tcW w:w="960" w:type="dxa"/>
            <w:tcBorders>
              <w:top w:val="nil"/>
              <w:left w:val="nil"/>
              <w:bottom w:val="single" w:sz="8" w:space="0" w:color="E1E1E3"/>
              <w:right w:val="single" w:sz="8" w:space="0" w:color="E1E1E3"/>
            </w:tcBorders>
            <w:vAlign w:val="center"/>
            <w:hideMark/>
          </w:tcPr>
          <w:p w14:paraId="5336C2E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3,627.6</w:t>
            </w:r>
          </w:p>
        </w:tc>
        <w:tc>
          <w:tcPr>
            <w:tcW w:w="960" w:type="dxa"/>
            <w:tcBorders>
              <w:top w:val="nil"/>
              <w:left w:val="nil"/>
              <w:bottom w:val="single" w:sz="8" w:space="0" w:color="E1E1E3"/>
              <w:right w:val="single" w:sz="8" w:space="0" w:color="E1E1E3"/>
            </w:tcBorders>
            <w:vAlign w:val="center"/>
            <w:hideMark/>
          </w:tcPr>
          <w:p w14:paraId="76DF037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3,801.0</w:t>
            </w:r>
          </w:p>
        </w:tc>
        <w:tc>
          <w:tcPr>
            <w:tcW w:w="960" w:type="dxa"/>
            <w:tcBorders>
              <w:top w:val="nil"/>
              <w:left w:val="nil"/>
              <w:bottom w:val="single" w:sz="8" w:space="0" w:color="E1E1E3"/>
              <w:right w:val="single" w:sz="8" w:space="0" w:color="E1E1E3"/>
            </w:tcBorders>
            <w:vAlign w:val="center"/>
            <w:hideMark/>
          </w:tcPr>
          <w:p w14:paraId="64958C6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4,030.6</w:t>
            </w:r>
          </w:p>
        </w:tc>
        <w:tc>
          <w:tcPr>
            <w:tcW w:w="960" w:type="dxa"/>
            <w:tcBorders>
              <w:top w:val="nil"/>
              <w:left w:val="nil"/>
              <w:bottom w:val="single" w:sz="8" w:space="0" w:color="E1E1E3"/>
              <w:right w:val="single" w:sz="8" w:space="0" w:color="E1E1E3"/>
            </w:tcBorders>
            <w:vAlign w:val="center"/>
            <w:hideMark/>
          </w:tcPr>
          <w:p w14:paraId="58383C0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3416691F"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17474675"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2466C389"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1568162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5258DE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31.2%</w:t>
            </w:r>
          </w:p>
        </w:tc>
        <w:tc>
          <w:tcPr>
            <w:tcW w:w="960" w:type="dxa"/>
            <w:tcBorders>
              <w:top w:val="nil"/>
              <w:left w:val="nil"/>
              <w:bottom w:val="single" w:sz="8" w:space="0" w:color="E1E1E3"/>
              <w:right w:val="single" w:sz="8" w:space="0" w:color="E1E1E3"/>
            </w:tcBorders>
            <w:vAlign w:val="center"/>
            <w:hideMark/>
          </w:tcPr>
          <w:p w14:paraId="1CC1032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30.4%</w:t>
            </w:r>
          </w:p>
        </w:tc>
        <w:tc>
          <w:tcPr>
            <w:tcW w:w="960" w:type="dxa"/>
            <w:tcBorders>
              <w:top w:val="nil"/>
              <w:left w:val="nil"/>
              <w:bottom w:val="single" w:sz="8" w:space="0" w:color="E1E1E3"/>
              <w:right w:val="single" w:sz="8" w:space="0" w:color="E1E1E3"/>
            </w:tcBorders>
            <w:vAlign w:val="center"/>
            <w:hideMark/>
          </w:tcPr>
          <w:p w14:paraId="33A29FC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29.3%</w:t>
            </w:r>
          </w:p>
        </w:tc>
        <w:tc>
          <w:tcPr>
            <w:tcW w:w="960" w:type="dxa"/>
            <w:tcBorders>
              <w:top w:val="nil"/>
              <w:left w:val="nil"/>
              <w:bottom w:val="single" w:sz="8" w:space="0" w:color="E1E1E3"/>
              <w:right w:val="single" w:sz="8" w:space="0" w:color="E1E1E3"/>
            </w:tcBorders>
            <w:vAlign w:val="center"/>
            <w:hideMark/>
          </w:tcPr>
          <w:p w14:paraId="00D92A8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28.7%</w:t>
            </w:r>
          </w:p>
        </w:tc>
        <w:tc>
          <w:tcPr>
            <w:tcW w:w="960" w:type="dxa"/>
            <w:tcBorders>
              <w:top w:val="nil"/>
              <w:left w:val="nil"/>
              <w:bottom w:val="single" w:sz="8" w:space="0" w:color="E1E1E3"/>
              <w:right w:val="single" w:sz="8" w:space="0" w:color="E1E1E3"/>
            </w:tcBorders>
            <w:vAlign w:val="center"/>
            <w:hideMark/>
          </w:tcPr>
          <w:p w14:paraId="2641599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187A61A5" w14:textId="77777777" w:rsidTr="00873AE6">
        <w:trPr>
          <w:trHeight w:val="315"/>
        </w:trPr>
        <w:tc>
          <w:tcPr>
            <w:tcW w:w="1540" w:type="dxa"/>
            <w:vMerge w:val="restart"/>
            <w:tcBorders>
              <w:top w:val="nil"/>
              <w:left w:val="single" w:sz="8" w:space="0" w:color="E1E1E3"/>
              <w:bottom w:val="single" w:sz="8" w:space="0" w:color="E1E1E3"/>
              <w:right w:val="single" w:sz="8" w:space="0" w:color="E1E1E3"/>
            </w:tcBorders>
            <w:vAlign w:val="center"/>
            <w:hideMark/>
          </w:tcPr>
          <w:p w14:paraId="5ACB8DE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2026</w:t>
            </w:r>
          </w:p>
        </w:tc>
        <w:tc>
          <w:tcPr>
            <w:tcW w:w="3180" w:type="dxa"/>
            <w:tcBorders>
              <w:top w:val="nil"/>
              <w:left w:val="nil"/>
              <w:bottom w:val="single" w:sz="8" w:space="0" w:color="E1E1E3"/>
              <w:right w:val="single" w:sz="8" w:space="0" w:color="E1E1E3"/>
            </w:tcBorders>
            <w:vAlign w:val="center"/>
            <w:hideMark/>
          </w:tcPr>
          <w:p w14:paraId="4E0F0176"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lang w:val="ru-RU"/>
              </w:rPr>
              <w:t xml:space="preserve"> ՄԺԾԾ 2027-2029</w:t>
            </w:r>
          </w:p>
        </w:tc>
        <w:tc>
          <w:tcPr>
            <w:tcW w:w="960" w:type="dxa"/>
            <w:tcBorders>
              <w:top w:val="nil"/>
              <w:left w:val="nil"/>
              <w:bottom w:val="single" w:sz="8" w:space="0" w:color="E1E1E3"/>
              <w:right w:val="single" w:sz="8" w:space="0" w:color="E1E1E3"/>
            </w:tcBorders>
            <w:vAlign w:val="center"/>
            <w:hideMark/>
          </w:tcPr>
          <w:p w14:paraId="30B7F2A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BE56C0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4B6F181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3,636.0</w:t>
            </w:r>
          </w:p>
        </w:tc>
        <w:tc>
          <w:tcPr>
            <w:tcW w:w="960" w:type="dxa"/>
            <w:tcBorders>
              <w:top w:val="nil"/>
              <w:left w:val="nil"/>
              <w:bottom w:val="single" w:sz="8" w:space="0" w:color="E1E1E3"/>
              <w:right w:val="single" w:sz="8" w:space="0" w:color="E1E1E3"/>
            </w:tcBorders>
            <w:vAlign w:val="center"/>
            <w:hideMark/>
          </w:tcPr>
          <w:p w14:paraId="7FFB533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3,917.1</w:t>
            </w:r>
          </w:p>
        </w:tc>
        <w:tc>
          <w:tcPr>
            <w:tcW w:w="960" w:type="dxa"/>
            <w:tcBorders>
              <w:top w:val="nil"/>
              <w:left w:val="nil"/>
              <w:bottom w:val="single" w:sz="8" w:space="0" w:color="E1E1E3"/>
              <w:right w:val="single" w:sz="8" w:space="0" w:color="E1E1E3"/>
            </w:tcBorders>
            <w:vAlign w:val="center"/>
            <w:hideMark/>
          </w:tcPr>
          <w:p w14:paraId="67B4354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4,201.0</w:t>
            </w:r>
          </w:p>
        </w:tc>
        <w:tc>
          <w:tcPr>
            <w:tcW w:w="960" w:type="dxa"/>
            <w:tcBorders>
              <w:top w:val="nil"/>
              <w:left w:val="nil"/>
              <w:bottom w:val="single" w:sz="8" w:space="0" w:color="E1E1E3"/>
              <w:right w:val="single" w:sz="8" w:space="0" w:color="E1E1E3"/>
            </w:tcBorders>
            <w:vAlign w:val="center"/>
            <w:hideMark/>
          </w:tcPr>
          <w:p w14:paraId="076DC06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4,461.0</w:t>
            </w:r>
          </w:p>
        </w:tc>
      </w:tr>
      <w:tr w:rsidR="00082769" w:rsidRPr="008B63B1" w14:paraId="29C38951"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2A00BBF4"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9373E47"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575D244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B46773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958394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29.5%</w:t>
            </w:r>
          </w:p>
        </w:tc>
        <w:tc>
          <w:tcPr>
            <w:tcW w:w="960" w:type="dxa"/>
            <w:tcBorders>
              <w:top w:val="nil"/>
              <w:left w:val="nil"/>
              <w:bottom w:val="single" w:sz="8" w:space="0" w:color="E1E1E3"/>
              <w:right w:val="single" w:sz="8" w:space="0" w:color="E1E1E3"/>
            </w:tcBorders>
            <w:vAlign w:val="center"/>
            <w:hideMark/>
          </w:tcPr>
          <w:p w14:paraId="5899E00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29.2%</w:t>
            </w:r>
          </w:p>
        </w:tc>
        <w:tc>
          <w:tcPr>
            <w:tcW w:w="960" w:type="dxa"/>
            <w:tcBorders>
              <w:top w:val="nil"/>
              <w:left w:val="nil"/>
              <w:bottom w:val="single" w:sz="8" w:space="0" w:color="E1E1E3"/>
              <w:right w:val="single" w:sz="8" w:space="0" w:color="E1E1E3"/>
            </w:tcBorders>
            <w:vAlign w:val="center"/>
            <w:hideMark/>
          </w:tcPr>
          <w:p w14:paraId="2235910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28.8%</w:t>
            </w:r>
          </w:p>
        </w:tc>
        <w:tc>
          <w:tcPr>
            <w:tcW w:w="960" w:type="dxa"/>
            <w:tcBorders>
              <w:top w:val="nil"/>
              <w:left w:val="nil"/>
              <w:bottom w:val="single" w:sz="8" w:space="0" w:color="E1E1E3"/>
              <w:right w:val="single" w:sz="8" w:space="0" w:color="E1E1E3"/>
            </w:tcBorders>
            <w:vAlign w:val="center"/>
            <w:hideMark/>
          </w:tcPr>
          <w:p w14:paraId="7C0A148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28.0%</w:t>
            </w:r>
          </w:p>
        </w:tc>
      </w:tr>
      <w:tr w:rsidR="00082769" w:rsidRPr="008B63B1" w14:paraId="122ED617"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4D77BA7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53989D4"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2027թ. Պետական բյուջե</w:t>
            </w:r>
          </w:p>
        </w:tc>
        <w:tc>
          <w:tcPr>
            <w:tcW w:w="960" w:type="dxa"/>
            <w:tcBorders>
              <w:top w:val="nil"/>
              <w:left w:val="nil"/>
              <w:bottom w:val="single" w:sz="8" w:space="0" w:color="E1E1E3"/>
              <w:right w:val="single" w:sz="8" w:space="0" w:color="E1E1E3"/>
            </w:tcBorders>
            <w:vAlign w:val="center"/>
            <w:hideMark/>
          </w:tcPr>
          <w:p w14:paraId="0B6943A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605491D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276BC5D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3,724.9</w:t>
            </w:r>
          </w:p>
        </w:tc>
        <w:tc>
          <w:tcPr>
            <w:tcW w:w="960" w:type="dxa"/>
            <w:tcBorders>
              <w:top w:val="nil"/>
              <w:left w:val="nil"/>
              <w:bottom w:val="single" w:sz="8" w:space="0" w:color="E1E1E3"/>
              <w:right w:val="single" w:sz="8" w:space="0" w:color="E1E1E3"/>
            </w:tcBorders>
            <w:vAlign w:val="center"/>
            <w:hideMark/>
          </w:tcPr>
          <w:p w14:paraId="6C918FA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4,072.0</w:t>
            </w:r>
          </w:p>
        </w:tc>
        <w:tc>
          <w:tcPr>
            <w:tcW w:w="960" w:type="dxa"/>
            <w:tcBorders>
              <w:top w:val="nil"/>
              <w:left w:val="nil"/>
              <w:bottom w:val="single" w:sz="8" w:space="0" w:color="E1E1E3"/>
              <w:right w:val="single" w:sz="8" w:space="0" w:color="E1E1E3"/>
            </w:tcBorders>
            <w:vAlign w:val="center"/>
            <w:hideMark/>
          </w:tcPr>
          <w:p w14:paraId="274230D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4,364.3</w:t>
            </w:r>
          </w:p>
        </w:tc>
        <w:tc>
          <w:tcPr>
            <w:tcW w:w="960" w:type="dxa"/>
            <w:tcBorders>
              <w:top w:val="nil"/>
              <w:left w:val="nil"/>
              <w:bottom w:val="single" w:sz="8" w:space="0" w:color="E1E1E3"/>
              <w:right w:val="single" w:sz="8" w:space="0" w:color="E1E1E3"/>
            </w:tcBorders>
            <w:vAlign w:val="center"/>
            <w:hideMark/>
          </w:tcPr>
          <w:p w14:paraId="3157D90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4,602.7</w:t>
            </w:r>
          </w:p>
        </w:tc>
      </w:tr>
      <w:tr w:rsidR="00082769" w:rsidRPr="008B63B1" w14:paraId="1CDFA141"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29D7E854"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5AF8AC4A"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10F6818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BD4E2E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1127CB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29.9%</w:t>
            </w:r>
          </w:p>
        </w:tc>
        <w:tc>
          <w:tcPr>
            <w:tcW w:w="960" w:type="dxa"/>
            <w:tcBorders>
              <w:top w:val="nil"/>
              <w:left w:val="nil"/>
              <w:bottom w:val="single" w:sz="8" w:space="0" w:color="E1E1E3"/>
              <w:right w:val="single" w:sz="8" w:space="0" w:color="E1E1E3"/>
            </w:tcBorders>
            <w:vAlign w:val="center"/>
            <w:hideMark/>
          </w:tcPr>
          <w:p w14:paraId="0D47FB9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29.9%</w:t>
            </w:r>
          </w:p>
        </w:tc>
        <w:tc>
          <w:tcPr>
            <w:tcW w:w="960" w:type="dxa"/>
            <w:tcBorders>
              <w:top w:val="nil"/>
              <w:left w:val="nil"/>
              <w:bottom w:val="single" w:sz="8" w:space="0" w:color="E1E1E3"/>
              <w:right w:val="single" w:sz="8" w:space="0" w:color="E1E1E3"/>
            </w:tcBorders>
            <w:vAlign w:val="center"/>
            <w:hideMark/>
          </w:tcPr>
          <w:p w14:paraId="1D8B615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29.3%</w:t>
            </w:r>
          </w:p>
        </w:tc>
        <w:tc>
          <w:tcPr>
            <w:tcW w:w="960" w:type="dxa"/>
            <w:tcBorders>
              <w:top w:val="nil"/>
              <w:left w:val="nil"/>
              <w:bottom w:val="single" w:sz="8" w:space="0" w:color="E1E1E3"/>
              <w:right w:val="single" w:sz="8" w:space="0" w:color="E1E1E3"/>
            </w:tcBorders>
            <w:vAlign w:val="center"/>
            <w:hideMark/>
          </w:tcPr>
          <w:p w14:paraId="0721204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28.4%</w:t>
            </w:r>
          </w:p>
        </w:tc>
      </w:tr>
    </w:tbl>
    <w:p w14:paraId="4F8F6178" w14:textId="77777777" w:rsidR="00082769" w:rsidRDefault="00082769" w:rsidP="00082769">
      <w:pPr>
        <w:ind w:hanging="11"/>
        <w:jc w:val="both"/>
        <w:rPr>
          <w:rFonts w:ascii="GHEA Grapalat" w:eastAsia="Times New Roman" w:hAnsi="GHEA Grapalat" w:cs="Times New Roman"/>
          <w:bCs/>
          <w:color w:val="404040"/>
          <w:szCs w:val="20"/>
        </w:rPr>
      </w:pPr>
    </w:p>
    <w:p w14:paraId="4A39F834" w14:textId="60FFC758" w:rsidR="00082769" w:rsidRPr="001D56CB" w:rsidRDefault="00082769" w:rsidP="001D56CB">
      <w:pPr>
        <w:pStyle w:val="Charts"/>
        <w:ind w:right="-22"/>
        <w:rPr>
          <w:b w:val="0"/>
          <w:bCs/>
          <w:color w:val="auto"/>
          <w:sz w:val="20"/>
          <w:szCs w:val="18"/>
        </w:rPr>
      </w:pPr>
      <w:r w:rsidRPr="001D56CB">
        <w:rPr>
          <w:b w:val="0"/>
          <w:bCs/>
          <w:color w:val="auto"/>
          <w:sz w:val="20"/>
          <w:szCs w:val="18"/>
        </w:rPr>
        <w:t>Աղյուսակ 2.7. Պետական բյուջեի ընթացիկ ծախսերի կանխատեսումների համեմատական աղյուսակը, մլրդ ՀՀ դրամ</w:t>
      </w:r>
    </w:p>
    <w:p w14:paraId="2CF3C892" w14:textId="77777777" w:rsidR="00082769" w:rsidRPr="008B63B1" w:rsidRDefault="00082769" w:rsidP="00082769">
      <w:pPr>
        <w:spacing w:line="240" w:lineRule="auto"/>
        <w:ind w:hanging="11"/>
        <w:rPr>
          <w:rFonts w:ascii="GHEA Grapalat" w:eastAsia="Times New Roman" w:hAnsi="GHEA Grapalat" w:cs="Times New Roman"/>
          <w:b/>
          <w:color w:val="404040"/>
          <w:lang w:val="hy-AM"/>
        </w:rPr>
      </w:pPr>
    </w:p>
    <w:tbl>
      <w:tblPr>
        <w:tblW w:w="10480" w:type="dxa"/>
        <w:tblInd w:w="-10" w:type="dxa"/>
        <w:tblLook w:val="04A0" w:firstRow="1" w:lastRow="0" w:firstColumn="1" w:lastColumn="0" w:noHBand="0" w:noVBand="1"/>
      </w:tblPr>
      <w:tblGrid>
        <w:gridCol w:w="1540"/>
        <w:gridCol w:w="3180"/>
        <w:gridCol w:w="960"/>
        <w:gridCol w:w="960"/>
        <w:gridCol w:w="960"/>
        <w:gridCol w:w="960"/>
        <w:gridCol w:w="960"/>
        <w:gridCol w:w="960"/>
      </w:tblGrid>
      <w:tr w:rsidR="00082769" w:rsidRPr="008B63B1" w14:paraId="3E554890" w14:textId="77777777" w:rsidTr="00873AE6">
        <w:trPr>
          <w:trHeight w:val="555"/>
        </w:trPr>
        <w:tc>
          <w:tcPr>
            <w:tcW w:w="1540" w:type="dxa"/>
            <w:tcBorders>
              <w:top w:val="single" w:sz="8" w:space="0" w:color="E1E1E3"/>
              <w:left w:val="single" w:sz="8" w:space="0" w:color="E1E1E3"/>
              <w:bottom w:val="single" w:sz="8" w:space="0" w:color="E1E1E3"/>
              <w:right w:val="single" w:sz="8" w:space="0" w:color="E1E1E3"/>
            </w:tcBorders>
            <w:shd w:val="clear" w:color="000000" w:fill="D5DCE4"/>
            <w:vAlign w:val="center"/>
            <w:hideMark/>
          </w:tcPr>
          <w:p w14:paraId="1F624F2D"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Ընդունման տարին</w:t>
            </w:r>
          </w:p>
        </w:tc>
        <w:tc>
          <w:tcPr>
            <w:tcW w:w="3180" w:type="dxa"/>
            <w:tcBorders>
              <w:top w:val="single" w:sz="8" w:space="0" w:color="E1E1E3"/>
              <w:left w:val="nil"/>
              <w:bottom w:val="single" w:sz="8" w:space="0" w:color="E1E1E3"/>
              <w:right w:val="single" w:sz="8" w:space="0" w:color="E1E1E3"/>
            </w:tcBorders>
            <w:shd w:val="clear" w:color="000000" w:fill="D5DCE4"/>
            <w:noWrap/>
            <w:vAlign w:val="center"/>
            <w:hideMark/>
          </w:tcPr>
          <w:p w14:paraId="1984256D" w14:textId="77777777" w:rsidR="00082769" w:rsidRPr="008B63B1" w:rsidRDefault="00082769" w:rsidP="00082769">
            <w:pPr>
              <w:spacing w:after="0" w:line="240" w:lineRule="auto"/>
              <w:ind w:hanging="11"/>
              <w:jc w:val="both"/>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Ծրագիր</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7D9C8349"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2024</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78658CAA"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2025</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6AD24D6A"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2026</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20F0DEDC"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2027</w:t>
            </w:r>
          </w:p>
        </w:tc>
        <w:tc>
          <w:tcPr>
            <w:tcW w:w="960" w:type="dxa"/>
            <w:tcBorders>
              <w:top w:val="single" w:sz="8" w:space="0" w:color="E1E1E3"/>
              <w:left w:val="nil"/>
              <w:bottom w:val="single" w:sz="8" w:space="0" w:color="E1E1E3"/>
              <w:right w:val="single" w:sz="8" w:space="0" w:color="E1E1E3"/>
            </w:tcBorders>
            <w:shd w:val="clear" w:color="000000" w:fill="D5DCE4"/>
            <w:vAlign w:val="center"/>
            <w:hideMark/>
          </w:tcPr>
          <w:p w14:paraId="53A2616E"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2028</w:t>
            </w:r>
          </w:p>
        </w:tc>
        <w:tc>
          <w:tcPr>
            <w:tcW w:w="960" w:type="dxa"/>
            <w:tcBorders>
              <w:top w:val="single" w:sz="8" w:space="0" w:color="E1E1E3"/>
              <w:left w:val="nil"/>
              <w:bottom w:val="single" w:sz="8" w:space="0" w:color="E1E1E3"/>
              <w:right w:val="single" w:sz="8" w:space="0" w:color="E1E1E3"/>
            </w:tcBorders>
            <w:shd w:val="clear" w:color="000000" w:fill="D5DCE4"/>
            <w:vAlign w:val="center"/>
            <w:hideMark/>
          </w:tcPr>
          <w:p w14:paraId="1780AC0E"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2029</w:t>
            </w:r>
          </w:p>
        </w:tc>
      </w:tr>
      <w:tr w:rsidR="00082769" w:rsidRPr="008B63B1" w14:paraId="5B0842FD"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68CD8DF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w:t>
            </w:r>
          </w:p>
        </w:tc>
        <w:tc>
          <w:tcPr>
            <w:tcW w:w="3180" w:type="dxa"/>
            <w:tcBorders>
              <w:top w:val="nil"/>
              <w:left w:val="nil"/>
              <w:bottom w:val="single" w:sz="8" w:space="0" w:color="E1E1E3"/>
              <w:right w:val="single" w:sz="8" w:space="0" w:color="E1E1E3"/>
            </w:tcBorders>
            <w:noWrap/>
            <w:vAlign w:val="center"/>
            <w:hideMark/>
          </w:tcPr>
          <w:p w14:paraId="30CCD5F0"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Փաստացի</w:t>
            </w:r>
          </w:p>
        </w:tc>
        <w:tc>
          <w:tcPr>
            <w:tcW w:w="960" w:type="dxa"/>
            <w:tcBorders>
              <w:top w:val="nil"/>
              <w:left w:val="nil"/>
              <w:bottom w:val="single" w:sz="8" w:space="0" w:color="E1E1E3"/>
              <w:right w:val="single" w:sz="8" w:space="0" w:color="E1E1E3"/>
            </w:tcBorders>
            <w:noWrap/>
            <w:vAlign w:val="center"/>
            <w:hideMark/>
          </w:tcPr>
          <w:p w14:paraId="3D38266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2,413.6</w:t>
            </w:r>
          </w:p>
        </w:tc>
        <w:tc>
          <w:tcPr>
            <w:tcW w:w="960" w:type="dxa"/>
            <w:tcBorders>
              <w:top w:val="nil"/>
              <w:left w:val="nil"/>
              <w:bottom w:val="single" w:sz="8" w:space="0" w:color="E1E1E3"/>
              <w:right w:val="single" w:sz="8" w:space="0" w:color="E1E1E3"/>
            </w:tcBorders>
            <w:noWrap/>
            <w:vAlign w:val="center"/>
            <w:hideMark/>
          </w:tcPr>
          <w:p w14:paraId="2E267C4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2,612.6</w:t>
            </w:r>
          </w:p>
        </w:tc>
        <w:tc>
          <w:tcPr>
            <w:tcW w:w="960" w:type="dxa"/>
            <w:tcBorders>
              <w:top w:val="nil"/>
              <w:left w:val="nil"/>
              <w:bottom w:val="single" w:sz="8" w:space="0" w:color="E1E1E3"/>
              <w:right w:val="single" w:sz="8" w:space="0" w:color="E1E1E3"/>
            </w:tcBorders>
            <w:noWrap/>
            <w:vAlign w:val="center"/>
            <w:hideMark/>
          </w:tcPr>
          <w:p w14:paraId="1579E252"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FEC1E4E"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053913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40F6E6F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1A159483"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66FEBDE6"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55C8002A"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noWrap/>
            <w:vAlign w:val="center"/>
            <w:hideMark/>
          </w:tcPr>
          <w:p w14:paraId="74BB1C6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23.5%</w:t>
            </w:r>
          </w:p>
        </w:tc>
        <w:tc>
          <w:tcPr>
            <w:tcW w:w="960" w:type="dxa"/>
            <w:tcBorders>
              <w:top w:val="nil"/>
              <w:left w:val="nil"/>
              <w:bottom w:val="single" w:sz="8" w:space="0" w:color="E1E1E3"/>
              <w:right w:val="single" w:sz="8" w:space="0" w:color="E1E1E3"/>
            </w:tcBorders>
            <w:noWrap/>
            <w:vAlign w:val="center"/>
            <w:hideMark/>
          </w:tcPr>
          <w:p w14:paraId="493D90C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23.0%</w:t>
            </w:r>
          </w:p>
        </w:tc>
        <w:tc>
          <w:tcPr>
            <w:tcW w:w="960" w:type="dxa"/>
            <w:tcBorders>
              <w:top w:val="nil"/>
              <w:left w:val="nil"/>
              <w:bottom w:val="single" w:sz="8" w:space="0" w:color="E1E1E3"/>
              <w:right w:val="single" w:sz="8" w:space="0" w:color="E1E1E3"/>
            </w:tcBorders>
            <w:noWrap/>
            <w:vAlign w:val="center"/>
            <w:hideMark/>
          </w:tcPr>
          <w:p w14:paraId="59E7275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3DCE550"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C55E41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61BF86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3CEA5715"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48EF1A30"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2022</w:t>
            </w:r>
          </w:p>
        </w:tc>
        <w:tc>
          <w:tcPr>
            <w:tcW w:w="3180" w:type="dxa"/>
            <w:tcBorders>
              <w:top w:val="nil"/>
              <w:left w:val="nil"/>
              <w:bottom w:val="single" w:sz="8" w:space="0" w:color="E1E1E3"/>
              <w:right w:val="single" w:sz="8" w:space="0" w:color="E1E1E3"/>
            </w:tcBorders>
            <w:noWrap/>
            <w:vAlign w:val="center"/>
            <w:hideMark/>
          </w:tcPr>
          <w:p w14:paraId="17CC90E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2023-2025</w:t>
            </w:r>
          </w:p>
        </w:tc>
        <w:tc>
          <w:tcPr>
            <w:tcW w:w="960" w:type="dxa"/>
            <w:tcBorders>
              <w:top w:val="nil"/>
              <w:left w:val="nil"/>
              <w:bottom w:val="single" w:sz="8" w:space="0" w:color="E1E1E3"/>
              <w:right w:val="single" w:sz="8" w:space="0" w:color="E1E1E3"/>
            </w:tcBorders>
            <w:vAlign w:val="center"/>
            <w:hideMark/>
          </w:tcPr>
          <w:p w14:paraId="1DDFFC9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2,293.2</w:t>
            </w:r>
          </w:p>
        </w:tc>
        <w:tc>
          <w:tcPr>
            <w:tcW w:w="960" w:type="dxa"/>
            <w:tcBorders>
              <w:top w:val="nil"/>
              <w:left w:val="nil"/>
              <w:bottom w:val="single" w:sz="8" w:space="0" w:color="E1E1E3"/>
              <w:right w:val="single" w:sz="8" w:space="0" w:color="E1E1E3"/>
            </w:tcBorders>
            <w:vAlign w:val="center"/>
            <w:hideMark/>
          </w:tcPr>
          <w:p w14:paraId="34E9B3F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2,512.2</w:t>
            </w:r>
          </w:p>
        </w:tc>
        <w:tc>
          <w:tcPr>
            <w:tcW w:w="960" w:type="dxa"/>
            <w:tcBorders>
              <w:top w:val="nil"/>
              <w:left w:val="nil"/>
              <w:bottom w:val="single" w:sz="8" w:space="0" w:color="E1E1E3"/>
              <w:right w:val="single" w:sz="8" w:space="0" w:color="E1E1E3"/>
            </w:tcBorders>
            <w:noWrap/>
            <w:vAlign w:val="center"/>
            <w:hideMark/>
          </w:tcPr>
          <w:p w14:paraId="04AA3B1E"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1AA9158"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7968D3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45B49CA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3B402FCB"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051BA51D"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1099ECE8"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7C22299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22.7%</w:t>
            </w:r>
          </w:p>
        </w:tc>
        <w:tc>
          <w:tcPr>
            <w:tcW w:w="960" w:type="dxa"/>
            <w:tcBorders>
              <w:top w:val="nil"/>
              <w:left w:val="nil"/>
              <w:bottom w:val="single" w:sz="8" w:space="0" w:color="E1E1E3"/>
              <w:right w:val="single" w:sz="8" w:space="0" w:color="E1E1E3"/>
            </w:tcBorders>
            <w:vAlign w:val="center"/>
            <w:hideMark/>
          </w:tcPr>
          <w:p w14:paraId="45A17CB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22.4%</w:t>
            </w:r>
          </w:p>
        </w:tc>
        <w:tc>
          <w:tcPr>
            <w:tcW w:w="960" w:type="dxa"/>
            <w:tcBorders>
              <w:top w:val="nil"/>
              <w:left w:val="nil"/>
              <w:bottom w:val="single" w:sz="8" w:space="0" w:color="E1E1E3"/>
              <w:right w:val="single" w:sz="8" w:space="0" w:color="E1E1E3"/>
            </w:tcBorders>
            <w:noWrap/>
            <w:vAlign w:val="center"/>
            <w:hideMark/>
          </w:tcPr>
          <w:p w14:paraId="5F3B293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BA8F28D"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B6E07A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67296CC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243BB840"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28765C7C"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5FC6BD70"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2023թ. Պետական բյուջե</w:t>
            </w:r>
          </w:p>
        </w:tc>
        <w:tc>
          <w:tcPr>
            <w:tcW w:w="960" w:type="dxa"/>
            <w:tcBorders>
              <w:top w:val="nil"/>
              <w:left w:val="nil"/>
              <w:bottom w:val="single" w:sz="8" w:space="0" w:color="E1E1E3"/>
              <w:right w:val="single" w:sz="8" w:space="0" w:color="E1E1E3"/>
            </w:tcBorders>
            <w:vAlign w:val="center"/>
            <w:hideMark/>
          </w:tcPr>
          <w:p w14:paraId="665E5AF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CD47113"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0D02BA5A"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CB3B702"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58096E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412ADBB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5A12D046"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22182EA4"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14C216AF"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74ECE787"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F7B0979"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E27424B"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73272131"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F314F0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61B0E37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58430F1E"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1ECD064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2023</w:t>
            </w:r>
          </w:p>
        </w:tc>
        <w:tc>
          <w:tcPr>
            <w:tcW w:w="3180" w:type="dxa"/>
            <w:tcBorders>
              <w:top w:val="nil"/>
              <w:left w:val="nil"/>
              <w:bottom w:val="single" w:sz="8" w:space="0" w:color="E1E1E3"/>
              <w:right w:val="single" w:sz="8" w:space="0" w:color="E1E1E3"/>
            </w:tcBorders>
            <w:noWrap/>
            <w:vAlign w:val="center"/>
            <w:hideMark/>
          </w:tcPr>
          <w:p w14:paraId="3A771E33"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2024-2026</w:t>
            </w:r>
          </w:p>
        </w:tc>
        <w:tc>
          <w:tcPr>
            <w:tcW w:w="960" w:type="dxa"/>
            <w:tcBorders>
              <w:top w:val="nil"/>
              <w:left w:val="nil"/>
              <w:bottom w:val="single" w:sz="8" w:space="0" w:color="E1E1E3"/>
              <w:right w:val="single" w:sz="8" w:space="0" w:color="E1E1E3"/>
            </w:tcBorders>
            <w:vAlign w:val="center"/>
            <w:hideMark/>
          </w:tcPr>
          <w:p w14:paraId="06CE51C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2,308.3</w:t>
            </w:r>
          </w:p>
        </w:tc>
        <w:tc>
          <w:tcPr>
            <w:tcW w:w="960" w:type="dxa"/>
            <w:tcBorders>
              <w:top w:val="nil"/>
              <w:left w:val="nil"/>
              <w:bottom w:val="single" w:sz="8" w:space="0" w:color="E1E1E3"/>
              <w:right w:val="single" w:sz="8" w:space="0" w:color="E1E1E3"/>
            </w:tcBorders>
            <w:vAlign w:val="center"/>
            <w:hideMark/>
          </w:tcPr>
          <w:p w14:paraId="34245BE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2,537.2</w:t>
            </w:r>
          </w:p>
        </w:tc>
        <w:tc>
          <w:tcPr>
            <w:tcW w:w="960" w:type="dxa"/>
            <w:tcBorders>
              <w:top w:val="nil"/>
              <w:left w:val="nil"/>
              <w:bottom w:val="single" w:sz="8" w:space="0" w:color="E1E1E3"/>
              <w:right w:val="single" w:sz="8" w:space="0" w:color="E1E1E3"/>
            </w:tcBorders>
            <w:vAlign w:val="center"/>
            <w:hideMark/>
          </w:tcPr>
          <w:p w14:paraId="71E62BC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2,839.1</w:t>
            </w:r>
          </w:p>
        </w:tc>
        <w:tc>
          <w:tcPr>
            <w:tcW w:w="960" w:type="dxa"/>
            <w:tcBorders>
              <w:top w:val="nil"/>
              <w:left w:val="nil"/>
              <w:bottom w:val="single" w:sz="8" w:space="0" w:color="E1E1E3"/>
              <w:right w:val="single" w:sz="8" w:space="0" w:color="E1E1E3"/>
            </w:tcBorders>
            <w:vAlign w:val="center"/>
            <w:hideMark/>
          </w:tcPr>
          <w:p w14:paraId="262AEF27"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8256DE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2EF7173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3A473CEC"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1FA7E630"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73695AF"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541910A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21.8%</w:t>
            </w:r>
          </w:p>
        </w:tc>
        <w:tc>
          <w:tcPr>
            <w:tcW w:w="960" w:type="dxa"/>
            <w:tcBorders>
              <w:top w:val="nil"/>
              <w:left w:val="nil"/>
              <w:bottom w:val="single" w:sz="8" w:space="0" w:color="E1E1E3"/>
              <w:right w:val="single" w:sz="8" w:space="0" w:color="E1E1E3"/>
            </w:tcBorders>
            <w:vAlign w:val="center"/>
            <w:hideMark/>
          </w:tcPr>
          <w:p w14:paraId="60A175D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21.5%</w:t>
            </w:r>
          </w:p>
        </w:tc>
        <w:tc>
          <w:tcPr>
            <w:tcW w:w="960" w:type="dxa"/>
            <w:tcBorders>
              <w:top w:val="nil"/>
              <w:left w:val="nil"/>
              <w:bottom w:val="single" w:sz="8" w:space="0" w:color="E1E1E3"/>
              <w:right w:val="single" w:sz="8" w:space="0" w:color="E1E1E3"/>
            </w:tcBorders>
            <w:vAlign w:val="center"/>
            <w:hideMark/>
          </w:tcPr>
          <w:p w14:paraId="2D33A84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21.6%</w:t>
            </w:r>
          </w:p>
        </w:tc>
        <w:tc>
          <w:tcPr>
            <w:tcW w:w="960" w:type="dxa"/>
            <w:tcBorders>
              <w:top w:val="nil"/>
              <w:left w:val="nil"/>
              <w:bottom w:val="single" w:sz="8" w:space="0" w:color="E1E1E3"/>
              <w:right w:val="single" w:sz="8" w:space="0" w:color="E1E1E3"/>
            </w:tcBorders>
            <w:vAlign w:val="center"/>
            <w:hideMark/>
          </w:tcPr>
          <w:p w14:paraId="31CAA0F4"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58D743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EB0A8C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4407B0E6"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59F8FBC8"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3FDFFD86"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2024թ. Պետական բյուջե</w:t>
            </w:r>
          </w:p>
        </w:tc>
        <w:tc>
          <w:tcPr>
            <w:tcW w:w="960" w:type="dxa"/>
            <w:tcBorders>
              <w:top w:val="nil"/>
              <w:left w:val="nil"/>
              <w:bottom w:val="single" w:sz="8" w:space="0" w:color="E1E1E3"/>
              <w:right w:val="single" w:sz="8" w:space="0" w:color="E1E1E3"/>
            </w:tcBorders>
            <w:vAlign w:val="center"/>
            <w:hideMark/>
          </w:tcPr>
          <w:p w14:paraId="0F0DDDA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2,450.7</w:t>
            </w:r>
          </w:p>
        </w:tc>
        <w:tc>
          <w:tcPr>
            <w:tcW w:w="960" w:type="dxa"/>
            <w:tcBorders>
              <w:top w:val="nil"/>
              <w:left w:val="nil"/>
              <w:bottom w:val="single" w:sz="8" w:space="0" w:color="E1E1E3"/>
              <w:right w:val="single" w:sz="8" w:space="0" w:color="E1E1E3"/>
            </w:tcBorders>
            <w:vAlign w:val="center"/>
            <w:hideMark/>
          </w:tcPr>
          <w:p w14:paraId="21FD9063"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1798E05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EE309D3"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6FCC18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6999957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3FA817D9"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761A4A02"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6996227D"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3FB607A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23.3%</w:t>
            </w:r>
          </w:p>
        </w:tc>
        <w:tc>
          <w:tcPr>
            <w:tcW w:w="960" w:type="dxa"/>
            <w:tcBorders>
              <w:top w:val="nil"/>
              <w:left w:val="nil"/>
              <w:bottom w:val="single" w:sz="8" w:space="0" w:color="E1E1E3"/>
              <w:right w:val="single" w:sz="8" w:space="0" w:color="E1E1E3"/>
            </w:tcBorders>
            <w:vAlign w:val="center"/>
            <w:hideMark/>
          </w:tcPr>
          <w:p w14:paraId="455151C3"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5BBA7E7B"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C9309F4"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FF1A43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0436A6C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615826B0"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2EA7C29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2024</w:t>
            </w:r>
          </w:p>
        </w:tc>
        <w:tc>
          <w:tcPr>
            <w:tcW w:w="3180" w:type="dxa"/>
            <w:tcBorders>
              <w:top w:val="nil"/>
              <w:left w:val="nil"/>
              <w:bottom w:val="single" w:sz="8" w:space="0" w:color="E1E1E3"/>
              <w:right w:val="single" w:sz="8" w:space="0" w:color="E1E1E3"/>
            </w:tcBorders>
            <w:noWrap/>
            <w:vAlign w:val="center"/>
            <w:hideMark/>
          </w:tcPr>
          <w:p w14:paraId="74E0DDC3"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2025-2027</w:t>
            </w:r>
          </w:p>
        </w:tc>
        <w:tc>
          <w:tcPr>
            <w:tcW w:w="960" w:type="dxa"/>
            <w:tcBorders>
              <w:top w:val="nil"/>
              <w:left w:val="nil"/>
              <w:bottom w:val="single" w:sz="8" w:space="0" w:color="E1E1E3"/>
              <w:right w:val="single" w:sz="8" w:space="0" w:color="E1E1E3"/>
            </w:tcBorders>
            <w:vAlign w:val="center"/>
            <w:hideMark/>
          </w:tcPr>
          <w:p w14:paraId="71A889E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2,451.2</w:t>
            </w:r>
          </w:p>
        </w:tc>
        <w:tc>
          <w:tcPr>
            <w:tcW w:w="960" w:type="dxa"/>
            <w:tcBorders>
              <w:top w:val="nil"/>
              <w:left w:val="nil"/>
              <w:bottom w:val="single" w:sz="8" w:space="0" w:color="E1E1E3"/>
              <w:right w:val="single" w:sz="8" w:space="0" w:color="E1E1E3"/>
            </w:tcBorders>
            <w:vAlign w:val="center"/>
            <w:hideMark/>
          </w:tcPr>
          <w:p w14:paraId="69BF841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2,728.5</w:t>
            </w:r>
          </w:p>
        </w:tc>
        <w:tc>
          <w:tcPr>
            <w:tcW w:w="960" w:type="dxa"/>
            <w:tcBorders>
              <w:top w:val="nil"/>
              <w:left w:val="nil"/>
              <w:bottom w:val="single" w:sz="8" w:space="0" w:color="E1E1E3"/>
              <w:right w:val="single" w:sz="8" w:space="0" w:color="E1E1E3"/>
            </w:tcBorders>
            <w:vAlign w:val="center"/>
            <w:hideMark/>
          </w:tcPr>
          <w:p w14:paraId="733B351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2,938.2</w:t>
            </w:r>
          </w:p>
        </w:tc>
        <w:tc>
          <w:tcPr>
            <w:tcW w:w="960" w:type="dxa"/>
            <w:tcBorders>
              <w:top w:val="nil"/>
              <w:left w:val="nil"/>
              <w:bottom w:val="single" w:sz="8" w:space="0" w:color="E1E1E3"/>
              <w:right w:val="single" w:sz="8" w:space="0" w:color="E1E1E3"/>
            </w:tcBorders>
            <w:vAlign w:val="center"/>
            <w:hideMark/>
          </w:tcPr>
          <w:p w14:paraId="417122F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3,228.1</w:t>
            </w:r>
          </w:p>
        </w:tc>
        <w:tc>
          <w:tcPr>
            <w:tcW w:w="960" w:type="dxa"/>
            <w:tcBorders>
              <w:top w:val="nil"/>
              <w:left w:val="nil"/>
              <w:bottom w:val="single" w:sz="8" w:space="0" w:color="E1E1E3"/>
              <w:right w:val="single" w:sz="8" w:space="0" w:color="E1E1E3"/>
            </w:tcBorders>
            <w:vAlign w:val="center"/>
            <w:hideMark/>
          </w:tcPr>
          <w:p w14:paraId="2C57A67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3999EE4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1E30AF16"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0DD10D8D"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28018502"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5D586CB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24.0%</w:t>
            </w:r>
          </w:p>
        </w:tc>
        <w:tc>
          <w:tcPr>
            <w:tcW w:w="960" w:type="dxa"/>
            <w:tcBorders>
              <w:top w:val="nil"/>
              <w:left w:val="nil"/>
              <w:bottom w:val="single" w:sz="8" w:space="0" w:color="E1E1E3"/>
              <w:right w:val="single" w:sz="8" w:space="0" w:color="E1E1E3"/>
            </w:tcBorders>
            <w:vAlign w:val="center"/>
            <w:hideMark/>
          </w:tcPr>
          <w:p w14:paraId="244EFA1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24.4%</w:t>
            </w:r>
          </w:p>
        </w:tc>
        <w:tc>
          <w:tcPr>
            <w:tcW w:w="960" w:type="dxa"/>
            <w:tcBorders>
              <w:top w:val="nil"/>
              <w:left w:val="nil"/>
              <w:bottom w:val="single" w:sz="8" w:space="0" w:color="E1E1E3"/>
              <w:right w:val="single" w:sz="8" w:space="0" w:color="E1E1E3"/>
            </w:tcBorders>
            <w:vAlign w:val="center"/>
            <w:hideMark/>
          </w:tcPr>
          <w:p w14:paraId="04DD809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23.9%</w:t>
            </w:r>
          </w:p>
        </w:tc>
        <w:tc>
          <w:tcPr>
            <w:tcW w:w="960" w:type="dxa"/>
            <w:tcBorders>
              <w:top w:val="nil"/>
              <w:left w:val="nil"/>
              <w:bottom w:val="single" w:sz="8" w:space="0" w:color="E1E1E3"/>
              <w:right w:val="single" w:sz="8" w:space="0" w:color="E1E1E3"/>
            </w:tcBorders>
            <w:vAlign w:val="center"/>
            <w:hideMark/>
          </w:tcPr>
          <w:p w14:paraId="409A6C0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23.9%</w:t>
            </w:r>
          </w:p>
        </w:tc>
        <w:tc>
          <w:tcPr>
            <w:tcW w:w="960" w:type="dxa"/>
            <w:tcBorders>
              <w:top w:val="nil"/>
              <w:left w:val="nil"/>
              <w:bottom w:val="single" w:sz="8" w:space="0" w:color="E1E1E3"/>
              <w:right w:val="single" w:sz="8" w:space="0" w:color="E1E1E3"/>
            </w:tcBorders>
            <w:vAlign w:val="center"/>
            <w:hideMark/>
          </w:tcPr>
          <w:p w14:paraId="7F2F469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3B33CC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3CC0A9F9"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4CB9A952"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09A18FD3"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2025թ. Պետական բյուջե</w:t>
            </w:r>
          </w:p>
        </w:tc>
        <w:tc>
          <w:tcPr>
            <w:tcW w:w="960" w:type="dxa"/>
            <w:tcBorders>
              <w:top w:val="nil"/>
              <w:left w:val="nil"/>
              <w:bottom w:val="single" w:sz="8" w:space="0" w:color="E1E1E3"/>
              <w:right w:val="single" w:sz="8" w:space="0" w:color="E1E1E3"/>
            </w:tcBorders>
            <w:vAlign w:val="center"/>
            <w:hideMark/>
          </w:tcPr>
          <w:p w14:paraId="16174DB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2,437.2</w:t>
            </w:r>
          </w:p>
        </w:tc>
        <w:tc>
          <w:tcPr>
            <w:tcW w:w="960" w:type="dxa"/>
            <w:tcBorders>
              <w:top w:val="nil"/>
              <w:left w:val="nil"/>
              <w:bottom w:val="single" w:sz="8" w:space="0" w:color="E1E1E3"/>
              <w:right w:val="single" w:sz="8" w:space="0" w:color="E1E1E3"/>
            </w:tcBorders>
            <w:vAlign w:val="center"/>
            <w:hideMark/>
          </w:tcPr>
          <w:p w14:paraId="170E65C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2,706.8</w:t>
            </w:r>
          </w:p>
        </w:tc>
        <w:tc>
          <w:tcPr>
            <w:tcW w:w="960" w:type="dxa"/>
            <w:tcBorders>
              <w:top w:val="nil"/>
              <w:left w:val="nil"/>
              <w:bottom w:val="single" w:sz="8" w:space="0" w:color="E1E1E3"/>
              <w:right w:val="single" w:sz="8" w:space="0" w:color="E1E1E3"/>
            </w:tcBorders>
            <w:vAlign w:val="center"/>
            <w:hideMark/>
          </w:tcPr>
          <w:p w14:paraId="1E63C23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2,807.5</w:t>
            </w:r>
          </w:p>
        </w:tc>
        <w:tc>
          <w:tcPr>
            <w:tcW w:w="960" w:type="dxa"/>
            <w:tcBorders>
              <w:top w:val="nil"/>
              <w:left w:val="nil"/>
              <w:bottom w:val="single" w:sz="8" w:space="0" w:color="E1E1E3"/>
              <w:right w:val="single" w:sz="8" w:space="0" w:color="E1E1E3"/>
            </w:tcBorders>
            <w:vAlign w:val="center"/>
            <w:hideMark/>
          </w:tcPr>
          <w:p w14:paraId="741E648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2,988.1</w:t>
            </w:r>
          </w:p>
        </w:tc>
        <w:tc>
          <w:tcPr>
            <w:tcW w:w="960" w:type="dxa"/>
            <w:tcBorders>
              <w:top w:val="nil"/>
              <w:left w:val="nil"/>
              <w:bottom w:val="single" w:sz="8" w:space="0" w:color="E1E1E3"/>
              <w:right w:val="single" w:sz="8" w:space="0" w:color="E1E1E3"/>
            </w:tcBorders>
            <w:vAlign w:val="center"/>
            <w:hideMark/>
          </w:tcPr>
          <w:p w14:paraId="4D04C51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4B093EF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751D705A"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46458A0D"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4CDF155"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1BB0373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24.1%</w:t>
            </w:r>
          </w:p>
        </w:tc>
        <w:tc>
          <w:tcPr>
            <w:tcW w:w="960" w:type="dxa"/>
            <w:tcBorders>
              <w:top w:val="nil"/>
              <w:left w:val="nil"/>
              <w:bottom w:val="single" w:sz="8" w:space="0" w:color="E1E1E3"/>
              <w:right w:val="single" w:sz="8" w:space="0" w:color="E1E1E3"/>
            </w:tcBorders>
            <w:vAlign w:val="center"/>
            <w:hideMark/>
          </w:tcPr>
          <w:p w14:paraId="524279F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24.9%</w:t>
            </w:r>
          </w:p>
        </w:tc>
        <w:tc>
          <w:tcPr>
            <w:tcW w:w="960" w:type="dxa"/>
            <w:tcBorders>
              <w:top w:val="nil"/>
              <w:left w:val="nil"/>
              <w:bottom w:val="single" w:sz="8" w:space="0" w:color="E1E1E3"/>
              <w:right w:val="single" w:sz="8" w:space="0" w:color="E1E1E3"/>
            </w:tcBorders>
            <w:vAlign w:val="center"/>
            <w:hideMark/>
          </w:tcPr>
          <w:p w14:paraId="5B4DDBC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23.6%</w:t>
            </w:r>
          </w:p>
        </w:tc>
        <w:tc>
          <w:tcPr>
            <w:tcW w:w="960" w:type="dxa"/>
            <w:tcBorders>
              <w:top w:val="nil"/>
              <w:left w:val="nil"/>
              <w:bottom w:val="single" w:sz="8" w:space="0" w:color="E1E1E3"/>
              <w:right w:val="single" w:sz="8" w:space="0" w:color="E1E1E3"/>
            </w:tcBorders>
            <w:vAlign w:val="center"/>
            <w:hideMark/>
          </w:tcPr>
          <w:p w14:paraId="54F58CC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22.9%</w:t>
            </w:r>
          </w:p>
        </w:tc>
        <w:tc>
          <w:tcPr>
            <w:tcW w:w="960" w:type="dxa"/>
            <w:tcBorders>
              <w:top w:val="nil"/>
              <w:left w:val="nil"/>
              <w:bottom w:val="single" w:sz="8" w:space="0" w:color="E1E1E3"/>
              <w:right w:val="single" w:sz="8" w:space="0" w:color="E1E1E3"/>
            </w:tcBorders>
            <w:vAlign w:val="center"/>
            <w:hideMark/>
          </w:tcPr>
          <w:p w14:paraId="6B278C0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6734F16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31F77FF4" w14:textId="77777777" w:rsidTr="00873AE6">
        <w:trPr>
          <w:trHeight w:val="315"/>
        </w:trPr>
        <w:tc>
          <w:tcPr>
            <w:tcW w:w="1540" w:type="dxa"/>
            <w:vMerge w:val="restart"/>
            <w:tcBorders>
              <w:top w:val="nil"/>
              <w:left w:val="single" w:sz="8" w:space="0" w:color="E1E1E3"/>
              <w:bottom w:val="single" w:sz="8" w:space="0" w:color="E1E1E3"/>
              <w:right w:val="single" w:sz="8" w:space="0" w:color="E1E1E3"/>
            </w:tcBorders>
            <w:vAlign w:val="center"/>
            <w:hideMark/>
          </w:tcPr>
          <w:p w14:paraId="056C238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2025</w:t>
            </w:r>
          </w:p>
        </w:tc>
        <w:tc>
          <w:tcPr>
            <w:tcW w:w="3180" w:type="dxa"/>
            <w:tcBorders>
              <w:top w:val="nil"/>
              <w:left w:val="nil"/>
              <w:bottom w:val="single" w:sz="8" w:space="0" w:color="E1E1E3"/>
              <w:right w:val="single" w:sz="8" w:space="0" w:color="E1E1E3"/>
            </w:tcBorders>
            <w:vAlign w:val="center"/>
            <w:hideMark/>
          </w:tcPr>
          <w:p w14:paraId="209BF58B"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 xml:space="preserve"> ՄԺԾԾ 2026-2028</w:t>
            </w:r>
          </w:p>
        </w:tc>
        <w:tc>
          <w:tcPr>
            <w:tcW w:w="960" w:type="dxa"/>
            <w:tcBorders>
              <w:top w:val="nil"/>
              <w:left w:val="nil"/>
              <w:bottom w:val="single" w:sz="8" w:space="0" w:color="E1E1E3"/>
              <w:right w:val="single" w:sz="8" w:space="0" w:color="E1E1E3"/>
            </w:tcBorders>
            <w:vAlign w:val="center"/>
            <w:hideMark/>
          </w:tcPr>
          <w:p w14:paraId="1A27A6D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7E39768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2,688.6</w:t>
            </w:r>
          </w:p>
        </w:tc>
        <w:tc>
          <w:tcPr>
            <w:tcW w:w="960" w:type="dxa"/>
            <w:tcBorders>
              <w:top w:val="nil"/>
              <w:left w:val="nil"/>
              <w:bottom w:val="single" w:sz="8" w:space="0" w:color="E1E1E3"/>
              <w:right w:val="single" w:sz="8" w:space="0" w:color="E1E1E3"/>
            </w:tcBorders>
            <w:vAlign w:val="center"/>
            <w:hideMark/>
          </w:tcPr>
          <w:p w14:paraId="7D84F7C0"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2,883.4</w:t>
            </w:r>
          </w:p>
        </w:tc>
        <w:tc>
          <w:tcPr>
            <w:tcW w:w="960" w:type="dxa"/>
            <w:tcBorders>
              <w:top w:val="nil"/>
              <w:left w:val="nil"/>
              <w:bottom w:val="single" w:sz="8" w:space="0" w:color="E1E1E3"/>
              <w:right w:val="single" w:sz="8" w:space="0" w:color="E1E1E3"/>
            </w:tcBorders>
            <w:vAlign w:val="center"/>
            <w:hideMark/>
          </w:tcPr>
          <w:p w14:paraId="7121715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3,001.2</w:t>
            </w:r>
          </w:p>
        </w:tc>
        <w:tc>
          <w:tcPr>
            <w:tcW w:w="960" w:type="dxa"/>
            <w:tcBorders>
              <w:top w:val="nil"/>
              <w:left w:val="nil"/>
              <w:bottom w:val="single" w:sz="8" w:space="0" w:color="E1E1E3"/>
              <w:right w:val="single" w:sz="8" w:space="0" w:color="E1E1E3"/>
            </w:tcBorders>
            <w:vAlign w:val="center"/>
            <w:hideMark/>
          </w:tcPr>
          <w:p w14:paraId="2B06FD4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3,169.9</w:t>
            </w:r>
          </w:p>
        </w:tc>
        <w:tc>
          <w:tcPr>
            <w:tcW w:w="960" w:type="dxa"/>
            <w:tcBorders>
              <w:top w:val="nil"/>
              <w:left w:val="nil"/>
              <w:bottom w:val="single" w:sz="8" w:space="0" w:color="E1E1E3"/>
              <w:right w:val="single" w:sz="8" w:space="0" w:color="E1E1E3"/>
            </w:tcBorders>
            <w:vAlign w:val="center"/>
            <w:hideMark/>
          </w:tcPr>
          <w:p w14:paraId="462FC72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1D07F958"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7EF47F3D"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4C251EE"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2DCDDA3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D39907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24.5%</w:t>
            </w:r>
          </w:p>
        </w:tc>
        <w:tc>
          <w:tcPr>
            <w:tcW w:w="960" w:type="dxa"/>
            <w:tcBorders>
              <w:top w:val="nil"/>
              <w:left w:val="nil"/>
              <w:bottom w:val="single" w:sz="8" w:space="0" w:color="E1E1E3"/>
              <w:right w:val="single" w:sz="8" w:space="0" w:color="E1E1E3"/>
            </w:tcBorders>
            <w:vAlign w:val="center"/>
            <w:hideMark/>
          </w:tcPr>
          <w:p w14:paraId="3468750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24.3%</w:t>
            </w:r>
          </w:p>
        </w:tc>
        <w:tc>
          <w:tcPr>
            <w:tcW w:w="960" w:type="dxa"/>
            <w:tcBorders>
              <w:top w:val="nil"/>
              <w:left w:val="nil"/>
              <w:bottom w:val="single" w:sz="8" w:space="0" w:color="E1E1E3"/>
              <w:right w:val="single" w:sz="8" w:space="0" w:color="E1E1E3"/>
            </w:tcBorders>
            <w:vAlign w:val="center"/>
            <w:hideMark/>
          </w:tcPr>
          <w:p w14:paraId="265D9BA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23.3%</w:t>
            </w:r>
          </w:p>
        </w:tc>
        <w:tc>
          <w:tcPr>
            <w:tcW w:w="960" w:type="dxa"/>
            <w:tcBorders>
              <w:top w:val="nil"/>
              <w:left w:val="nil"/>
              <w:bottom w:val="single" w:sz="8" w:space="0" w:color="E1E1E3"/>
              <w:right w:val="single" w:sz="8" w:space="0" w:color="E1E1E3"/>
            </w:tcBorders>
            <w:vAlign w:val="center"/>
            <w:hideMark/>
          </w:tcPr>
          <w:p w14:paraId="70292BE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22.7%</w:t>
            </w:r>
          </w:p>
        </w:tc>
        <w:tc>
          <w:tcPr>
            <w:tcW w:w="960" w:type="dxa"/>
            <w:tcBorders>
              <w:top w:val="nil"/>
              <w:left w:val="nil"/>
              <w:bottom w:val="single" w:sz="8" w:space="0" w:color="E1E1E3"/>
              <w:right w:val="single" w:sz="8" w:space="0" w:color="E1E1E3"/>
            </w:tcBorders>
            <w:vAlign w:val="center"/>
            <w:hideMark/>
          </w:tcPr>
          <w:p w14:paraId="7686661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7BEA76A8"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55F56F3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43B8B7C5"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2026թ. Պետական բյուջե</w:t>
            </w:r>
          </w:p>
        </w:tc>
        <w:tc>
          <w:tcPr>
            <w:tcW w:w="960" w:type="dxa"/>
            <w:tcBorders>
              <w:top w:val="nil"/>
              <w:left w:val="nil"/>
              <w:bottom w:val="single" w:sz="8" w:space="0" w:color="E1E1E3"/>
              <w:right w:val="single" w:sz="8" w:space="0" w:color="E1E1E3"/>
            </w:tcBorders>
            <w:vAlign w:val="center"/>
            <w:hideMark/>
          </w:tcPr>
          <w:p w14:paraId="206EE72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9A6437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2,702.8</w:t>
            </w:r>
          </w:p>
        </w:tc>
        <w:tc>
          <w:tcPr>
            <w:tcW w:w="960" w:type="dxa"/>
            <w:tcBorders>
              <w:top w:val="nil"/>
              <w:left w:val="nil"/>
              <w:bottom w:val="single" w:sz="8" w:space="0" w:color="E1E1E3"/>
              <w:right w:val="single" w:sz="8" w:space="0" w:color="E1E1E3"/>
            </w:tcBorders>
            <w:vAlign w:val="center"/>
            <w:hideMark/>
          </w:tcPr>
          <w:p w14:paraId="5A7721F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2,923.5</w:t>
            </w:r>
          </w:p>
        </w:tc>
        <w:tc>
          <w:tcPr>
            <w:tcW w:w="960" w:type="dxa"/>
            <w:tcBorders>
              <w:top w:val="nil"/>
              <w:left w:val="nil"/>
              <w:bottom w:val="single" w:sz="8" w:space="0" w:color="E1E1E3"/>
              <w:right w:val="single" w:sz="8" w:space="0" w:color="E1E1E3"/>
            </w:tcBorders>
            <w:vAlign w:val="center"/>
            <w:hideMark/>
          </w:tcPr>
          <w:p w14:paraId="275E021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3,082.0</w:t>
            </w:r>
          </w:p>
        </w:tc>
        <w:tc>
          <w:tcPr>
            <w:tcW w:w="960" w:type="dxa"/>
            <w:tcBorders>
              <w:top w:val="nil"/>
              <w:left w:val="nil"/>
              <w:bottom w:val="single" w:sz="8" w:space="0" w:color="E1E1E3"/>
              <w:right w:val="single" w:sz="8" w:space="0" w:color="E1E1E3"/>
            </w:tcBorders>
            <w:vAlign w:val="center"/>
            <w:hideMark/>
          </w:tcPr>
          <w:p w14:paraId="5C837A5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3,227.6</w:t>
            </w:r>
          </w:p>
        </w:tc>
        <w:tc>
          <w:tcPr>
            <w:tcW w:w="960" w:type="dxa"/>
            <w:tcBorders>
              <w:top w:val="nil"/>
              <w:left w:val="nil"/>
              <w:bottom w:val="single" w:sz="8" w:space="0" w:color="E1E1E3"/>
              <w:right w:val="single" w:sz="8" w:space="0" w:color="E1E1E3"/>
            </w:tcBorders>
            <w:vAlign w:val="center"/>
            <w:hideMark/>
          </w:tcPr>
          <w:p w14:paraId="3AF8F56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063FD0F5"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6CD704DD"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FE2799D"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7E60421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DD4663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24.6%</w:t>
            </w:r>
          </w:p>
        </w:tc>
        <w:tc>
          <w:tcPr>
            <w:tcW w:w="960" w:type="dxa"/>
            <w:tcBorders>
              <w:top w:val="nil"/>
              <w:left w:val="nil"/>
              <w:bottom w:val="single" w:sz="8" w:space="0" w:color="E1E1E3"/>
              <w:right w:val="single" w:sz="8" w:space="0" w:color="E1E1E3"/>
            </w:tcBorders>
            <w:vAlign w:val="center"/>
            <w:hideMark/>
          </w:tcPr>
          <w:p w14:paraId="686126C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24.5%</w:t>
            </w:r>
          </w:p>
        </w:tc>
        <w:tc>
          <w:tcPr>
            <w:tcW w:w="960" w:type="dxa"/>
            <w:tcBorders>
              <w:top w:val="nil"/>
              <w:left w:val="nil"/>
              <w:bottom w:val="single" w:sz="8" w:space="0" w:color="E1E1E3"/>
              <w:right w:val="single" w:sz="8" w:space="0" w:color="E1E1E3"/>
            </w:tcBorders>
            <w:vAlign w:val="center"/>
            <w:hideMark/>
          </w:tcPr>
          <w:p w14:paraId="7218F32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23.8%</w:t>
            </w:r>
          </w:p>
        </w:tc>
        <w:tc>
          <w:tcPr>
            <w:tcW w:w="960" w:type="dxa"/>
            <w:tcBorders>
              <w:top w:val="nil"/>
              <w:left w:val="nil"/>
              <w:bottom w:val="single" w:sz="8" w:space="0" w:color="E1E1E3"/>
              <w:right w:val="single" w:sz="8" w:space="0" w:color="E1E1E3"/>
            </w:tcBorders>
            <w:vAlign w:val="center"/>
            <w:hideMark/>
          </w:tcPr>
          <w:p w14:paraId="423644F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23.0%</w:t>
            </w:r>
          </w:p>
        </w:tc>
        <w:tc>
          <w:tcPr>
            <w:tcW w:w="960" w:type="dxa"/>
            <w:tcBorders>
              <w:top w:val="nil"/>
              <w:left w:val="nil"/>
              <w:bottom w:val="single" w:sz="8" w:space="0" w:color="E1E1E3"/>
              <w:right w:val="single" w:sz="8" w:space="0" w:color="E1E1E3"/>
            </w:tcBorders>
            <w:vAlign w:val="center"/>
            <w:hideMark/>
          </w:tcPr>
          <w:p w14:paraId="36FF969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48D0BB17" w14:textId="77777777" w:rsidTr="00873AE6">
        <w:trPr>
          <w:trHeight w:val="315"/>
        </w:trPr>
        <w:tc>
          <w:tcPr>
            <w:tcW w:w="1540" w:type="dxa"/>
            <w:vMerge w:val="restart"/>
            <w:tcBorders>
              <w:top w:val="nil"/>
              <w:left w:val="single" w:sz="8" w:space="0" w:color="E1E1E3"/>
              <w:bottom w:val="single" w:sz="8" w:space="0" w:color="E1E1E3"/>
              <w:right w:val="single" w:sz="8" w:space="0" w:color="E1E1E3"/>
            </w:tcBorders>
            <w:vAlign w:val="center"/>
            <w:hideMark/>
          </w:tcPr>
          <w:p w14:paraId="593FF4C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2026</w:t>
            </w:r>
          </w:p>
        </w:tc>
        <w:tc>
          <w:tcPr>
            <w:tcW w:w="3180" w:type="dxa"/>
            <w:tcBorders>
              <w:top w:val="nil"/>
              <w:left w:val="nil"/>
              <w:bottom w:val="single" w:sz="8" w:space="0" w:color="E1E1E3"/>
              <w:right w:val="single" w:sz="8" w:space="0" w:color="E1E1E3"/>
            </w:tcBorders>
            <w:vAlign w:val="center"/>
            <w:hideMark/>
          </w:tcPr>
          <w:p w14:paraId="059E9C30"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lang w:val="ru-RU"/>
              </w:rPr>
              <w:t xml:space="preserve"> ՄԺԾԾ 2027-2029</w:t>
            </w:r>
          </w:p>
        </w:tc>
        <w:tc>
          <w:tcPr>
            <w:tcW w:w="960" w:type="dxa"/>
            <w:tcBorders>
              <w:top w:val="nil"/>
              <w:left w:val="nil"/>
              <w:bottom w:val="single" w:sz="8" w:space="0" w:color="E1E1E3"/>
              <w:right w:val="single" w:sz="8" w:space="0" w:color="E1E1E3"/>
            </w:tcBorders>
            <w:vAlign w:val="center"/>
            <w:hideMark/>
          </w:tcPr>
          <w:p w14:paraId="30DA96C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CD6689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58775A1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2,938.3</w:t>
            </w:r>
          </w:p>
        </w:tc>
        <w:tc>
          <w:tcPr>
            <w:tcW w:w="960" w:type="dxa"/>
            <w:tcBorders>
              <w:top w:val="nil"/>
              <w:left w:val="nil"/>
              <w:bottom w:val="single" w:sz="8" w:space="0" w:color="E1E1E3"/>
              <w:right w:val="single" w:sz="8" w:space="0" w:color="E1E1E3"/>
            </w:tcBorders>
            <w:vAlign w:val="center"/>
            <w:hideMark/>
          </w:tcPr>
          <w:p w14:paraId="75C74FF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3,147.7</w:t>
            </w:r>
          </w:p>
        </w:tc>
        <w:tc>
          <w:tcPr>
            <w:tcW w:w="960" w:type="dxa"/>
            <w:tcBorders>
              <w:top w:val="nil"/>
              <w:left w:val="nil"/>
              <w:bottom w:val="single" w:sz="8" w:space="0" w:color="E1E1E3"/>
              <w:right w:val="single" w:sz="8" w:space="0" w:color="E1E1E3"/>
            </w:tcBorders>
            <w:vAlign w:val="center"/>
            <w:hideMark/>
          </w:tcPr>
          <w:p w14:paraId="7A54628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3,328.8</w:t>
            </w:r>
          </w:p>
        </w:tc>
        <w:tc>
          <w:tcPr>
            <w:tcW w:w="960" w:type="dxa"/>
            <w:tcBorders>
              <w:top w:val="nil"/>
              <w:left w:val="nil"/>
              <w:bottom w:val="single" w:sz="8" w:space="0" w:color="E1E1E3"/>
              <w:right w:val="single" w:sz="8" w:space="0" w:color="E1E1E3"/>
            </w:tcBorders>
            <w:vAlign w:val="center"/>
            <w:hideMark/>
          </w:tcPr>
          <w:p w14:paraId="1254586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3,490.8</w:t>
            </w:r>
          </w:p>
        </w:tc>
      </w:tr>
      <w:tr w:rsidR="00082769" w:rsidRPr="008B63B1" w14:paraId="15F41EEC"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0AA6405E"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270015EA"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49557B9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6F73119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C75CCF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23.8%</w:t>
            </w:r>
          </w:p>
        </w:tc>
        <w:tc>
          <w:tcPr>
            <w:tcW w:w="960" w:type="dxa"/>
            <w:tcBorders>
              <w:top w:val="nil"/>
              <w:left w:val="nil"/>
              <w:bottom w:val="single" w:sz="8" w:space="0" w:color="E1E1E3"/>
              <w:right w:val="single" w:sz="8" w:space="0" w:color="E1E1E3"/>
            </w:tcBorders>
            <w:vAlign w:val="center"/>
            <w:hideMark/>
          </w:tcPr>
          <w:p w14:paraId="3E4582D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23.5%</w:t>
            </w:r>
          </w:p>
        </w:tc>
        <w:tc>
          <w:tcPr>
            <w:tcW w:w="960" w:type="dxa"/>
            <w:tcBorders>
              <w:top w:val="nil"/>
              <w:left w:val="nil"/>
              <w:bottom w:val="single" w:sz="8" w:space="0" w:color="E1E1E3"/>
              <w:right w:val="single" w:sz="8" w:space="0" w:color="E1E1E3"/>
            </w:tcBorders>
            <w:vAlign w:val="center"/>
            <w:hideMark/>
          </w:tcPr>
          <w:p w14:paraId="0BB93AC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22.8%</w:t>
            </w:r>
          </w:p>
        </w:tc>
        <w:tc>
          <w:tcPr>
            <w:tcW w:w="960" w:type="dxa"/>
            <w:tcBorders>
              <w:top w:val="nil"/>
              <w:left w:val="nil"/>
              <w:bottom w:val="single" w:sz="8" w:space="0" w:color="E1E1E3"/>
              <w:right w:val="single" w:sz="8" w:space="0" w:color="E1E1E3"/>
            </w:tcBorders>
            <w:vAlign w:val="center"/>
            <w:hideMark/>
          </w:tcPr>
          <w:p w14:paraId="5C11123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21.9%</w:t>
            </w:r>
          </w:p>
        </w:tc>
      </w:tr>
      <w:tr w:rsidR="00082769" w:rsidRPr="008B63B1" w14:paraId="4DA3A865"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515308E4"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98905C4"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2027թ. Պետական բյուջե</w:t>
            </w:r>
          </w:p>
        </w:tc>
        <w:tc>
          <w:tcPr>
            <w:tcW w:w="960" w:type="dxa"/>
            <w:tcBorders>
              <w:top w:val="nil"/>
              <w:left w:val="nil"/>
              <w:bottom w:val="single" w:sz="8" w:space="0" w:color="E1E1E3"/>
              <w:right w:val="single" w:sz="8" w:space="0" w:color="E1E1E3"/>
            </w:tcBorders>
            <w:vAlign w:val="center"/>
            <w:hideMark/>
          </w:tcPr>
          <w:p w14:paraId="18AF227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1CA2F9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149046B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3,045.3</w:t>
            </w:r>
          </w:p>
        </w:tc>
        <w:tc>
          <w:tcPr>
            <w:tcW w:w="960" w:type="dxa"/>
            <w:tcBorders>
              <w:top w:val="nil"/>
              <w:left w:val="nil"/>
              <w:bottom w:val="single" w:sz="8" w:space="0" w:color="E1E1E3"/>
              <w:right w:val="single" w:sz="8" w:space="0" w:color="E1E1E3"/>
            </w:tcBorders>
            <w:vAlign w:val="center"/>
            <w:hideMark/>
          </w:tcPr>
          <w:p w14:paraId="7DF691C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3,310.6</w:t>
            </w:r>
          </w:p>
        </w:tc>
        <w:tc>
          <w:tcPr>
            <w:tcW w:w="960" w:type="dxa"/>
            <w:tcBorders>
              <w:top w:val="nil"/>
              <w:left w:val="nil"/>
              <w:bottom w:val="single" w:sz="8" w:space="0" w:color="E1E1E3"/>
              <w:right w:val="single" w:sz="8" w:space="0" w:color="E1E1E3"/>
            </w:tcBorders>
            <w:vAlign w:val="center"/>
            <w:hideMark/>
          </w:tcPr>
          <w:p w14:paraId="7744812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3,504.9</w:t>
            </w:r>
          </w:p>
        </w:tc>
        <w:tc>
          <w:tcPr>
            <w:tcW w:w="960" w:type="dxa"/>
            <w:tcBorders>
              <w:top w:val="nil"/>
              <w:left w:val="nil"/>
              <w:bottom w:val="single" w:sz="8" w:space="0" w:color="E1E1E3"/>
              <w:right w:val="single" w:sz="8" w:space="0" w:color="E1E1E3"/>
            </w:tcBorders>
            <w:vAlign w:val="center"/>
            <w:hideMark/>
          </w:tcPr>
          <w:p w14:paraId="1A1C603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3,646.1</w:t>
            </w:r>
          </w:p>
        </w:tc>
      </w:tr>
      <w:tr w:rsidR="00082769" w:rsidRPr="008B63B1" w14:paraId="3DBE5E48"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1A800E0D"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3DA7B6A7"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66170BC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D2B5C0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375919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24.4%</w:t>
            </w:r>
          </w:p>
        </w:tc>
        <w:tc>
          <w:tcPr>
            <w:tcW w:w="960" w:type="dxa"/>
            <w:tcBorders>
              <w:top w:val="nil"/>
              <w:left w:val="nil"/>
              <w:bottom w:val="single" w:sz="8" w:space="0" w:color="E1E1E3"/>
              <w:right w:val="single" w:sz="8" w:space="0" w:color="E1E1E3"/>
            </w:tcBorders>
            <w:vAlign w:val="center"/>
            <w:hideMark/>
          </w:tcPr>
          <w:p w14:paraId="705F380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24.3%</w:t>
            </w:r>
          </w:p>
        </w:tc>
        <w:tc>
          <w:tcPr>
            <w:tcW w:w="960" w:type="dxa"/>
            <w:tcBorders>
              <w:top w:val="nil"/>
              <w:left w:val="nil"/>
              <w:bottom w:val="single" w:sz="8" w:space="0" w:color="E1E1E3"/>
              <w:right w:val="single" w:sz="8" w:space="0" w:color="E1E1E3"/>
            </w:tcBorders>
            <w:vAlign w:val="center"/>
            <w:hideMark/>
          </w:tcPr>
          <w:p w14:paraId="0FF54D2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23.6%</w:t>
            </w:r>
          </w:p>
        </w:tc>
        <w:tc>
          <w:tcPr>
            <w:tcW w:w="960" w:type="dxa"/>
            <w:tcBorders>
              <w:top w:val="nil"/>
              <w:left w:val="nil"/>
              <w:bottom w:val="single" w:sz="8" w:space="0" w:color="E1E1E3"/>
              <w:right w:val="single" w:sz="8" w:space="0" w:color="E1E1E3"/>
            </w:tcBorders>
            <w:vAlign w:val="center"/>
            <w:hideMark/>
          </w:tcPr>
          <w:p w14:paraId="509D4DC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22.5%</w:t>
            </w:r>
          </w:p>
        </w:tc>
      </w:tr>
    </w:tbl>
    <w:p w14:paraId="4B33BB75" w14:textId="77777777" w:rsidR="00082769" w:rsidRPr="008B63B1" w:rsidRDefault="00082769" w:rsidP="00082769">
      <w:pPr>
        <w:spacing w:before="480" w:line="240" w:lineRule="auto"/>
        <w:ind w:hanging="11"/>
        <w:rPr>
          <w:rFonts w:ascii="GHEA Grapalat" w:eastAsia="Times New Roman" w:hAnsi="GHEA Grapalat" w:cs="Times New Roman"/>
          <w:b/>
          <w:color w:val="404040"/>
          <w:lang w:val="hy-AM"/>
        </w:rPr>
      </w:pPr>
    </w:p>
    <w:p w14:paraId="1AAB6666" w14:textId="77777777" w:rsidR="00082769" w:rsidRPr="001D56CB" w:rsidRDefault="00082769" w:rsidP="001D56CB">
      <w:pPr>
        <w:pStyle w:val="Charts"/>
        <w:ind w:right="-22"/>
        <w:rPr>
          <w:b w:val="0"/>
          <w:bCs/>
          <w:color w:val="auto"/>
          <w:sz w:val="20"/>
          <w:szCs w:val="18"/>
        </w:rPr>
      </w:pPr>
      <w:r w:rsidRPr="001D56CB">
        <w:rPr>
          <w:b w:val="0"/>
          <w:bCs/>
          <w:color w:val="auto"/>
          <w:sz w:val="20"/>
          <w:szCs w:val="18"/>
        </w:rPr>
        <w:t>Աղյուսակ 2.8. Պետական բյուջեի ոչ ֆինանսական ակտիվների գծով զուտ ծախսերի կանխատեսումների համեմատական աղյուսակը, մլրդ ՀՀ դրամ</w:t>
      </w:r>
    </w:p>
    <w:tbl>
      <w:tblPr>
        <w:tblW w:w="10480" w:type="dxa"/>
        <w:tblInd w:w="-10" w:type="dxa"/>
        <w:tblLook w:val="04A0" w:firstRow="1" w:lastRow="0" w:firstColumn="1" w:lastColumn="0" w:noHBand="0" w:noVBand="1"/>
      </w:tblPr>
      <w:tblGrid>
        <w:gridCol w:w="1540"/>
        <w:gridCol w:w="3180"/>
        <w:gridCol w:w="960"/>
        <w:gridCol w:w="960"/>
        <w:gridCol w:w="960"/>
        <w:gridCol w:w="960"/>
        <w:gridCol w:w="960"/>
        <w:gridCol w:w="960"/>
      </w:tblGrid>
      <w:tr w:rsidR="00082769" w:rsidRPr="008B63B1" w14:paraId="3DAC71E3" w14:textId="77777777" w:rsidTr="00873AE6">
        <w:trPr>
          <w:trHeight w:val="555"/>
        </w:trPr>
        <w:tc>
          <w:tcPr>
            <w:tcW w:w="1540" w:type="dxa"/>
            <w:tcBorders>
              <w:top w:val="single" w:sz="8" w:space="0" w:color="E1E1E3"/>
              <w:left w:val="single" w:sz="8" w:space="0" w:color="E1E1E3"/>
              <w:bottom w:val="single" w:sz="8" w:space="0" w:color="E1E1E3"/>
              <w:right w:val="single" w:sz="8" w:space="0" w:color="E1E1E3"/>
            </w:tcBorders>
            <w:shd w:val="clear" w:color="000000" w:fill="D5DCE4"/>
            <w:vAlign w:val="center"/>
            <w:hideMark/>
          </w:tcPr>
          <w:p w14:paraId="3C842A4D"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Ընդունման տարին</w:t>
            </w:r>
          </w:p>
        </w:tc>
        <w:tc>
          <w:tcPr>
            <w:tcW w:w="3180" w:type="dxa"/>
            <w:tcBorders>
              <w:top w:val="single" w:sz="8" w:space="0" w:color="E1E1E3"/>
              <w:left w:val="nil"/>
              <w:bottom w:val="single" w:sz="8" w:space="0" w:color="E1E1E3"/>
              <w:right w:val="single" w:sz="8" w:space="0" w:color="E1E1E3"/>
            </w:tcBorders>
            <w:shd w:val="clear" w:color="000000" w:fill="D5DCE4"/>
            <w:noWrap/>
            <w:vAlign w:val="center"/>
            <w:hideMark/>
          </w:tcPr>
          <w:p w14:paraId="35579E3F" w14:textId="77777777" w:rsidR="00082769" w:rsidRPr="008B63B1" w:rsidRDefault="00082769" w:rsidP="00082769">
            <w:pPr>
              <w:spacing w:after="0" w:line="240" w:lineRule="auto"/>
              <w:ind w:hanging="11"/>
              <w:jc w:val="both"/>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Ծրագիր</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7D5E9B4B"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2024</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3178863B"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2025</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77C2542E"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2026</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7524653D"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2027</w:t>
            </w:r>
          </w:p>
        </w:tc>
        <w:tc>
          <w:tcPr>
            <w:tcW w:w="960" w:type="dxa"/>
            <w:tcBorders>
              <w:top w:val="single" w:sz="8" w:space="0" w:color="E1E1E3"/>
              <w:left w:val="nil"/>
              <w:bottom w:val="single" w:sz="8" w:space="0" w:color="E1E1E3"/>
              <w:right w:val="single" w:sz="8" w:space="0" w:color="E1E1E3"/>
            </w:tcBorders>
            <w:shd w:val="clear" w:color="000000" w:fill="D5DCE4"/>
            <w:vAlign w:val="center"/>
            <w:hideMark/>
          </w:tcPr>
          <w:p w14:paraId="104CD12B"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2028</w:t>
            </w:r>
          </w:p>
        </w:tc>
        <w:tc>
          <w:tcPr>
            <w:tcW w:w="960" w:type="dxa"/>
            <w:tcBorders>
              <w:top w:val="single" w:sz="8" w:space="0" w:color="E1E1E3"/>
              <w:left w:val="nil"/>
              <w:bottom w:val="single" w:sz="8" w:space="0" w:color="E1E1E3"/>
              <w:right w:val="single" w:sz="8" w:space="0" w:color="E1E1E3"/>
            </w:tcBorders>
            <w:shd w:val="clear" w:color="000000" w:fill="D5DCE4"/>
            <w:vAlign w:val="center"/>
            <w:hideMark/>
          </w:tcPr>
          <w:p w14:paraId="6E0129C6"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2029</w:t>
            </w:r>
          </w:p>
        </w:tc>
      </w:tr>
      <w:tr w:rsidR="00082769" w:rsidRPr="008B63B1" w14:paraId="799B5E88"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1B99ED1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w:t>
            </w:r>
          </w:p>
        </w:tc>
        <w:tc>
          <w:tcPr>
            <w:tcW w:w="3180" w:type="dxa"/>
            <w:tcBorders>
              <w:top w:val="nil"/>
              <w:left w:val="nil"/>
              <w:bottom w:val="single" w:sz="8" w:space="0" w:color="E1E1E3"/>
              <w:right w:val="single" w:sz="8" w:space="0" w:color="E1E1E3"/>
            </w:tcBorders>
            <w:noWrap/>
            <w:vAlign w:val="center"/>
            <w:hideMark/>
          </w:tcPr>
          <w:p w14:paraId="7B29DDE7"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Փաստացի</w:t>
            </w:r>
          </w:p>
        </w:tc>
        <w:tc>
          <w:tcPr>
            <w:tcW w:w="960" w:type="dxa"/>
            <w:tcBorders>
              <w:top w:val="nil"/>
              <w:left w:val="nil"/>
              <w:bottom w:val="single" w:sz="8" w:space="0" w:color="E1E1E3"/>
              <w:right w:val="single" w:sz="8" w:space="0" w:color="E1E1E3"/>
            </w:tcBorders>
            <w:noWrap/>
            <w:vAlign w:val="center"/>
            <w:hideMark/>
          </w:tcPr>
          <w:p w14:paraId="1032D07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541.7</w:t>
            </w:r>
          </w:p>
        </w:tc>
        <w:tc>
          <w:tcPr>
            <w:tcW w:w="960" w:type="dxa"/>
            <w:tcBorders>
              <w:top w:val="nil"/>
              <w:left w:val="nil"/>
              <w:bottom w:val="single" w:sz="8" w:space="0" w:color="E1E1E3"/>
              <w:right w:val="single" w:sz="8" w:space="0" w:color="E1E1E3"/>
            </w:tcBorders>
            <w:noWrap/>
            <w:vAlign w:val="center"/>
            <w:hideMark/>
          </w:tcPr>
          <w:p w14:paraId="0875491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692.7</w:t>
            </w:r>
          </w:p>
        </w:tc>
        <w:tc>
          <w:tcPr>
            <w:tcW w:w="960" w:type="dxa"/>
            <w:tcBorders>
              <w:top w:val="nil"/>
              <w:left w:val="nil"/>
              <w:bottom w:val="single" w:sz="8" w:space="0" w:color="E1E1E3"/>
              <w:right w:val="single" w:sz="8" w:space="0" w:color="E1E1E3"/>
            </w:tcBorders>
            <w:noWrap/>
            <w:vAlign w:val="center"/>
            <w:hideMark/>
          </w:tcPr>
          <w:p w14:paraId="1680DC1B"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888C3DC"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1CEB6C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52469A5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38D253CA"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58867553"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394FDCFA"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noWrap/>
            <w:vAlign w:val="center"/>
            <w:hideMark/>
          </w:tcPr>
          <w:p w14:paraId="47DD24E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5.3%</w:t>
            </w:r>
          </w:p>
        </w:tc>
        <w:tc>
          <w:tcPr>
            <w:tcW w:w="960" w:type="dxa"/>
            <w:tcBorders>
              <w:top w:val="nil"/>
              <w:left w:val="nil"/>
              <w:bottom w:val="single" w:sz="8" w:space="0" w:color="E1E1E3"/>
              <w:right w:val="single" w:sz="8" w:space="0" w:color="E1E1E3"/>
            </w:tcBorders>
            <w:noWrap/>
            <w:vAlign w:val="center"/>
            <w:hideMark/>
          </w:tcPr>
          <w:p w14:paraId="09DDBA1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6.1%</w:t>
            </w:r>
          </w:p>
        </w:tc>
        <w:tc>
          <w:tcPr>
            <w:tcW w:w="960" w:type="dxa"/>
            <w:tcBorders>
              <w:top w:val="nil"/>
              <w:left w:val="nil"/>
              <w:bottom w:val="single" w:sz="8" w:space="0" w:color="E1E1E3"/>
              <w:right w:val="single" w:sz="8" w:space="0" w:color="E1E1E3"/>
            </w:tcBorders>
            <w:noWrap/>
            <w:vAlign w:val="center"/>
            <w:hideMark/>
          </w:tcPr>
          <w:p w14:paraId="1A37D33A"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AAF229F"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BD023B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AF6601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65B1C7A1"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77E52DA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2022</w:t>
            </w:r>
          </w:p>
        </w:tc>
        <w:tc>
          <w:tcPr>
            <w:tcW w:w="3180" w:type="dxa"/>
            <w:tcBorders>
              <w:top w:val="nil"/>
              <w:left w:val="nil"/>
              <w:bottom w:val="single" w:sz="8" w:space="0" w:color="E1E1E3"/>
              <w:right w:val="single" w:sz="8" w:space="0" w:color="E1E1E3"/>
            </w:tcBorders>
            <w:noWrap/>
            <w:vAlign w:val="center"/>
            <w:hideMark/>
          </w:tcPr>
          <w:p w14:paraId="2E14F4CD"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2023-2025</w:t>
            </w:r>
          </w:p>
        </w:tc>
        <w:tc>
          <w:tcPr>
            <w:tcW w:w="960" w:type="dxa"/>
            <w:tcBorders>
              <w:top w:val="nil"/>
              <w:left w:val="nil"/>
              <w:bottom w:val="single" w:sz="8" w:space="0" w:color="E1E1E3"/>
              <w:right w:val="single" w:sz="8" w:space="0" w:color="E1E1E3"/>
            </w:tcBorders>
            <w:vAlign w:val="center"/>
            <w:hideMark/>
          </w:tcPr>
          <w:p w14:paraId="750018A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589.7</w:t>
            </w:r>
          </w:p>
        </w:tc>
        <w:tc>
          <w:tcPr>
            <w:tcW w:w="960" w:type="dxa"/>
            <w:tcBorders>
              <w:top w:val="nil"/>
              <w:left w:val="nil"/>
              <w:bottom w:val="single" w:sz="8" w:space="0" w:color="E1E1E3"/>
              <w:right w:val="single" w:sz="8" w:space="0" w:color="E1E1E3"/>
            </w:tcBorders>
            <w:vAlign w:val="center"/>
            <w:hideMark/>
          </w:tcPr>
          <w:p w14:paraId="1FBE1FF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710.8</w:t>
            </w:r>
          </w:p>
        </w:tc>
        <w:tc>
          <w:tcPr>
            <w:tcW w:w="960" w:type="dxa"/>
            <w:tcBorders>
              <w:top w:val="nil"/>
              <w:left w:val="nil"/>
              <w:bottom w:val="single" w:sz="8" w:space="0" w:color="E1E1E3"/>
              <w:right w:val="single" w:sz="8" w:space="0" w:color="E1E1E3"/>
            </w:tcBorders>
            <w:noWrap/>
            <w:vAlign w:val="center"/>
            <w:hideMark/>
          </w:tcPr>
          <w:p w14:paraId="5BDC7522"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3867A9C"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91A83A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193A1E8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72007000"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70445A3B"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946751C"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6F07676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5.8%</w:t>
            </w:r>
          </w:p>
        </w:tc>
        <w:tc>
          <w:tcPr>
            <w:tcW w:w="960" w:type="dxa"/>
            <w:tcBorders>
              <w:top w:val="nil"/>
              <w:left w:val="nil"/>
              <w:bottom w:val="single" w:sz="8" w:space="0" w:color="E1E1E3"/>
              <w:right w:val="single" w:sz="8" w:space="0" w:color="E1E1E3"/>
            </w:tcBorders>
            <w:vAlign w:val="center"/>
            <w:hideMark/>
          </w:tcPr>
          <w:p w14:paraId="0A167EB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6.3%</w:t>
            </w:r>
          </w:p>
        </w:tc>
        <w:tc>
          <w:tcPr>
            <w:tcW w:w="960" w:type="dxa"/>
            <w:tcBorders>
              <w:top w:val="nil"/>
              <w:left w:val="nil"/>
              <w:bottom w:val="single" w:sz="8" w:space="0" w:color="E1E1E3"/>
              <w:right w:val="single" w:sz="8" w:space="0" w:color="E1E1E3"/>
            </w:tcBorders>
            <w:noWrap/>
            <w:vAlign w:val="center"/>
            <w:hideMark/>
          </w:tcPr>
          <w:p w14:paraId="1C06D61E"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D510EDF"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9B44FE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56A81B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1AF2FC63"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15D59442"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3DA55CF4"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2023թ. Պետական բյուջե</w:t>
            </w:r>
          </w:p>
        </w:tc>
        <w:tc>
          <w:tcPr>
            <w:tcW w:w="960" w:type="dxa"/>
            <w:tcBorders>
              <w:top w:val="nil"/>
              <w:left w:val="nil"/>
              <w:bottom w:val="single" w:sz="8" w:space="0" w:color="E1E1E3"/>
              <w:right w:val="single" w:sz="8" w:space="0" w:color="E1E1E3"/>
            </w:tcBorders>
            <w:vAlign w:val="center"/>
            <w:hideMark/>
          </w:tcPr>
          <w:p w14:paraId="0BEBC03B"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E3A44C3"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4C6CE8EC"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093077C9"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370098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1C2A39A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276DAE34"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76C91C55"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1C50D5D4"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6427DDAF"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8708133"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F1980AE"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06A766A"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F4DAD3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01FB796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244D786E"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35C0BA70"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2023</w:t>
            </w:r>
          </w:p>
        </w:tc>
        <w:tc>
          <w:tcPr>
            <w:tcW w:w="3180" w:type="dxa"/>
            <w:tcBorders>
              <w:top w:val="nil"/>
              <w:left w:val="nil"/>
              <w:bottom w:val="single" w:sz="8" w:space="0" w:color="E1E1E3"/>
              <w:right w:val="single" w:sz="8" w:space="0" w:color="E1E1E3"/>
            </w:tcBorders>
            <w:noWrap/>
            <w:vAlign w:val="center"/>
            <w:hideMark/>
          </w:tcPr>
          <w:p w14:paraId="3DBD385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2024-2026</w:t>
            </w:r>
          </w:p>
        </w:tc>
        <w:tc>
          <w:tcPr>
            <w:tcW w:w="960" w:type="dxa"/>
            <w:tcBorders>
              <w:top w:val="nil"/>
              <w:left w:val="nil"/>
              <w:bottom w:val="single" w:sz="8" w:space="0" w:color="E1E1E3"/>
              <w:right w:val="single" w:sz="8" w:space="0" w:color="E1E1E3"/>
            </w:tcBorders>
            <w:vAlign w:val="center"/>
            <w:hideMark/>
          </w:tcPr>
          <w:p w14:paraId="1F278A1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665.3</w:t>
            </w:r>
          </w:p>
        </w:tc>
        <w:tc>
          <w:tcPr>
            <w:tcW w:w="960" w:type="dxa"/>
            <w:tcBorders>
              <w:top w:val="nil"/>
              <w:left w:val="nil"/>
              <w:bottom w:val="single" w:sz="8" w:space="0" w:color="E1E1E3"/>
              <w:right w:val="single" w:sz="8" w:space="0" w:color="E1E1E3"/>
            </w:tcBorders>
            <w:vAlign w:val="center"/>
            <w:hideMark/>
          </w:tcPr>
          <w:p w14:paraId="4AEA8E4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768.9</w:t>
            </w:r>
          </w:p>
        </w:tc>
        <w:tc>
          <w:tcPr>
            <w:tcW w:w="960" w:type="dxa"/>
            <w:tcBorders>
              <w:top w:val="nil"/>
              <w:left w:val="nil"/>
              <w:bottom w:val="single" w:sz="8" w:space="0" w:color="E1E1E3"/>
              <w:right w:val="single" w:sz="8" w:space="0" w:color="E1E1E3"/>
            </w:tcBorders>
            <w:vAlign w:val="center"/>
            <w:hideMark/>
          </w:tcPr>
          <w:p w14:paraId="2361B49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862.9</w:t>
            </w:r>
          </w:p>
        </w:tc>
        <w:tc>
          <w:tcPr>
            <w:tcW w:w="960" w:type="dxa"/>
            <w:tcBorders>
              <w:top w:val="nil"/>
              <w:left w:val="nil"/>
              <w:bottom w:val="single" w:sz="8" w:space="0" w:color="E1E1E3"/>
              <w:right w:val="single" w:sz="8" w:space="0" w:color="E1E1E3"/>
            </w:tcBorders>
            <w:vAlign w:val="center"/>
            <w:hideMark/>
          </w:tcPr>
          <w:p w14:paraId="765969BA"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F3A0E3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5140216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02D8B4F4"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4B11E6E8"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8D42F0C"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4F1D8DE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6.3%</w:t>
            </w:r>
          </w:p>
        </w:tc>
        <w:tc>
          <w:tcPr>
            <w:tcW w:w="960" w:type="dxa"/>
            <w:tcBorders>
              <w:top w:val="nil"/>
              <w:left w:val="nil"/>
              <w:bottom w:val="single" w:sz="8" w:space="0" w:color="E1E1E3"/>
              <w:right w:val="single" w:sz="8" w:space="0" w:color="E1E1E3"/>
            </w:tcBorders>
            <w:vAlign w:val="center"/>
            <w:hideMark/>
          </w:tcPr>
          <w:p w14:paraId="3BD935F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6.5%</w:t>
            </w:r>
          </w:p>
        </w:tc>
        <w:tc>
          <w:tcPr>
            <w:tcW w:w="960" w:type="dxa"/>
            <w:tcBorders>
              <w:top w:val="nil"/>
              <w:left w:val="nil"/>
              <w:bottom w:val="single" w:sz="8" w:space="0" w:color="E1E1E3"/>
              <w:right w:val="single" w:sz="8" w:space="0" w:color="E1E1E3"/>
            </w:tcBorders>
            <w:vAlign w:val="center"/>
            <w:hideMark/>
          </w:tcPr>
          <w:p w14:paraId="16F7881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6.6%</w:t>
            </w:r>
          </w:p>
        </w:tc>
        <w:tc>
          <w:tcPr>
            <w:tcW w:w="960" w:type="dxa"/>
            <w:tcBorders>
              <w:top w:val="nil"/>
              <w:left w:val="nil"/>
              <w:bottom w:val="single" w:sz="8" w:space="0" w:color="E1E1E3"/>
              <w:right w:val="single" w:sz="8" w:space="0" w:color="E1E1E3"/>
            </w:tcBorders>
            <w:vAlign w:val="center"/>
            <w:hideMark/>
          </w:tcPr>
          <w:p w14:paraId="312D9C6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DD5C30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CA8CD4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44BDE2D5"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4EA2AE0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51FB6E5B"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2024թ. Պետական բյուջե</w:t>
            </w:r>
          </w:p>
        </w:tc>
        <w:tc>
          <w:tcPr>
            <w:tcW w:w="960" w:type="dxa"/>
            <w:tcBorders>
              <w:top w:val="nil"/>
              <w:left w:val="nil"/>
              <w:bottom w:val="single" w:sz="8" w:space="0" w:color="E1E1E3"/>
              <w:right w:val="single" w:sz="8" w:space="0" w:color="E1E1E3"/>
            </w:tcBorders>
            <w:vAlign w:val="center"/>
            <w:hideMark/>
          </w:tcPr>
          <w:p w14:paraId="35C576C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695.3</w:t>
            </w:r>
          </w:p>
        </w:tc>
        <w:tc>
          <w:tcPr>
            <w:tcW w:w="960" w:type="dxa"/>
            <w:tcBorders>
              <w:top w:val="nil"/>
              <w:left w:val="nil"/>
              <w:bottom w:val="single" w:sz="8" w:space="0" w:color="E1E1E3"/>
              <w:right w:val="single" w:sz="8" w:space="0" w:color="E1E1E3"/>
            </w:tcBorders>
            <w:vAlign w:val="center"/>
            <w:hideMark/>
          </w:tcPr>
          <w:p w14:paraId="736B2C80"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719713C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BDE74B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030459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46EB1CD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60A501BD"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43B3DBD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6605DED5"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0A428AC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6.6%</w:t>
            </w:r>
          </w:p>
        </w:tc>
        <w:tc>
          <w:tcPr>
            <w:tcW w:w="960" w:type="dxa"/>
            <w:tcBorders>
              <w:top w:val="nil"/>
              <w:left w:val="nil"/>
              <w:bottom w:val="single" w:sz="8" w:space="0" w:color="E1E1E3"/>
              <w:right w:val="single" w:sz="8" w:space="0" w:color="E1E1E3"/>
            </w:tcBorders>
            <w:vAlign w:val="center"/>
            <w:hideMark/>
          </w:tcPr>
          <w:p w14:paraId="35D23E92"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5DB737CF"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8E4F90F"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3338DC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BD25F7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51FE48D3"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3540A1A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2024</w:t>
            </w:r>
          </w:p>
        </w:tc>
        <w:tc>
          <w:tcPr>
            <w:tcW w:w="3180" w:type="dxa"/>
            <w:tcBorders>
              <w:top w:val="nil"/>
              <w:left w:val="nil"/>
              <w:bottom w:val="single" w:sz="8" w:space="0" w:color="E1E1E3"/>
              <w:right w:val="single" w:sz="8" w:space="0" w:color="E1E1E3"/>
            </w:tcBorders>
            <w:noWrap/>
            <w:vAlign w:val="center"/>
            <w:hideMark/>
          </w:tcPr>
          <w:p w14:paraId="0B855B88"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2025-2027</w:t>
            </w:r>
          </w:p>
        </w:tc>
        <w:tc>
          <w:tcPr>
            <w:tcW w:w="960" w:type="dxa"/>
            <w:tcBorders>
              <w:top w:val="nil"/>
              <w:left w:val="nil"/>
              <w:bottom w:val="single" w:sz="8" w:space="0" w:color="E1E1E3"/>
              <w:right w:val="single" w:sz="8" w:space="0" w:color="E1E1E3"/>
            </w:tcBorders>
            <w:vAlign w:val="center"/>
            <w:hideMark/>
          </w:tcPr>
          <w:p w14:paraId="1615332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666.4</w:t>
            </w:r>
          </w:p>
        </w:tc>
        <w:tc>
          <w:tcPr>
            <w:tcW w:w="960" w:type="dxa"/>
            <w:tcBorders>
              <w:top w:val="nil"/>
              <w:left w:val="nil"/>
              <w:bottom w:val="single" w:sz="8" w:space="0" w:color="E1E1E3"/>
              <w:right w:val="single" w:sz="8" w:space="0" w:color="E1E1E3"/>
            </w:tcBorders>
            <w:vAlign w:val="center"/>
            <w:hideMark/>
          </w:tcPr>
          <w:p w14:paraId="4658CC6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784.9</w:t>
            </w:r>
          </w:p>
        </w:tc>
        <w:tc>
          <w:tcPr>
            <w:tcW w:w="960" w:type="dxa"/>
            <w:tcBorders>
              <w:top w:val="nil"/>
              <w:left w:val="nil"/>
              <w:bottom w:val="single" w:sz="8" w:space="0" w:color="E1E1E3"/>
              <w:right w:val="single" w:sz="8" w:space="0" w:color="E1E1E3"/>
            </w:tcBorders>
            <w:vAlign w:val="center"/>
            <w:hideMark/>
          </w:tcPr>
          <w:p w14:paraId="57A5F50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873.9</w:t>
            </w:r>
          </w:p>
        </w:tc>
        <w:tc>
          <w:tcPr>
            <w:tcW w:w="960" w:type="dxa"/>
            <w:tcBorders>
              <w:top w:val="nil"/>
              <w:left w:val="nil"/>
              <w:bottom w:val="single" w:sz="8" w:space="0" w:color="E1E1E3"/>
              <w:right w:val="single" w:sz="8" w:space="0" w:color="E1E1E3"/>
            </w:tcBorders>
            <w:vAlign w:val="center"/>
            <w:hideMark/>
          </w:tcPr>
          <w:p w14:paraId="14B5686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858.6</w:t>
            </w:r>
          </w:p>
        </w:tc>
        <w:tc>
          <w:tcPr>
            <w:tcW w:w="960" w:type="dxa"/>
            <w:tcBorders>
              <w:top w:val="nil"/>
              <w:left w:val="nil"/>
              <w:bottom w:val="single" w:sz="8" w:space="0" w:color="E1E1E3"/>
              <w:right w:val="single" w:sz="8" w:space="0" w:color="E1E1E3"/>
            </w:tcBorders>
            <w:vAlign w:val="center"/>
            <w:hideMark/>
          </w:tcPr>
          <w:p w14:paraId="0E72277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4C61762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5D1F73E7"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233CA943"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69362450"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5D1BFB0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6.5%</w:t>
            </w:r>
          </w:p>
        </w:tc>
        <w:tc>
          <w:tcPr>
            <w:tcW w:w="960" w:type="dxa"/>
            <w:tcBorders>
              <w:top w:val="nil"/>
              <w:left w:val="nil"/>
              <w:bottom w:val="single" w:sz="8" w:space="0" w:color="E1E1E3"/>
              <w:right w:val="single" w:sz="8" w:space="0" w:color="E1E1E3"/>
            </w:tcBorders>
            <w:vAlign w:val="center"/>
            <w:hideMark/>
          </w:tcPr>
          <w:p w14:paraId="157975C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7.0%</w:t>
            </w:r>
          </w:p>
        </w:tc>
        <w:tc>
          <w:tcPr>
            <w:tcW w:w="960" w:type="dxa"/>
            <w:tcBorders>
              <w:top w:val="nil"/>
              <w:left w:val="nil"/>
              <w:bottom w:val="single" w:sz="8" w:space="0" w:color="E1E1E3"/>
              <w:right w:val="single" w:sz="8" w:space="0" w:color="E1E1E3"/>
            </w:tcBorders>
            <w:vAlign w:val="center"/>
            <w:hideMark/>
          </w:tcPr>
          <w:p w14:paraId="6FA875B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7.1%</w:t>
            </w:r>
          </w:p>
        </w:tc>
        <w:tc>
          <w:tcPr>
            <w:tcW w:w="960" w:type="dxa"/>
            <w:tcBorders>
              <w:top w:val="nil"/>
              <w:left w:val="nil"/>
              <w:bottom w:val="single" w:sz="8" w:space="0" w:color="E1E1E3"/>
              <w:right w:val="single" w:sz="8" w:space="0" w:color="E1E1E3"/>
            </w:tcBorders>
            <w:vAlign w:val="center"/>
            <w:hideMark/>
          </w:tcPr>
          <w:p w14:paraId="2CB9A5B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6.4%</w:t>
            </w:r>
          </w:p>
        </w:tc>
        <w:tc>
          <w:tcPr>
            <w:tcW w:w="960" w:type="dxa"/>
            <w:tcBorders>
              <w:top w:val="nil"/>
              <w:left w:val="nil"/>
              <w:bottom w:val="single" w:sz="8" w:space="0" w:color="E1E1E3"/>
              <w:right w:val="single" w:sz="8" w:space="0" w:color="E1E1E3"/>
            </w:tcBorders>
            <w:vAlign w:val="center"/>
            <w:hideMark/>
          </w:tcPr>
          <w:p w14:paraId="6916E6B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E9D219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337F68B7"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1AAE4607"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2AC13D9B"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2025թ. Պետական բյուջե</w:t>
            </w:r>
          </w:p>
        </w:tc>
        <w:tc>
          <w:tcPr>
            <w:tcW w:w="960" w:type="dxa"/>
            <w:tcBorders>
              <w:top w:val="nil"/>
              <w:left w:val="nil"/>
              <w:bottom w:val="single" w:sz="8" w:space="0" w:color="E1E1E3"/>
              <w:right w:val="single" w:sz="8" w:space="0" w:color="E1E1E3"/>
            </w:tcBorders>
            <w:vAlign w:val="center"/>
            <w:hideMark/>
          </w:tcPr>
          <w:p w14:paraId="52652C9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639.3</w:t>
            </w:r>
          </w:p>
        </w:tc>
        <w:tc>
          <w:tcPr>
            <w:tcW w:w="960" w:type="dxa"/>
            <w:tcBorders>
              <w:top w:val="nil"/>
              <w:left w:val="nil"/>
              <w:bottom w:val="single" w:sz="8" w:space="0" w:color="E1E1E3"/>
              <w:right w:val="single" w:sz="8" w:space="0" w:color="E1E1E3"/>
            </w:tcBorders>
            <w:vAlign w:val="center"/>
            <w:hideMark/>
          </w:tcPr>
          <w:p w14:paraId="0E6C6910"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734.9</w:t>
            </w:r>
          </w:p>
        </w:tc>
        <w:tc>
          <w:tcPr>
            <w:tcW w:w="960" w:type="dxa"/>
            <w:tcBorders>
              <w:top w:val="nil"/>
              <w:left w:val="nil"/>
              <w:bottom w:val="single" w:sz="8" w:space="0" w:color="E1E1E3"/>
              <w:right w:val="single" w:sz="8" w:space="0" w:color="E1E1E3"/>
            </w:tcBorders>
            <w:vAlign w:val="center"/>
            <w:hideMark/>
          </w:tcPr>
          <w:p w14:paraId="700733D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822.0</w:t>
            </w:r>
          </w:p>
        </w:tc>
        <w:tc>
          <w:tcPr>
            <w:tcW w:w="960" w:type="dxa"/>
            <w:tcBorders>
              <w:top w:val="nil"/>
              <w:left w:val="nil"/>
              <w:bottom w:val="single" w:sz="8" w:space="0" w:color="E1E1E3"/>
              <w:right w:val="single" w:sz="8" w:space="0" w:color="E1E1E3"/>
            </w:tcBorders>
            <w:vAlign w:val="center"/>
            <w:hideMark/>
          </w:tcPr>
          <w:p w14:paraId="5F5DE08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861.7</w:t>
            </w:r>
          </w:p>
        </w:tc>
        <w:tc>
          <w:tcPr>
            <w:tcW w:w="960" w:type="dxa"/>
            <w:tcBorders>
              <w:top w:val="nil"/>
              <w:left w:val="nil"/>
              <w:bottom w:val="single" w:sz="8" w:space="0" w:color="E1E1E3"/>
              <w:right w:val="single" w:sz="8" w:space="0" w:color="E1E1E3"/>
            </w:tcBorders>
            <w:vAlign w:val="center"/>
            <w:hideMark/>
          </w:tcPr>
          <w:p w14:paraId="2F7B9840"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338C96B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58594BC4"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39E0F3B8"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5F2BF60"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4CA47E1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6.3%</w:t>
            </w:r>
          </w:p>
        </w:tc>
        <w:tc>
          <w:tcPr>
            <w:tcW w:w="960" w:type="dxa"/>
            <w:tcBorders>
              <w:top w:val="nil"/>
              <w:left w:val="nil"/>
              <w:bottom w:val="single" w:sz="8" w:space="0" w:color="E1E1E3"/>
              <w:right w:val="single" w:sz="8" w:space="0" w:color="E1E1E3"/>
            </w:tcBorders>
            <w:vAlign w:val="center"/>
            <w:hideMark/>
          </w:tcPr>
          <w:p w14:paraId="5D855B3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6.7%</w:t>
            </w:r>
          </w:p>
        </w:tc>
        <w:tc>
          <w:tcPr>
            <w:tcW w:w="960" w:type="dxa"/>
            <w:tcBorders>
              <w:top w:val="nil"/>
              <w:left w:val="nil"/>
              <w:bottom w:val="single" w:sz="8" w:space="0" w:color="E1E1E3"/>
              <w:right w:val="single" w:sz="8" w:space="0" w:color="E1E1E3"/>
            </w:tcBorders>
            <w:vAlign w:val="center"/>
            <w:hideMark/>
          </w:tcPr>
          <w:p w14:paraId="600955A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6.9%</w:t>
            </w:r>
          </w:p>
        </w:tc>
        <w:tc>
          <w:tcPr>
            <w:tcW w:w="960" w:type="dxa"/>
            <w:tcBorders>
              <w:top w:val="nil"/>
              <w:left w:val="nil"/>
              <w:bottom w:val="single" w:sz="8" w:space="0" w:color="E1E1E3"/>
              <w:right w:val="single" w:sz="8" w:space="0" w:color="E1E1E3"/>
            </w:tcBorders>
            <w:vAlign w:val="center"/>
            <w:hideMark/>
          </w:tcPr>
          <w:p w14:paraId="6127A72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6.6%</w:t>
            </w:r>
          </w:p>
        </w:tc>
        <w:tc>
          <w:tcPr>
            <w:tcW w:w="960" w:type="dxa"/>
            <w:tcBorders>
              <w:top w:val="nil"/>
              <w:left w:val="nil"/>
              <w:bottom w:val="single" w:sz="8" w:space="0" w:color="E1E1E3"/>
              <w:right w:val="single" w:sz="8" w:space="0" w:color="E1E1E3"/>
            </w:tcBorders>
            <w:vAlign w:val="center"/>
            <w:hideMark/>
          </w:tcPr>
          <w:p w14:paraId="4943976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114DC6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77F436A9" w14:textId="77777777" w:rsidTr="00873AE6">
        <w:trPr>
          <w:trHeight w:val="315"/>
        </w:trPr>
        <w:tc>
          <w:tcPr>
            <w:tcW w:w="1540" w:type="dxa"/>
            <w:vMerge w:val="restart"/>
            <w:tcBorders>
              <w:top w:val="nil"/>
              <w:left w:val="single" w:sz="8" w:space="0" w:color="E1E1E3"/>
              <w:bottom w:val="single" w:sz="8" w:space="0" w:color="E1E1E3"/>
              <w:right w:val="single" w:sz="8" w:space="0" w:color="E1E1E3"/>
            </w:tcBorders>
            <w:vAlign w:val="center"/>
            <w:hideMark/>
          </w:tcPr>
          <w:p w14:paraId="74BC75F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lang w:eastAsia="ru-RU"/>
              </w:rPr>
              <w:t>2025</w:t>
            </w:r>
          </w:p>
        </w:tc>
        <w:tc>
          <w:tcPr>
            <w:tcW w:w="3180" w:type="dxa"/>
            <w:tcBorders>
              <w:top w:val="nil"/>
              <w:left w:val="nil"/>
              <w:bottom w:val="single" w:sz="8" w:space="0" w:color="E1E1E3"/>
              <w:right w:val="single" w:sz="8" w:space="0" w:color="E1E1E3"/>
            </w:tcBorders>
            <w:vAlign w:val="center"/>
            <w:hideMark/>
          </w:tcPr>
          <w:p w14:paraId="7D05934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 xml:space="preserve"> ՄԺԾԾ 2026-2028</w:t>
            </w:r>
          </w:p>
        </w:tc>
        <w:tc>
          <w:tcPr>
            <w:tcW w:w="960" w:type="dxa"/>
            <w:tcBorders>
              <w:top w:val="nil"/>
              <w:left w:val="nil"/>
              <w:bottom w:val="single" w:sz="8" w:space="0" w:color="E1E1E3"/>
              <w:right w:val="single" w:sz="8" w:space="0" w:color="E1E1E3"/>
            </w:tcBorders>
            <w:vAlign w:val="center"/>
            <w:hideMark/>
          </w:tcPr>
          <w:p w14:paraId="59F057B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746225F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688.3</w:t>
            </w:r>
          </w:p>
        </w:tc>
        <w:tc>
          <w:tcPr>
            <w:tcW w:w="960" w:type="dxa"/>
            <w:tcBorders>
              <w:top w:val="nil"/>
              <w:left w:val="nil"/>
              <w:bottom w:val="single" w:sz="8" w:space="0" w:color="E1E1E3"/>
              <w:right w:val="single" w:sz="8" w:space="0" w:color="E1E1E3"/>
            </w:tcBorders>
            <w:vAlign w:val="center"/>
            <w:hideMark/>
          </w:tcPr>
          <w:p w14:paraId="7456E1F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701.3</w:t>
            </w:r>
          </w:p>
        </w:tc>
        <w:tc>
          <w:tcPr>
            <w:tcW w:w="960" w:type="dxa"/>
            <w:tcBorders>
              <w:top w:val="nil"/>
              <w:left w:val="nil"/>
              <w:bottom w:val="single" w:sz="8" w:space="0" w:color="E1E1E3"/>
              <w:right w:val="single" w:sz="8" w:space="0" w:color="E1E1E3"/>
            </w:tcBorders>
            <w:vAlign w:val="center"/>
            <w:hideMark/>
          </w:tcPr>
          <w:p w14:paraId="4428E44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754.2</w:t>
            </w:r>
          </w:p>
        </w:tc>
        <w:tc>
          <w:tcPr>
            <w:tcW w:w="960" w:type="dxa"/>
            <w:tcBorders>
              <w:top w:val="nil"/>
              <w:left w:val="nil"/>
              <w:bottom w:val="single" w:sz="8" w:space="0" w:color="E1E1E3"/>
              <w:right w:val="single" w:sz="8" w:space="0" w:color="E1E1E3"/>
            </w:tcBorders>
            <w:vAlign w:val="center"/>
            <w:hideMark/>
          </w:tcPr>
          <w:p w14:paraId="6FC96BC0"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824.6</w:t>
            </w:r>
          </w:p>
        </w:tc>
        <w:tc>
          <w:tcPr>
            <w:tcW w:w="960" w:type="dxa"/>
            <w:tcBorders>
              <w:top w:val="nil"/>
              <w:left w:val="nil"/>
              <w:bottom w:val="single" w:sz="8" w:space="0" w:color="E1E1E3"/>
              <w:right w:val="single" w:sz="8" w:space="0" w:color="E1E1E3"/>
            </w:tcBorders>
            <w:vAlign w:val="center"/>
            <w:hideMark/>
          </w:tcPr>
          <w:p w14:paraId="1D37924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0DEDA97D"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6EE1F56A"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6D90E5CE"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6ACD0B3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73529A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6.3%</w:t>
            </w:r>
          </w:p>
        </w:tc>
        <w:tc>
          <w:tcPr>
            <w:tcW w:w="960" w:type="dxa"/>
            <w:tcBorders>
              <w:top w:val="nil"/>
              <w:left w:val="nil"/>
              <w:bottom w:val="single" w:sz="8" w:space="0" w:color="E1E1E3"/>
              <w:right w:val="single" w:sz="8" w:space="0" w:color="E1E1E3"/>
            </w:tcBorders>
            <w:vAlign w:val="center"/>
            <w:hideMark/>
          </w:tcPr>
          <w:p w14:paraId="2D8BEDA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5.9%</w:t>
            </w:r>
          </w:p>
        </w:tc>
        <w:tc>
          <w:tcPr>
            <w:tcW w:w="960" w:type="dxa"/>
            <w:tcBorders>
              <w:top w:val="nil"/>
              <w:left w:val="nil"/>
              <w:bottom w:val="single" w:sz="8" w:space="0" w:color="E1E1E3"/>
              <w:right w:val="single" w:sz="8" w:space="0" w:color="E1E1E3"/>
            </w:tcBorders>
            <w:vAlign w:val="center"/>
            <w:hideMark/>
          </w:tcPr>
          <w:p w14:paraId="6C29989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5.9%</w:t>
            </w:r>
          </w:p>
        </w:tc>
        <w:tc>
          <w:tcPr>
            <w:tcW w:w="960" w:type="dxa"/>
            <w:tcBorders>
              <w:top w:val="nil"/>
              <w:left w:val="nil"/>
              <w:bottom w:val="single" w:sz="8" w:space="0" w:color="E1E1E3"/>
              <w:right w:val="single" w:sz="8" w:space="0" w:color="E1E1E3"/>
            </w:tcBorders>
            <w:vAlign w:val="center"/>
            <w:hideMark/>
          </w:tcPr>
          <w:p w14:paraId="12CF4F5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5.9%</w:t>
            </w:r>
          </w:p>
        </w:tc>
        <w:tc>
          <w:tcPr>
            <w:tcW w:w="960" w:type="dxa"/>
            <w:tcBorders>
              <w:top w:val="nil"/>
              <w:left w:val="nil"/>
              <w:bottom w:val="single" w:sz="8" w:space="0" w:color="E1E1E3"/>
              <w:right w:val="single" w:sz="8" w:space="0" w:color="E1E1E3"/>
            </w:tcBorders>
            <w:vAlign w:val="center"/>
            <w:hideMark/>
          </w:tcPr>
          <w:p w14:paraId="362393E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7953926E"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718BC61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1A3B94EF"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2026թ. Պետական բյուջե</w:t>
            </w:r>
          </w:p>
        </w:tc>
        <w:tc>
          <w:tcPr>
            <w:tcW w:w="960" w:type="dxa"/>
            <w:tcBorders>
              <w:top w:val="nil"/>
              <w:left w:val="nil"/>
              <w:bottom w:val="single" w:sz="8" w:space="0" w:color="E1E1E3"/>
              <w:right w:val="single" w:sz="8" w:space="0" w:color="E1E1E3"/>
            </w:tcBorders>
            <w:vAlign w:val="center"/>
            <w:hideMark/>
          </w:tcPr>
          <w:p w14:paraId="7ACD655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34B6D17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729.9</w:t>
            </w:r>
          </w:p>
        </w:tc>
        <w:tc>
          <w:tcPr>
            <w:tcW w:w="960" w:type="dxa"/>
            <w:tcBorders>
              <w:top w:val="nil"/>
              <w:left w:val="nil"/>
              <w:bottom w:val="single" w:sz="8" w:space="0" w:color="E1E1E3"/>
              <w:right w:val="single" w:sz="8" w:space="0" w:color="E1E1E3"/>
            </w:tcBorders>
            <w:vAlign w:val="center"/>
            <w:hideMark/>
          </w:tcPr>
          <w:p w14:paraId="648EA80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704.1</w:t>
            </w:r>
          </w:p>
        </w:tc>
        <w:tc>
          <w:tcPr>
            <w:tcW w:w="960" w:type="dxa"/>
            <w:tcBorders>
              <w:top w:val="nil"/>
              <w:left w:val="nil"/>
              <w:bottom w:val="single" w:sz="8" w:space="0" w:color="E1E1E3"/>
              <w:right w:val="single" w:sz="8" w:space="0" w:color="E1E1E3"/>
            </w:tcBorders>
            <w:vAlign w:val="center"/>
            <w:hideMark/>
          </w:tcPr>
          <w:p w14:paraId="4FD21B8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719.1</w:t>
            </w:r>
          </w:p>
        </w:tc>
        <w:tc>
          <w:tcPr>
            <w:tcW w:w="960" w:type="dxa"/>
            <w:tcBorders>
              <w:top w:val="nil"/>
              <w:left w:val="nil"/>
              <w:bottom w:val="single" w:sz="8" w:space="0" w:color="E1E1E3"/>
              <w:right w:val="single" w:sz="8" w:space="0" w:color="E1E1E3"/>
            </w:tcBorders>
            <w:vAlign w:val="center"/>
            <w:hideMark/>
          </w:tcPr>
          <w:p w14:paraId="4A768F8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803.1</w:t>
            </w:r>
          </w:p>
        </w:tc>
        <w:tc>
          <w:tcPr>
            <w:tcW w:w="960" w:type="dxa"/>
            <w:tcBorders>
              <w:top w:val="nil"/>
              <w:left w:val="nil"/>
              <w:bottom w:val="single" w:sz="8" w:space="0" w:color="E1E1E3"/>
              <w:right w:val="single" w:sz="8" w:space="0" w:color="E1E1E3"/>
            </w:tcBorders>
            <w:vAlign w:val="center"/>
            <w:hideMark/>
          </w:tcPr>
          <w:p w14:paraId="416C786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4CAC6F23"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16257AB4"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36E0FEDE"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709E5C5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06488F2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6.6%</w:t>
            </w:r>
          </w:p>
        </w:tc>
        <w:tc>
          <w:tcPr>
            <w:tcW w:w="960" w:type="dxa"/>
            <w:tcBorders>
              <w:top w:val="nil"/>
              <w:left w:val="nil"/>
              <w:bottom w:val="single" w:sz="8" w:space="0" w:color="E1E1E3"/>
              <w:right w:val="single" w:sz="8" w:space="0" w:color="E1E1E3"/>
            </w:tcBorders>
            <w:vAlign w:val="center"/>
            <w:hideMark/>
          </w:tcPr>
          <w:p w14:paraId="28A9A60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5.9%</w:t>
            </w:r>
          </w:p>
        </w:tc>
        <w:tc>
          <w:tcPr>
            <w:tcW w:w="960" w:type="dxa"/>
            <w:tcBorders>
              <w:top w:val="nil"/>
              <w:left w:val="nil"/>
              <w:bottom w:val="single" w:sz="8" w:space="0" w:color="E1E1E3"/>
              <w:right w:val="single" w:sz="8" w:space="0" w:color="E1E1E3"/>
            </w:tcBorders>
            <w:vAlign w:val="center"/>
            <w:hideMark/>
          </w:tcPr>
          <w:p w14:paraId="0F5293D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5.6%</w:t>
            </w:r>
          </w:p>
        </w:tc>
        <w:tc>
          <w:tcPr>
            <w:tcW w:w="960" w:type="dxa"/>
            <w:tcBorders>
              <w:top w:val="nil"/>
              <w:left w:val="nil"/>
              <w:bottom w:val="single" w:sz="8" w:space="0" w:color="E1E1E3"/>
              <w:right w:val="single" w:sz="8" w:space="0" w:color="E1E1E3"/>
            </w:tcBorders>
            <w:vAlign w:val="center"/>
            <w:hideMark/>
          </w:tcPr>
          <w:p w14:paraId="6DFD5A6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5.7%</w:t>
            </w:r>
          </w:p>
        </w:tc>
        <w:tc>
          <w:tcPr>
            <w:tcW w:w="960" w:type="dxa"/>
            <w:tcBorders>
              <w:top w:val="nil"/>
              <w:left w:val="nil"/>
              <w:bottom w:val="single" w:sz="8" w:space="0" w:color="E1E1E3"/>
              <w:right w:val="single" w:sz="8" w:space="0" w:color="E1E1E3"/>
            </w:tcBorders>
            <w:vAlign w:val="center"/>
            <w:hideMark/>
          </w:tcPr>
          <w:p w14:paraId="2B829C2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6D4479EF" w14:textId="77777777" w:rsidTr="00873AE6">
        <w:trPr>
          <w:trHeight w:val="315"/>
        </w:trPr>
        <w:tc>
          <w:tcPr>
            <w:tcW w:w="1540" w:type="dxa"/>
            <w:vMerge w:val="restart"/>
            <w:tcBorders>
              <w:top w:val="nil"/>
              <w:left w:val="single" w:sz="8" w:space="0" w:color="E1E1E3"/>
              <w:bottom w:val="single" w:sz="8" w:space="0" w:color="E1E1E3"/>
              <w:right w:val="single" w:sz="8" w:space="0" w:color="E1E1E3"/>
            </w:tcBorders>
            <w:vAlign w:val="center"/>
            <w:hideMark/>
          </w:tcPr>
          <w:p w14:paraId="0E3060B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2026</w:t>
            </w:r>
          </w:p>
        </w:tc>
        <w:tc>
          <w:tcPr>
            <w:tcW w:w="3180" w:type="dxa"/>
            <w:tcBorders>
              <w:top w:val="nil"/>
              <w:left w:val="nil"/>
              <w:bottom w:val="single" w:sz="8" w:space="0" w:color="E1E1E3"/>
              <w:right w:val="single" w:sz="8" w:space="0" w:color="E1E1E3"/>
            </w:tcBorders>
            <w:vAlign w:val="center"/>
            <w:hideMark/>
          </w:tcPr>
          <w:p w14:paraId="70FA2B02"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lang w:val="ru-RU"/>
              </w:rPr>
              <w:t xml:space="preserve"> ՄԺԾԾ 2027-2029</w:t>
            </w:r>
          </w:p>
        </w:tc>
        <w:tc>
          <w:tcPr>
            <w:tcW w:w="960" w:type="dxa"/>
            <w:tcBorders>
              <w:top w:val="nil"/>
              <w:left w:val="nil"/>
              <w:bottom w:val="single" w:sz="8" w:space="0" w:color="E1E1E3"/>
              <w:right w:val="single" w:sz="8" w:space="0" w:color="E1E1E3"/>
            </w:tcBorders>
            <w:vAlign w:val="center"/>
            <w:hideMark/>
          </w:tcPr>
          <w:p w14:paraId="4850DB3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60F6D7F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78C8431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697.7</w:t>
            </w:r>
          </w:p>
        </w:tc>
        <w:tc>
          <w:tcPr>
            <w:tcW w:w="960" w:type="dxa"/>
            <w:tcBorders>
              <w:top w:val="nil"/>
              <w:left w:val="nil"/>
              <w:bottom w:val="single" w:sz="8" w:space="0" w:color="E1E1E3"/>
              <w:right w:val="single" w:sz="8" w:space="0" w:color="E1E1E3"/>
            </w:tcBorders>
            <w:vAlign w:val="center"/>
            <w:hideMark/>
          </w:tcPr>
          <w:p w14:paraId="35C3EA0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769.5</w:t>
            </w:r>
          </w:p>
        </w:tc>
        <w:tc>
          <w:tcPr>
            <w:tcW w:w="960" w:type="dxa"/>
            <w:tcBorders>
              <w:top w:val="nil"/>
              <w:left w:val="nil"/>
              <w:bottom w:val="single" w:sz="8" w:space="0" w:color="E1E1E3"/>
              <w:right w:val="single" w:sz="8" w:space="0" w:color="E1E1E3"/>
            </w:tcBorders>
            <w:vAlign w:val="center"/>
            <w:hideMark/>
          </w:tcPr>
          <w:p w14:paraId="37F612C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872.2</w:t>
            </w:r>
          </w:p>
        </w:tc>
        <w:tc>
          <w:tcPr>
            <w:tcW w:w="960" w:type="dxa"/>
            <w:tcBorders>
              <w:top w:val="nil"/>
              <w:left w:val="nil"/>
              <w:bottom w:val="single" w:sz="8" w:space="0" w:color="E1E1E3"/>
              <w:right w:val="single" w:sz="8" w:space="0" w:color="E1E1E3"/>
            </w:tcBorders>
            <w:vAlign w:val="center"/>
            <w:hideMark/>
          </w:tcPr>
          <w:p w14:paraId="763BC01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970.2</w:t>
            </w:r>
          </w:p>
        </w:tc>
      </w:tr>
      <w:tr w:rsidR="00082769" w:rsidRPr="008B63B1" w14:paraId="48460BD6"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7706A85A"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55757F80"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17A9469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406CB3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3AE5F6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5.7%</w:t>
            </w:r>
          </w:p>
        </w:tc>
        <w:tc>
          <w:tcPr>
            <w:tcW w:w="960" w:type="dxa"/>
            <w:tcBorders>
              <w:top w:val="nil"/>
              <w:left w:val="nil"/>
              <w:bottom w:val="single" w:sz="8" w:space="0" w:color="E1E1E3"/>
              <w:right w:val="single" w:sz="8" w:space="0" w:color="E1E1E3"/>
            </w:tcBorders>
            <w:vAlign w:val="center"/>
            <w:hideMark/>
          </w:tcPr>
          <w:p w14:paraId="738E161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5.7%</w:t>
            </w:r>
          </w:p>
        </w:tc>
        <w:tc>
          <w:tcPr>
            <w:tcW w:w="960" w:type="dxa"/>
            <w:tcBorders>
              <w:top w:val="nil"/>
              <w:left w:val="nil"/>
              <w:bottom w:val="single" w:sz="8" w:space="0" w:color="E1E1E3"/>
              <w:right w:val="single" w:sz="8" w:space="0" w:color="E1E1E3"/>
            </w:tcBorders>
            <w:vAlign w:val="center"/>
            <w:hideMark/>
          </w:tcPr>
          <w:p w14:paraId="2CF2EC0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6.0%</w:t>
            </w:r>
          </w:p>
        </w:tc>
        <w:tc>
          <w:tcPr>
            <w:tcW w:w="960" w:type="dxa"/>
            <w:tcBorders>
              <w:top w:val="nil"/>
              <w:left w:val="nil"/>
              <w:bottom w:val="single" w:sz="8" w:space="0" w:color="E1E1E3"/>
              <w:right w:val="single" w:sz="8" w:space="0" w:color="E1E1E3"/>
            </w:tcBorders>
            <w:vAlign w:val="center"/>
            <w:hideMark/>
          </w:tcPr>
          <w:p w14:paraId="7E561A9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6.1%</w:t>
            </w:r>
          </w:p>
        </w:tc>
      </w:tr>
      <w:tr w:rsidR="00082769" w:rsidRPr="008B63B1" w14:paraId="3D89647B"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4240DE98"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4DA83C7E"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2027թ. Պետական բյուջե</w:t>
            </w:r>
          </w:p>
        </w:tc>
        <w:tc>
          <w:tcPr>
            <w:tcW w:w="960" w:type="dxa"/>
            <w:tcBorders>
              <w:top w:val="nil"/>
              <w:left w:val="nil"/>
              <w:bottom w:val="single" w:sz="8" w:space="0" w:color="E1E1E3"/>
              <w:right w:val="single" w:sz="8" w:space="0" w:color="E1E1E3"/>
            </w:tcBorders>
            <w:vAlign w:val="center"/>
            <w:hideMark/>
          </w:tcPr>
          <w:p w14:paraId="4A258E5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DD3181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464F2A4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679.6</w:t>
            </w:r>
          </w:p>
        </w:tc>
        <w:tc>
          <w:tcPr>
            <w:tcW w:w="960" w:type="dxa"/>
            <w:tcBorders>
              <w:top w:val="nil"/>
              <w:left w:val="nil"/>
              <w:bottom w:val="single" w:sz="8" w:space="0" w:color="E1E1E3"/>
              <w:right w:val="single" w:sz="8" w:space="0" w:color="E1E1E3"/>
            </w:tcBorders>
            <w:vAlign w:val="center"/>
            <w:hideMark/>
          </w:tcPr>
          <w:p w14:paraId="6616BBE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761.4</w:t>
            </w:r>
          </w:p>
        </w:tc>
        <w:tc>
          <w:tcPr>
            <w:tcW w:w="960" w:type="dxa"/>
            <w:tcBorders>
              <w:top w:val="nil"/>
              <w:left w:val="nil"/>
              <w:bottom w:val="single" w:sz="8" w:space="0" w:color="E1E1E3"/>
              <w:right w:val="single" w:sz="8" w:space="0" w:color="E1E1E3"/>
            </w:tcBorders>
            <w:vAlign w:val="center"/>
            <w:hideMark/>
          </w:tcPr>
          <w:p w14:paraId="1133E81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859.4</w:t>
            </w:r>
          </w:p>
        </w:tc>
        <w:tc>
          <w:tcPr>
            <w:tcW w:w="960" w:type="dxa"/>
            <w:tcBorders>
              <w:top w:val="nil"/>
              <w:left w:val="nil"/>
              <w:bottom w:val="single" w:sz="8" w:space="0" w:color="E1E1E3"/>
              <w:right w:val="single" w:sz="8" w:space="0" w:color="E1E1E3"/>
            </w:tcBorders>
            <w:vAlign w:val="center"/>
            <w:hideMark/>
          </w:tcPr>
          <w:p w14:paraId="0F5B52E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956.7</w:t>
            </w:r>
          </w:p>
        </w:tc>
      </w:tr>
      <w:tr w:rsidR="00082769" w:rsidRPr="008B63B1" w14:paraId="79735566"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5AE08B5D"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34F4FF7"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44BBA71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6E073BC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68D5A9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5.5%</w:t>
            </w:r>
          </w:p>
        </w:tc>
        <w:tc>
          <w:tcPr>
            <w:tcW w:w="960" w:type="dxa"/>
            <w:tcBorders>
              <w:top w:val="nil"/>
              <w:left w:val="nil"/>
              <w:bottom w:val="single" w:sz="8" w:space="0" w:color="E1E1E3"/>
              <w:right w:val="single" w:sz="8" w:space="0" w:color="E1E1E3"/>
            </w:tcBorders>
            <w:vAlign w:val="center"/>
            <w:hideMark/>
          </w:tcPr>
          <w:p w14:paraId="17D96BA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5.6%</w:t>
            </w:r>
          </w:p>
        </w:tc>
        <w:tc>
          <w:tcPr>
            <w:tcW w:w="960" w:type="dxa"/>
            <w:tcBorders>
              <w:top w:val="nil"/>
              <w:left w:val="nil"/>
              <w:bottom w:val="single" w:sz="8" w:space="0" w:color="E1E1E3"/>
              <w:right w:val="single" w:sz="8" w:space="0" w:color="E1E1E3"/>
            </w:tcBorders>
            <w:vAlign w:val="center"/>
            <w:hideMark/>
          </w:tcPr>
          <w:p w14:paraId="0B030DB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5.8%</w:t>
            </w:r>
          </w:p>
        </w:tc>
        <w:tc>
          <w:tcPr>
            <w:tcW w:w="960" w:type="dxa"/>
            <w:tcBorders>
              <w:top w:val="nil"/>
              <w:left w:val="nil"/>
              <w:bottom w:val="single" w:sz="8" w:space="0" w:color="E1E1E3"/>
              <w:right w:val="single" w:sz="8" w:space="0" w:color="E1E1E3"/>
            </w:tcBorders>
            <w:vAlign w:val="center"/>
            <w:hideMark/>
          </w:tcPr>
          <w:p w14:paraId="0F3182C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5.9%</w:t>
            </w:r>
          </w:p>
        </w:tc>
      </w:tr>
    </w:tbl>
    <w:p w14:paraId="69724CF8" w14:textId="77777777" w:rsidR="00082769" w:rsidRDefault="00082769" w:rsidP="00082769">
      <w:pPr>
        <w:ind w:hanging="11"/>
        <w:jc w:val="both"/>
        <w:rPr>
          <w:rFonts w:ascii="GHEA Grapalat" w:eastAsia="Times New Roman" w:hAnsi="GHEA Grapalat" w:cs="Times New Roman"/>
          <w:bCs/>
          <w:color w:val="404040"/>
          <w:szCs w:val="20"/>
        </w:rPr>
      </w:pPr>
    </w:p>
    <w:p w14:paraId="58A017F9" w14:textId="37844C5D" w:rsidR="00082769" w:rsidRPr="001D56CB" w:rsidRDefault="00082769" w:rsidP="001D56CB">
      <w:pPr>
        <w:pStyle w:val="Charts"/>
        <w:ind w:right="-22"/>
        <w:rPr>
          <w:b w:val="0"/>
          <w:bCs/>
          <w:color w:val="auto"/>
          <w:sz w:val="20"/>
          <w:szCs w:val="18"/>
        </w:rPr>
      </w:pPr>
      <w:r w:rsidRPr="001D56CB">
        <w:rPr>
          <w:b w:val="0"/>
          <w:bCs/>
          <w:color w:val="auto"/>
          <w:sz w:val="20"/>
          <w:szCs w:val="18"/>
        </w:rPr>
        <w:t>Աղյուսակ 2.9. Պետական բյուջեի պակասուրդի ֆինանսավորման կանխատեսումների համեմատական աղյուսակը, մլրդ ՀՀ դրամ</w:t>
      </w:r>
    </w:p>
    <w:tbl>
      <w:tblPr>
        <w:tblW w:w="10480" w:type="dxa"/>
        <w:tblInd w:w="-10" w:type="dxa"/>
        <w:tblLook w:val="04A0" w:firstRow="1" w:lastRow="0" w:firstColumn="1" w:lastColumn="0" w:noHBand="0" w:noVBand="1"/>
      </w:tblPr>
      <w:tblGrid>
        <w:gridCol w:w="1540"/>
        <w:gridCol w:w="3180"/>
        <w:gridCol w:w="960"/>
        <w:gridCol w:w="960"/>
        <w:gridCol w:w="960"/>
        <w:gridCol w:w="960"/>
        <w:gridCol w:w="960"/>
        <w:gridCol w:w="960"/>
      </w:tblGrid>
      <w:tr w:rsidR="00082769" w:rsidRPr="008B63B1" w14:paraId="2CA10892" w14:textId="77777777" w:rsidTr="00873AE6">
        <w:trPr>
          <w:trHeight w:val="555"/>
        </w:trPr>
        <w:tc>
          <w:tcPr>
            <w:tcW w:w="1540" w:type="dxa"/>
            <w:tcBorders>
              <w:top w:val="single" w:sz="8" w:space="0" w:color="E1E1E3"/>
              <w:left w:val="single" w:sz="8" w:space="0" w:color="E1E1E3"/>
              <w:bottom w:val="single" w:sz="8" w:space="0" w:color="E1E1E3"/>
              <w:right w:val="single" w:sz="8" w:space="0" w:color="E1E1E3"/>
            </w:tcBorders>
            <w:shd w:val="clear" w:color="000000" w:fill="D5DCE4"/>
            <w:vAlign w:val="center"/>
            <w:hideMark/>
          </w:tcPr>
          <w:p w14:paraId="10C49748"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Ընդունման տարին</w:t>
            </w:r>
          </w:p>
        </w:tc>
        <w:tc>
          <w:tcPr>
            <w:tcW w:w="3180" w:type="dxa"/>
            <w:tcBorders>
              <w:top w:val="single" w:sz="8" w:space="0" w:color="E1E1E3"/>
              <w:left w:val="nil"/>
              <w:bottom w:val="single" w:sz="8" w:space="0" w:color="E1E1E3"/>
              <w:right w:val="single" w:sz="8" w:space="0" w:color="E1E1E3"/>
            </w:tcBorders>
            <w:shd w:val="clear" w:color="000000" w:fill="D5DCE4"/>
            <w:noWrap/>
            <w:vAlign w:val="center"/>
            <w:hideMark/>
          </w:tcPr>
          <w:p w14:paraId="60EC673E" w14:textId="77777777" w:rsidR="00082769" w:rsidRPr="008B63B1" w:rsidRDefault="00082769" w:rsidP="00082769">
            <w:pPr>
              <w:spacing w:after="0" w:line="240" w:lineRule="auto"/>
              <w:ind w:hanging="11"/>
              <w:jc w:val="both"/>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Ծրագիր</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6841974D"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2024</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375666C0"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2025</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08B09E4F"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2026</w:t>
            </w:r>
          </w:p>
        </w:tc>
        <w:tc>
          <w:tcPr>
            <w:tcW w:w="960" w:type="dxa"/>
            <w:tcBorders>
              <w:top w:val="single" w:sz="8" w:space="0" w:color="E1E1E3"/>
              <w:left w:val="nil"/>
              <w:bottom w:val="single" w:sz="8" w:space="0" w:color="E1E1E3"/>
              <w:right w:val="single" w:sz="8" w:space="0" w:color="E1E1E3"/>
            </w:tcBorders>
            <w:shd w:val="clear" w:color="000000" w:fill="D5DCE4"/>
            <w:noWrap/>
            <w:vAlign w:val="center"/>
            <w:hideMark/>
          </w:tcPr>
          <w:p w14:paraId="7AB5E5E8"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2027</w:t>
            </w:r>
          </w:p>
        </w:tc>
        <w:tc>
          <w:tcPr>
            <w:tcW w:w="960" w:type="dxa"/>
            <w:tcBorders>
              <w:top w:val="single" w:sz="8" w:space="0" w:color="E1E1E3"/>
              <w:left w:val="nil"/>
              <w:bottom w:val="single" w:sz="8" w:space="0" w:color="E1E1E3"/>
              <w:right w:val="single" w:sz="8" w:space="0" w:color="E1E1E3"/>
            </w:tcBorders>
            <w:shd w:val="clear" w:color="000000" w:fill="D5DCE4"/>
            <w:vAlign w:val="center"/>
            <w:hideMark/>
          </w:tcPr>
          <w:p w14:paraId="2F41F1BD"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2028</w:t>
            </w:r>
          </w:p>
        </w:tc>
        <w:tc>
          <w:tcPr>
            <w:tcW w:w="960" w:type="dxa"/>
            <w:tcBorders>
              <w:top w:val="single" w:sz="8" w:space="0" w:color="E1E1E3"/>
              <w:left w:val="nil"/>
              <w:bottom w:val="single" w:sz="8" w:space="0" w:color="E1E1E3"/>
              <w:right w:val="single" w:sz="8" w:space="0" w:color="E1E1E3"/>
            </w:tcBorders>
            <w:shd w:val="clear" w:color="000000" w:fill="D5DCE4"/>
            <w:vAlign w:val="center"/>
            <w:hideMark/>
          </w:tcPr>
          <w:p w14:paraId="0FE3AE43" w14:textId="77777777" w:rsidR="00082769" w:rsidRPr="008B63B1" w:rsidRDefault="00082769" w:rsidP="00082769">
            <w:pPr>
              <w:spacing w:after="0" w:line="240" w:lineRule="auto"/>
              <w:ind w:hanging="11"/>
              <w:jc w:val="center"/>
              <w:rPr>
                <w:rFonts w:ascii="GHEA Grapalat" w:eastAsia="Times New Roman" w:hAnsi="GHEA Grapalat" w:cs="Calibri"/>
                <w:b/>
                <w:bCs/>
                <w:color w:val="404040"/>
                <w:sz w:val="18"/>
                <w:szCs w:val="18"/>
              </w:rPr>
            </w:pPr>
            <w:r w:rsidRPr="008B63B1">
              <w:rPr>
                <w:rFonts w:ascii="GHEA Grapalat" w:eastAsia="Times New Roman" w:hAnsi="GHEA Grapalat" w:cs="Calibri"/>
                <w:b/>
                <w:bCs/>
                <w:color w:val="404040"/>
                <w:sz w:val="18"/>
                <w:szCs w:val="18"/>
              </w:rPr>
              <w:t>2029</w:t>
            </w:r>
          </w:p>
        </w:tc>
      </w:tr>
      <w:tr w:rsidR="00082769" w:rsidRPr="008B63B1" w14:paraId="3B0E45CE"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38D2A6C6"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w:t>
            </w:r>
          </w:p>
        </w:tc>
        <w:tc>
          <w:tcPr>
            <w:tcW w:w="3180" w:type="dxa"/>
            <w:tcBorders>
              <w:top w:val="nil"/>
              <w:left w:val="nil"/>
              <w:bottom w:val="single" w:sz="8" w:space="0" w:color="E1E1E3"/>
              <w:right w:val="single" w:sz="8" w:space="0" w:color="E1E1E3"/>
            </w:tcBorders>
            <w:noWrap/>
            <w:vAlign w:val="center"/>
            <w:hideMark/>
          </w:tcPr>
          <w:p w14:paraId="0454DCB0"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Փաստացի</w:t>
            </w:r>
          </w:p>
        </w:tc>
        <w:tc>
          <w:tcPr>
            <w:tcW w:w="960" w:type="dxa"/>
            <w:tcBorders>
              <w:top w:val="nil"/>
              <w:left w:val="nil"/>
              <w:bottom w:val="single" w:sz="8" w:space="0" w:color="E1E1E3"/>
              <w:right w:val="single" w:sz="8" w:space="0" w:color="E1E1E3"/>
            </w:tcBorders>
            <w:noWrap/>
            <w:vAlign w:val="center"/>
            <w:hideMark/>
          </w:tcPr>
          <w:p w14:paraId="46A30ED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376.1</w:t>
            </w:r>
          </w:p>
        </w:tc>
        <w:tc>
          <w:tcPr>
            <w:tcW w:w="960" w:type="dxa"/>
            <w:tcBorders>
              <w:top w:val="nil"/>
              <w:left w:val="nil"/>
              <w:bottom w:val="single" w:sz="8" w:space="0" w:color="E1E1E3"/>
              <w:right w:val="single" w:sz="8" w:space="0" w:color="E1E1E3"/>
            </w:tcBorders>
            <w:noWrap/>
            <w:vAlign w:val="center"/>
            <w:hideMark/>
          </w:tcPr>
          <w:p w14:paraId="787D7C8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418.8</w:t>
            </w:r>
          </w:p>
        </w:tc>
        <w:tc>
          <w:tcPr>
            <w:tcW w:w="960" w:type="dxa"/>
            <w:tcBorders>
              <w:top w:val="nil"/>
              <w:left w:val="nil"/>
              <w:bottom w:val="single" w:sz="8" w:space="0" w:color="E1E1E3"/>
              <w:right w:val="single" w:sz="8" w:space="0" w:color="E1E1E3"/>
            </w:tcBorders>
            <w:noWrap/>
            <w:vAlign w:val="center"/>
            <w:hideMark/>
          </w:tcPr>
          <w:p w14:paraId="011F8E95"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2AD9284"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7DAA81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2A708E4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540DFCD3"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2D98C2C8"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58754F6B"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noWrap/>
            <w:vAlign w:val="center"/>
            <w:hideMark/>
          </w:tcPr>
          <w:p w14:paraId="277490C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3.7%</w:t>
            </w:r>
          </w:p>
        </w:tc>
        <w:tc>
          <w:tcPr>
            <w:tcW w:w="960" w:type="dxa"/>
            <w:tcBorders>
              <w:top w:val="nil"/>
              <w:left w:val="nil"/>
              <w:bottom w:val="single" w:sz="8" w:space="0" w:color="E1E1E3"/>
              <w:right w:val="single" w:sz="8" w:space="0" w:color="E1E1E3"/>
            </w:tcBorders>
            <w:noWrap/>
            <w:vAlign w:val="center"/>
            <w:hideMark/>
          </w:tcPr>
          <w:p w14:paraId="3DE2815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3.7%</w:t>
            </w:r>
          </w:p>
        </w:tc>
        <w:tc>
          <w:tcPr>
            <w:tcW w:w="960" w:type="dxa"/>
            <w:tcBorders>
              <w:top w:val="nil"/>
              <w:left w:val="nil"/>
              <w:bottom w:val="single" w:sz="8" w:space="0" w:color="E1E1E3"/>
              <w:right w:val="single" w:sz="8" w:space="0" w:color="E1E1E3"/>
            </w:tcBorders>
            <w:noWrap/>
            <w:vAlign w:val="center"/>
            <w:hideMark/>
          </w:tcPr>
          <w:p w14:paraId="358829FD"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43BFAAC6"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B073BE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F92F6A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6199D1B1"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37A90A6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2022</w:t>
            </w:r>
          </w:p>
        </w:tc>
        <w:tc>
          <w:tcPr>
            <w:tcW w:w="3180" w:type="dxa"/>
            <w:tcBorders>
              <w:top w:val="nil"/>
              <w:left w:val="nil"/>
              <w:bottom w:val="single" w:sz="8" w:space="0" w:color="E1E1E3"/>
              <w:right w:val="single" w:sz="8" w:space="0" w:color="E1E1E3"/>
            </w:tcBorders>
            <w:noWrap/>
            <w:vAlign w:val="center"/>
            <w:hideMark/>
          </w:tcPr>
          <w:p w14:paraId="6B013D3A"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2023-2025</w:t>
            </w:r>
          </w:p>
        </w:tc>
        <w:tc>
          <w:tcPr>
            <w:tcW w:w="960" w:type="dxa"/>
            <w:tcBorders>
              <w:top w:val="nil"/>
              <w:left w:val="nil"/>
              <w:bottom w:val="single" w:sz="8" w:space="0" w:color="E1E1E3"/>
              <w:right w:val="single" w:sz="8" w:space="0" w:color="E1E1E3"/>
            </w:tcBorders>
            <w:vAlign w:val="center"/>
            <w:hideMark/>
          </w:tcPr>
          <w:p w14:paraId="2996C72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417.3</w:t>
            </w:r>
          </w:p>
        </w:tc>
        <w:tc>
          <w:tcPr>
            <w:tcW w:w="960" w:type="dxa"/>
            <w:tcBorders>
              <w:top w:val="nil"/>
              <w:left w:val="nil"/>
              <w:bottom w:val="single" w:sz="8" w:space="0" w:color="E1E1E3"/>
              <w:right w:val="single" w:sz="8" w:space="0" w:color="E1E1E3"/>
            </w:tcBorders>
            <w:vAlign w:val="center"/>
            <w:hideMark/>
          </w:tcPr>
          <w:p w14:paraId="1863821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426.4</w:t>
            </w:r>
          </w:p>
        </w:tc>
        <w:tc>
          <w:tcPr>
            <w:tcW w:w="960" w:type="dxa"/>
            <w:tcBorders>
              <w:top w:val="nil"/>
              <w:left w:val="nil"/>
              <w:bottom w:val="single" w:sz="8" w:space="0" w:color="E1E1E3"/>
              <w:right w:val="single" w:sz="8" w:space="0" w:color="E1E1E3"/>
            </w:tcBorders>
            <w:noWrap/>
            <w:vAlign w:val="center"/>
            <w:hideMark/>
          </w:tcPr>
          <w:p w14:paraId="3C8221B7"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7544B43"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7D824C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2A06CAA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6F34CFD1"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650E6FC1"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5E23400"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01F1CBA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4.1%</w:t>
            </w:r>
          </w:p>
        </w:tc>
        <w:tc>
          <w:tcPr>
            <w:tcW w:w="960" w:type="dxa"/>
            <w:tcBorders>
              <w:top w:val="nil"/>
              <w:left w:val="nil"/>
              <w:bottom w:val="single" w:sz="8" w:space="0" w:color="E1E1E3"/>
              <w:right w:val="single" w:sz="8" w:space="0" w:color="E1E1E3"/>
            </w:tcBorders>
            <w:vAlign w:val="center"/>
            <w:hideMark/>
          </w:tcPr>
          <w:p w14:paraId="341D9B0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3.8%</w:t>
            </w:r>
          </w:p>
        </w:tc>
        <w:tc>
          <w:tcPr>
            <w:tcW w:w="960" w:type="dxa"/>
            <w:tcBorders>
              <w:top w:val="nil"/>
              <w:left w:val="nil"/>
              <w:bottom w:val="single" w:sz="8" w:space="0" w:color="E1E1E3"/>
              <w:right w:val="single" w:sz="8" w:space="0" w:color="E1E1E3"/>
            </w:tcBorders>
            <w:noWrap/>
            <w:vAlign w:val="center"/>
            <w:hideMark/>
          </w:tcPr>
          <w:p w14:paraId="6ED2516F"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58B0F01"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2CB60A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F4683A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74BF4F2E"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58156954"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4876A4A4"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2023թ. Պետական բյուջե</w:t>
            </w:r>
          </w:p>
        </w:tc>
        <w:tc>
          <w:tcPr>
            <w:tcW w:w="960" w:type="dxa"/>
            <w:tcBorders>
              <w:top w:val="nil"/>
              <w:left w:val="nil"/>
              <w:bottom w:val="single" w:sz="8" w:space="0" w:color="E1E1E3"/>
              <w:right w:val="single" w:sz="8" w:space="0" w:color="E1E1E3"/>
            </w:tcBorders>
            <w:vAlign w:val="center"/>
            <w:hideMark/>
          </w:tcPr>
          <w:p w14:paraId="0A96FB5A"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D356204"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63FE27BD"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28477A45"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92A5F2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4991ADA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19B05F78"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6A4D996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3E033B2B"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1D01BB49"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67AB11D"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0BE99E53"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C6B8223"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636C4417"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B7D1C3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1ACBDDA5"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1E4B513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2023</w:t>
            </w:r>
          </w:p>
        </w:tc>
        <w:tc>
          <w:tcPr>
            <w:tcW w:w="3180" w:type="dxa"/>
            <w:tcBorders>
              <w:top w:val="nil"/>
              <w:left w:val="nil"/>
              <w:bottom w:val="single" w:sz="8" w:space="0" w:color="E1E1E3"/>
              <w:right w:val="single" w:sz="8" w:space="0" w:color="E1E1E3"/>
            </w:tcBorders>
            <w:noWrap/>
            <w:vAlign w:val="center"/>
            <w:hideMark/>
          </w:tcPr>
          <w:p w14:paraId="4A78786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2024-2026</w:t>
            </w:r>
          </w:p>
        </w:tc>
        <w:tc>
          <w:tcPr>
            <w:tcW w:w="960" w:type="dxa"/>
            <w:tcBorders>
              <w:top w:val="nil"/>
              <w:left w:val="nil"/>
              <w:bottom w:val="single" w:sz="8" w:space="0" w:color="E1E1E3"/>
              <w:right w:val="single" w:sz="8" w:space="0" w:color="E1E1E3"/>
            </w:tcBorders>
            <w:vAlign w:val="center"/>
            <w:hideMark/>
          </w:tcPr>
          <w:p w14:paraId="0AB0398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446.5</w:t>
            </w:r>
          </w:p>
        </w:tc>
        <w:tc>
          <w:tcPr>
            <w:tcW w:w="960" w:type="dxa"/>
            <w:tcBorders>
              <w:top w:val="nil"/>
              <w:left w:val="nil"/>
              <w:bottom w:val="single" w:sz="8" w:space="0" w:color="E1E1E3"/>
              <w:right w:val="single" w:sz="8" w:space="0" w:color="E1E1E3"/>
            </w:tcBorders>
            <w:vAlign w:val="center"/>
            <w:hideMark/>
          </w:tcPr>
          <w:p w14:paraId="259B9A4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463.7</w:t>
            </w:r>
          </w:p>
        </w:tc>
        <w:tc>
          <w:tcPr>
            <w:tcW w:w="960" w:type="dxa"/>
            <w:tcBorders>
              <w:top w:val="nil"/>
              <w:left w:val="nil"/>
              <w:bottom w:val="single" w:sz="8" w:space="0" w:color="E1E1E3"/>
              <w:right w:val="single" w:sz="8" w:space="0" w:color="E1E1E3"/>
            </w:tcBorders>
            <w:vAlign w:val="center"/>
            <w:hideMark/>
          </w:tcPr>
          <w:p w14:paraId="5D7B66E5"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478.5</w:t>
            </w:r>
          </w:p>
        </w:tc>
        <w:tc>
          <w:tcPr>
            <w:tcW w:w="960" w:type="dxa"/>
            <w:tcBorders>
              <w:top w:val="nil"/>
              <w:left w:val="nil"/>
              <w:bottom w:val="single" w:sz="8" w:space="0" w:color="E1E1E3"/>
              <w:right w:val="single" w:sz="8" w:space="0" w:color="E1E1E3"/>
            </w:tcBorders>
            <w:vAlign w:val="center"/>
            <w:hideMark/>
          </w:tcPr>
          <w:p w14:paraId="622740BF"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16EBCC4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6F07D6E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7DA59E05"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1A02BD50"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6256CA4"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14C5D3D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4.2%</w:t>
            </w:r>
          </w:p>
        </w:tc>
        <w:tc>
          <w:tcPr>
            <w:tcW w:w="960" w:type="dxa"/>
            <w:tcBorders>
              <w:top w:val="nil"/>
              <w:left w:val="nil"/>
              <w:bottom w:val="single" w:sz="8" w:space="0" w:color="E1E1E3"/>
              <w:right w:val="single" w:sz="8" w:space="0" w:color="E1E1E3"/>
            </w:tcBorders>
            <w:vAlign w:val="center"/>
            <w:hideMark/>
          </w:tcPr>
          <w:p w14:paraId="045C366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3.9%</w:t>
            </w:r>
          </w:p>
        </w:tc>
        <w:tc>
          <w:tcPr>
            <w:tcW w:w="960" w:type="dxa"/>
            <w:tcBorders>
              <w:top w:val="nil"/>
              <w:left w:val="nil"/>
              <w:bottom w:val="single" w:sz="8" w:space="0" w:color="E1E1E3"/>
              <w:right w:val="single" w:sz="8" w:space="0" w:color="E1E1E3"/>
            </w:tcBorders>
            <w:vAlign w:val="center"/>
            <w:hideMark/>
          </w:tcPr>
          <w:p w14:paraId="60A08ED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3.6%</w:t>
            </w:r>
          </w:p>
        </w:tc>
        <w:tc>
          <w:tcPr>
            <w:tcW w:w="960" w:type="dxa"/>
            <w:tcBorders>
              <w:top w:val="nil"/>
              <w:left w:val="nil"/>
              <w:bottom w:val="single" w:sz="8" w:space="0" w:color="E1E1E3"/>
              <w:right w:val="single" w:sz="8" w:space="0" w:color="E1E1E3"/>
            </w:tcBorders>
            <w:vAlign w:val="center"/>
            <w:hideMark/>
          </w:tcPr>
          <w:p w14:paraId="0A95DF5A"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2A6271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2B37257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4469058E"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55AC2AD0"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48F35749"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2024թ. Պետական բյուջե</w:t>
            </w:r>
          </w:p>
        </w:tc>
        <w:tc>
          <w:tcPr>
            <w:tcW w:w="960" w:type="dxa"/>
            <w:tcBorders>
              <w:top w:val="nil"/>
              <w:left w:val="nil"/>
              <w:bottom w:val="single" w:sz="8" w:space="0" w:color="E1E1E3"/>
              <w:right w:val="single" w:sz="8" w:space="0" w:color="E1E1E3"/>
            </w:tcBorders>
            <w:vAlign w:val="center"/>
            <w:hideMark/>
          </w:tcPr>
          <w:p w14:paraId="3A6870A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482.9</w:t>
            </w:r>
          </w:p>
        </w:tc>
        <w:tc>
          <w:tcPr>
            <w:tcW w:w="960" w:type="dxa"/>
            <w:tcBorders>
              <w:top w:val="nil"/>
              <w:left w:val="nil"/>
              <w:bottom w:val="single" w:sz="8" w:space="0" w:color="E1E1E3"/>
              <w:right w:val="single" w:sz="8" w:space="0" w:color="E1E1E3"/>
            </w:tcBorders>
            <w:vAlign w:val="center"/>
            <w:hideMark/>
          </w:tcPr>
          <w:p w14:paraId="53B75891"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3BCD8399"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563E6504"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2B61B8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0F4AD20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6B83DA5C"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0C06E158"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EFFAEC1"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31E00E6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4.6%</w:t>
            </w:r>
          </w:p>
        </w:tc>
        <w:tc>
          <w:tcPr>
            <w:tcW w:w="960" w:type="dxa"/>
            <w:tcBorders>
              <w:top w:val="nil"/>
              <w:left w:val="nil"/>
              <w:bottom w:val="single" w:sz="8" w:space="0" w:color="E1E1E3"/>
              <w:right w:val="single" w:sz="8" w:space="0" w:color="E1E1E3"/>
            </w:tcBorders>
            <w:vAlign w:val="center"/>
            <w:hideMark/>
          </w:tcPr>
          <w:p w14:paraId="7B94B192"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noWrap/>
            <w:vAlign w:val="center"/>
            <w:hideMark/>
          </w:tcPr>
          <w:p w14:paraId="126D246E"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001B4324" w14:textId="77777777" w:rsidR="00082769" w:rsidRPr="008B63B1" w:rsidRDefault="00082769" w:rsidP="00082769">
            <w:pPr>
              <w:spacing w:after="0" w:line="240" w:lineRule="auto"/>
              <w:ind w:hanging="11"/>
              <w:rPr>
                <w:rFonts w:ascii="GHEA Grapalat" w:eastAsia="Times New Roman" w:hAnsi="GHEA Grapalat" w:cs="Calibri"/>
                <w:color w:val="000000"/>
              </w:rPr>
            </w:pPr>
            <w:r w:rsidRPr="008B63B1">
              <w:rPr>
                <w:rFonts w:ascii="Calibri" w:eastAsia="Times New Roman" w:hAnsi="Calibri" w:cs="Calibri"/>
                <w:color w:val="000000"/>
              </w:rPr>
              <w:t> </w:t>
            </w:r>
          </w:p>
        </w:tc>
        <w:tc>
          <w:tcPr>
            <w:tcW w:w="960" w:type="dxa"/>
            <w:tcBorders>
              <w:top w:val="nil"/>
              <w:left w:val="nil"/>
              <w:bottom w:val="single" w:sz="8" w:space="0" w:color="E1E1E3"/>
              <w:right w:val="single" w:sz="8" w:space="0" w:color="E1E1E3"/>
            </w:tcBorders>
            <w:vAlign w:val="center"/>
            <w:hideMark/>
          </w:tcPr>
          <w:p w14:paraId="30EB71E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37C884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5590A7CD" w14:textId="77777777" w:rsidTr="00873AE6">
        <w:trPr>
          <w:trHeight w:val="345"/>
        </w:trPr>
        <w:tc>
          <w:tcPr>
            <w:tcW w:w="1540" w:type="dxa"/>
            <w:vMerge w:val="restart"/>
            <w:tcBorders>
              <w:top w:val="nil"/>
              <w:left w:val="single" w:sz="8" w:space="0" w:color="E1E1E3"/>
              <w:bottom w:val="single" w:sz="8" w:space="0" w:color="E1E1E3"/>
              <w:right w:val="single" w:sz="8" w:space="0" w:color="E1E1E3"/>
            </w:tcBorders>
            <w:vAlign w:val="center"/>
            <w:hideMark/>
          </w:tcPr>
          <w:p w14:paraId="3C5CF6D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2024</w:t>
            </w:r>
          </w:p>
        </w:tc>
        <w:tc>
          <w:tcPr>
            <w:tcW w:w="3180" w:type="dxa"/>
            <w:tcBorders>
              <w:top w:val="nil"/>
              <w:left w:val="nil"/>
              <w:bottom w:val="single" w:sz="8" w:space="0" w:color="E1E1E3"/>
              <w:right w:val="single" w:sz="8" w:space="0" w:color="E1E1E3"/>
            </w:tcBorders>
            <w:noWrap/>
            <w:vAlign w:val="center"/>
            <w:hideMark/>
          </w:tcPr>
          <w:p w14:paraId="55760326"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ՄԺԾԾ 2025-2027</w:t>
            </w:r>
          </w:p>
        </w:tc>
        <w:tc>
          <w:tcPr>
            <w:tcW w:w="960" w:type="dxa"/>
            <w:tcBorders>
              <w:top w:val="nil"/>
              <w:left w:val="nil"/>
              <w:bottom w:val="single" w:sz="8" w:space="0" w:color="E1E1E3"/>
              <w:right w:val="single" w:sz="8" w:space="0" w:color="E1E1E3"/>
            </w:tcBorders>
            <w:vAlign w:val="center"/>
            <w:hideMark/>
          </w:tcPr>
          <w:p w14:paraId="2B63A45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482.9</w:t>
            </w:r>
          </w:p>
        </w:tc>
        <w:tc>
          <w:tcPr>
            <w:tcW w:w="960" w:type="dxa"/>
            <w:tcBorders>
              <w:top w:val="nil"/>
              <w:left w:val="nil"/>
              <w:bottom w:val="single" w:sz="8" w:space="0" w:color="E1E1E3"/>
              <w:right w:val="single" w:sz="8" w:space="0" w:color="E1E1E3"/>
            </w:tcBorders>
            <w:vAlign w:val="center"/>
            <w:hideMark/>
          </w:tcPr>
          <w:p w14:paraId="28A582A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615.8</w:t>
            </w:r>
          </w:p>
        </w:tc>
        <w:tc>
          <w:tcPr>
            <w:tcW w:w="960" w:type="dxa"/>
            <w:tcBorders>
              <w:top w:val="nil"/>
              <w:left w:val="nil"/>
              <w:bottom w:val="single" w:sz="8" w:space="0" w:color="E1E1E3"/>
              <w:right w:val="single" w:sz="8" w:space="0" w:color="E1E1E3"/>
            </w:tcBorders>
            <w:vAlign w:val="center"/>
            <w:hideMark/>
          </w:tcPr>
          <w:p w14:paraId="709194E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553.9</w:t>
            </w:r>
          </w:p>
        </w:tc>
        <w:tc>
          <w:tcPr>
            <w:tcW w:w="960" w:type="dxa"/>
            <w:tcBorders>
              <w:top w:val="nil"/>
              <w:left w:val="nil"/>
              <w:bottom w:val="single" w:sz="8" w:space="0" w:color="E1E1E3"/>
              <w:right w:val="single" w:sz="8" w:space="0" w:color="E1E1E3"/>
            </w:tcBorders>
            <w:vAlign w:val="center"/>
            <w:hideMark/>
          </w:tcPr>
          <w:p w14:paraId="1C0A857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472.7</w:t>
            </w:r>
          </w:p>
        </w:tc>
        <w:tc>
          <w:tcPr>
            <w:tcW w:w="960" w:type="dxa"/>
            <w:tcBorders>
              <w:top w:val="nil"/>
              <w:left w:val="nil"/>
              <w:bottom w:val="single" w:sz="8" w:space="0" w:color="E1E1E3"/>
              <w:right w:val="single" w:sz="8" w:space="0" w:color="E1E1E3"/>
            </w:tcBorders>
            <w:vAlign w:val="center"/>
            <w:hideMark/>
          </w:tcPr>
          <w:p w14:paraId="5AAFD3F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2663967B"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3FF118EE"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29824960"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645C2EB" w14:textId="77777777" w:rsidR="00082769" w:rsidRPr="008B63B1" w:rsidRDefault="00082769" w:rsidP="00082769">
            <w:pPr>
              <w:spacing w:after="0" w:line="240" w:lineRule="auto"/>
              <w:ind w:hanging="11"/>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3D53591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4.7%</w:t>
            </w:r>
          </w:p>
        </w:tc>
        <w:tc>
          <w:tcPr>
            <w:tcW w:w="960" w:type="dxa"/>
            <w:tcBorders>
              <w:top w:val="nil"/>
              <w:left w:val="nil"/>
              <w:bottom w:val="single" w:sz="8" w:space="0" w:color="E1E1E3"/>
              <w:right w:val="single" w:sz="8" w:space="0" w:color="E1E1E3"/>
            </w:tcBorders>
            <w:vAlign w:val="center"/>
            <w:hideMark/>
          </w:tcPr>
          <w:p w14:paraId="418D5EC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5.5%</w:t>
            </w:r>
          </w:p>
        </w:tc>
        <w:tc>
          <w:tcPr>
            <w:tcW w:w="960" w:type="dxa"/>
            <w:tcBorders>
              <w:top w:val="nil"/>
              <w:left w:val="nil"/>
              <w:bottom w:val="single" w:sz="8" w:space="0" w:color="E1E1E3"/>
              <w:right w:val="single" w:sz="8" w:space="0" w:color="E1E1E3"/>
            </w:tcBorders>
            <w:vAlign w:val="center"/>
            <w:hideMark/>
          </w:tcPr>
          <w:p w14:paraId="677AFF6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4.5%</w:t>
            </w:r>
          </w:p>
        </w:tc>
        <w:tc>
          <w:tcPr>
            <w:tcW w:w="960" w:type="dxa"/>
            <w:tcBorders>
              <w:top w:val="nil"/>
              <w:left w:val="nil"/>
              <w:bottom w:val="single" w:sz="8" w:space="0" w:color="E1E1E3"/>
              <w:right w:val="single" w:sz="8" w:space="0" w:color="E1E1E3"/>
            </w:tcBorders>
            <w:vAlign w:val="center"/>
            <w:hideMark/>
          </w:tcPr>
          <w:p w14:paraId="74A58C0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3.5%</w:t>
            </w:r>
          </w:p>
        </w:tc>
        <w:tc>
          <w:tcPr>
            <w:tcW w:w="960" w:type="dxa"/>
            <w:tcBorders>
              <w:top w:val="nil"/>
              <w:left w:val="nil"/>
              <w:bottom w:val="single" w:sz="8" w:space="0" w:color="E1E1E3"/>
              <w:right w:val="single" w:sz="8" w:space="0" w:color="E1E1E3"/>
            </w:tcBorders>
            <w:vAlign w:val="center"/>
            <w:hideMark/>
          </w:tcPr>
          <w:p w14:paraId="0DF8DDEE"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F66A5B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534C85B2"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1F563110"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noWrap/>
            <w:vAlign w:val="center"/>
            <w:hideMark/>
          </w:tcPr>
          <w:p w14:paraId="48A4FB0B"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2025թ. Պետական բյուջե</w:t>
            </w:r>
          </w:p>
        </w:tc>
        <w:tc>
          <w:tcPr>
            <w:tcW w:w="960" w:type="dxa"/>
            <w:tcBorders>
              <w:top w:val="nil"/>
              <w:left w:val="nil"/>
              <w:bottom w:val="single" w:sz="8" w:space="0" w:color="E1E1E3"/>
              <w:right w:val="single" w:sz="8" w:space="0" w:color="E1E1E3"/>
            </w:tcBorders>
            <w:vAlign w:val="center"/>
            <w:hideMark/>
          </w:tcPr>
          <w:p w14:paraId="7C3FB2B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482.9</w:t>
            </w:r>
          </w:p>
        </w:tc>
        <w:tc>
          <w:tcPr>
            <w:tcW w:w="960" w:type="dxa"/>
            <w:tcBorders>
              <w:top w:val="nil"/>
              <w:left w:val="nil"/>
              <w:bottom w:val="single" w:sz="8" w:space="0" w:color="E1E1E3"/>
              <w:right w:val="single" w:sz="8" w:space="0" w:color="E1E1E3"/>
            </w:tcBorders>
            <w:vAlign w:val="center"/>
            <w:hideMark/>
          </w:tcPr>
          <w:p w14:paraId="32B892B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604.0</w:t>
            </w:r>
          </w:p>
        </w:tc>
        <w:tc>
          <w:tcPr>
            <w:tcW w:w="960" w:type="dxa"/>
            <w:tcBorders>
              <w:top w:val="nil"/>
              <w:left w:val="nil"/>
              <w:bottom w:val="single" w:sz="8" w:space="0" w:color="E1E1E3"/>
              <w:right w:val="single" w:sz="8" w:space="0" w:color="E1E1E3"/>
            </w:tcBorders>
            <w:vAlign w:val="center"/>
            <w:hideMark/>
          </w:tcPr>
          <w:p w14:paraId="6DE0535C"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506.2</w:t>
            </w:r>
          </w:p>
        </w:tc>
        <w:tc>
          <w:tcPr>
            <w:tcW w:w="960" w:type="dxa"/>
            <w:tcBorders>
              <w:top w:val="nil"/>
              <w:left w:val="nil"/>
              <w:bottom w:val="single" w:sz="8" w:space="0" w:color="E1E1E3"/>
              <w:right w:val="single" w:sz="8" w:space="0" w:color="E1E1E3"/>
            </w:tcBorders>
            <w:vAlign w:val="center"/>
            <w:hideMark/>
          </w:tcPr>
          <w:p w14:paraId="51EAE010"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391.1</w:t>
            </w:r>
          </w:p>
        </w:tc>
        <w:tc>
          <w:tcPr>
            <w:tcW w:w="960" w:type="dxa"/>
            <w:tcBorders>
              <w:top w:val="nil"/>
              <w:left w:val="nil"/>
              <w:bottom w:val="single" w:sz="8" w:space="0" w:color="E1E1E3"/>
              <w:right w:val="single" w:sz="8" w:space="0" w:color="E1E1E3"/>
            </w:tcBorders>
            <w:vAlign w:val="center"/>
            <w:hideMark/>
          </w:tcPr>
          <w:p w14:paraId="3AA2B88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0F8DF06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6D1DD6A2" w14:textId="77777777" w:rsidTr="00873AE6">
        <w:trPr>
          <w:trHeight w:val="345"/>
        </w:trPr>
        <w:tc>
          <w:tcPr>
            <w:tcW w:w="1540" w:type="dxa"/>
            <w:vMerge/>
            <w:tcBorders>
              <w:top w:val="nil"/>
              <w:left w:val="single" w:sz="8" w:space="0" w:color="E1E1E3"/>
              <w:bottom w:val="single" w:sz="8" w:space="0" w:color="E1E1E3"/>
              <w:right w:val="single" w:sz="8" w:space="0" w:color="E1E1E3"/>
            </w:tcBorders>
            <w:vAlign w:val="center"/>
            <w:hideMark/>
          </w:tcPr>
          <w:p w14:paraId="39B1D52E"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764C258B"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62492B8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4.8%</w:t>
            </w:r>
          </w:p>
        </w:tc>
        <w:tc>
          <w:tcPr>
            <w:tcW w:w="960" w:type="dxa"/>
            <w:tcBorders>
              <w:top w:val="nil"/>
              <w:left w:val="nil"/>
              <w:bottom w:val="single" w:sz="8" w:space="0" w:color="E1E1E3"/>
              <w:right w:val="single" w:sz="8" w:space="0" w:color="E1E1E3"/>
            </w:tcBorders>
            <w:vAlign w:val="center"/>
            <w:hideMark/>
          </w:tcPr>
          <w:p w14:paraId="2C1882F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5.5%</w:t>
            </w:r>
          </w:p>
        </w:tc>
        <w:tc>
          <w:tcPr>
            <w:tcW w:w="960" w:type="dxa"/>
            <w:tcBorders>
              <w:top w:val="nil"/>
              <w:left w:val="nil"/>
              <w:bottom w:val="single" w:sz="8" w:space="0" w:color="E1E1E3"/>
              <w:right w:val="single" w:sz="8" w:space="0" w:color="E1E1E3"/>
            </w:tcBorders>
            <w:vAlign w:val="center"/>
            <w:hideMark/>
          </w:tcPr>
          <w:p w14:paraId="4365D15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4.2%</w:t>
            </w:r>
          </w:p>
        </w:tc>
        <w:tc>
          <w:tcPr>
            <w:tcW w:w="960" w:type="dxa"/>
            <w:tcBorders>
              <w:top w:val="nil"/>
              <w:left w:val="nil"/>
              <w:bottom w:val="single" w:sz="8" w:space="0" w:color="E1E1E3"/>
              <w:right w:val="single" w:sz="8" w:space="0" w:color="E1E1E3"/>
            </w:tcBorders>
            <w:vAlign w:val="center"/>
            <w:hideMark/>
          </w:tcPr>
          <w:p w14:paraId="341BED1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3.0%</w:t>
            </w:r>
          </w:p>
        </w:tc>
        <w:tc>
          <w:tcPr>
            <w:tcW w:w="960" w:type="dxa"/>
            <w:tcBorders>
              <w:top w:val="nil"/>
              <w:left w:val="nil"/>
              <w:bottom w:val="single" w:sz="8" w:space="0" w:color="E1E1E3"/>
              <w:right w:val="single" w:sz="8" w:space="0" w:color="E1E1E3"/>
            </w:tcBorders>
            <w:vAlign w:val="center"/>
            <w:hideMark/>
          </w:tcPr>
          <w:p w14:paraId="2E643F7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6E3681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270E43B4" w14:textId="77777777" w:rsidTr="00873AE6">
        <w:trPr>
          <w:trHeight w:val="315"/>
        </w:trPr>
        <w:tc>
          <w:tcPr>
            <w:tcW w:w="1540" w:type="dxa"/>
            <w:vMerge w:val="restart"/>
            <w:tcBorders>
              <w:top w:val="nil"/>
              <w:left w:val="single" w:sz="8" w:space="0" w:color="E1E1E3"/>
              <w:bottom w:val="single" w:sz="8" w:space="0" w:color="E1E1E3"/>
              <w:right w:val="single" w:sz="8" w:space="0" w:color="E1E1E3"/>
            </w:tcBorders>
            <w:vAlign w:val="center"/>
            <w:hideMark/>
          </w:tcPr>
          <w:p w14:paraId="2CBFE43D"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lang w:eastAsia="ru-RU"/>
              </w:rPr>
              <w:t>2025</w:t>
            </w:r>
          </w:p>
        </w:tc>
        <w:tc>
          <w:tcPr>
            <w:tcW w:w="3180" w:type="dxa"/>
            <w:tcBorders>
              <w:top w:val="nil"/>
              <w:left w:val="nil"/>
              <w:bottom w:val="single" w:sz="8" w:space="0" w:color="E1E1E3"/>
              <w:right w:val="single" w:sz="8" w:space="0" w:color="E1E1E3"/>
            </w:tcBorders>
            <w:vAlign w:val="center"/>
            <w:hideMark/>
          </w:tcPr>
          <w:p w14:paraId="58A3B47A"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 xml:space="preserve"> ՄԺԾԾ 2026-2028</w:t>
            </w:r>
          </w:p>
        </w:tc>
        <w:tc>
          <w:tcPr>
            <w:tcW w:w="960" w:type="dxa"/>
            <w:tcBorders>
              <w:top w:val="nil"/>
              <w:left w:val="nil"/>
              <w:bottom w:val="single" w:sz="8" w:space="0" w:color="E1E1E3"/>
              <w:right w:val="single" w:sz="8" w:space="0" w:color="E1E1E3"/>
            </w:tcBorders>
            <w:vAlign w:val="center"/>
            <w:hideMark/>
          </w:tcPr>
          <w:p w14:paraId="1B4F8EA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61F75F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603.7</w:t>
            </w:r>
          </w:p>
        </w:tc>
        <w:tc>
          <w:tcPr>
            <w:tcW w:w="960" w:type="dxa"/>
            <w:tcBorders>
              <w:top w:val="nil"/>
              <w:left w:val="nil"/>
              <w:bottom w:val="single" w:sz="8" w:space="0" w:color="E1E1E3"/>
              <w:right w:val="single" w:sz="8" w:space="0" w:color="E1E1E3"/>
            </w:tcBorders>
            <w:vAlign w:val="center"/>
            <w:hideMark/>
          </w:tcPr>
          <w:p w14:paraId="0FFCE5B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535.4</w:t>
            </w:r>
          </w:p>
        </w:tc>
        <w:tc>
          <w:tcPr>
            <w:tcW w:w="960" w:type="dxa"/>
            <w:tcBorders>
              <w:top w:val="nil"/>
              <w:left w:val="nil"/>
              <w:bottom w:val="single" w:sz="8" w:space="0" w:color="E1E1E3"/>
              <w:right w:val="single" w:sz="8" w:space="0" w:color="E1E1E3"/>
            </w:tcBorders>
            <w:vAlign w:val="center"/>
            <w:hideMark/>
          </w:tcPr>
          <w:p w14:paraId="74054950"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447.1</w:t>
            </w:r>
          </w:p>
        </w:tc>
        <w:tc>
          <w:tcPr>
            <w:tcW w:w="960" w:type="dxa"/>
            <w:tcBorders>
              <w:top w:val="nil"/>
              <w:left w:val="nil"/>
              <w:bottom w:val="single" w:sz="8" w:space="0" w:color="E1E1E3"/>
              <w:right w:val="single" w:sz="8" w:space="0" w:color="E1E1E3"/>
            </w:tcBorders>
            <w:vAlign w:val="center"/>
            <w:hideMark/>
          </w:tcPr>
          <w:p w14:paraId="09DA65D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391.3</w:t>
            </w:r>
          </w:p>
        </w:tc>
        <w:tc>
          <w:tcPr>
            <w:tcW w:w="960" w:type="dxa"/>
            <w:tcBorders>
              <w:top w:val="nil"/>
              <w:left w:val="nil"/>
              <w:bottom w:val="single" w:sz="8" w:space="0" w:color="E1E1E3"/>
              <w:right w:val="single" w:sz="8" w:space="0" w:color="E1E1E3"/>
            </w:tcBorders>
            <w:vAlign w:val="center"/>
            <w:hideMark/>
          </w:tcPr>
          <w:p w14:paraId="1A82CD64"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2ADB2FCE"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69482A14"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10832B5E"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1323706B"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19C865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5.5%</w:t>
            </w:r>
          </w:p>
        </w:tc>
        <w:tc>
          <w:tcPr>
            <w:tcW w:w="960" w:type="dxa"/>
            <w:tcBorders>
              <w:top w:val="nil"/>
              <w:left w:val="nil"/>
              <w:bottom w:val="single" w:sz="8" w:space="0" w:color="E1E1E3"/>
              <w:right w:val="single" w:sz="8" w:space="0" w:color="E1E1E3"/>
            </w:tcBorders>
            <w:vAlign w:val="center"/>
            <w:hideMark/>
          </w:tcPr>
          <w:p w14:paraId="7CDAD72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4.5%</w:t>
            </w:r>
          </w:p>
        </w:tc>
        <w:tc>
          <w:tcPr>
            <w:tcW w:w="960" w:type="dxa"/>
            <w:tcBorders>
              <w:top w:val="nil"/>
              <w:left w:val="nil"/>
              <w:bottom w:val="single" w:sz="8" w:space="0" w:color="E1E1E3"/>
              <w:right w:val="single" w:sz="8" w:space="0" w:color="E1E1E3"/>
            </w:tcBorders>
            <w:vAlign w:val="center"/>
            <w:hideMark/>
          </w:tcPr>
          <w:p w14:paraId="727BDBCF"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3.5%</w:t>
            </w:r>
          </w:p>
        </w:tc>
        <w:tc>
          <w:tcPr>
            <w:tcW w:w="960" w:type="dxa"/>
            <w:tcBorders>
              <w:top w:val="nil"/>
              <w:left w:val="nil"/>
              <w:bottom w:val="single" w:sz="8" w:space="0" w:color="E1E1E3"/>
              <w:right w:val="single" w:sz="8" w:space="0" w:color="E1E1E3"/>
            </w:tcBorders>
            <w:vAlign w:val="center"/>
            <w:hideMark/>
          </w:tcPr>
          <w:p w14:paraId="14AC97B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w:t>
            </w:r>
          </w:p>
        </w:tc>
        <w:tc>
          <w:tcPr>
            <w:tcW w:w="960" w:type="dxa"/>
            <w:tcBorders>
              <w:top w:val="nil"/>
              <w:left w:val="nil"/>
              <w:bottom w:val="single" w:sz="8" w:space="0" w:color="E1E1E3"/>
              <w:right w:val="single" w:sz="8" w:space="0" w:color="E1E1E3"/>
            </w:tcBorders>
            <w:vAlign w:val="center"/>
            <w:hideMark/>
          </w:tcPr>
          <w:p w14:paraId="3C447F7A"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51B1550D"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35C5CC6D"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0403C3B"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2026թ. Պետական բյուջե</w:t>
            </w:r>
          </w:p>
        </w:tc>
        <w:tc>
          <w:tcPr>
            <w:tcW w:w="960" w:type="dxa"/>
            <w:tcBorders>
              <w:top w:val="nil"/>
              <w:left w:val="nil"/>
              <w:bottom w:val="single" w:sz="8" w:space="0" w:color="E1E1E3"/>
              <w:right w:val="single" w:sz="8" w:space="0" w:color="E1E1E3"/>
            </w:tcBorders>
            <w:vAlign w:val="center"/>
            <w:hideMark/>
          </w:tcPr>
          <w:p w14:paraId="3B53539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06BB800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599.8</w:t>
            </w:r>
          </w:p>
        </w:tc>
        <w:tc>
          <w:tcPr>
            <w:tcW w:w="960" w:type="dxa"/>
            <w:tcBorders>
              <w:top w:val="nil"/>
              <w:left w:val="nil"/>
              <w:bottom w:val="single" w:sz="8" w:space="0" w:color="E1E1E3"/>
              <w:right w:val="single" w:sz="8" w:space="0" w:color="E1E1E3"/>
            </w:tcBorders>
            <w:vAlign w:val="center"/>
            <w:hideMark/>
          </w:tcPr>
          <w:p w14:paraId="622AAA03"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536.8</w:t>
            </w:r>
          </w:p>
        </w:tc>
        <w:tc>
          <w:tcPr>
            <w:tcW w:w="960" w:type="dxa"/>
            <w:tcBorders>
              <w:top w:val="nil"/>
              <w:left w:val="nil"/>
              <w:bottom w:val="single" w:sz="8" w:space="0" w:color="E1E1E3"/>
              <w:right w:val="single" w:sz="8" w:space="0" w:color="E1E1E3"/>
            </w:tcBorders>
            <w:vAlign w:val="center"/>
            <w:hideMark/>
          </w:tcPr>
          <w:p w14:paraId="19C9146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448.4</w:t>
            </w:r>
          </w:p>
        </w:tc>
        <w:tc>
          <w:tcPr>
            <w:tcW w:w="960" w:type="dxa"/>
            <w:tcBorders>
              <w:top w:val="nil"/>
              <w:left w:val="nil"/>
              <w:bottom w:val="single" w:sz="8" w:space="0" w:color="E1E1E3"/>
              <w:right w:val="single" w:sz="8" w:space="0" w:color="E1E1E3"/>
            </w:tcBorders>
            <w:vAlign w:val="center"/>
            <w:hideMark/>
          </w:tcPr>
          <w:p w14:paraId="522068B1"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392.4</w:t>
            </w:r>
          </w:p>
        </w:tc>
        <w:tc>
          <w:tcPr>
            <w:tcW w:w="960" w:type="dxa"/>
            <w:tcBorders>
              <w:top w:val="nil"/>
              <w:left w:val="nil"/>
              <w:bottom w:val="single" w:sz="8" w:space="0" w:color="E1E1E3"/>
              <w:right w:val="single" w:sz="8" w:space="0" w:color="E1E1E3"/>
            </w:tcBorders>
            <w:vAlign w:val="center"/>
            <w:hideMark/>
          </w:tcPr>
          <w:p w14:paraId="405D2DC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r>
      <w:tr w:rsidR="00082769" w:rsidRPr="008B63B1" w14:paraId="3D5E0123"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1B18AAF1"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1C62A383"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0F27A8C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7F82285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5.5%</w:t>
            </w:r>
          </w:p>
        </w:tc>
        <w:tc>
          <w:tcPr>
            <w:tcW w:w="960" w:type="dxa"/>
            <w:tcBorders>
              <w:top w:val="nil"/>
              <w:left w:val="nil"/>
              <w:bottom w:val="single" w:sz="8" w:space="0" w:color="E1E1E3"/>
              <w:right w:val="single" w:sz="8" w:space="0" w:color="E1E1E3"/>
            </w:tcBorders>
            <w:vAlign w:val="center"/>
            <w:hideMark/>
          </w:tcPr>
          <w:p w14:paraId="3F517F5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4.5%</w:t>
            </w:r>
          </w:p>
        </w:tc>
        <w:tc>
          <w:tcPr>
            <w:tcW w:w="960" w:type="dxa"/>
            <w:tcBorders>
              <w:top w:val="nil"/>
              <w:left w:val="nil"/>
              <w:bottom w:val="single" w:sz="8" w:space="0" w:color="E1E1E3"/>
              <w:right w:val="single" w:sz="8" w:space="0" w:color="E1E1E3"/>
            </w:tcBorders>
            <w:vAlign w:val="center"/>
            <w:hideMark/>
          </w:tcPr>
          <w:p w14:paraId="348F3D98"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3.5%</w:t>
            </w:r>
          </w:p>
        </w:tc>
        <w:tc>
          <w:tcPr>
            <w:tcW w:w="960" w:type="dxa"/>
            <w:tcBorders>
              <w:top w:val="nil"/>
              <w:left w:val="nil"/>
              <w:bottom w:val="single" w:sz="8" w:space="0" w:color="E1E1E3"/>
              <w:right w:val="single" w:sz="8" w:space="0" w:color="E1E1E3"/>
            </w:tcBorders>
            <w:vAlign w:val="center"/>
            <w:hideMark/>
          </w:tcPr>
          <w:p w14:paraId="763AB5E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w:t>
            </w:r>
          </w:p>
        </w:tc>
        <w:tc>
          <w:tcPr>
            <w:tcW w:w="960" w:type="dxa"/>
            <w:tcBorders>
              <w:top w:val="nil"/>
              <w:left w:val="nil"/>
              <w:bottom w:val="single" w:sz="8" w:space="0" w:color="E1E1E3"/>
              <w:right w:val="single" w:sz="8" w:space="0" w:color="E1E1E3"/>
            </w:tcBorders>
            <w:vAlign w:val="center"/>
            <w:hideMark/>
          </w:tcPr>
          <w:p w14:paraId="456135E9"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r>
      <w:tr w:rsidR="00082769" w:rsidRPr="008B63B1" w14:paraId="5E9CD476" w14:textId="77777777" w:rsidTr="00873AE6">
        <w:trPr>
          <w:trHeight w:val="315"/>
        </w:trPr>
        <w:tc>
          <w:tcPr>
            <w:tcW w:w="1540" w:type="dxa"/>
            <w:vMerge w:val="restart"/>
            <w:tcBorders>
              <w:top w:val="nil"/>
              <w:left w:val="single" w:sz="8" w:space="0" w:color="E1E1E3"/>
              <w:bottom w:val="single" w:sz="8" w:space="0" w:color="E1E1E3"/>
              <w:right w:val="single" w:sz="8" w:space="0" w:color="E1E1E3"/>
            </w:tcBorders>
            <w:vAlign w:val="center"/>
            <w:hideMark/>
          </w:tcPr>
          <w:p w14:paraId="5A5E7F38"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2026</w:t>
            </w:r>
          </w:p>
        </w:tc>
        <w:tc>
          <w:tcPr>
            <w:tcW w:w="3180" w:type="dxa"/>
            <w:tcBorders>
              <w:top w:val="nil"/>
              <w:left w:val="nil"/>
              <w:bottom w:val="single" w:sz="8" w:space="0" w:color="E1E1E3"/>
              <w:right w:val="single" w:sz="8" w:space="0" w:color="E1E1E3"/>
            </w:tcBorders>
            <w:vAlign w:val="center"/>
            <w:hideMark/>
          </w:tcPr>
          <w:p w14:paraId="76436992"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lang w:val="ru-RU"/>
              </w:rPr>
              <w:t xml:space="preserve"> ՄԺԾԾ 2027-2029</w:t>
            </w:r>
          </w:p>
        </w:tc>
        <w:tc>
          <w:tcPr>
            <w:tcW w:w="960" w:type="dxa"/>
            <w:tcBorders>
              <w:top w:val="nil"/>
              <w:left w:val="nil"/>
              <w:bottom w:val="single" w:sz="8" w:space="0" w:color="E1E1E3"/>
              <w:right w:val="single" w:sz="8" w:space="0" w:color="E1E1E3"/>
            </w:tcBorders>
            <w:vAlign w:val="center"/>
            <w:hideMark/>
          </w:tcPr>
          <w:p w14:paraId="13360B4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B5AE1A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0890AFF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495.3</w:t>
            </w:r>
          </w:p>
        </w:tc>
        <w:tc>
          <w:tcPr>
            <w:tcW w:w="960" w:type="dxa"/>
            <w:tcBorders>
              <w:top w:val="nil"/>
              <w:left w:val="nil"/>
              <w:bottom w:val="single" w:sz="8" w:space="0" w:color="E1E1E3"/>
              <w:right w:val="single" w:sz="8" w:space="0" w:color="E1E1E3"/>
            </w:tcBorders>
            <w:vAlign w:val="center"/>
            <w:hideMark/>
          </w:tcPr>
          <w:p w14:paraId="31BB9C2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441.8</w:t>
            </w:r>
          </w:p>
        </w:tc>
        <w:tc>
          <w:tcPr>
            <w:tcW w:w="960" w:type="dxa"/>
            <w:tcBorders>
              <w:top w:val="nil"/>
              <w:left w:val="nil"/>
              <w:bottom w:val="single" w:sz="8" w:space="0" w:color="E1E1E3"/>
              <w:right w:val="single" w:sz="8" w:space="0" w:color="E1E1E3"/>
            </w:tcBorders>
            <w:vAlign w:val="center"/>
            <w:hideMark/>
          </w:tcPr>
          <w:p w14:paraId="05635772"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406.9</w:t>
            </w:r>
          </w:p>
        </w:tc>
        <w:tc>
          <w:tcPr>
            <w:tcW w:w="960" w:type="dxa"/>
            <w:tcBorders>
              <w:top w:val="nil"/>
              <w:left w:val="nil"/>
              <w:bottom w:val="single" w:sz="8" w:space="0" w:color="E1E1E3"/>
              <w:right w:val="single" w:sz="8" w:space="0" w:color="E1E1E3"/>
            </w:tcBorders>
            <w:vAlign w:val="center"/>
            <w:hideMark/>
          </w:tcPr>
          <w:p w14:paraId="4F1E75D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286.5</w:t>
            </w:r>
          </w:p>
        </w:tc>
      </w:tr>
      <w:tr w:rsidR="00082769" w:rsidRPr="008B63B1" w14:paraId="41B0CF90"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418F94A6"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3C467FB8"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779E806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16B098A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0FDC2EBC"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4.0%</w:t>
            </w:r>
          </w:p>
        </w:tc>
        <w:tc>
          <w:tcPr>
            <w:tcW w:w="960" w:type="dxa"/>
            <w:tcBorders>
              <w:top w:val="nil"/>
              <w:left w:val="nil"/>
              <w:bottom w:val="single" w:sz="8" w:space="0" w:color="E1E1E3"/>
              <w:right w:val="single" w:sz="8" w:space="0" w:color="E1E1E3"/>
            </w:tcBorders>
            <w:vAlign w:val="center"/>
            <w:hideMark/>
          </w:tcPr>
          <w:p w14:paraId="0CF99866"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3.3%</w:t>
            </w:r>
          </w:p>
        </w:tc>
        <w:tc>
          <w:tcPr>
            <w:tcW w:w="960" w:type="dxa"/>
            <w:tcBorders>
              <w:top w:val="nil"/>
              <w:left w:val="nil"/>
              <w:bottom w:val="single" w:sz="8" w:space="0" w:color="E1E1E3"/>
              <w:right w:val="single" w:sz="8" w:space="0" w:color="E1E1E3"/>
            </w:tcBorders>
            <w:vAlign w:val="center"/>
            <w:hideMark/>
          </w:tcPr>
          <w:p w14:paraId="5E583A1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w:t>
            </w:r>
          </w:p>
        </w:tc>
        <w:tc>
          <w:tcPr>
            <w:tcW w:w="960" w:type="dxa"/>
            <w:tcBorders>
              <w:top w:val="nil"/>
              <w:left w:val="nil"/>
              <w:bottom w:val="single" w:sz="8" w:space="0" w:color="E1E1E3"/>
              <w:right w:val="single" w:sz="8" w:space="0" w:color="E1E1E3"/>
            </w:tcBorders>
            <w:vAlign w:val="center"/>
            <w:hideMark/>
          </w:tcPr>
          <w:p w14:paraId="79B8CD81"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1.8%</w:t>
            </w:r>
          </w:p>
        </w:tc>
      </w:tr>
      <w:tr w:rsidR="00082769" w:rsidRPr="008B63B1" w14:paraId="51D0EA48"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3717B156"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22FB0AE8" w14:textId="77777777" w:rsidR="00082769" w:rsidRPr="008B63B1" w:rsidRDefault="00082769" w:rsidP="00082769">
            <w:pPr>
              <w:spacing w:after="0" w:line="240" w:lineRule="auto"/>
              <w:ind w:hanging="11"/>
              <w:jc w:val="both"/>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2027թ. Պետական բյուջե</w:t>
            </w:r>
          </w:p>
        </w:tc>
        <w:tc>
          <w:tcPr>
            <w:tcW w:w="960" w:type="dxa"/>
            <w:tcBorders>
              <w:top w:val="nil"/>
              <w:left w:val="nil"/>
              <w:bottom w:val="single" w:sz="8" w:space="0" w:color="E1E1E3"/>
              <w:right w:val="single" w:sz="8" w:space="0" w:color="E1E1E3"/>
            </w:tcBorders>
            <w:vAlign w:val="center"/>
            <w:hideMark/>
          </w:tcPr>
          <w:p w14:paraId="13DE37E2"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4F128529"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Calibri" w:eastAsia="Times New Roman" w:hAnsi="Calibri" w:cs="Calibri"/>
                <w:color w:val="404040"/>
                <w:sz w:val="18"/>
                <w:szCs w:val="18"/>
              </w:rPr>
              <w:t> </w:t>
            </w:r>
          </w:p>
        </w:tc>
        <w:tc>
          <w:tcPr>
            <w:tcW w:w="960" w:type="dxa"/>
            <w:tcBorders>
              <w:top w:val="nil"/>
              <w:left w:val="nil"/>
              <w:bottom w:val="single" w:sz="8" w:space="0" w:color="E1E1E3"/>
              <w:right w:val="single" w:sz="8" w:space="0" w:color="E1E1E3"/>
            </w:tcBorders>
            <w:vAlign w:val="center"/>
            <w:hideMark/>
          </w:tcPr>
          <w:p w14:paraId="148B483E"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504.2</w:t>
            </w:r>
          </w:p>
        </w:tc>
        <w:tc>
          <w:tcPr>
            <w:tcW w:w="960" w:type="dxa"/>
            <w:tcBorders>
              <w:top w:val="nil"/>
              <w:left w:val="nil"/>
              <w:bottom w:val="single" w:sz="8" w:space="0" w:color="E1E1E3"/>
              <w:right w:val="single" w:sz="8" w:space="0" w:color="E1E1E3"/>
            </w:tcBorders>
            <w:vAlign w:val="center"/>
            <w:hideMark/>
          </w:tcPr>
          <w:p w14:paraId="3E5F3DE7"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468.2</w:t>
            </w:r>
          </w:p>
        </w:tc>
        <w:tc>
          <w:tcPr>
            <w:tcW w:w="960" w:type="dxa"/>
            <w:tcBorders>
              <w:top w:val="nil"/>
              <w:left w:val="nil"/>
              <w:bottom w:val="single" w:sz="8" w:space="0" w:color="E1E1E3"/>
              <w:right w:val="single" w:sz="8" w:space="0" w:color="E1E1E3"/>
            </w:tcBorders>
            <w:vAlign w:val="center"/>
            <w:hideMark/>
          </w:tcPr>
          <w:p w14:paraId="66D6966A"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414.2</w:t>
            </w:r>
          </w:p>
        </w:tc>
        <w:tc>
          <w:tcPr>
            <w:tcW w:w="960" w:type="dxa"/>
            <w:tcBorders>
              <w:top w:val="nil"/>
              <w:left w:val="nil"/>
              <w:bottom w:val="single" w:sz="8" w:space="0" w:color="E1E1E3"/>
              <w:right w:val="single" w:sz="8" w:space="0" w:color="E1E1E3"/>
            </w:tcBorders>
            <w:vAlign w:val="center"/>
            <w:hideMark/>
          </w:tcPr>
          <w:p w14:paraId="515555FF" w14:textId="77777777" w:rsidR="00082769" w:rsidRPr="008B63B1" w:rsidRDefault="00082769" w:rsidP="00082769">
            <w:pPr>
              <w:spacing w:after="0" w:line="240" w:lineRule="auto"/>
              <w:ind w:hanging="11"/>
              <w:jc w:val="center"/>
              <w:rPr>
                <w:rFonts w:ascii="GHEA Grapalat" w:eastAsia="Times New Roman" w:hAnsi="GHEA Grapalat" w:cs="Calibri"/>
                <w:color w:val="404040"/>
                <w:sz w:val="18"/>
                <w:szCs w:val="18"/>
              </w:rPr>
            </w:pPr>
            <w:r w:rsidRPr="008B63B1">
              <w:rPr>
                <w:rFonts w:ascii="GHEA Grapalat" w:eastAsia="Times New Roman" w:hAnsi="GHEA Grapalat" w:cs="Calibri"/>
                <w:color w:val="404040"/>
                <w:sz w:val="18"/>
                <w:szCs w:val="18"/>
              </w:rPr>
              <w:t>291.4</w:t>
            </w:r>
          </w:p>
        </w:tc>
      </w:tr>
      <w:tr w:rsidR="00082769" w:rsidRPr="008B63B1" w14:paraId="674B57C6" w14:textId="77777777" w:rsidTr="00873AE6">
        <w:trPr>
          <w:trHeight w:val="315"/>
        </w:trPr>
        <w:tc>
          <w:tcPr>
            <w:tcW w:w="1540" w:type="dxa"/>
            <w:vMerge/>
            <w:tcBorders>
              <w:top w:val="nil"/>
              <w:left w:val="single" w:sz="8" w:space="0" w:color="E1E1E3"/>
              <w:bottom w:val="single" w:sz="8" w:space="0" w:color="E1E1E3"/>
              <w:right w:val="single" w:sz="8" w:space="0" w:color="E1E1E3"/>
            </w:tcBorders>
            <w:vAlign w:val="center"/>
            <w:hideMark/>
          </w:tcPr>
          <w:p w14:paraId="56B8B368" w14:textId="77777777" w:rsidR="00082769" w:rsidRPr="008B63B1" w:rsidRDefault="00082769" w:rsidP="00082769">
            <w:pPr>
              <w:spacing w:after="0" w:line="240" w:lineRule="auto"/>
              <w:ind w:hanging="11"/>
              <w:rPr>
                <w:rFonts w:ascii="GHEA Grapalat" w:eastAsia="Times New Roman" w:hAnsi="GHEA Grapalat" w:cs="Calibri"/>
                <w:color w:val="404040"/>
                <w:sz w:val="18"/>
                <w:szCs w:val="18"/>
              </w:rPr>
            </w:pPr>
          </w:p>
        </w:tc>
        <w:tc>
          <w:tcPr>
            <w:tcW w:w="3180" w:type="dxa"/>
            <w:tcBorders>
              <w:top w:val="nil"/>
              <w:left w:val="nil"/>
              <w:bottom w:val="single" w:sz="8" w:space="0" w:color="E1E1E3"/>
              <w:right w:val="single" w:sz="8" w:space="0" w:color="E1E1E3"/>
            </w:tcBorders>
            <w:vAlign w:val="center"/>
            <w:hideMark/>
          </w:tcPr>
          <w:p w14:paraId="06C7822A" w14:textId="77777777" w:rsidR="00082769" w:rsidRPr="008B63B1" w:rsidRDefault="00082769" w:rsidP="00082769">
            <w:pPr>
              <w:spacing w:after="0" w:line="240" w:lineRule="auto"/>
              <w:ind w:hanging="11"/>
              <w:jc w:val="both"/>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%-ով՝ ՀՆԱ-ի նկատմամբ</w:t>
            </w:r>
          </w:p>
        </w:tc>
        <w:tc>
          <w:tcPr>
            <w:tcW w:w="960" w:type="dxa"/>
            <w:tcBorders>
              <w:top w:val="nil"/>
              <w:left w:val="nil"/>
              <w:bottom w:val="single" w:sz="8" w:space="0" w:color="E1E1E3"/>
              <w:right w:val="single" w:sz="8" w:space="0" w:color="E1E1E3"/>
            </w:tcBorders>
            <w:vAlign w:val="center"/>
            <w:hideMark/>
          </w:tcPr>
          <w:p w14:paraId="2ED92F85"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5D00C5E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Calibri" w:eastAsia="Times New Roman" w:hAnsi="Calibri" w:cs="Calibri"/>
                <w:i/>
                <w:iCs/>
                <w:color w:val="A5A6AC"/>
                <w:sz w:val="18"/>
                <w:szCs w:val="18"/>
              </w:rPr>
              <w:t> </w:t>
            </w:r>
          </w:p>
        </w:tc>
        <w:tc>
          <w:tcPr>
            <w:tcW w:w="960" w:type="dxa"/>
            <w:tcBorders>
              <w:top w:val="nil"/>
              <w:left w:val="nil"/>
              <w:bottom w:val="single" w:sz="8" w:space="0" w:color="E1E1E3"/>
              <w:right w:val="single" w:sz="8" w:space="0" w:color="E1E1E3"/>
            </w:tcBorders>
            <w:vAlign w:val="center"/>
            <w:hideMark/>
          </w:tcPr>
          <w:p w14:paraId="01B403F0"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4.0%</w:t>
            </w:r>
          </w:p>
        </w:tc>
        <w:tc>
          <w:tcPr>
            <w:tcW w:w="960" w:type="dxa"/>
            <w:tcBorders>
              <w:top w:val="nil"/>
              <w:left w:val="nil"/>
              <w:bottom w:val="single" w:sz="8" w:space="0" w:color="E1E1E3"/>
              <w:right w:val="single" w:sz="8" w:space="0" w:color="E1E1E3"/>
            </w:tcBorders>
            <w:vAlign w:val="center"/>
            <w:hideMark/>
          </w:tcPr>
          <w:p w14:paraId="7207AE54"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3.4%</w:t>
            </w:r>
          </w:p>
        </w:tc>
        <w:tc>
          <w:tcPr>
            <w:tcW w:w="960" w:type="dxa"/>
            <w:tcBorders>
              <w:top w:val="nil"/>
              <w:left w:val="nil"/>
              <w:bottom w:val="single" w:sz="8" w:space="0" w:color="E1E1E3"/>
              <w:right w:val="single" w:sz="8" w:space="0" w:color="E1E1E3"/>
            </w:tcBorders>
            <w:vAlign w:val="center"/>
            <w:hideMark/>
          </w:tcPr>
          <w:p w14:paraId="2BB7C9CD"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2.8%</w:t>
            </w:r>
          </w:p>
        </w:tc>
        <w:tc>
          <w:tcPr>
            <w:tcW w:w="960" w:type="dxa"/>
            <w:tcBorders>
              <w:top w:val="nil"/>
              <w:left w:val="nil"/>
              <w:bottom w:val="single" w:sz="8" w:space="0" w:color="E1E1E3"/>
              <w:right w:val="single" w:sz="8" w:space="0" w:color="E1E1E3"/>
            </w:tcBorders>
            <w:vAlign w:val="center"/>
            <w:hideMark/>
          </w:tcPr>
          <w:p w14:paraId="44C57CA3" w14:textId="77777777" w:rsidR="00082769" w:rsidRPr="008B63B1" w:rsidRDefault="00082769" w:rsidP="00082769">
            <w:pPr>
              <w:spacing w:after="0" w:line="240" w:lineRule="auto"/>
              <w:ind w:hanging="11"/>
              <w:jc w:val="center"/>
              <w:rPr>
                <w:rFonts w:ascii="GHEA Grapalat" w:eastAsia="Times New Roman" w:hAnsi="GHEA Grapalat" w:cs="Calibri"/>
                <w:i/>
                <w:iCs/>
                <w:color w:val="A5A6AC"/>
                <w:sz w:val="18"/>
                <w:szCs w:val="18"/>
              </w:rPr>
            </w:pPr>
            <w:r w:rsidRPr="008B63B1">
              <w:rPr>
                <w:rFonts w:ascii="GHEA Grapalat" w:eastAsia="Times New Roman" w:hAnsi="GHEA Grapalat" w:cs="Calibri"/>
                <w:i/>
                <w:iCs/>
                <w:color w:val="A5A6AC"/>
                <w:sz w:val="18"/>
                <w:szCs w:val="18"/>
              </w:rPr>
              <w:t>1.8%</w:t>
            </w:r>
          </w:p>
        </w:tc>
      </w:tr>
    </w:tbl>
    <w:p w14:paraId="5073299C" w14:textId="77777777" w:rsidR="00082769" w:rsidRPr="008B63B1" w:rsidRDefault="00082769" w:rsidP="00082769">
      <w:pPr>
        <w:ind w:hanging="11"/>
        <w:jc w:val="both"/>
        <w:rPr>
          <w:rFonts w:ascii="GHEA Grapalat" w:eastAsia="Times New Roman" w:hAnsi="GHEA Grapalat" w:cs="Times New Roman"/>
          <w:i/>
          <w:color w:val="404040"/>
          <w:lang w:val="hy-AM"/>
        </w:rPr>
      </w:pPr>
    </w:p>
    <w:p w14:paraId="5E7E822B" w14:textId="496C0BE4"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63CD2ED2" w14:textId="17BA70F6"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3B9C9B2A" w14:textId="51D0EB29"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5835A848" w14:textId="6ECB6533"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2D57D07A" w14:textId="0FC13CD0"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2EAC51B6" w14:textId="16325809"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385DB15A" w14:textId="77777777"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55EAB083" w14:textId="77777777"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550382BB" w14:textId="77777777"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5FE6C671" w14:textId="77777777"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4C2EF688" w14:textId="77777777"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6A11C6F2" w14:textId="56137A4E"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6BE129B3" w14:textId="77777777"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6560FE76" w14:textId="77777777"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3641CEBA" w14:textId="560A7BDE"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621383DD" w14:textId="260FDD90"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743029B3" w14:textId="77777777"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3E230191" w14:textId="51842E9E"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789C29BA" w14:textId="77777777"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1B808E64" w14:textId="7E2C5DE8"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0313A059" w14:textId="77777777"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189F5A74" w14:textId="77777777"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0F15AF2C" w14:textId="444406C8"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3D30BBDD" w14:textId="3F874144"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47FEBD7F" w14:textId="2684FE5C" w:rsidR="001E113B" w:rsidRDefault="00262E30" w:rsidP="00082769">
      <w:pPr>
        <w:spacing w:before="0" w:after="160" w:line="278" w:lineRule="auto"/>
        <w:ind w:right="-22"/>
        <w:rPr>
          <w:rFonts w:ascii="GHEA Grapalat" w:eastAsia="Times New Roman" w:hAnsi="GHEA Grapalat" w:cs="Times New Roman"/>
          <w:color w:val="auto"/>
          <w:szCs w:val="20"/>
          <w:lang w:val="hy-AM"/>
        </w:rPr>
      </w:pPr>
      <w:r w:rsidRPr="000232DD">
        <w:rPr>
          <w:noProof/>
          <w:color w:val="auto"/>
        </w:rPr>
        <mc:AlternateContent>
          <mc:Choice Requires="wps">
            <w:drawing>
              <wp:anchor distT="0" distB="0" distL="114300" distR="114300" simplePos="0" relativeHeight="251692032" behindDoc="0" locked="0" layoutInCell="1" allowOverlap="1" wp14:anchorId="774A20A9" wp14:editId="571EC48C">
                <wp:simplePos x="0" y="0"/>
                <wp:positionH relativeFrom="page">
                  <wp:align>left</wp:align>
                </wp:positionH>
                <wp:positionV relativeFrom="paragraph">
                  <wp:posOffset>-695325</wp:posOffset>
                </wp:positionV>
                <wp:extent cx="7838440" cy="4200525"/>
                <wp:effectExtent l="0" t="0" r="0" b="9525"/>
                <wp:wrapNone/>
                <wp:docPr id="16120837" name="Rectangle 16120837"/>
                <wp:cNvGraphicFramePr/>
                <a:graphic xmlns:a="http://schemas.openxmlformats.org/drawingml/2006/main">
                  <a:graphicData uri="http://schemas.microsoft.com/office/word/2010/wordprocessingShape">
                    <wps:wsp>
                      <wps:cNvSpPr/>
                      <wps:spPr>
                        <a:xfrm>
                          <a:off x="0" y="0"/>
                          <a:ext cx="7838440" cy="4200525"/>
                        </a:xfrm>
                        <a:prstGeom prst="rect">
                          <a:avLst/>
                        </a:prstGeom>
                        <a:solidFill>
                          <a:srgbClr val="44546A">
                            <a:alpha val="9607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8EFC03" id="Rectangle 16120837" o:spid="_x0000_s1026" style="position:absolute;margin-left:0;margin-top:-54.75pt;width:617.2pt;height:330.75pt;z-index:25169203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" fillcolor="#44546a" stroked="f" strokeweight="1pt">
                <v:fill opacity="62965f"/>
                <w10:wrap anchorx="page"/>
              </v:rect>
            </w:pict>
          </mc:Fallback>
        </mc:AlternateContent>
      </w:r>
    </w:p>
    <w:p w14:paraId="4F7B8AAD" w14:textId="1D3B2F23"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4FBE545D" w14:textId="2B023123"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3A74816F" w14:textId="4D3188C6"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7E06E4FE" w14:textId="13FB309F"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38331DC6" w14:textId="62C2B0CA"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46CBE56C" w14:textId="36493A82"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3D89D788" w14:textId="3256633F" w:rsidR="001E113B" w:rsidRDefault="00262E30" w:rsidP="00082769">
      <w:pPr>
        <w:spacing w:before="0" w:after="160" w:line="278" w:lineRule="auto"/>
        <w:ind w:right="-22"/>
        <w:rPr>
          <w:rFonts w:ascii="GHEA Grapalat" w:eastAsia="Times New Roman" w:hAnsi="GHEA Grapalat" w:cs="Times New Roman"/>
          <w:color w:val="auto"/>
          <w:szCs w:val="20"/>
          <w:lang w:val="hy-AM"/>
        </w:rPr>
      </w:pPr>
      <w:r w:rsidRPr="00E2771A">
        <w:rPr>
          <w:i/>
          <w:noProof/>
        </w:rPr>
        <mc:AlternateContent>
          <mc:Choice Requires="wps">
            <w:drawing>
              <wp:anchor distT="0" distB="0" distL="114300" distR="114300" simplePos="0" relativeHeight="251764736" behindDoc="0" locked="0" layoutInCell="1" allowOverlap="1" wp14:anchorId="5676E898" wp14:editId="372A2F72">
                <wp:simplePos x="0" y="0"/>
                <wp:positionH relativeFrom="page">
                  <wp:align>right</wp:align>
                </wp:positionH>
                <wp:positionV relativeFrom="paragraph">
                  <wp:posOffset>405765</wp:posOffset>
                </wp:positionV>
                <wp:extent cx="8086725" cy="2481943"/>
                <wp:effectExtent l="0" t="0" r="0" b="0"/>
                <wp:wrapNone/>
                <wp:docPr id="1545876474" name="Text Box 1545876474"/>
                <wp:cNvGraphicFramePr/>
                <a:graphic xmlns:a="http://schemas.openxmlformats.org/drawingml/2006/main">
                  <a:graphicData uri="http://schemas.microsoft.com/office/word/2010/wordprocessingShape">
                    <wps:wsp>
                      <wps:cNvSpPr txBox="1"/>
                      <wps:spPr>
                        <a:xfrm>
                          <a:off x="0" y="0"/>
                          <a:ext cx="8086725" cy="2481943"/>
                        </a:xfrm>
                        <a:prstGeom prst="rect">
                          <a:avLst/>
                        </a:prstGeom>
                        <a:noFill/>
                        <a:ln w="6350">
                          <a:noFill/>
                        </a:ln>
                      </wps:spPr>
                      <wps:txbx>
                        <w:txbxContent>
                          <w:p w14:paraId="09F44FCB" w14:textId="77777777" w:rsidR="006C6FF6" w:rsidRPr="00F53DDF" w:rsidRDefault="006C6FF6" w:rsidP="00D2654C">
                            <w:pPr>
                              <w:pStyle w:val="TOC1"/>
                              <w:jc w:val="right"/>
                              <w:rPr>
                                <w:rFonts w:asciiTheme="minorHAnsi" w:hAnsiTheme="minorHAnsi"/>
                                <w:sz w:val="44"/>
                                <w:szCs w:val="44"/>
                                <w:lang w:val="hy-AM"/>
                              </w:rPr>
                            </w:pPr>
                            <w:bookmarkStart w:id="293" w:name="_Toc178608133"/>
                            <w:bookmarkStart w:id="294" w:name="_Toc178608212"/>
                            <w:bookmarkStart w:id="295" w:name="_Toc183785425"/>
                            <w:bookmarkStart w:id="296" w:name="_Toc209615928"/>
                            <w:bookmarkStart w:id="297" w:name="_Toc209625765"/>
                            <w:bookmarkStart w:id="298" w:name="_Toc209637256"/>
                            <w:bookmarkStart w:id="299" w:name="_Toc209694870"/>
                            <w:bookmarkStart w:id="300" w:name="_Toc209694984"/>
                            <w:r w:rsidRPr="00F53DDF">
                              <w:rPr>
                                <w:rFonts w:asciiTheme="minorHAnsi" w:hAnsiTheme="minorHAnsi"/>
                                <w:color w:val="FFFFFF" w:themeColor="background1"/>
                                <w:sz w:val="44"/>
                                <w:szCs w:val="44"/>
                                <w:lang w:val="hy-AM"/>
                              </w:rPr>
                              <w:t>ՄԱՍ II. «ՀԱՅԱՍՏԱՆԻ ՀԱՆՐԱՊԵՏՈՒԹՅԱՆ 2026 ԹՎԱԿԱՆԻ ՊԵՏԱԿԱՆ ԲՅՈՒՋԵԻ ՄԱՍԻՆ» ՀԱՅԱՍՏԱՆԻ</w:t>
                            </w:r>
                            <w:r w:rsidRPr="00F53DDF">
                              <w:rPr>
                                <w:rFonts w:asciiTheme="minorHAnsi" w:hAnsiTheme="minorHAnsi"/>
                                <w:sz w:val="44"/>
                                <w:szCs w:val="44"/>
                                <w:lang w:val="hy-AM"/>
                              </w:rPr>
                              <w:t xml:space="preserve"> ՀԱՆՐԱՊԵՏՈՒԹՅԱՆ ՕՐԵՆՔԻ ԲԱՑԱՏՐԱԳԻՐ</w:t>
                            </w:r>
                            <w:bookmarkEnd w:id="293"/>
                            <w:bookmarkEnd w:id="294"/>
                            <w:bookmarkEnd w:id="295"/>
                            <w:bookmarkEnd w:id="296"/>
                            <w:bookmarkEnd w:id="297"/>
                            <w:bookmarkEnd w:id="298"/>
                            <w:bookmarkEnd w:id="299"/>
                            <w:bookmarkEnd w:id="3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76E898" id="Text Box 1545876474" o:spid="_x0000_s1032" type="#_x0000_t202" style="position:absolute;margin-left:585.55pt;margin-top:31.95pt;width:636.75pt;height:195.45pt;z-index:2517647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" filled="f" stroked="f" strokeweight=".5pt">
                <v:textbox>
                  <w:txbxContent>
                    <w:p w14:paraId="09F44FCB" w14:textId="77777777" w:rsidR="006C6FF6" w:rsidRPr="00F53DDF" w:rsidRDefault="006C6FF6" w:rsidP="00D2654C">
                      <w:pPr>
                        <w:pStyle w:val="TOC1"/>
                        <w:jc w:val="right"/>
                        <w:rPr>
                          <w:rFonts w:asciiTheme="minorHAnsi" w:hAnsiTheme="minorHAnsi"/>
                          <w:sz w:val="44"/>
                          <w:szCs w:val="44"/>
                          <w:lang w:val="hy-AM"/>
                        </w:rPr>
                      </w:pPr>
                      <w:bookmarkStart w:id="345" w:name="_Toc178608133"/>
                      <w:bookmarkStart w:id="346" w:name="_Toc178608212"/>
                      <w:bookmarkStart w:id="347" w:name="_Toc183785425"/>
                      <w:bookmarkStart w:id="348" w:name="_Toc209615928"/>
                      <w:bookmarkStart w:id="349" w:name="_Toc209625765"/>
                      <w:bookmarkStart w:id="350" w:name="_Toc209637256"/>
                      <w:bookmarkStart w:id="351" w:name="_Toc209694870"/>
                      <w:bookmarkStart w:id="352" w:name="_Toc209694984"/>
                      <w:r w:rsidRPr="00F53DDF">
                        <w:rPr>
                          <w:rFonts w:asciiTheme="minorHAnsi" w:hAnsiTheme="minorHAnsi"/>
                          <w:color w:val="FFFFFF" w:themeColor="background1"/>
                          <w:sz w:val="44"/>
                          <w:szCs w:val="44"/>
                          <w:lang w:val="hy-AM"/>
                        </w:rPr>
                        <w:t>ՄԱՍ II. «ՀԱՅԱՍՏԱՆԻ ՀԱՆՐԱՊԵՏՈՒԹՅԱՆ 2026 ԹՎԱԿԱՆԻ ՊԵՏԱԿԱՆ ԲՅՈՒՋԵԻ ՄԱՍԻՆ» ՀԱՅԱՍՏԱՆԻ</w:t>
                      </w:r>
                      <w:r w:rsidRPr="00F53DDF">
                        <w:rPr>
                          <w:rFonts w:asciiTheme="minorHAnsi" w:hAnsiTheme="minorHAnsi"/>
                          <w:sz w:val="44"/>
                          <w:szCs w:val="44"/>
                          <w:lang w:val="hy-AM"/>
                        </w:rPr>
                        <w:t xml:space="preserve"> ՀԱՆՐԱՊԵՏՈՒԹՅԱՆ ՕՐԵՆՔԻ ԲԱՑԱՏՐԱԳԻՐ</w:t>
                      </w:r>
                      <w:bookmarkEnd w:id="345"/>
                      <w:bookmarkEnd w:id="346"/>
                      <w:bookmarkEnd w:id="347"/>
                      <w:bookmarkEnd w:id="348"/>
                      <w:bookmarkEnd w:id="349"/>
                      <w:bookmarkEnd w:id="350"/>
                      <w:bookmarkEnd w:id="351"/>
                      <w:bookmarkEnd w:id="352"/>
                    </w:p>
                  </w:txbxContent>
                </v:textbox>
                <w10:wrap anchorx="page"/>
              </v:shape>
            </w:pict>
          </mc:Fallback>
        </mc:AlternateContent>
      </w:r>
    </w:p>
    <w:p w14:paraId="61B76DE1" w14:textId="08049691"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538A022D" w14:textId="6D9CDEF3"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5307E811" w14:textId="08BF47AF"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2FF7CF60" w14:textId="0A8E0E87" w:rsidR="001E113B" w:rsidRDefault="001E113B" w:rsidP="00082769">
      <w:pPr>
        <w:spacing w:before="0" w:after="160" w:line="278" w:lineRule="auto"/>
        <w:ind w:right="-22"/>
        <w:rPr>
          <w:rFonts w:ascii="GHEA Grapalat" w:eastAsia="Times New Roman" w:hAnsi="GHEA Grapalat" w:cs="Times New Roman"/>
          <w:color w:val="auto"/>
          <w:szCs w:val="20"/>
          <w:lang w:val="hy-AM"/>
        </w:rPr>
      </w:pPr>
    </w:p>
    <w:p w14:paraId="4D89B0FC" w14:textId="4C5A1FBF" w:rsidR="00D2654C" w:rsidRDefault="00D2654C">
      <w:pPr>
        <w:spacing w:before="0" w:after="160" w:line="278" w:lineRule="auto"/>
        <w:rPr>
          <w:rFonts w:ascii="GHEA Grapalat" w:eastAsia="Times New Roman" w:hAnsi="GHEA Grapalat" w:cs="Times New Roman"/>
          <w:b/>
          <w:color w:val="auto"/>
          <w:sz w:val="30"/>
          <w:szCs w:val="20"/>
          <w:lang w:val="hy-AM"/>
        </w:rPr>
      </w:pPr>
      <w:r>
        <w:rPr>
          <w:rFonts w:ascii="GHEA Grapalat" w:eastAsia="Times New Roman" w:hAnsi="GHEA Grapalat" w:cs="Times New Roman"/>
          <w:b/>
          <w:color w:val="auto"/>
          <w:sz w:val="30"/>
          <w:szCs w:val="20"/>
          <w:lang w:val="hy-AM"/>
        </w:rPr>
        <w:br w:type="page"/>
      </w:r>
    </w:p>
    <w:p w14:paraId="22B3811C" w14:textId="54C61112" w:rsidR="00280C7E" w:rsidRPr="001E113B" w:rsidRDefault="00280C7E" w:rsidP="00082769">
      <w:pPr>
        <w:spacing w:before="0" w:after="160" w:line="278" w:lineRule="auto"/>
        <w:ind w:right="-22"/>
        <w:rPr>
          <w:rFonts w:ascii="GHEA Grapalat" w:eastAsia="Times New Roman" w:hAnsi="GHEA Grapalat" w:cs="Times New Roman"/>
          <w:color w:val="auto"/>
          <w:szCs w:val="20"/>
          <w:lang w:val="hy-AM"/>
        </w:rPr>
      </w:pPr>
      <w:r w:rsidRPr="000232DD">
        <w:rPr>
          <w:rFonts w:ascii="GHEA Grapalat" w:eastAsia="Times New Roman" w:hAnsi="GHEA Grapalat" w:cs="Times New Roman"/>
          <w:b/>
          <w:color w:val="auto"/>
          <w:sz w:val="30"/>
          <w:szCs w:val="20"/>
          <w:lang w:val="hy-AM"/>
        </w:rPr>
        <w:t>ՄԱՍ II -Ա ՊԵՏԱԿԱՆ ԲՅՈՒՋԵԻ ՑՈՒՑԱՆԻՇՆԵՐԻ ԿԱՆԽԱՏԵՍՈՒՄՆԵՐԸ</w:t>
      </w:r>
      <w:bookmarkEnd w:id="78"/>
      <w:bookmarkEnd w:id="254"/>
      <w:bookmarkEnd w:id="255"/>
      <w:r w:rsidRPr="000232DD">
        <w:rPr>
          <w:rFonts w:ascii="GHEA Grapalat" w:eastAsia="Times New Roman" w:hAnsi="GHEA Grapalat" w:cs="Times New Roman"/>
          <w:b/>
          <w:color w:val="auto"/>
          <w:sz w:val="30"/>
          <w:szCs w:val="20"/>
          <w:lang w:val="hy-AM"/>
        </w:rPr>
        <w:t xml:space="preserve"> </w:t>
      </w:r>
    </w:p>
    <w:p w14:paraId="5B6CDD65" w14:textId="77777777" w:rsidR="00280C7E" w:rsidRPr="00F53DDF" w:rsidRDefault="00280C7E" w:rsidP="00082769">
      <w:pPr>
        <w:pStyle w:val="Heading2"/>
        <w:spacing w:before="120" w:after="120"/>
        <w:ind w:right="-22"/>
        <w:jc w:val="both"/>
        <w:rPr>
          <w:rFonts w:ascii="GHEA Grapalat" w:hAnsi="GHEA Grapalat"/>
          <w:color w:val="ADADAD" w:themeColor="background2" w:themeShade="BF"/>
          <w:sz w:val="28"/>
          <w:szCs w:val="20"/>
          <w:lang w:val="hy-AM"/>
        </w:rPr>
      </w:pPr>
      <w:bookmarkStart w:id="301" w:name="_Toc178356577"/>
      <w:bookmarkStart w:id="302" w:name="_Toc241687674"/>
      <w:r w:rsidRPr="00F53DDF">
        <w:rPr>
          <w:rFonts w:ascii="GHEA Grapalat" w:hAnsi="GHEA Grapalat"/>
          <w:color w:val="ADADAD" w:themeColor="background2" w:themeShade="BF"/>
          <w:sz w:val="28"/>
          <w:szCs w:val="20"/>
          <w:lang w:val="hy-AM"/>
        </w:rPr>
        <w:t>ՀԱՐԿԱԲՅՈՒՋԵՏԱՅԻՆ ՍԿԶԲՈՒՆՔՆԵՐԸ ԵՎ ՑՈՒՑԱՆԻՇՆԵՐԸ</w:t>
      </w:r>
      <w:bookmarkEnd w:id="301"/>
      <w:bookmarkEnd w:id="302"/>
    </w:p>
    <w:p w14:paraId="7A765DCE" w14:textId="168C7B20" w:rsidR="00280C7E" w:rsidRPr="000232DD" w:rsidRDefault="00280C7E"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ՀՀ 2027 թվա</w:t>
      </w:r>
      <w:r w:rsidRPr="000232DD">
        <w:rPr>
          <w:rFonts w:ascii="GHEA Grapalat" w:eastAsia="Times New Roman" w:hAnsi="GHEA Grapalat" w:cs="Times New Roman"/>
          <w:color w:val="auto"/>
          <w:szCs w:val="20"/>
          <w:lang w:val="hy-AM"/>
        </w:rPr>
        <w:softHyphen/>
        <w:t>կա</w:t>
      </w:r>
      <w:r w:rsidRPr="000232DD">
        <w:rPr>
          <w:rFonts w:ascii="GHEA Grapalat" w:eastAsia="Times New Roman" w:hAnsi="GHEA Grapalat" w:cs="Times New Roman"/>
          <w:color w:val="auto"/>
          <w:szCs w:val="20"/>
          <w:lang w:val="hy-AM"/>
        </w:rPr>
        <w:softHyphen/>
      </w:r>
      <w:r w:rsidRPr="000232DD">
        <w:rPr>
          <w:rFonts w:ascii="GHEA Grapalat" w:eastAsia="Times New Roman" w:hAnsi="GHEA Grapalat" w:cs="Times New Roman"/>
          <w:color w:val="auto"/>
          <w:szCs w:val="20"/>
          <w:lang w:val="hy-AM"/>
        </w:rPr>
        <w:softHyphen/>
        <w:t>նի պետական բյուջեի մշակման ընթացքում ՀՀ կա</w:t>
      </w:r>
      <w:r w:rsidRPr="000232DD">
        <w:rPr>
          <w:rFonts w:ascii="GHEA Grapalat" w:eastAsia="Times New Roman" w:hAnsi="GHEA Grapalat" w:cs="Times New Roman"/>
          <w:color w:val="auto"/>
          <w:szCs w:val="20"/>
          <w:lang w:val="hy-AM"/>
        </w:rPr>
        <w:softHyphen/>
        <w:t>ռա</w:t>
      </w:r>
      <w:r w:rsidRPr="000232DD">
        <w:rPr>
          <w:rFonts w:ascii="GHEA Grapalat" w:eastAsia="Times New Roman" w:hAnsi="GHEA Grapalat" w:cs="Times New Roman"/>
          <w:color w:val="auto"/>
          <w:szCs w:val="20"/>
          <w:lang w:val="hy-AM"/>
        </w:rPr>
        <w:softHyphen/>
        <w:t>վա</w:t>
      </w:r>
      <w:r w:rsidRPr="000232DD">
        <w:rPr>
          <w:rFonts w:ascii="GHEA Grapalat" w:eastAsia="Times New Roman" w:hAnsi="GHEA Grapalat" w:cs="Times New Roman"/>
          <w:color w:val="auto"/>
          <w:szCs w:val="20"/>
          <w:lang w:val="hy-AM"/>
        </w:rPr>
        <w:softHyphen/>
      </w:r>
      <w:r w:rsidRPr="000232DD">
        <w:rPr>
          <w:rFonts w:ascii="GHEA Grapalat" w:eastAsia="Times New Roman" w:hAnsi="GHEA Grapalat" w:cs="Times New Roman"/>
          <w:color w:val="auto"/>
          <w:szCs w:val="20"/>
          <w:lang w:val="hy-AM"/>
        </w:rPr>
        <w:softHyphen/>
        <w:t>րու</w:t>
      </w:r>
      <w:r w:rsidRPr="000232DD">
        <w:rPr>
          <w:rFonts w:ascii="GHEA Grapalat" w:eastAsia="Times New Roman" w:hAnsi="GHEA Grapalat" w:cs="Times New Roman"/>
          <w:color w:val="auto"/>
          <w:szCs w:val="20"/>
          <w:lang w:val="hy-AM"/>
        </w:rPr>
        <w:softHyphen/>
        <w:t>թյունն առաջնորդվել է ՀՀ 2027-2029թթ. ՄԺԾԾ-ով ամրագրված հիմնական սկզբունքներով: Ստորև բերված Աղյուսակ 1</w:t>
      </w:r>
      <w:r w:rsidRPr="000232DD">
        <w:rPr>
          <w:rFonts w:ascii="GHEA Grapalat" w:eastAsia="Times New Roman" w:hAnsi="GHEA Grapalat" w:cs="Times New Roman"/>
          <w:color w:val="auto"/>
          <w:szCs w:val="20"/>
          <w:lang w:val="hy-AM"/>
        </w:rPr>
        <w:noBreakHyphen/>
        <w:t>ում ներկայացված են 2023-2029թթ</w:t>
      </w:r>
      <w:r w:rsidRPr="000232DD">
        <w:rPr>
          <w:rFonts w:ascii="Cambria Math" w:eastAsia="Times New Roman" w:hAnsi="Cambria Math" w:cs="Cambria Math"/>
          <w:color w:val="auto"/>
          <w:szCs w:val="20"/>
          <w:lang w:val="hy-AM"/>
        </w:rPr>
        <w:t>.</w:t>
      </w:r>
      <w:r w:rsidRPr="000232DD">
        <w:rPr>
          <w:rFonts w:ascii="GHEA Grapalat" w:eastAsia="Times New Roman" w:hAnsi="GHEA Grapalat" w:cs="Times New Roman"/>
          <w:color w:val="auto"/>
          <w:szCs w:val="20"/>
          <w:lang w:val="hy-AM"/>
        </w:rPr>
        <w:t xml:space="preserve"> պետական բյուջեների ամփոփ ցուցանիշները:</w:t>
      </w:r>
    </w:p>
    <w:p w14:paraId="29F99A2E" w14:textId="2631EED0" w:rsidR="00280C7E" w:rsidRPr="00E73A9A" w:rsidRDefault="00280C7E" w:rsidP="00E73A9A">
      <w:pPr>
        <w:pStyle w:val="Charts"/>
        <w:ind w:right="-22"/>
        <w:rPr>
          <w:b w:val="0"/>
          <w:bCs/>
          <w:color w:val="auto"/>
          <w:sz w:val="20"/>
          <w:szCs w:val="18"/>
        </w:rPr>
      </w:pPr>
      <w:bookmarkStart w:id="303" w:name="_Ref496723843"/>
      <w:bookmarkStart w:id="304" w:name="_Toc525773064"/>
      <w:bookmarkStart w:id="305" w:name="_Toc20590404"/>
      <w:bookmarkStart w:id="306" w:name="_Toc83928938"/>
      <w:bookmarkStart w:id="307" w:name="_Toc178350611"/>
      <w:bookmarkStart w:id="308" w:name="_Toc178612136"/>
      <w:bookmarkStart w:id="309" w:name="_Toc184110762"/>
      <w:bookmarkStart w:id="310" w:name="_Toc241602014"/>
      <w:r w:rsidRPr="00E73A9A">
        <w:rPr>
          <w:b w:val="0"/>
          <w:bCs/>
          <w:color w:val="auto"/>
          <w:sz w:val="20"/>
          <w:szCs w:val="18"/>
        </w:rPr>
        <w:t xml:space="preserve">Աղյուսակ </w:t>
      </w:r>
      <w:r w:rsidRPr="00E73A9A">
        <w:rPr>
          <w:b w:val="0"/>
          <w:bCs/>
          <w:color w:val="auto"/>
          <w:sz w:val="20"/>
          <w:szCs w:val="18"/>
        </w:rPr>
        <w:fldChar w:fldCharType="begin"/>
      </w:r>
      <w:r w:rsidRPr="00E73A9A">
        <w:rPr>
          <w:b w:val="0"/>
          <w:bCs/>
          <w:color w:val="auto"/>
          <w:sz w:val="20"/>
          <w:szCs w:val="18"/>
        </w:rPr>
        <w:instrText xml:space="preserve"> SEQ Աղյուսակ \* ARABIC </w:instrText>
      </w:r>
      <w:r w:rsidRPr="00E73A9A">
        <w:rPr>
          <w:b w:val="0"/>
          <w:bCs/>
          <w:color w:val="auto"/>
          <w:sz w:val="20"/>
          <w:szCs w:val="18"/>
        </w:rPr>
        <w:fldChar w:fldCharType="separate"/>
      </w:r>
      <w:r w:rsidR="00E46048">
        <w:rPr>
          <w:b w:val="0"/>
          <w:bCs/>
          <w:noProof/>
          <w:color w:val="auto"/>
          <w:sz w:val="20"/>
          <w:szCs w:val="18"/>
        </w:rPr>
        <w:t>1</w:t>
      </w:r>
      <w:r w:rsidRPr="00E73A9A">
        <w:rPr>
          <w:b w:val="0"/>
          <w:bCs/>
          <w:color w:val="auto"/>
          <w:sz w:val="20"/>
          <w:szCs w:val="18"/>
        </w:rPr>
        <w:fldChar w:fldCharType="end"/>
      </w:r>
      <w:r w:rsidRPr="00E73A9A">
        <w:rPr>
          <w:b w:val="0"/>
          <w:bCs/>
          <w:color w:val="auto"/>
          <w:sz w:val="20"/>
          <w:szCs w:val="18"/>
        </w:rPr>
        <w:t>. 202</w:t>
      </w:r>
      <w:r w:rsidR="001D7044" w:rsidRPr="00E73A9A">
        <w:rPr>
          <w:b w:val="0"/>
          <w:bCs/>
          <w:color w:val="auto"/>
          <w:sz w:val="20"/>
          <w:szCs w:val="18"/>
        </w:rPr>
        <w:t>3</w:t>
      </w:r>
      <w:r w:rsidRPr="00E73A9A">
        <w:rPr>
          <w:b w:val="0"/>
          <w:bCs/>
          <w:color w:val="auto"/>
          <w:sz w:val="20"/>
          <w:szCs w:val="18"/>
        </w:rPr>
        <w:t>-202</w:t>
      </w:r>
      <w:r w:rsidR="001D7044" w:rsidRPr="00E73A9A">
        <w:rPr>
          <w:b w:val="0"/>
          <w:bCs/>
          <w:color w:val="auto"/>
          <w:sz w:val="20"/>
          <w:szCs w:val="18"/>
        </w:rPr>
        <w:t>9</w:t>
      </w:r>
      <w:r w:rsidRPr="00E73A9A">
        <w:rPr>
          <w:b w:val="0"/>
          <w:bCs/>
          <w:color w:val="auto"/>
          <w:sz w:val="20"/>
          <w:szCs w:val="18"/>
        </w:rPr>
        <w:t>թթ</w:t>
      </w:r>
      <w:r w:rsidRPr="00E73A9A">
        <w:rPr>
          <w:rFonts w:ascii="Cambria Math" w:hAnsi="Cambria Math" w:cs="Cambria Math"/>
          <w:b w:val="0"/>
          <w:bCs/>
          <w:color w:val="auto"/>
          <w:sz w:val="20"/>
          <w:szCs w:val="18"/>
        </w:rPr>
        <w:t>․</w:t>
      </w:r>
      <w:r w:rsidRPr="00E73A9A">
        <w:rPr>
          <w:b w:val="0"/>
          <w:bCs/>
          <w:color w:val="auto"/>
          <w:sz w:val="20"/>
          <w:szCs w:val="18"/>
        </w:rPr>
        <w:t xml:space="preserve"> պետական բյուջեի ամփոփ ցուցանիշները</w:t>
      </w:r>
      <w:bookmarkEnd w:id="303"/>
      <w:bookmarkEnd w:id="304"/>
      <w:bookmarkEnd w:id="305"/>
      <w:r w:rsidRPr="00E73A9A">
        <w:rPr>
          <w:b w:val="0"/>
          <w:bCs/>
          <w:color w:val="auto"/>
          <w:sz w:val="20"/>
          <w:szCs w:val="18"/>
        </w:rPr>
        <w:t>, մլրդ դրամ</w:t>
      </w:r>
      <w:bookmarkEnd w:id="306"/>
      <w:bookmarkEnd w:id="307"/>
      <w:bookmarkEnd w:id="308"/>
      <w:bookmarkEnd w:id="309"/>
      <w:bookmarkEnd w:id="310"/>
    </w:p>
    <w:tbl>
      <w:tblPr>
        <w:tblW w:w="5000" w:type="pct"/>
        <w:tblBorders>
          <w:top w:val="single" w:sz="8" w:space="0" w:color="E1E1E3"/>
          <w:left w:val="single" w:sz="8" w:space="0" w:color="E1E1E3"/>
          <w:bottom w:val="single" w:sz="8" w:space="0" w:color="E1E1E3"/>
          <w:right w:val="single" w:sz="8" w:space="0" w:color="E1E1E3"/>
          <w:insideH w:val="single" w:sz="8" w:space="0" w:color="E1E1E3"/>
          <w:insideV w:val="single" w:sz="8" w:space="0" w:color="E1E1E3"/>
        </w:tblBorders>
        <w:tblLook w:val="04A0" w:firstRow="1" w:lastRow="0" w:firstColumn="1" w:lastColumn="0" w:noHBand="0" w:noVBand="1"/>
      </w:tblPr>
      <w:tblGrid>
        <w:gridCol w:w="2479"/>
        <w:gridCol w:w="1111"/>
        <w:gridCol w:w="1109"/>
        <w:gridCol w:w="1084"/>
        <w:gridCol w:w="1101"/>
        <w:gridCol w:w="1148"/>
        <w:gridCol w:w="1148"/>
        <w:gridCol w:w="1146"/>
      </w:tblGrid>
      <w:tr w:rsidR="004C0C21" w:rsidRPr="000232DD" w14:paraId="0D0E132F" w14:textId="77777777" w:rsidTr="00BD394D">
        <w:trPr>
          <w:trHeight w:val="360"/>
        </w:trPr>
        <w:tc>
          <w:tcPr>
            <w:tcW w:w="1200" w:type="pct"/>
            <w:vMerge w:val="restart"/>
            <w:shd w:val="clear" w:color="auto" w:fill="D5DCE4"/>
            <w:vAlign w:val="center"/>
            <w:hideMark/>
          </w:tcPr>
          <w:p w14:paraId="679C9161" w14:textId="77777777" w:rsidR="00280C7E" w:rsidRPr="000232DD" w:rsidRDefault="00280C7E" w:rsidP="00082769">
            <w:pPr>
              <w:spacing w:before="0" w:after="0" w:line="240" w:lineRule="auto"/>
              <w:ind w:right="-22"/>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Ցուցանիշներ</w:t>
            </w:r>
          </w:p>
        </w:tc>
        <w:tc>
          <w:tcPr>
            <w:tcW w:w="1600" w:type="pct"/>
            <w:gridSpan w:val="3"/>
            <w:shd w:val="clear" w:color="auto" w:fill="D5DCE4"/>
            <w:noWrap/>
            <w:vAlign w:val="center"/>
            <w:hideMark/>
          </w:tcPr>
          <w:p w14:paraId="7C8218B1"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Փաստ</w:t>
            </w:r>
          </w:p>
        </w:tc>
        <w:tc>
          <w:tcPr>
            <w:tcW w:w="533" w:type="pct"/>
            <w:shd w:val="clear" w:color="auto" w:fill="D5DCE4"/>
            <w:noWrap/>
            <w:vAlign w:val="center"/>
            <w:hideMark/>
          </w:tcPr>
          <w:p w14:paraId="25FA3211"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lang w:val="hy-AM"/>
              </w:rPr>
            </w:pPr>
            <w:r w:rsidRPr="000232DD">
              <w:rPr>
                <w:rFonts w:ascii="GHEA Grapalat" w:eastAsia="Times New Roman" w:hAnsi="GHEA Grapalat" w:cs="Times New Roman"/>
                <w:b/>
                <w:color w:val="auto"/>
                <w:sz w:val="18"/>
                <w:szCs w:val="18"/>
                <w:lang w:val="hy-AM"/>
              </w:rPr>
              <w:t>Բյուջե</w:t>
            </w:r>
          </w:p>
        </w:tc>
        <w:tc>
          <w:tcPr>
            <w:tcW w:w="1667" w:type="pct"/>
            <w:gridSpan w:val="3"/>
            <w:shd w:val="clear" w:color="auto" w:fill="D5DCE4"/>
          </w:tcPr>
          <w:p w14:paraId="0A5F8215"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ծրագիր</w:t>
            </w:r>
          </w:p>
        </w:tc>
      </w:tr>
      <w:tr w:rsidR="004C0C21" w:rsidRPr="000232DD" w14:paraId="30104DEC" w14:textId="77777777" w:rsidTr="00BD394D">
        <w:trPr>
          <w:trHeight w:val="502"/>
        </w:trPr>
        <w:tc>
          <w:tcPr>
            <w:tcW w:w="1200" w:type="pct"/>
            <w:vMerge/>
            <w:shd w:val="clear" w:color="auto" w:fill="D5DCE4"/>
            <w:vAlign w:val="center"/>
            <w:hideMark/>
          </w:tcPr>
          <w:p w14:paraId="7002A459" w14:textId="77777777" w:rsidR="00280C7E" w:rsidRPr="000232DD" w:rsidRDefault="00280C7E" w:rsidP="00082769">
            <w:pPr>
              <w:spacing w:before="0" w:after="0" w:line="240" w:lineRule="auto"/>
              <w:ind w:right="-22"/>
              <w:rPr>
                <w:rFonts w:ascii="GHEA Grapalat" w:eastAsia="Times New Roman" w:hAnsi="GHEA Grapalat" w:cs="Times New Roman"/>
                <w:b/>
                <w:color w:val="auto"/>
                <w:sz w:val="18"/>
                <w:szCs w:val="18"/>
              </w:rPr>
            </w:pPr>
          </w:p>
        </w:tc>
        <w:tc>
          <w:tcPr>
            <w:tcW w:w="538" w:type="pct"/>
            <w:shd w:val="clear" w:color="auto" w:fill="D5DCE4"/>
            <w:noWrap/>
            <w:vAlign w:val="center"/>
            <w:hideMark/>
          </w:tcPr>
          <w:p w14:paraId="3067E5F7"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lang w:val="ru-RU"/>
              </w:rPr>
            </w:pPr>
            <w:r w:rsidRPr="000232DD">
              <w:rPr>
                <w:rFonts w:ascii="GHEA Grapalat" w:eastAsia="Times New Roman" w:hAnsi="GHEA Grapalat" w:cs="Times New Roman"/>
                <w:b/>
                <w:color w:val="auto"/>
                <w:sz w:val="18"/>
                <w:szCs w:val="18"/>
              </w:rPr>
              <w:t>2023</w:t>
            </w:r>
            <w:r w:rsidRPr="000232DD">
              <w:rPr>
                <w:rFonts w:ascii="GHEA Grapalat" w:eastAsia="Times New Roman" w:hAnsi="GHEA Grapalat" w:cs="Times New Roman"/>
                <w:b/>
                <w:color w:val="auto"/>
                <w:sz w:val="18"/>
                <w:szCs w:val="18"/>
                <w:lang w:val="ru-RU"/>
              </w:rPr>
              <w:t>*</w:t>
            </w:r>
          </w:p>
        </w:tc>
        <w:tc>
          <w:tcPr>
            <w:tcW w:w="537" w:type="pct"/>
            <w:shd w:val="clear" w:color="auto" w:fill="D5DCE4"/>
            <w:noWrap/>
            <w:vAlign w:val="center"/>
            <w:hideMark/>
          </w:tcPr>
          <w:p w14:paraId="1CEE037C"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lang w:val="ru-RU"/>
              </w:rPr>
            </w:pPr>
            <w:r w:rsidRPr="000232DD">
              <w:rPr>
                <w:rFonts w:ascii="GHEA Grapalat" w:eastAsia="Times New Roman" w:hAnsi="GHEA Grapalat" w:cs="Times New Roman"/>
                <w:b/>
                <w:color w:val="auto"/>
                <w:sz w:val="18"/>
                <w:szCs w:val="18"/>
              </w:rPr>
              <w:t>2024</w:t>
            </w:r>
          </w:p>
        </w:tc>
        <w:tc>
          <w:tcPr>
            <w:tcW w:w="525" w:type="pct"/>
            <w:shd w:val="clear" w:color="auto" w:fill="D5DCE4"/>
            <w:noWrap/>
            <w:vAlign w:val="center"/>
            <w:hideMark/>
          </w:tcPr>
          <w:p w14:paraId="72085BD9"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2025</w:t>
            </w:r>
          </w:p>
        </w:tc>
        <w:tc>
          <w:tcPr>
            <w:tcW w:w="533" w:type="pct"/>
            <w:shd w:val="clear" w:color="auto" w:fill="D5DCE4"/>
            <w:noWrap/>
            <w:vAlign w:val="center"/>
            <w:hideMark/>
          </w:tcPr>
          <w:p w14:paraId="45B88FB0"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2026</w:t>
            </w:r>
          </w:p>
        </w:tc>
        <w:tc>
          <w:tcPr>
            <w:tcW w:w="556" w:type="pct"/>
            <w:shd w:val="clear" w:color="auto" w:fill="D5DCE4"/>
            <w:vAlign w:val="center"/>
          </w:tcPr>
          <w:p w14:paraId="546D3684"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2027</w:t>
            </w:r>
          </w:p>
        </w:tc>
        <w:tc>
          <w:tcPr>
            <w:tcW w:w="556" w:type="pct"/>
            <w:shd w:val="clear" w:color="auto" w:fill="D5DCE4"/>
            <w:vAlign w:val="center"/>
          </w:tcPr>
          <w:p w14:paraId="7CD14F26"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2028</w:t>
            </w:r>
          </w:p>
        </w:tc>
        <w:tc>
          <w:tcPr>
            <w:tcW w:w="555" w:type="pct"/>
            <w:shd w:val="clear" w:color="auto" w:fill="D5DCE4"/>
            <w:noWrap/>
            <w:vAlign w:val="center"/>
            <w:hideMark/>
          </w:tcPr>
          <w:p w14:paraId="04D665E9"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2029</w:t>
            </w:r>
          </w:p>
        </w:tc>
      </w:tr>
      <w:tr w:rsidR="00BD394D" w:rsidRPr="000232DD" w14:paraId="36FC575C" w14:textId="77777777" w:rsidTr="00BD394D">
        <w:trPr>
          <w:trHeight w:val="360"/>
        </w:trPr>
        <w:tc>
          <w:tcPr>
            <w:tcW w:w="1200" w:type="pct"/>
            <w:shd w:val="clear" w:color="auto" w:fill="D5DCE4"/>
            <w:vAlign w:val="center"/>
            <w:hideMark/>
          </w:tcPr>
          <w:p w14:paraId="7C8A2C00" w14:textId="77777777" w:rsidR="00BD394D" w:rsidRPr="000232DD" w:rsidRDefault="00BD394D" w:rsidP="00BD394D">
            <w:pPr>
              <w:spacing w:before="0" w:after="0" w:line="240" w:lineRule="auto"/>
              <w:ind w:right="-22"/>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Պետական բյուջեի եկամուտներ</w:t>
            </w:r>
          </w:p>
        </w:tc>
        <w:tc>
          <w:tcPr>
            <w:tcW w:w="538" w:type="pct"/>
            <w:shd w:val="clear" w:color="auto" w:fill="D5DCE4"/>
            <w:noWrap/>
            <w:vAlign w:val="center"/>
          </w:tcPr>
          <w:p w14:paraId="5BC6F0F6" w14:textId="27533492" w:rsidR="00BD394D" w:rsidRPr="000232DD" w:rsidRDefault="00BD394D" w:rsidP="00BD394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sz w:val="18"/>
                <w:szCs w:val="18"/>
              </w:rPr>
              <w:t>2,411</w:t>
            </w:r>
          </w:p>
        </w:tc>
        <w:tc>
          <w:tcPr>
            <w:tcW w:w="537" w:type="pct"/>
            <w:shd w:val="clear" w:color="auto" w:fill="D5DCE4"/>
            <w:noWrap/>
            <w:vAlign w:val="center"/>
          </w:tcPr>
          <w:p w14:paraId="7A16FC08" w14:textId="32BC2D7D" w:rsidR="00BD394D" w:rsidRPr="000232DD" w:rsidRDefault="00BD394D" w:rsidP="00BD394D">
            <w:pPr>
              <w:spacing w:before="0" w:after="0" w:line="240" w:lineRule="auto"/>
              <w:ind w:right="-22"/>
              <w:jc w:val="center"/>
              <w:rPr>
                <w:rFonts w:ascii="GHEA Grapalat" w:eastAsia="Times New Roman" w:hAnsi="GHEA Grapalat" w:cs="Times New Roman"/>
                <w:b/>
                <w:color w:val="auto"/>
                <w:sz w:val="18"/>
                <w:szCs w:val="18"/>
                <w:lang w:val="ru-RU"/>
              </w:rPr>
            </w:pPr>
            <w:r>
              <w:rPr>
                <w:rFonts w:ascii="GHEA Grapalat" w:hAnsi="GHEA Grapalat"/>
                <w:sz w:val="18"/>
                <w:szCs w:val="18"/>
              </w:rPr>
              <w:t>2,579</w:t>
            </w:r>
          </w:p>
        </w:tc>
        <w:tc>
          <w:tcPr>
            <w:tcW w:w="525" w:type="pct"/>
            <w:shd w:val="clear" w:color="auto" w:fill="D5DCE4"/>
            <w:noWrap/>
            <w:vAlign w:val="center"/>
          </w:tcPr>
          <w:p w14:paraId="5ECFC9F9" w14:textId="7910BCAA" w:rsidR="00BD394D" w:rsidRPr="000232DD" w:rsidRDefault="00BD394D" w:rsidP="00BD394D">
            <w:pPr>
              <w:spacing w:before="0" w:after="0" w:line="240" w:lineRule="auto"/>
              <w:ind w:right="-22"/>
              <w:jc w:val="center"/>
              <w:rPr>
                <w:rFonts w:ascii="Cambria Math" w:eastAsia="Times New Roman" w:hAnsi="Cambria Math" w:cs="Times New Roman"/>
                <w:b/>
                <w:color w:val="auto"/>
                <w:sz w:val="18"/>
                <w:szCs w:val="18"/>
              </w:rPr>
            </w:pPr>
            <w:r>
              <w:rPr>
                <w:rFonts w:ascii="GHEA Grapalat" w:hAnsi="GHEA Grapalat"/>
                <w:sz w:val="18"/>
                <w:szCs w:val="18"/>
              </w:rPr>
              <w:t>2,887</w:t>
            </w:r>
          </w:p>
        </w:tc>
        <w:tc>
          <w:tcPr>
            <w:tcW w:w="533" w:type="pct"/>
            <w:shd w:val="clear" w:color="auto" w:fill="D5DCE4"/>
            <w:noWrap/>
            <w:vAlign w:val="center"/>
          </w:tcPr>
          <w:p w14:paraId="64843417" w14:textId="5950D44A" w:rsidR="00BD394D" w:rsidRPr="000232DD" w:rsidRDefault="00BD394D" w:rsidP="00BD394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sz w:val="18"/>
                <w:szCs w:val="18"/>
              </w:rPr>
              <w:t>3,091</w:t>
            </w:r>
          </w:p>
        </w:tc>
        <w:tc>
          <w:tcPr>
            <w:tcW w:w="556" w:type="pct"/>
            <w:shd w:val="clear" w:color="auto" w:fill="D5DCE4"/>
            <w:vAlign w:val="center"/>
          </w:tcPr>
          <w:p w14:paraId="3ECF4001" w14:textId="790AD3A9" w:rsidR="00BD394D" w:rsidRPr="000232DD" w:rsidRDefault="00BD394D" w:rsidP="00BD394D">
            <w:pPr>
              <w:spacing w:before="0" w:after="0" w:line="240" w:lineRule="auto"/>
              <w:ind w:right="-22"/>
              <w:jc w:val="center"/>
              <w:rPr>
                <w:rFonts w:ascii="GHEA Grapalat" w:eastAsia="Times New Roman" w:hAnsi="GHEA Grapalat" w:cs="Times New Roman"/>
                <w:b/>
                <w:color w:val="auto"/>
                <w:sz w:val="18"/>
                <w:szCs w:val="18"/>
                <w:lang w:val="hy-AM"/>
              </w:rPr>
            </w:pPr>
            <w:r>
              <w:rPr>
                <w:rFonts w:ascii="GHEA Grapalat" w:hAnsi="GHEA Grapalat"/>
                <w:sz w:val="18"/>
                <w:szCs w:val="18"/>
              </w:rPr>
              <w:t>3,604</w:t>
            </w:r>
          </w:p>
        </w:tc>
        <w:tc>
          <w:tcPr>
            <w:tcW w:w="556" w:type="pct"/>
            <w:shd w:val="clear" w:color="auto" w:fill="D5DCE4"/>
            <w:vAlign w:val="center"/>
          </w:tcPr>
          <w:p w14:paraId="2FD7448D" w14:textId="1C71F3B7" w:rsidR="00BD394D" w:rsidRPr="000232DD" w:rsidRDefault="00BD394D" w:rsidP="00BD394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sz w:val="18"/>
                <w:szCs w:val="18"/>
              </w:rPr>
              <w:t>3,950</w:t>
            </w:r>
          </w:p>
        </w:tc>
        <w:tc>
          <w:tcPr>
            <w:tcW w:w="555" w:type="pct"/>
            <w:shd w:val="clear" w:color="auto" w:fill="D5DCE4"/>
            <w:noWrap/>
            <w:vAlign w:val="center"/>
          </w:tcPr>
          <w:p w14:paraId="706D950F" w14:textId="3068B4BD" w:rsidR="00BD394D" w:rsidRPr="000232DD" w:rsidRDefault="00BD394D" w:rsidP="00BD394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sz w:val="18"/>
                <w:szCs w:val="18"/>
              </w:rPr>
              <w:t>4,311</w:t>
            </w:r>
          </w:p>
        </w:tc>
      </w:tr>
      <w:tr w:rsidR="00BD394D" w:rsidRPr="000232DD" w14:paraId="715BD957" w14:textId="77777777" w:rsidTr="00BD394D">
        <w:trPr>
          <w:trHeight w:val="360"/>
        </w:trPr>
        <w:tc>
          <w:tcPr>
            <w:tcW w:w="1200" w:type="pct"/>
            <w:shd w:val="clear" w:color="auto" w:fill="auto"/>
            <w:vAlign w:val="center"/>
            <w:hideMark/>
          </w:tcPr>
          <w:p w14:paraId="09B04874"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ՀՆԱ-ի նկատմամբ (%) </w:t>
            </w:r>
          </w:p>
        </w:tc>
        <w:tc>
          <w:tcPr>
            <w:tcW w:w="538" w:type="pct"/>
            <w:shd w:val="clear" w:color="auto" w:fill="auto"/>
            <w:noWrap/>
            <w:vAlign w:val="center"/>
          </w:tcPr>
          <w:p w14:paraId="4AD8506C" w14:textId="2D21596E"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25.4%</w:t>
            </w:r>
          </w:p>
        </w:tc>
        <w:tc>
          <w:tcPr>
            <w:tcW w:w="537" w:type="pct"/>
            <w:shd w:val="clear" w:color="auto" w:fill="auto"/>
            <w:noWrap/>
            <w:vAlign w:val="center"/>
          </w:tcPr>
          <w:p w14:paraId="6792279B" w14:textId="400E1D6B"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lang w:val="ru-RU"/>
              </w:rPr>
            </w:pPr>
            <w:r>
              <w:rPr>
                <w:rFonts w:ascii="GHEA Grapalat" w:hAnsi="GHEA Grapalat"/>
                <w:sz w:val="18"/>
                <w:szCs w:val="18"/>
              </w:rPr>
              <w:t>25.3%</w:t>
            </w:r>
          </w:p>
        </w:tc>
        <w:tc>
          <w:tcPr>
            <w:tcW w:w="525" w:type="pct"/>
            <w:shd w:val="clear" w:color="auto" w:fill="auto"/>
            <w:noWrap/>
            <w:vAlign w:val="center"/>
          </w:tcPr>
          <w:p w14:paraId="6D06667C" w14:textId="17373C39" w:rsidR="00BD394D" w:rsidRPr="000232DD" w:rsidRDefault="00BD394D" w:rsidP="00BD394D">
            <w:pPr>
              <w:spacing w:before="0" w:after="0" w:line="240" w:lineRule="auto"/>
              <w:ind w:right="-22"/>
              <w:jc w:val="center"/>
              <w:rPr>
                <w:rFonts w:ascii="Cambria Math" w:eastAsia="Times New Roman" w:hAnsi="Cambria Math" w:cs="Times New Roman"/>
                <w:color w:val="auto"/>
                <w:sz w:val="18"/>
                <w:szCs w:val="18"/>
              </w:rPr>
            </w:pPr>
            <w:r>
              <w:rPr>
                <w:rFonts w:ascii="GHEA Grapalat" w:hAnsi="GHEA Grapalat"/>
                <w:sz w:val="18"/>
                <w:szCs w:val="18"/>
              </w:rPr>
              <w:t>25.4%</w:t>
            </w:r>
          </w:p>
        </w:tc>
        <w:tc>
          <w:tcPr>
            <w:tcW w:w="533" w:type="pct"/>
            <w:shd w:val="clear" w:color="auto" w:fill="auto"/>
            <w:noWrap/>
            <w:vAlign w:val="center"/>
          </w:tcPr>
          <w:p w14:paraId="29968295" w14:textId="61895DA3"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25.9%</w:t>
            </w:r>
          </w:p>
        </w:tc>
        <w:tc>
          <w:tcPr>
            <w:tcW w:w="556" w:type="pct"/>
            <w:vAlign w:val="center"/>
          </w:tcPr>
          <w:p w14:paraId="0E1C5863" w14:textId="64755A6D"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26.5%</w:t>
            </w:r>
          </w:p>
        </w:tc>
        <w:tc>
          <w:tcPr>
            <w:tcW w:w="556" w:type="pct"/>
            <w:vAlign w:val="center"/>
          </w:tcPr>
          <w:p w14:paraId="707781AA" w14:textId="740ACE90"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26.6%</w:t>
            </w:r>
          </w:p>
        </w:tc>
        <w:tc>
          <w:tcPr>
            <w:tcW w:w="555" w:type="pct"/>
            <w:shd w:val="clear" w:color="auto" w:fill="auto"/>
            <w:noWrap/>
            <w:vAlign w:val="center"/>
          </w:tcPr>
          <w:p w14:paraId="33B63D56" w14:textId="5F6870A6"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26.6%</w:t>
            </w:r>
          </w:p>
        </w:tc>
      </w:tr>
      <w:tr w:rsidR="00BD394D" w:rsidRPr="000232DD" w14:paraId="5B9D184B" w14:textId="77777777" w:rsidTr="00BD394D">
        <w:trPr>
          <w:trHeight w:val="360"/>
        </w:trPr>
        <w:tc>
          <w:tcPr>
            <w:tcW w:w="1200" w:type="pct"/>
            <w:shd w:val="clear" w:color="auto" w:fill="auto"/>
            <w:vAlign w:val="center"/>
            <w:hideMark/>
          </w:tcPr>
          <w:p w14:paraId="4984FAE6"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Հարկային եկամուտներ և պետական տուրքեր</w:t>
            </w:r>
          </w:p>
        </w:tc>
        <w:tc>
          <w:tcPr>
            <w:tcW w:w="538" w:type="pct"/>
            <w:shd w:val="clear" w:color="auto" w:fill="auto"/>
            <w:noWrap/>
            <w:vAlign w:val="center"/>
          </w:tcPr>
          <w:p w14:paraId="0D9A2BF0" w14:textId="285D1939"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2,274</w:t>
            </w:r>
          </w:p>
        </w:tc>
        <w:tc>
          <w:tcPr>
            <w:tcW w:w="537" w:type="pct"/>
            <w:shd w:val="clear" w:color="auto" w:fill="auto"/>
            <w:noWrap/>
            <w:vAlign w:val="center"/>
          </w:tcPr>
          <w:p w14:paraId="6E945C9E" w14:textId="2F8101BC"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lang w:val="hy-AM"/>
              </w:rPr>
            </w:pPr>
            <w:r>
              <w:rPr>
                <w:rFonts w:ascii="GHEA Grapalat" w:hAnsi="GHEA Grapalat"/>
                <w:sz w:val="18"/>
                <w:szCs w:val="18"/>
              </w:rPr>
              <w:t>2,391</w:t>
            </w:r>
          </w:p>
        </w:tc>
        <w:tc>
          <w:tcPr>
            <w:tcW w:w="525" w:type="pct"/>
            <w:shd w:val="clear" w:color="auto" w:fill="auto"/>
            <w:noWrap/>
            <w:vAlign w:val="center"/>
          </w:tcPr>
          <w:p w14:paraId="4CB20FB6" w14:textId="575FF8D8"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2,725</w:t>
            </w:r>
          </w:p>
        </w:tc>
        <w:tc>
          <w:tcPr>
            <w:tcW w:w="533" w:type="pct"/>
            <w:shd w:val="clear" w:color="auto" w:fill="auto"/>
            <w:noWrap/>
            <w:vAlign w:val="center"/>
          </w:tcPr>
          <w:p w14:paraId="66118BC3" w14:textId="30194EEA"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2,973</w:t>
            </w:r>
          </w:p>
        </w:tc>
        <w:tc>
          <w:tcPr>
            <w:tcW w:w="556" w:type="pct"/>
            <w:vAlign w:val="center"/>
          </w:tcPr>
          <w:p w14:paraId="4A2B9F17" w14:textId="3B8F2479"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3,463</w:t>
            </w:r>
          </w:p>
        </w:tc>
        <w:tc>
          <w:tcPr>
            <w:tcW w:w="556" w:type="pct"/>
            <w:vAlign w:val="center"/>
          </w:tcPr>
          <w:p w14:paraId="06831ABD" w14:textId="594A31F0"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3,797</w:t>
            </w:r>
          </w:p>
        </w:tc>
        <w:tc>
          <w:tcPr>
            <w:tcW w:w="555" w:type="pct"/>
            <w:shd w:val="clear" w:color="auto" w:fill="auto"/>
            <w:noWrap/>
            <w:vAlign w:val="center"/>
          </w:tcPr>
          <w:p w14:paraId="6EA56EEB" w14:textId="2E622001"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4,168</w:t>
            </w:r>
          </w:p>
        </w:tc>
      </w:tr>
      <w:tr w:rsidR="00BD394D" w:rsidRPr="000232DD" w14:paraId="6C03EC3B" w14:textId="77777777" w:rsidTr="00BD394D">
        <w:trPr>
          <w:trHeight w:val="360"/>
        </w:trPr>
        <w:tc>
          <w:tcPr>
            <w:tcW w:w="1200" w:type="pct"/>
            <w:shd w:val="clear" w:color="auto" w:fill="auto"/>
            <w:vAlign w:val="center"/>
            <w:hideMark/>
          </w:tcPr>
          <w:p w14:paraId="34B9D6E1"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ՀՆԱ-ի նկատմամբ (%) </w:t>
            </w:r>
          </w:p>
        </w:tc>
        <w:tc>
          <w:tcPr>
            <w:tcW w:w="538" w:type="pct"/>
            <w:shd w:val="clear" w:color="auto" w:fill="auto"/>
            <w:noWrap/>
            <w:vAlign w:val="center"/>
          </w:tcPr>
          <w:p w14:paraId="58754337" w14:textId="18F48284"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24.0%</w:t>
            </w:r>
          </w:p>
        </w:tc>
        <w:tc>
          <w:tcPr>
            <w:tcW w:w="537" w:type="pct"/>
            <w:shd w:val="clear" w:color="auto" w:fill="auto"/>
            <w:noWrap/>
            <w:vAlign w:val="center"/>
          </w:tcPr>
          <w:p w14:paraId="25A067C7" w14:textId="61B89349"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23.5%</w:t>
            </w:r>
          </w:p>
        </w:tc>
        <w:tc>
          <w:tcPr>
            <w:tcW w:w="525" w:type="pct"/>
            <w:shd w:val="clear" w:color="auto" w:fill="auto"/>
            <w:noWrap/>
            <w:vAlign w:val="center"/>
          </w:tcPr>
          <w:p w14:paraId="15BA0C1F" w14:textId="2B1E2F31"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24.0%</w:t>
            </w:r>
          </w:p>
        </w:tc>
        <w:tc>
          <w:tcPr>
            <w:tcW w:w="533" w:type="pct"/>
            <w:shd w:val="clear" w:color="auto" w:fill="auto"/>
            <w:noWrap/>
            <w:vAlign w:val="center"/>
          </w:tcPr>
          <w:p w14:paraId="1D6FB809" w14:textId="238EF71E"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24.9%</w:t>
            </w:r>
          </w:p>
        </w:tc>
        <w:tc>
          <w:tcPr>
            <w:tcW w:w="556" w:type="pct"/>
            <w:vAlign w:val="center"/>
          </w:tcPr>
          <w:p w14:paraId="61F402A4" w14:textId="41F6444B" w:rsidR="00BD394D" w:rsidRPr="000232DD" w:rsidRDefault="00BD394D" w:rsidP="00BD394D">
            <w:pPr>
              <w:spacing w:before="0" w:after="0" w:line="360" w:lineRule="auto"/>
              <w:ind w:right="-22"/>
              <w:jc w:val="center"/>
              <w:rPr>
                <w:rFonts w:ascii="GHEA Grapalat" w:eastAsia="Times New Roman" w:hAnsi="GHEA Grapalat" w:cs="Calibri"/>
                <w:color w:val="auto"/>
                <w:sz w:val="18"/>
                <w:szCs w:val="18"/>
              </w:rPr>
            </w:pPr>
            <w:r>
              <w:rPr>
                <w:rFonts w:ascii="GHEA Grapalat" w:hAnsi="GHEA Grapalat"/>
                <w:sz w:val="18"/>
                <w:szCs w:val="18"/>
              </w:rPr>
              <w:t>25.4%</w:t>
            </w:r>
          </w:p>
        </w:tc>
        <w:tc>
          <w:tcPr>
            <w:tcW w:w="556" w:type="pct"/>
            <w:vAlign w:val="center"/>
          </w:tcPr>
          <w:p w14:paraId="69163175" w14:textId="5B2ECF28"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25.5%</w:t>
            </w:r>
          </w:p>
        </w:tc>
        <w:tc>
          <w:tcPr>
            <w:tcW w:w="555" w:type="pct"/>
            <w:shd w:val="clear" w:color="auto" w:fill="auto"/>
            <w:noWrap/>
            <w:vAlign w:val="center"/>
          </w:tcPr>
          <w:p w14:paraId="13743437" w14:textId="56999608"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25.7%</w:t>
            </w:r>
          </w:p>
        </w:tc>
      </w:tr>
      <w:tr w:rsidR="00BD394D" w:rsidRPr="000232DD" w14:paraId="78B7D4A4" w14:textId="77777777" w:rsidTr="00BD394D">
        <w:trPr>
          <w:trHeight w:val="360"/>
        </w:trPr>
        <w:tc>
          <w:tcPr>
            <w:tcW w:w="1200" w:type="pct"/>
            <w:shd w:val="clear" w:color="auto" w:fill="auto"/>
            <w:vAlign w:val="center"/>
            <w:hideMark/>
          </w:tcPr>
          <w:p w14:paraId="6D8A93DC"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Ընդհանուրի նկատմամբ (%) </w:t>
            </w:r>
          </w:p>
        </w:tc>
        <w:tc>
          <w:tcPr>
            <w:tcW w:w="538" w:type="pct"/>
            <w:shd w:val="clear" w:color="auto" w:fill="auto"/>
            <w:noWrap/>
            <w:vAlign w:val="center"/>
          </w:tcPr>
          <w:p w14:paraId="785745A5" w14:textId="55BEC0C0"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94.3%</w:t>
            </w:r>
          </w:p>
        </w:tc>
        <w:tc>
          <w:tcPr>
            <w:tcW w:w="537" w:type="pct"/>
            <w:shd w:val="clear" w:color="auto" w:fill="auto"/>
            <w:noWrap/>
            <w:vAlign w:val="center"/>
          </w:tcPr>
          <w:p w14:paraId="4717CC58" w14:textId="0E890836"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92.7%</w:t>
            </w:r>
          </w:p>
        </w:tc>
        <w:tc>
          <w:tcPr>
            <w:tcW w:w="525" w:type="pct"/>
            <w:shd w:val="clear" w:color="auto" w:fill="auto"/>
            <w:noWrap/>
            <w:vAlign w:val="center"/>
          </w:tcPr>
          <w:p w14:paraId="77071A1E" w14:textId="13CF5670"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94.4%</w:t>
            </w:r>
          </w:p>
        </w:tc>
        <w:tc>
          <w:tcPr>
            <w:tcW w:w="533" w:type="pct"/>
            <w:shd w:val="clear" w:color="auto" w:fill="auto"/>
            <w:noWrap/>
            <w:vAlign w:val="center"/>
          </w:tcPr>
          <w:p w14:paraId="6681DC0B" w14:textId="207F432A"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96.2%</w:t>
            </w:r>
          </w:p>
        </w:tc>
        <w:tc>
          <w:tcPr>
            <w:tcW w:w="556" w:type="pct"/>
            <w:vAlign w:val="center"/>
          </w:tcPr>
          <w:p w14:paraId="1EE3889C" w14:textId="395F30DF"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96.1%</w:t>
            </w:r>
          </w:p>
        </w:tc>
        <w:tc>
          <w:tcPr>
            <w:tcW w:w="556" w:type="pct"/>
            <w:vAlign w:val="center"/>
          </w:tcPr>
          <w:p w14:paraId="19FC90C1" w14:textId="7CDBEE5F"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96.1%</w:t>
            </w:r>
          </w:p>
        </w:tc>
        <w:tc>
          <w:tcPr>
            <w:tcW w:w="555" w:type="pct"/>
            <w:shd w:val="clear" w:color="auto" w:fill="auto"/>
            <w:noWrap/>
            <w:vAlign w:val="center"/>
          </w:tcPr>
          <w:p w14:paraId="094A0BEA" w14:textId="7633E0DA"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96.7%</w:t>
            </w:r>
          </w:p>
        </w:tc>
      </w:tr>
      <w:tr w:rsidR="00BD394D" w:rsidRPr="000232DD" w14:paraId="39EBFE17" w14:textId="77777777" w:rsidTr="00BD394D">
        <w:trPr>
          <w:trHeight w:val="360"/>
        </w:trPr>
        <w:tc>
          <w:tcPr>
            <w:tcW w:w="1200" w:type="pct"/>
            <w:shd w:val="clear" w:color="auto" w:fill="D5DCE4"/>
            <w:vAlign w:val="center"/>
            <w:hideMark/>
          </w:tcPr>
          <w:p w14:paraId="3F65801A"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Պետական բյուջեի ծախսեր </w:t>
            </w:r>
          </w:p>
        </w:tc>
        <w:tc>
          <w:tcPr>
            <w:tcW w:w="538" w:type="pct"/>
            <w:shd w:val="clear" w:color="auto" w:fill="D5DCE4"/>
            <w:noWrap/>
            <w:vAlign w:val="center"/>
          </w:tcPr>
          <w:p w14:paraId="33F04E45" w14:textId="7A58DA98"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b/>
                <w:bCs/>
                <w:sz w:val="18"/>
                <w:szCs w:val="18"/>
              </w:rPr>
              <w:t>2,599.6</w:t>
            </w:r>
          </w:p>
        </w:tc>
        <w:tc>
          <w:tcPr>
            <w:tcW w:w="537" w:type="pct"/>
            <w:shd w:val="clear" w:color="auto" w:fill="D5DCE4"/>
            <w:noWrap/>
            <w:vAlign w:val="center"/>
          </w:tcPr>
          <w:p w14:paraId="24F78B54" w14:textId="12A6B53A"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b/>
                <w:bCs/>
                <w:sz w:val="18"/>
                <w:szCs w:val="18"/>
              </w:rPr>
              <w:t>2,955.3</w:t>
            </w:r>
          </w:p>
        </w:tc>
        <w:tc>
          <w:tcPr>
            <w:tcW w:w="525" w:type="pct"/>
            <w:shd w:val="clear" w:color="auto" w:fill="D5DCE4"/>
            <w:noWrap/>
            <w:vAlign w:val="center"/>
          </w:tcPr>
          <w:p w14:paraId="47A8DC53" w14:textId="63A5CD9F"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b/>
                <w:bCs/>
                <w:sz w:val="18"/>
                <w:szCs w:val="18"/>
              </w:rPr>
              <w:t>3,305.3</w:t>
            </w:r>
          </w:p>
        </w:tc>
        <w:tc>
          <w:tcPr>
            <w:tcW w:w="533" w:type="pct"/>
            <w:shd w:val="clear" w:color="auto" w:fill="D5DCE4"/>
            <w:noWrap/>
            <w:vAlign w:val="center"/>
          </w:tcPr>
          <w:p w14:paraId="34192895" w14:textId="0620E047"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b/>
                <w:bCs/>
                <w:sz w:val="18"/>
                <w:szCs w:val="18"/>
              </w:rPr>
              <w:t>3,627.6</w:t>
            </w:r>
          </w:p>
        </w:tc>
        <w:tc>
          <w:tcPr>
            <w:tcW w:w="556" w:type="pct"/>
            <w:shd w:val="clear" w:color="auto" w:fill="D5DCE4"/>
            <w:vAlign w:val="center"/>
          </w:tcPr>
          <w:p w14:paraId="44369A18" w14:textId="20A58CFB" w:rsidR="00BD394D" w:rsidRPr="000232DD" w:rsidRDefault="00BD394D" w:rsidP="00BD394D">
            <w:pPr>
              <w:spacing w:before="0" w:after="0" w:line="240" w:lineRule="auto"/>
              <w:ind w:right="-22"/>
              <w:jc w:val="center"/>
              <w:rPr>
                <w:rFonts w:ascii="GHEA Grapalat" w:eastAsia="Times New Roman" w:hAnsi="GHEA Grapalat" w:cs="Calibri"/>
                <w:b/>
                <w:bCs/>
                <w:color w:val="auto"/>
                <w:sz w:val="18"/>
                <w:szCs w:val="18"/>
              </w:rPr>
            </w:pPr>
            <w:r>
              <w:rPr>
                <w:rFonts w:ascii="GHEA Grapalat" w:hAnsi="GHEA Grapalat"/>
                <w:b/>
                <w:bCs/>
                <w:sz w:val="18"/>
                <w:szCs w:val="18"/>
              </w:rPr>
              <w:t>4,072.0</w:t>
            </w:r>
          </w:p>
        </w:tc>
        <w:tc>
          <w:tcPr>
            <w:tcW w:w="556" w:type="pct"/>
            <w:shd w:val="clear" w:color="auto" w:fill="D5DCE4"/>
            <w:vAlign w:val="center"/>
          </w:tcPr>
          <w:p w14:paraId="7DC26CDF" w14:textId="431CDBA3" w:rsidR="00BD394D" w:rsidRPr="000232DD" w:rsidRDefault="00BD394D" w:rsidP="00BD394D">
            <w:pPr>
              <w:ind w:right="-22"/>
              <w:jc w:val="center"/>
              <w:rPr>
                <w:rFonts w:ascii="GHEA Grapalat" w:eastAsia="Times New Roman" w:hAnsi="GHEA Grapalat" w:cs="Calibri"/>
                <w:b/>
                <w:bCs/>
                <w:color w:val="auto"/>
                <w:sz w:val="18"/>
                <w:szCs w:val="18"/>
              </w:rPr>
            </w:pPr>
            <w:r>
              <w:rPr>
                <w:rFonts w:ascii="GHEA Grapalat" w:hAnsi="GHEA Grapalat"/>
                <w:b/>
                <w:bCs/>
                <w:color w:val="000000"/>
                <w:sz w:val="18"/>
                <w:szCs w:val="18"/>
              </w:rPr>
              <w:t>4,364.4</w:t>
            </w:r>
          </w:p>
        </w:tc>
        <w:tc>
          <w:tcPr>
            <w:tcW w:w="555" w:type="pct"/>
            <w:shd w:val="clear" w:color="auto" w:fill="D5DCE4"/>
            <w:noWrap/>
            <w:vAlign w:val="center"/>
          </w:tcPr>
          <w:p w14:paraId="26D7A545" w14:textId="61784B6A" w:rsidR="00BD394D" w:rsidRPr="000232DD" w:rsidRDefault="00BD394D" w:rsidP="00BD394D">
            <w:pPr>
              <w:ind w:right="-22"/>
              <w:jc w:val="center"/>
              <w:rPr>
                <w:rFonts w:ascii="GHEA Grapalat" w:eastAsia="Times New Roman" w:hAnsi="GHEA Grapalat" w:cs="Calibri"/>
                <w:b/>
                <w:bCs/>
                <w:color w:val="auto"/>
                <w:sz w:val="18"/>
                <w:szCs w:val="18"/>
              </w:rPr>
            </w:pPr>
            <w:r>
              <w:rPr>
                <w:rFonts w:ascii="GHEA Grapalat" w:hAnsi="GHEA Grapalat"/>
                <w:b/>
                <w:bCs/>
                <w:color w:val="000000"/>
                <w:sz w:val="18"/>
                <w:szCs w:val="18"/>
              </w:rPr>
              <w:t>4,602.7</w:t>
            </w:r>
          </w:p>
        </w:tc>
      </w:tr>
      <w:tr w:rsidR="00BD394D" w:rsidRPr="000232DD" w14:paraId="411CD7C9" w14:textId="77777777" w:rsidTr="00BD394D">
        <w:trPr>
          <w:trHeight w:val="360"/>
        </w:trPr>
        <w:tc>
          <w:tcPr>
            <w:tcW w:w="1200" w:type="pct"/>
            <w:shd w:val="clear" w:color="auto" w:fill="auto"/>
            <w:vAlign w:val="center"/>
            <w:hideMark/>
          </w:tcPr>
          <w:p w14:paraId="2D7F90C6"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ՀՆԱ-ի նկատմամբ (%) </w:t>
            </w:r>
          </w:p>
        </w:tc>
        <w:tc>
          <w:tcPr>
            <w:tcW w:w="538" w:type="pct"/>
            <w:shd w:val="clear" w:color="auto" w:fill="auto"/>
            <w:noWrap/>
            <w:vAlign w:val="center"/>
          </w:tcPr>
          <w:p w14:paraId="11E1BC4C" w14:textId="08BC6389"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27.4%</w:t>
            </w:r>
          </w:p>
        </w:tc>
        <w:tc>
          <w:tcPr>
            <w:tcW w:w="537" w:type="pct"/>
            <w:shd w:val="clear" w:color="auto" w:fill="auto"/>
            <w:noWrap/>
            <w:vAlign w:val="center"/>
          </w:tcPr>
          <w:p w14:paraId="1C016436" w14:textId="497CF089"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w:t>
            </w:r>
            <w:r w:rsidR="00733703">
              <w:rPr>
                <w:rFonts w:ascii="GHEA Grapalat" w:hAnsi="GHEA Grapalat"/>
                <w:sz w:val="18"/>
                <w:szCs w:val="18"/>
              </w:rPr>
              <w:t>8.8</w:t>
            </w:r>
            <w:r>
              <w:rPr>
                <w:rFonts w:ascii="GHEA Grapalat" w:hAnsi="GHEA Grapalat"/>
                <w:sz w:val="18"/>
                <w:szCs w:val="18"/>
              </w:rPr>
              <w:t>%</w:t>
            </w:r>
          </w:p>
        </w:tc>
        <w:tc>
          <w:tcPr>
            <w:tcW w:w="525" w:type="pct"/>
            <w:shd w:val="clear" w:color="auto" w:fill="auto"/>
            <w:noWrap/>
            <w:vAlign w:val="center"/>
          </w:tcPr>
          <w:p w14:paraId="7C6E32B9" w14:textId="76710729"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29.1%</w:t>
            </w:r>
          </w:p>
        </w:tc>
        <w:tc>
          <w:tcPr>
            <w:tcW w:w="533" w:type="pct"/>
            <w:shd w:val="clear" w:color="auto" w:fill="auto"/>
            <w:noWrap/>
            <w:vAlign w:val="center"/>
          </w:tcPr>
          <w:p w14:paraId="2A9CCB82" w14:textId="70391A2D"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30.4%</w:t>
            </w:r>
          </w:p>
        </w:tc>
        <w:tc>
          <w:tcPr>
            <w:tcW w:w="556" w:type="pct"/>
            <w:vAlign w:val="center"/>
          </w:tcPr>
          <w:p w14:paraId="5C380E12" w14:textId="06143664"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29.9%</w:t>
            </w:r>
          </w:p>
        </w:tc>
        <w:tc>
          <w:tcPr>
            <w:tcW w:w="556" w:type="pct"/>
            <w:vAlign w:val="center"/>
          </w:tcPr>
          <w:p w14:paraId="6D80AC31" w14:textId="0BEDC9A4"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29.3%</w:t>
            </w:r>
          </w:p>
        </w:tc>
        <w:tc>
          <w:tcPr>
            <w:tcW w:w="555" w:type="pct"/>
            <w:shd w:val="clear" w:color="auto" w:fill="auto"/>
            <w:noWrap/>
            <w:vAlign w:val="center"/>
          </w:tcPr>
          <w:p w14:paraId="7C5AC3F7" w14:textId="62C8606B"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28.4%</w:t>
            </w:r>
          </w:p>
        </w:tc>
      </w:tr>
      <w:tr w:rsidR="00BD394D" w:rsidRPr="000232DD" w14:paraId="01A13D17" w14:textId="77777777" w:rsidTr="00BD394D">
        <w:trPr>
          <w:trHeight w:val="360"/>
        </w:trPr>
        <w:tc>
          <w:tcPr>
            <w:tcW w:w="1200" w:type="pct"/>
            <w:shd w:val="clear" w:color="auto" w:fill="auto"/>
            <w:vAlign w:val="center"/>
            <w:hideMark/>
          </w:tcPr>
          <w:p w14:paraId="0A8F1A02"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Ընթացիկ ծախսեր </w:t>
            </w:r>
          </w:p>
        </w:tc>
        <w:tc>
          <w:tcPr>
            <w:tcW w:w="538" w:type="pct"/>
            <w:shd w:val="clear" w:color="auto" w:fill="auto"/>
            <w:noWrap/>
            <w:vAlign w:val="center"/>
          </w:tcPr>
          <w:p w14:paraId="2EE565FE" w14:textId="609001CF"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2,127</w:t>
            </w:r>
          </w:p>
        </w:tc>
        <w:tc>
          <w:tcPr>
            <w:tcW w:w="537" w:type="pct"/>
            <w:shd w:val="clear" w:color="auto" w:fill="auto"/>
            <w:noWrap/>
            <w:vAlign w:val="center"/>
          </w:tcPr>
          <w:p w14:paraId="31867BA5" w14:textId="5EAC7461"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2,414</w:t>
            </w:r>
          </w:p>
        </w:tc>
        <w:tc>
          <w:tcPr>
            <w:tcW w:w="525" w:type="pct"/>
            <w:shd w:val="clear" w:color="auto" w:fill="auto"/>
            <w:noWrap/>
            <w:vAlign w:val="center"/>
          </w:tcPr>
          <w:p w14:paraId="0F422F87" w14:textId="3B0FD5C9"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2,613</w:t>
            </w:r>
          </w:p>
        </w:tc>
        <w:tc>
          <w:tcPr>
            <w:tcW w:w="533" w:type="pct"/>
            <w:shd w:val="clear" w:color="auto" w:fill="auto"/>
            <w:noWrap/>
            <w:vAlign w:val="center"/>
          </w:tcPr>
          <w:p w14:paraId="79260590" w14:textId="5700EACE"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2,924</w:t>
            </w:r>
          </w:p>
        </w:tc>
        <w:tc>
          <w:tcPr>
            <w:tcW w:w="556" w:type="pct"/>
            <w:vAlign w:val="center"/>
          </w:tcPr>
          <w:p w14:paraId="01E04566" w14:textId="593CCFE1"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3,311</w:t>
            </w:r>
          </w:p>
        </w:tc>
        <w:tc>
          <w:tcPr>
            <w:tcW w:w="556" w:type="pct"/>
            <w:vAlign w:val="center"/>
          </w:tcPr>
          <w:p w14:paraId="13D31626" w14:textId="4C3EE6C3"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3,505</w:t>
            </w:r>
          </w:p>
        </w:tc>
        <w:tc>
          <w:tcPr>
            <w:tcW w:w="555" w:type="pct"/>
            <w:shd w:val="clear" w:color="auto" w:fill="auto"/>
            <w:noWrap/>
            <w:vAlign w:val="center"/>
          </w:tcPr>
          <w:p w14:paraId="24057D36" w14:textId="21F2665D"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3,646</w:t>
            </w:r>
          </w:p>
        </w:tc>
      </w:tr>
      <w:tr w:rsidR="00BD394D" w:rsidRPr="000232DD" w14:paraId="771A40A7" w14:textId="77777777" w:rsidTr="00BD394D">
        <w:trPr>
          <w:trHeight w:val="360"/>
        </w:trPr>
        <w:tc>
          <w:tcPr>
            <w:tcW w:w="1200" w:type="pct"/>
            <w:shd w:val="clear" w:color="auto" w:fill="auto"/>
            <w:vAlign w:val="center"/>
            <w:hideMark/>
          </w:tcPr>
          <w:p w14:paraId="21B13EE0"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ՀՆԱ-ի նկատմամբ (%) </w:t>
            </w:r>
          </w:p>
        </w:tc>
        <w:tc>
          <w:tcPr>
            <w:tcW w:w="538" w:type="pct"/>
            <w:shd w:val="clear" w:color="auto" w:fill="auto"/>
            <w:noWrap/>
            <w:vAlign w:val="center"/>
          </w:tcPr>
          <w:p w14:paraId="27C5CE9A" w14:textId="223F3EDB"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22.4%</w:t>
            </w:r>
          </w:p>
        </w:tc>
        <w:tc>
          <w:tcPr>
            <w:tcW w:w="537" w:type="pct"/>
            <w:shd w:val="clear" w:color="auto" w:fill="auto"/>
            <w:noWrap/>
            <w:vAlign w:val="center"/>
          </w:tcPr>
          <w:p w14:paraId="6A93A3E6" w14:textId="69A56E58"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23.</w:t>
            </w:r>
            <w:r w:rsidR="00733703">
              <w:rPr>
                <w:rFonts w:ascii="GHEA Grapalat" w:hAnsi="GHEA Grapalat"/>
                <w:sz w:val="18"/>
                <w:szCs w:val="18"/>
              </w:rPr>
              <w:t>5</w:t>
            </w:r>
            <w:r>
              <w:rPr>
                <w:rFonts w:ascii="GHEA Grapalat" w:hAnsi="GHEA Grapalat"/>
                <w:sz w:val="18"/>
                <w:szCs w:val="18"/>
              </w:rPr>
              <w:t>%</w:t>
            </w:r>
          </w:p>
        </w:tc>
        <w:tc>
          <w:tcPr>
            <w:tcW w:w="525" w:type="pct"/>
            <w:shd w:val="clear" w:color="auto" w:fill="auto"/>
            <w:noWrap/>
            <w:vAlign w:val="center"/>
          </w:tcPr>
          <w:p w14:paraId="3D03AEB8" w14:textId="733F3745"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23.0%</w:t>
            </w:r>
          </w:p>
        </w:tc>
        <w:tc>
          <w:tcPr>
            <w:tcW w:w="533" w:type="pct"/>
            <w:shd w:val="clear" w:color="auto" w:fill="auto"/>
            <w:noWrap/>
            <w:vAlign w:val="center"/>
          </w:tcPr>
          <w:p w14:paraId="5152AA40" w14:textId="1A17FA0F"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24.5%</w:t>
            </w:r>
          </w:p>
        </w:tc>
        <w:tc>
          <w:tcPr>
            <w:tcW w:w="556" w:type="pct"/>
            <w:vAlign w:val="center"/>
          </w:tcPr>
          <w:p w14:paraId="6B5A382F" w14:textId="5F009D7B"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24.3%</w:t>
            </w:r>
          </w:p>
        </w:tc>
        <w:tc>
          <w:tcPr>
            <w:tcW w:w="556" w:type="pct"/>
            <w:vAlign w:val="center"/>
          </w:tcPr>
          <w:p w14:paraId="7F2A423B" w14:textId="4D12FF7E"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23.6%</w:t>
            </w:r>
          </w:p>
        </w:tc>
        <w:tc>
          <w:tcPr>
            <w:tcW w:w="555" w:type="pct"/>
            <w:shd w:val="clear" w:color="auto" w:fill="auto"/>
            <w:noWrap/>
            <w:vAlign w:val="center"/>
          </w:tcPr>
          <w:p w14:paraId="133BC5A7" w14:textId="76192486"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22.5%</w:t>
            </w:r>
          </w:p>
        </w:tc>
      </w:tr>
      <w:tr w:rsidR="00BD394D" w:rsidRPr="000232DD" w14:paraId="3FDB44C6" w14:textId="77777777" w:rsidTr="00BD394D">
        <w:trPr>
          <w:trHeight w:val="360"/>
        </w:trPr>
        <w:tc>
          <w:tcPr>
            <w:tcW w:w="1200" w:type="pct"/>
            <w:shd w:val="clear" w:color="auto" w:fill="auto"/>
            <w:vAlign w:val="center"/>
            <w:hideMark/>
          </w:tcPr>
          <w:p w14:paraId="452F2E38"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Ընդհանուրի նկատմամբ (%) </w:t>
            </w:r>
          </w:p>
        </w:tc>
        <w:tc>
          <w:tcPr>
            <w:tcW w:w="538" w:type="pct"/>
            <w:shd w:val="clear" w:color="auto" w:fill="auto"/>
            <w:noWrap/>
            <w:vAlign w:val="center"/>
          </w:tcPr>
          <w:p w14:paraId="3E0CF562" w14:textId="0379837E"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83.5%</w:t>
            </w:r>
          </w:p>
        </w:tc>
        <w:tc>
          <w:tcPr>
            <w:tcW w:w="537" w:type="pct"/>
            <w:shd w:val="clear" w:color="auto" w:fill="auto"/>
            <w:noWrap/>
            <w:vAlign w:val="center"/>
          </w:tcPr>
          <w:p w14:paraId="122E7EAE" w14:textId="51DDCFA8"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81.7%</w:t>
            </w:r>
          </w:p>
        </w:tc>
        <w:tc>
          <w:tcPr>
            <w:tcW w:w="525" w:type="pct"/>
            <w:shd w:val="clear" w:color="auto" w:fill="auto"/>
            <w:noWrap/>
            <w:vAlign w:val="center"/>
          </w:tcPr>
          <w:p w14:paraId="1CBE9707" w14:textId="16501806"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79.0%</w:t>
            </w:r>
          </w:p>
        </w:tc>
        <w:tc>
          <w:tcPr>
            <w:tcW w:w="533" w:type="pct"/>
            <w:shd w:val="clear" w:color="auto" w:fill="auto"/>
            <w:noWrap/>
            <w:vAlign w:val="center"/>
          </w:tcPr>
          <w:p w14:paraId="56B4BBC3" w14:textId="03DA3B06"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80.6%</w:t>
            </w:r>
          </w:p>
        </w:tc>
        <w:tc>
          <w:tcPr>
            <w:tcW w:w="556" w:type="pct"/>
            <w:vAlign w:val="center"/>
          </w:tcPr>
          <w:p w14:paraId="6E9407F8" w14:textId="1D747E0A"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81.3%</w:t>
            </w:r>
          </w:p>
        </w:tc>
        <w:tc>
          <w:tcPr>
            <w:tcW w:w="556" w:type="pct"/>
            <w:vAlign w:val="center"/>
          </w:tcPr>
          <w:p w14:paraId="4002B705" w14:textId="32D4A478"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80.3%</w:t>
            </w:r>
          </w:p>
        </w:tc>
        <w:tc>
          <w:tcPr>
            <w:tcW w:w="555" w:type="pct"/>
            <w:shd w:val="clear" w:color="auto" w:fill="auto"/>
            <w:noWrap/>
            <w:vAlign w:val="center"/>
          </w:tcPr>
          <w:p w14:paraId="43341375" w14:textId="47FDDB44"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79.2%</w:t>
            </w:r>
          </w:p>
        </w:tc>
      </w:tr>
      <w:tr w:rsidR="00BD394D" w:rsidRPr="000232DD" w14:paraId="36BB459C" w14:textId="77777777" w:rsidTr="00BD394D">
        <w:trPr>
          <w:trHeight w:val="360"/>
        </w:trPr>
        <w:tc>
          <w:tcPr>
            <w:tcW w:w="1200" w:type="pct"/>
            <w:shd w:val="clear" w:color="auto" w:fill="auto"/>
            <w:vAlign w:val="center"/>
            <w:hideMark/>
          </w:tcPr>
          <w:p w14:paraId="59EA2E87"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Ոչ ֆինանսական ակտիվների հետ գործառնություններ</w:t>
            </w:r>
          </w:p>
        </w:tc>
        <w:tc>
          <w:tcPr>
            <w:tcW w:w="538" w:type="pct"/>
            <w:shd w:val="clear" w:color="auto" w:fill="auto"/>
            <w:noWrap/>
            <w:vAlign w:val="center"/>
          </w:tcPr>
          <w:p w14:paraId="0807DFA4" w14:textId="3699FD09"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473</w:t>
            </w:r>
          </w:p>
        </w:tc>
        <w:tc>
          <w:tcPr>
            <w:tcW w:w="537" w:type="pct"/>
            <w:shd w:val="clear" w:color="auto" w:fill="auto"/>
            <w:noWrap/>
            <w:vAlign w:val="center"/>
          </w:tcPr>
          <w:p w14:paraId="311B4DF4" w14:textId="5C42B26E"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542</w:t>
            </w:r>
          </w:p>
        </w:tc>
        <w:tc>
          <w:tcPr>
            <w:tcW w:w="525" w:type="pct"/>
            <w:shd w:val="clear" w:color="auto" w:fill="auto"/>
            <w:noWrap/>
            <w:vAlign w:val="center"/>
          </w:tcPr>
          <w:p w14:paraId="7F8A4607" w14:textId="4C026417"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693</w:t>
            </w:r>
          </w:p>
        </w:tc>
        <w:tc>
          <w:tcPr>
            <w:tcW w:w="533" w:type="pct"/>
            <w:shd w:val="clear" w:color="auto" w:fill="auto"/>
            <w:noWrap/>
            <w:vAlign w:val="center"/>
          </w:tcPr>
          <w:p w14:paraId="76AD8A2D" w14:textId="6BAE50CC"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704</w:t>
            </w:r>
          </w:p>
        </w:tc>
        <w:tc>
          <w:tcPr>
            <w:tcW w:w="556" w:type="pct"/>
            <w:vAlign w:val="center"/>
          </w:tcPr>
          <w:p w14:paraId="7A9AE87D" w14:textId="59F69D50"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761</w:t>
            </w:r>
          </w:p>
        </w:tc>
        <w:tc>
          <w:tcPr>
            <w:tcW w:w="556" w:type="pct"/>
            <w:vAlign w:val="center"/>
          </w:tcPr>
          <w:p w14:paraId="23D60543" w14:textId="7F041EBA"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859</w:t>
            </w:r>
          </w:p>
        </w:tc>
        <w:tc>
          <w:tcPr>
            <w:tcW w:w="555" w:type="pct"/>
            <w:shd w:val="clear" w:color="auto" w:fill="auto"/>
            <w:noWrap/>
            <w:vAlign w:val="center"/>
          </w:tcPr>
          <w:p w14:paraId="6494ACEF" w14:textId="2FFDB493"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957</w:t>
            </w:r>
          </w:p>
        </w:tc>
      </w:tr>
      <w:tr w:rsidR="00BD394D" w:rsidRPr="000232DD" w14:paraId="62DC0607" w14:textId="77777777" w:rsidTr="00BD394D">
        <w:trPr>
          <w:trHeight w:val="360"/>
        </w:trPr>
        <w:tc>
          <w:tcPr>
            <w:tcW w:w="1200" w:type="pct"/>
            <w:shd w:val="clear" w:color="auto" w:fill="auto"/>
            <w:vAlign w:val="center"/>
            <w:hideMark/>
          </w:tcPr>
          <w:p w14:paraId="496A4405"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ՀՆԱ-ի նկատմամբ (%) </w:t>
            </w:r>
          </w:p>
        </w:tc>
        <w:tc>
          <w:tcPr>
            <w:tcW w:w="538" w:type="pct"/>
            <w:shd w:val="clear" w:color="auto" w:fill="auto"/>
            <w:noWrap/>
            <w:vAlign w:val="center"/>
          </w:tcPr>
          <w:p w14:paraId="0CC03F33" w14:textId="678F831F"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5.0%</w:t>
            </w:r>
          </w:p>
        </w:tc>
        <w:tc>
          <w:tcPr>
            <w:tcW w:w="537" w:type="pct"/>
            <w:shd w:val="clear" w:color="auto" w:fill="auto"/>
            <w:noWrap/>
            <w:vAlign w:val="center"/>
          </w:tcPr>
          <w:p w14:paraId="464530AA" w14:textId="0E2B6143"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5.3%</w:t>
            </w:r>
          </w:p>
        </w:tc>
        <w:tc>
          <w:tcPr>
            <w:tcW w:w="525" w:type="pct"/>
            <w:shd w:val="clear" w:color="auto" w:fill="auto"/>
            <w:noWrap/>
            <w:vAlign w:val="center"/>
          </w:tcPr>
          <w:p w14:paraId="6768B8E1" w14:textId="57A79B6B"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6.1%</w:t>
            </w:r>
          </w:p>
        </w:tc>
        <w:tc>
          <w:tcPr>
            <w:tcW w:w="533" w:type="pct"/>
            <w:shd w:val="clear" w:color="auto" w:fill="auto"/>
            <w:noWrap/>
            <w:vAlign w:val="center"/>
          </w:tcPr>
          <w:p w14:paraId="378988C0" w14:textId="7234508E"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5.9%</w:t>
            </w:r>
          </w:p>
        </w:tc>
        <w:tc>
          <w:tcPr>
            <w:tcW w:w="556" w:type="pct"/>
            <w:vAlign w:val="center"/>
          </w:tcPr>
          <w:p w14:paraId="324FEEA4" w14:textId="05EFE1DB"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5.6%</w:t>
            </w:r>
          </w:p>
        </w:tc>
        <w:tc>
          <w:tcPr>
            <w:tcW w:w="556" w:type="pct"/>
            <w:vAlign w:val="center"/>
          </w:tcPr>
          <w:p w14:paraId="3F82C898" w14:textId="5FCCADCA"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5.8%</w:t>
            </w:r>
          </w:p>
        </w:tc>
        <w:tc>
          <w:tcPr>
            <w:tcW w:w="555" w:type="pct"/>
            <w:shd w:val="clear" w:color="auto" w:fill="auto"/>
            <w:noWrap/>
            <w:vAlign w:val="center"/>
          </w:tcPr>
          <w:p w14:paraId="17563FD8" w14:textId="4B24A212"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5.9%</w:t>
            </w:r>
          </w:p>
        </w:tc>
      </w:tr>
      <w:tr w:rsidR="00BD394D" w:rsidRPr="000232DD" w14:paraId="1A9CBB50" w14:textId="77777777" w:rsidTr="00BD394D">
        <w:trPr>
          <w:trHeight w:val="360"/>
        </w:trPr>
        <w:tc>
          <w:tcPr>
            <w:tcW w:w="1200" w:type="pct"/>
            <w:shd w:val="clear" w:color="auto" w:fill="auto"/>
            <w:vAlign w:val="center"/>
            <w:hideMark/>
          </w:tcPr>
          <w:p w14:paraId="2DE01C1A"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Ընդհանուրի նկատմամբ (%) </w:t>
            </w:r>
          </w:p>
        </w:tc>
        <w:tc>
          <w:tcPr>
            <w:tcW w:w="538" w:type="pct"/>
            <w:shd w:val="clear" w:color="auto" w:fill="auto"/>
            <w:noWrap/>
            <w:vAlign w:val="center"/>
          </w:tcPr>
          <w:p w14:paraId="09A2D7F5" w14:textId="290E7B97"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18.6%</w:t>
            </w:r>
          </w:p>
        </w:tc>
        <w:tc>
          <w:tcPr>
            <w:tcW w:w="537" w:type="pct"/>
            <w:shd w:val="clear" w:color="auto" w:fill="auto"/>
            <w:noWrap/>
            <w:vAlign w:val="center"/>
          </w:tcPr>
          <w:p w14:paraId="4743828F" w14:textId="6CE44861"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18.3%</w:t>
            </w:r>
          </w:p>
        </w:tc>
        <w:tc>
          <w:tcPr>
            <w:tcW w:w="525" w:type="pct"/>
            <w:shd w:val="clear" w:color="auto" w:fill="auto"/>
            <w:noWrap/>
            <w:vAlign w:val="center"/>
          </w:tcPr>
          <w:p w14:paraId="03F47667" w14:textId="461EE452"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21.1%</w:t>
            </w:r>
          </w:p>
        </w:tc>
        <w:tc>
          <w:tcPr>
            <w:tcW w:w="533" w:type="pct"/>
            <w:shd w:val="clear" w:color="auto" w:fill="auto"/>
            <w:noWrap/>
            <w:vAlign w:val="center"/>
          </w:tcPr>
          <w:p w14:paraId="546F07B6" w14:textId="249DE93A"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19.4%</w:t>
            </w:r>
          </w:p>
        </w:tc>
        <w:tc>
          <w:tcPr>
            <w:tcW w:w="556" w:type="pct"/>
            <w:vAlign w:val="center"/>
          </w:tcPr>
          <w:p w14:paraId="4287B718" w14:textId="4C77DDBE"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18.7%</w:t>
            </w:r>
          </w:p>
        </w:tc>
        <w:tc>
          <w:tcPr>
            <w:tcW w:w="556" w:type="pct"/>
            <w:vAlign w:val="center"/>
          </w:tcPr>
          <w:p w14:paraId="6B87F5B9" w14:textId="09CFBA5D"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19.7%</w:t>
            </w:r>
          </w:p>
        </w:tc>
        <w:tc>
          <w:tcPr>
            <w:tcW w:w="555" w:type="pct"/>
            <w:shd w:val="clear" w:color="auto" w:fill="auto"/>
            <w:noWrap/>
            <w:vAlign w:val="center"/>
          </w:tcPr>
          <w:p w14:paraId="59EAAA86" w14:textId="3C02984D"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20.8%</w:t>
            </w:r>
          </w:p>
        </w:tc>
      </w:tr>
      <w:tr w:rsidR="00BD394D" w:rsidRPr="000232DD" w14:paraId="7E222DFB" w14:textId="77777777" w:rsidTr="00BD394D">
        <w:trPr>
          <w:trHeight w:val="412"/>
        </w:trPr>
        <w:tc>
          <w:tcPr>
            <w:tcW w:w="1200" w:type="pct"/>
            <w:shd w:val="clear" w:color="auto" w:fill="D5DCE4"/>
            <w:vAlign w:val="center"/>
            <w:hideMark/>
          </w:tcPr>
          <w:p w14:paraId="09CA9D5E"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Պետական բյուջեի դեֆիցիտ</w:t>
            </w:r>
          </w:p>
        </w:tc>
        <w:tc>
          <w:tcPr>
            <w:tcW w:w="538" w:type="pct"/>
            <w:shd w:val="clear" w:color="auto" w:fill="D5DCE4"/>
            <w:noWrap/>
            <w:vAlign w:val="center"/>
          </w:tcPr>
          <w:p w14:paraId="3D03E68E" w14:textId="7FFE8E96"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b/>
                <w:bCs/>
                <w:sz w:val="18"/>
                <w:szCs w:val="18"/>
              </w:rPr>
              <w:t>189</w:t>
            </w:r>
          </w:p>
        </w:tc>
        <w:tc>
          <w:tcPr>
            <w:tcW w:w="537" w:type="pct"/>
            <w:shd w:val="clear" w:color="auto" w:fill="D5DCE4"/>
            <w:noWrap/>
            <w:vAlign w:val="center"/>
          </w:tcPr>
          <w:p w14:paraId="59B0B365" w14:textId="19A99C1F"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b/>
                <w:bCs/>
                <w:sz w:val="18"/>
                <w:szCs w:val="18"/>
              </w:rPr>
              <w:t>376</w:t>
            </w:r>
          </w:p>
        </w:tc>
        <w:tc>
          <w:tcPr>
            <w:tcW w:w="525" w:type="pct"/>
            <w:shd w:val="clear" w:color="auto" w:fill="D5DCE4"/>
            <w:noWrap/>
            <w:vAlign w:val="center"/>
          </w:tcPr>
          <w:p w14:paraId="6ADF136A" w14:textId="4910D379"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b/>
                <w:bCs/>
                <w:sz w:val="18"/>
                <w:szCs w:val="18"/>
              </w:rPr>
              <w:t>419</w:t>
            </w:r>
          </w:p>
        </w:tc>
        <w:tc>
          <w:tcPr>
            <w:tcW w:w="533" w:type="pct"/>
            <w:shd w:val="clear" w:color="auto" w:fill="D5DCE4"/>
            <w:noWrap/>
            <w:vAlign w:val="center"/>
          </w:tcPr>
          <w:p w14:paraId="0AF8AEAA" w14:textId="47D04514"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lang w:val="hy-AM"/>
              </w:rPr>
            </w:pPr>
            <w:r>
              <w:rPr>
                <w:rFonts w:ascii="GHEA Grapalat" w:hAnsi="GHEA Grapalat"/>
                <w:b/>
                <w:bCs/>
                <w:sz w:val="18"/>
                <w:szCs w:val="18"/>
              </w:rPr>
              <w:t>537</w:t>
            </w:r>
          </w:p>
        </w:tc>
        <w:tc>
          <w:tcPr>
            <w:tcW w:w="556" w:type="pct"/>
            <w:shd w:val="clear" w:color="auto" w:fill="D5DCE4"/>
            <w:vAlign w:val="center"/>
          </w:tcPr>
          <w:p w14:paraId="01516BA1" w14:textId="6D34A04F" w:rsidR="00BD394D" w:rsidRPr="000232DD" w:rsidRDefault="00BD394D" w:rsidP="00BD394D">
            <w:pPr>
              <w:spacing w:before="0" w:after="0" w:line="240" w:lineRule="auto"/>
              <w:ind w:right="-22"/>
              <w:jc w:val="center"/>
              <w:rPr>
                <w:rFonts w:ascii="GHEA Grapalat" w:eastAsia="Times New Roman" w:hAnsi="GHEA Grapalat" w:cs="Calibri"/>
                <w:b/>
                <w:bCs/>
                <w:color w:val="auto"/>
                <w:sz w:val="18"/>
                <w:szCs w:val="18"/>
              </w:rPr>
            </w:pPr>
            <w:r>
              <w:rPr>
                <w:rFonts w:ascii="GHEA Grapalat" w:hAnsi="GHEA Grapalat"/>
                <w:b/>
                <w:bCs/>
                <w:sz w:val="18"/>
                <w:szCs w:val="18"/>
              </w:rPr>
              <w:t>468</w:t>
            </w:r>
          </w:p>
        </w:tc>
        <w:tc>
          <w:tcPr>
            <w:tcW w:w="556" w:type="pct"/>
            <w:shd w:val="clear" w:color="auto" w:fill="D5DCE4"/>
            <w:vAlign w:val="center"/>
          </w:tcPr>
          <w:p w14:paraId="2B9AB7FC" w14:textId="1BFD6726" w:rsidR="00BD394D" w:rsidRPr="000232DD" w:rsidRDefault="00BD394D" w:rsidP="00BD394D">
            <w:pPr>
              <w:spacing w:before="0" w:after="0" w:line="240" w:lineRule="auto"/>
              <w:ind w:right="-22"/>
              <w:jc w:val="center"/>
              <w:rPr>
                <w:rFonts w:ascii="GHEA Grapalat" w:eastAsia="Times New Roman" w:hAnsi="GHEA Grapalat" w:cs="Calibri"/>
                <w:b/>
                <w:bCs/>
                <w:color w:val="auto"/>
                <w:sz w:val="18"/>
                <w:szCs w:val="18"/>
              </w:rPr>
            </w:pPr>
            <w:r>
              <w:rPr>
                <w:rFonts w:ascii="GHEA Grapalat" w:hAnsi="GHEA Grapalat"/>
                <w:b/>
                <w:bCs/>
                <w:sz w:val="18"/>
                <w:szCs w:val="18"/>
              </w:rPr>
              <w:t>414</w:t>
            </w:r>
          </w:p>
        </w:tc>
        <w:tc>
          <w:tcPr>
            <w:tcW w:w="555" w:type="pct"/>
            <w:shd w:val="clear" w:color="auto" w:fill="D5DCE4"/>
            <w:noWrap/>
            <w:vAlign w:val="center"/>
          </w:tcPr>
          <w:p w14:paraId="699116BD" w14:textId="130A543D"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lang w:val="hy-AM"/>
              </w:rPr>
            </w:pPr>
            <w:r>
              <w:rPr>
                <w:rFonts w:ascii="GHEA Grapalat" w:hAnsi="GHEA Grapalat"/>
                <w:color w:val="000000"/>
                <w:sz w:val="18"/>
                <w:szCs w:val="18"/>
                <w:lang w:val="hy-AM"/>
              </w:rPr>
              <w:t>291</w:t>
            </w:r>
          </w:p>
        </w:tc>
      </w:tr>
      <w:tr w:rsidR="00BD394D" w:rsidRPr="000232DD" w14:paraId="5B98CE44" w14:textId="77777777" w:rsidTr="00BD394D">
        <w:trPr>
          <w:trHeight w:val="360"/>
        </w:trPr>
        <w:tc>
          <w:tcPr>
            <w:tcW w:w="1200" w:type="pct"/>
            <w:shd w:val="clear" w:color="auto" w:fill="auto"/>
            <w:vAlign w:val="center"/>
            <w:hideMark/>
          </w:tcPr>
          <w:p w14:paraId="004AEC20"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ՀՆԱ-ի նկատմամբ (%) </w:t>
            </w:r>
          </w:p>
        </w:tc>
        <w:tc>
          <w:tcPr>
            <w:tcW w:w="538" w:type="pct"/>
            <w:shd w:val="clear" w:color="auto" w:fill="auto"/>
            <w:noWrap/>
            <w:vAlign w:val="center"/>
          </w:tcPr>
          <w:p w14:paraId="55513781" w14:textId="6EF32FD3"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2.0%</w:t>
            </w:r>
          </w:p>
        </w:tc>
        <w:tc>
          <w:tcPr>
            <w:tcW w:w="537" w:type="pct"/>
            <w:shd w:val="clear" w:color="auto" w:fill="auto"/>
            <w:noWrap/>
            <w:vAlign w:val="center"/>
          </w:tcPr>
          <w:p w14:paraId="27CB2C54" w14:textId="4F2CAAE4"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3.7%</w:t>
            </w:r>
          </w:p>
        </w:tc>
        <w:tc>
          <w:tcPr>
            <w:tcW w:w="525" w:type="pct"/>
            <w:shd w:val="clear" w:color="auto" w:fill="auto"/>
            <w:noWrap/>
            <w:vAlign w:val="center"/>
          </w:tcPr>
          <w:p w14:paraId="387059EC" w14:textId="718B7E18"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3.7%</w:t>
            </w:r>
          </w:p>
        </w:tc>
        <w:tc>
          <w:tcPr>
            <w:tcW w:w="533" w:type="pct"/>
            <w:shd w:val="clear" w:color="auto" w:fill="auto"/>
            <w:noWrap/>
            <w:vAlign w:val="center"/>
          </w:tcPr>
          <w:p w14:paraId="4936908B" w14:textId="06EC882E"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4.5%</w:t>
            </w:r>
          </w:p>
        </w:tc>
        <w:tc>
          <w:tcPr>
            <w:tcW w:w="556" w:type="pct"/>
            <w:vAlign w:val="center"/>
          </w:tcPr>
          <w:p w14:paraId="4D540E38" w14:textId="637C109D"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3.4%</w:t>
            </w:r>
          </w:p>
        </w:tc>
        <w:tc>
          <w:tcPr>
            <w:tcW w:w="556" w:type="pct"/>
            <w:vAlign w:val="center"/>
          </w:tcPr>
          <w:p w14:paraId="2CB25F80" w14:textId="0578898A"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2.8%</w:t>
            </w:r>
          </w:p>
        </w:tc>
        <w:tc>
          <w:tcPr>
            <w:tcW w:w="555" w:type="pct"/>
            <w:shd w:val="clear" w:color="auto" w:fill="auto"/>
            <w:noWrap/>
            <w:vAlign w:val="center"/>
          </w:tcPr>
          <w:p w14:paraId="52066D38" w14:textId="679BC110"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1.8%</w:t>
            </w:r>
          </w:p>
        </w:tc>
      </w:tr>
      <w:tr w:rsidR="00BD394D" w:rsidRPr="000232DD" w14:paraId="722915D4" w14:textId="77777777" w:rsidTr="00BD394D">
        <w:trPr>
          <w:trHeight w:val="360"/>
        </w:trPr>
        <w:tc>
          <w:tcPr>
            <w:tcW w:w="1200" w:type="pct"/>
            <w:shd w:val="clear" w:color="auto" w:fill="auto"/>
            <w:vAlign w:val="center"/>
            <w:hideMark/>
          </w:tcPr>
          <w:p w14:paraId="102DE724" w14:textId="77777777" w:rsidR="00BD394D" w:rsidRPr="000232DD" w:rsidRDefault="00BD394D" w:rsidP="00BD394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Անվանական ՀՆԱ</w:t>
            </w:r>
          </w:p>
        </w:tc>
        <w:tc>
          <w:tcPr>
            <w:tcW w:w="538" w:type="pct"/>
            <w:shd w:val="clear" w:color="auto" w:fill="auto"/>
            <w:noWrap/>
            <w:vAlign w:val="center"/>
          </w:tcPr>
          <w:p w14:paraId="4C08FAC9" w14:textId="09C87939"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9,493</w:t>
            </w:r>
          </w:p>
        </w:tc>
        <w:tc>
          <w:tcPr>
            <w:tcW w:w="537" w:type="pct"/>
            <w:shd w:val="clear" w:color="auto" w:fill="auto"/>
            <w:noWrap/>
            <w:vAlign w:val="center"/>
          </w:tcPr>
          <w:p w14:paraId="0F89DF64" w14:textId="0E4B744E"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10,193</w:t>
            </w:r>
          </w:p>
        </w:tc>
        <w:tc>
          <w:tcPr>
            <w:tcW w:w="525" w:type="pct"/>
            <w:shd w:val="clear" w:color="auto" w:fill="auto"/>
            <w:noWrap/>
            <w:vAlign w:val="center"/>
          </w:tcPr>
          <w:p w14:paraId="374BC829" w14:textId="0A20994F"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11,343</w:t>
            </w:r>
          </w:p>
        </w:tc>
        <w:tc>
          <w:tcPr>
            <w:tcW w:w="533" w:type="pct"/>
            <w:shd w:val="clear" w:color="auto" w:fill="auto"/>
            <w:noWrap/>
            <w:vAlign w:val="center"/>
          </w:tcPr>
          <w:p w14:paraId="714A95A6" w14:textId="4403C7A4"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11,934</w:t>
            </w:r>
          </w:p>
        </w:tc>
        <w:tc>
          <w:tcPr>
            <w:tcW w:w="556" w:type="pct"/>
            <w:vAlign w:val="center"/>
          </w:tcPr>
          <w:p w14:paraId="555BE974" w14:textId="2D199153"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13,614</w:t>
            </w:r>
          </w:p>
        </w:tc>
        <w:tc>
          <w:tcPr>
            <w:tcW w:w="556" w:type="pct"/>
            <w:vAlign w:val="center"/>
          </w:tcPr>
          <w:p w14:paraId="4217F390" w14:textId="29C8DD6F" w:rsidR="00BD394D" w:rsidRPr="000232DD" w:rsidRDefault="00BD394D" w:rsidP="00BD394D">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sz w:val="18"/>
                <w:szCs w:val="18"/>
              </w:rPr>
              <w:t>14,877</w:t>
            </w:r>
          </w:p>
        </w:tc>
        <w:tc>
          <w:tcPr>
            <w:tcW w:w="555" w:type="pct"/>
            <w:shd w:val="clear" w:color="auto" w:fill="auto"/>
            <w:noWrap/>
            <w:vAlign w:val="center"/>
          </w:tcPr>
          <w:p w14:paraId="2BE7AEC9" w14:textId="4F131054" w:rsidR="00BD394D" w:rsidRPr="000232DD" w:rsidRDefault="00BD394D" w:rsidP="00BD394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sz w:val="18"/>
                <w:szCs w:val="18"/>
              </w:rPr>
              <w:t>16,234</w:t>
            </w:r>
          </w:p>
        </w:tc>
      </w:tr>
    </w:tbl>
    <w:p w14:paraId="2D376ACA" w14:textId="77777777" w:rsidR="00280C7E" w:rsidRPr="000232DD" w:rsidRDefault="00280C7E" w:rsidP="00082769">
      <w:pPr>
        <w:ind w:right="-22"/>
        <w:jc w:val="both"/>
        <w:rPr>
          <w:rFonts w:ascii="GHEA Grapalat" w:eastAsia="Times New Roman" w:hAnsi="GHEA Grapalat" w:cs="Times New Roman"/>
          <w:color w:val="auto"/>
          <w:szCs w:val="20"/>
          <w:lang w:val="hy-AM"/>
        </w:rPr>
      </w:pPr>
    </w:p>
    <w:p w14:paraId="42089C20" w14:textId="1A99F741" w:rsidR="00280C7E" w:rsidRPr="000232DD" w:rsidRDefault="00280C7E"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Հիմք ընդունելով ՀՆԱ-ի 26.5%-ի չափով կանխատեսված ՀՀ 2026 թվականի պե</w:t>
      </w:r>
      <w:r w:rsidRPr="000232DD">
        <w:rPr>
          <w:rFonts w:ascii="GHEA Grapalat" w:eastAsia="Times New Roman" w:hAnsi="GHEA Grapalat" w:cs="Times New Roman"/>
          <w:color w:val="auto"/>
          <w:szCs w:val="20"/>
          <w:lang w:val="hy-AM"/>
        </w:rPr>
        <w:softHyphen/>
        <w:t>տա</w:t>
      </w:r>
      <w:r w:rsidRPr="000232DD">
        <w:rPr>
          <w:rFonts w:ascii="GHEA Grapalat" w:eastAsia="Times New Roman" w:hAnsi="GHEA Grapalat" w:cs="Times New Roman"/>
          <w:color w:val="auto"/>
          <w:szCs w:val="20"/>
          <w:lang w:val="hy-AM"/>
        </w:rPr>
        <w:softHyphen/>
        <w:t>կան բյու</w:t>
      </w:r>
      <w:r w:rsidRPr="000232DD">
        <w:rPr>
          <w:rFonts w:ascii="GHEA Grapalat" w:eastAsia="Times New Roman" w:hAnsi="GHEA Grapalat" w:cs="Times New Roman"/>
          <w:color w:val="auto"/>
          <w:szCs w:val="20"/>
          <w:lang w:val="hy-AM"/>
        </w:rPr>
        <w:softHyphen/>
        <w:t xml:space="preserve">ջեի եկամուտների մակարդակը և ելնելով ՀՆԱ-ի </w:t>
      </w:r>
      <w:r w:rsidR="005C7003" w:rsidRPr="000232DD">
        <w:rPr>
          <w:rFonts w:ascii="GHEA Grapalat" w:eastAsia="Times New Roman" w:hAnsi="GHEA Grapalat" w:cs="Times New Roman"/>
          <w:color w:val="auto"/>
          <w:szCs w:val="20"/>
          <w:lang w:val="hy-AM"/>
        </w:rPr>
        <w:t>3.4</w:t>
      </w:r>
      <w:r w:rsidRPr="000232DD">
        <w:rPr>
          <w:rFonts w:ascii="GHEA Grapalat" w:eastAsia="Times New Roman" w:hAnsi="GHEA Grapalat" w:cs="Times New Roman"/>
          <w:color w:val="auto"/>
          <w:szCs w:val="20"/>
          <w:lang w:val="hy-AM"/>
        </w:rPr>
        <w:t>%-ի չափով դեֆի</w:t>
      </w:r>
      <w:r w:rsidRPr="000232DD">
        <w:rPr>
          <w:rFonts w:ascii="GHEA Grapalat" w:eastAsia="Times New Roman" w:hAnsi="GHEA Grapalat" w:cs="Times New Roman"/>
          <w:color w:val="auto"/>
          <w:szCs w:val="20"/>
          <w:lang w:val="hy-AM"/>
        </w:rPr>
        <w:softHyphen/>
        <w:t>ցի</w:t>
      </w:r>
      <w:r w:rsidRPr="000232DD">
        <w:rPr>
          <w:rFonts w:ascii="GHEA Grapalat" w:eastAsia="Times New Roman" w:hAnsi="GHEA Grapalat" w:cs="Times New Roman"/>
          <w:color w:val="auto"/>
          <w:szCs w:val="20"/>
          <w:lang w:val="hy-AM"/>
        </w:rPr>
        <w:softHyphen/>
        <w:t>տի ֆինան</w:t>
      </w:r>
      <w:r w:rsidRPr="000232DD">
        <w:rPr>
          <w:rFonts w:ascii="GHEA Grapalat" w:eastAsia="Times New Roman" w:hAnsi="GHEA Grapalat" w:cs="Times New Roman"/>
          <w:color w:val="auto"/>
          <w:szCs w:val="20"/>
          <w:lang w:val="hy-AM"/>
        </w:rPr>
        <w:softHyphen/>
        <w:t>սա</w:t>
      </w:r>
      <w:r w:rsidRPr="000232DD">
        <w:rPr>
          <w:rFonts w:ascii="GHEA Grapalat" w:eastAsia="Times New Roman" w:hAnsi="GHEA Grapalat" w:cs="Times New Roman"/>
          <w:color w:val="auto"/>
          <w:szCs w:val="20"/>
          <w:lang w:val="hy-AM"/>
        </w:rPr>
        <w:softHyphen/>
        <w:t>վոր</w:t>
      </w:r>
      <w:r w:rsidRPr="000232DD">
        <w:rPr>
          <w:rFonts w:ascii="GHEA Grapalat" w:eastAsia="Times New Roman" w:hAnsi="GHEA Grapalat" w:cs="Times New Roman"/>
          <w:color w:val="auto"/>
          <w:szCs w:val="20"/>
          <w:lang w:val="hy-AM"/>
        </w:rPr>
        <w:softHyphen/>
        <w:t>ման հնարավորություններից, ՀՀ կառավարությունը ծրագրում է 2027 թվա</w:t>
      </w:r>
      <w:r w:rsidRPr="000232DD">
        <w:rPr>
          <w:rFonts w:ascii="GHEA Grapalat" w:eastAsia="Times New Roman" w:hAnsi="GHEA Grapalat" w:cs="Times New Roman"/>
          <w:color w:val="auto"/>
          <w:szCs w:val="20"/>
          <w:lang w:val="hy-AM"/>
        </w:rPr>
        <w:softHyphen/>
        <w:t>կանին ապահովել ծախսերը ՀՆԱ-ի 29.</w:t>
      </w:r>
      <w:r w:rsidR="005C7003" w:rsidRPr="000232DD">
        <w:rPr>
          <w:rFonts w:ascii="GHEA Grapalat" w:eastAsia="Times New Roman" w:hAnsi="GHEA Grapalat" w:cs="Times New Roman"/>
          <w:color w:val="auto"/>
          <w:szCs w:val="20"/>
          <w:lang w:val="hy-AM"/>
        </w:rPr>
        <w:t>9</w:t>
      </w:r>
      <w:r w:rsidRPr="000232DD">
        <w:rPr>
          <w:rFonts w:ascii="GHEA Grapalat" w:eastAsia="Times New Roman" w:hAnsi="GHEA Grapalat" w:cs="Times New Roman"/>
          <w:color w:val="auto"/>
          <w:szCs w:val="20"/>
          <w:lang w:val="hy-AM"/>
        </w:rPr>
        <w:t>%-ի կամ 4,0</w:t>
      </w:r>
      <w:r w:rsidR="005C7003" w:rsidRPr="000232DD">
        <w:rPr>
          <w:rFonts w:ascii="GHEA Grapalat" w:eastAsia="Times New Roman" w:hAnsi="GHEA Grapalat" w:cs="Times New Roman"/>
          <w:color w:val="auto"/>
          <w:szCs w:val="20"/>
          <w:lang w:val="hy-AM"/>
        </w:rPr>
        <w:t>7</w:t>
      </w:r>
      <w:r w:rsidR="00256975">
        <w:rPr>
          <w:rFonts w:ascii="GHEA Grapalat" w:eastAsia="Times New Roman" w:hAnsi="GHEA Grapalat" w:cs="Times New Roman"/>
          <w:color w:val="auto"/>
          <w:szCs w:val="20"/>
          <w:lang w:val="hy-AM"/>
        </w:rPr>
        <w:t>2</w:t>
      </w:r>
      <w:r w:rsidRPr="000232DD">
        <w:rPr>
          <w:rFonts w:ascii="GHEA Grapalat" w:eastAsia="Times New Roman" w:hAnsi="GHEA Grapalat" w:cs="Times New Roman"/>
          <w:color w:val="auto"/>
          <w:szCs w:val="20"/>
          <w:lang w:val="hy-AM"/>
        </w:rPr>
        <w:t>.</w:t>
      </w:r>
      <w:r w:rsidR="00256975">
        <w:rPr>
          <w:rFonts w:ascii="GHEA Grapalat" w:eastAsia="Times New Roman" w:hAnsi="GHEA Grapalat" w:cs="Times New Roman"/>
          <w:color w:val="auto"/>
          <w:szCs w:val="20"/>
          <w:lang w:val="hy-AM"/>
        </w:rPr>
        <w:t>0</w:t>
      </w:r>
      <w:r w:rsidRPr="000232DD">
        <w:rPr>
          <w:rFonts w:ascii="GHEA Grapalat" w:eastAsia="Times New Roman" w:hAnsi="GHEA Grapalat" w:cs="Times New Roman"/>
          <w:color w:val="auto"/>
          <w:szCs w:val="20"/>
          <w:lang w:val="hy-AM"/>
        </w:rPr>
        <w:t xml:space="preserve"> մլրդ դրամի չափով: 202</w:t>
      </w:r>
      <w:r w:rsidR="005C7003" w:rsidRPr="000232DD">
        <w:rPr>
          <w:rFonts w:ascii="GHEA Grapalat" w:eastAsia="Times New Roman" w:hAnsi="GHEA Grapalat" w:cs="Times New Roman"/>
          <w:color w:val="auto"/>
          <w:szCs w:val="20"/>
          <w:lang w:val="hy-AM"/>
        </w:rPr>
        <w:t>9</w:t>
      </w:r>
      <w:r w:rsidRPr="000232DD">
        <w:rPr>
          <w:rFonts w:ascii="GHEA Grapalat" w:eastAsia="Times New Roman" w:hAnsi="GHEA Grapalat" w:cs="Times New Roman"/>
          <w:color w:val="auto"/>
          <w:szCs w:val="20"/>
          <w:lang w:val="hy-AM"/>
        </w:rPr>
        <w:t xml:space="preserve"> թվականին ՀՀ կառավարությունը նախատեսում է ապահովել ծախսերը ՀՆԱ-ի 29.3%-ի կամ 4,364.</w:t>
      </w:r>
      <w:r w:rsidR="00256975">
        <w:rPr>
          <w:rFonts w:ascii="GHEA Grapalat" w:eastAsia="Times New Roman" w:hAnsi="GHEA Grapalat" w:cs="Times New Roman"/>
          <w:color w:val="auto"/>
          <w:szCs w:val="20"/>
          <w:lang w:val="hy-AM"/>
        </w:rPr>
        <w:t>4</w:t>
      </w:r>
      <w:r w:rsidRPr="000232DD">
        <w:rPr>
          <w:rFonts w:ascii="GHEA Grapalat" w:eastAsia="Times New Roman" w:hAnsi="GHEA Grapalat" w:cs="Times New Roman"/>
          <w:color w:val="auto"/>
          <w:szCs w:val="20"/>
          <w:lang w:val="hy-AM"/>
        </w:rPr>
        <w:t xml:space="preserve"> մլրդ դրամի չափով, իսկ 2029 թվականին՝ համապատասխանաբար ՀՆԱ-ի 28.4%-ի կամ 4,602.7 մլրդ դրամի չափով:</w:t>
      </w:r>
    </w:p>
    <w:p w14:paraId="5F5A622C" w14:textId="77777777" w:rsidR="00280C7E" w:rsidRPr="000232DD" w:rsidRDefault="00280C7E" w:rsidP="00082769">
      <w:pPr>
        <w:pStyle w:val="TOC4"/>
        <w:ind w:right="-22"/>
        <w:rPr>
          <w:rFonts w:eastAsia="Times New Roman"/>
          <w:color w:val="auto"/>
          <w:lang w:val="hy-AM"/>
        </w:rPr>
      </w:pPr>
      <w:bookmarkStart w:id="311" w:name="_Toc525773067"/>
      <w:bookmarkStart w:id="312" w:name="_Toc20590407"/>
      <w:r w:rsidRPr="000232DD">
        <w:rPr>
          <w:rFonts w:eastAsia="Times New Roman"/>
          <w:color w:val="auto"/>
          <w:lang w:val="hy-AM"/>
        </w:rPr>
        <w:t>ՊԵՏԱԿԱՆ ԲՅՈՒՋԵԻ ԵԿԱՄՈՒՏՆԵՐԸ</w:t>
      </w:r>
    </w:p>
    <w:p w14:paraId="29751710" w14:textId="77777777" w:rsidR="00280C7E" w:rsidRPr="000232DD" w:rsidRDefault="00280C7E"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ՀՀ 2027 թվականի պետական բյուջեով նախատեսված բյուջետային եկա</w:t>
      </w:r>
      <w:r w:rsidRPr="000232DD">
        <w:rPr>
          <w:rFonts w:ascii="GHEA Grapalat" w:eastAsia="Times New Roman" w:hAnsi="GHEA Grapalat" w:cs="Times New Roman"/>
          <w:color w:val="auto"/>
          <w:szCs w:val="20"/>
          <w:lang w:val="hy-AM"/>
        </w:rPr>
        <w:softHyphen/>
        <w:t>մուտների կազմում, ինչպես և նախորդ տարիներին, գերակշիռ մաս են կազմում հար</w:t>
      </w:r>
      <w:r w:rsidRPr="000232DD">
        <w:rPr>
          <w:rFonts w:ascii="GHEA Grapalat" w:eastAsia="Times New Roman" w:hAnsi="GHEA Grapalat" w:cs="Times New Roman"/>
          <w:color w:val="auto"/>
          <w:szCs w:val="20"/>
          <w:lang w:val="hy-AM"/>
        </w:rPr>
        <w:softHyphen/>
        <w:t>կային եկամուտների և պետական տուրքերի գծով ակնկալվող մուտքերը, ինչը ներկայացված է գծապատկերում:</w:t>
      </w:r>
    </w:p>
    <w:p w14:paraId="0C029BEE" w14:textId="77777777" w:rsidR="00280C7E" w:rsidRPr="000232DD" w:rsidRDefault="00280C7E" w:rsidP="00E73A9A">
      <w:pPr>
        <w:pStyle w:val="Charts"/>
        <w:ind w:right="-22"/>
        <w:rPr>
          <w:rFonts w:eastAsia="Times New Roman" w:cs="Times New Roman"/>
          <w:b w:val="0"/>
          <w:color w:val="auto"/>
        </w:rPr>
      </w:pPr>
      <w:bookmarkStart w:id="313" w:name="_Ref497897119"/>
      <w:bookmarkStart w:id="314" w:name="_Toc525773080"/>
      <w:bookmarkStart w:id="315" w:name="_Toc530250447"/>
      <w:bookmarkStart w:id="316" w:name="_Toc178595159"/>
      <w:r w:rsidRPr="000232DD">
        <w:rPr>
          <w:rFonts w:eastAsia="Times New Roman" w:cs="Times New Roman"/>
          <w:b w:val="0"/>
          <w:noProof/>
          <w:color w:val="auto"/>
          <w:lang w:val="en-US"/>
        </w:rPr>
        <w:drawing>
          <wp:anchor distT="0" distB="0" distL="114300" distR="114300" simplePos="0" relativeHeight="251681792" behindDoc="0" locked="0" layoutInCell="1" allowOverlap="1" wp14:anchorId="134B05A6" wp14:editId="402460F6">
            <wp:simplePos x="0" y="0"/>
            <wp:positionH relativeFrom="margin">
              <wp:posOffset>-635</wp:posOffset>
            </wp:positionH>
            <wp:positionV relativeFrom="paragraph">
              <wp:posOffset>676910</wp:posOffset>
            </wp:positionV>
            <wp:extent cx="6067425" cy="2333625"/>
            <wp:effectExtent l="0" t="0" r="0" b="0"/>
            <wp:wrapTopAndBottom/>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14:sizeRelH relativeFrom="margin">
              <wp14:pctWidth>0</wp14:pctWidth>
            </wp14:sizeRelH>
            <wp14:sizeRelV relativeFrom="margin">
              <wp14:pctHeight>0</wp14:pctHeight>
            </wp14:sizeRelV>
          </wp:anchor>
        </w:drawing>
      </w:r>
      <w:r w:rsidRPr="000232DD">
        <w:rPr>
          <w:rFonts w:eastAsia="Times New Roman" w:cs="Times New Roman"/>
          <w:color w:val="auto"/>
        </w:rPr>
        <w:t>ՀՀ 2027 թվականի պետական բյուջեով նախատեսված բյուջետային եկամուտների կառուցվածքը (%-ով ընդհանուրի նկատմամբ)</w:t>
      </w:r>
      <w:bookmarkEnd w:id="313"/>
      <w:bookmarkEnd w:id="314"/>
      <w:bookmarkEnd w:id="315"/>
      <w:r w:rsidRPr="000232DD">
        <w:rPr>
          <w:rFonts w:eastAsia="Times New Roman" w:cs="Times New Roman"/>
          <w:color w:val="auto"/>
        </w:rPr>
        <w:t>:</w:t>
      </w:r>
      <w:bookmarkEnd w:id="316"/>
    </w:p>
    <w:p w14:paraId="5B24A824" w14:textId="77777777" w:rsidR="00280C7E" w:rsidRPr="000232DD" w:rsidRDefault="00280C7E" w:rsidP="00082769">
      <w:pPr>
        <w:ind w:right="-22"/>
        <w:jc w:val="both"/>
        <w:rPr>
          <w:rFonts w:ascii="GHEA Grapalat" w:eastAsia="Times New Roman" w:hAnsi="GHEA Grapalat" w:cs="Times New Roman"/>
          <w:color w:val="auto"/>
          <w:lang w:val="hy-AM"/>
        </w:rPr>
      </w:pPr>
    </w:p>
    <w:p w14:paraId="28534D23" w14:textId="5352B4C7" w:rsidR="00280C7E" w:rsidRPr="000232DD" w:rsidRDefault="00280C7E"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ՀՀ 2027 թվականի պետական բյուջեով նախատեսվել է 3,603.8 մլրդ դրամ եկա</w:t>
      </w:r>
      <w:r w:rsidRPr="000232DD">
        <w:rPr>
          <w:rFonts w:ascii="GHEA Grapalat" w:eastAsia="Times New Roman" w:hAnsi="GHEA Grapalat" w:cs="Times New Roman"/>
          <w:color w:val="auto"/>
          <w:szCs w:val="20"/>
          <w:lang w:val="hy-AM"/>
        </w:rPr>
        <w:softHyphen/>
        <w:t>մուտ</w:t>
      </w:r>
      <w:r w:rsidRPr="000232DD">
        <w:rPr>
          <w:rFonts w:ascii="GHEA Grapalat" w:eastAsia="Times New Roman" w:hAnsi="GHEA Grapalat" w:cs="Times New Roman"/>
          <w:color w:val="auto"/>
          <w:szCs w:val="20"/>
          <w:lang w:val="hy-AM"/>
        </w:rPr>
        <w:softHyphen/>
      </w:r>
      <w:r w:rsidRPr="000232DD">
        <w:rPr>
          <w:rFonts w:ascii="GHEA Grapalat" w:eastAsia="Times New Roman" w:hAnsi="GHEA Grapalat" w:cs="Times New Roman"/>
          <w:color w:val="auto"/>
          <w:szCs w:val="20"/>
          <w:lang w:val="hy-AM"/>
        </w:rPr>
        <w:softHyphen/>
        <w:t>ներ, որից հարկային եկամուտների և պետական տուրքերի գծով` 3,462.7 մլրդ դրամ, 2028 թվականին՝ 3,9</w:t>
      </w:r>
      <w:r w:rsidR="00256975">
        <w:rPr>
          <w:rFonts w:ascii="GHEA Grapalat" w:eastAsia="Times New Roman" w:hAnsi="GHEA Grapalat" w:cs="Times New Roman"/>
          <w:color w:val="auto"/>
          <w:szCs w:val="20"/>
          <w:lang w:val="hy-AM"/>
        </w:rPr>
        <w:t>50</w:t>
      </w:r>
      <w:r w:rsidRPr="000232DD">
        <w:rPr>
          <w:rFonts w:ascii="GHEA Grapalat" w:eastAsia="Times New Roman" w:hAnsi="GHEA Grapalat" w:cs="Times New Roman"/>
          <w:color w:val="auto"/>
          <w:szCs w:val="20"/>
          <w:lang w:val="hy-AM"/>
        </w:rPr>
        <w:t>.</w:t>
      </w:r>
      <w:r w:rsidR="00256975">
        <w:rPr>
          <w:rFonts w:ascii="GHEA Grapalat" w:eastAsia="Times New Roman" w:hAnsi="GHEA Grapalat" w:cs="Times New Roman"/>
          <w:color w:val="auto"/>
          <w:szCs w:val="20"/>
          <w:lang w:val="hy-AM"/>
        </w:rPr>
        <w:t>2</w:t>
      </w:r>
      <w:r w:rsidRPr="000232DD">
        <w:rPr>
          <w:rFonts w:ascii="GHEA Grapalat" w:eastAsia="Times New Roman" w:hAnsi="GHEA Grapalat" w:cs="Times New Roman"/>
          <w:color w:val="auto"/>
          <w:szCs w:val="20"/>
          <w:lang w:val="hy-AM"/>
        </w:rPr>
        <w:t xml:space="preserve"> մլրդ դրամ, որից հարկային եկամուտների և պետական տուրքերի գծով` 3,797.2 մլրդ դրամ, իսկ 2029 թվականին՝ 4,311.</w:t>
      </w:r>
      <w:r w:rsidR="00256975">
        <w:rPr>
          <w:rFonts w:ascii="GHEA Grapalat" w:eastAsia="Times New Roman" w:hAnsi="GHEA Grapalat" w:cs="Times New Roman"/>
          <w:color w:val="auto"/>
          <w:szCs w:val="20"/>
          <w:lang w:val="hy-AM"/>
        </w:rPr>
        <w:t>4</w:t>
      </w:r>
      <w:r w:rsidRPr="000232DD">
        <w:rPr>
          <w:rFonts w:ascii="GHEA Grapalat" w:eastAsia="Times New Roman" w:hAnsi="GHEA Grapalat" w:cs="Times New Roman"/>
          <w:color w:val="auto"/>
          <w:szCs w:val="20"/>
          <w:lang w:val="hy-AM"/>
        </w:rPr>
        <w:t xml:space="preserve"> մլրդ դրամ, որից հարկային եկամուտների և պետական տուրքերի գծով` 4,167.8 մլրդ դրամ:</w:t>
      </w:r>
      <w:r w:rsidRPr="000232DD">
        <w:rPr>
          <w:rFonts w:ascii="Calibri" w:eastAsia="Times New Roman" w:hAnsi="Calibri" w:cs="Calibri"/>
          <w:color w:val="auto"/>
          <w:szCs w:val="20"/>
          <w:lang w:val="hy-AM"/>
        </w:rPr>
        <w:t xml:space="preserve">  </w:t>
      </w:r>
      <w:r w:rsidRPr="000232DD">
        <w:rPr>
          <w:rFonts w:ascii="GHEA Grapalat" w:eastAsia="Times New Roman" w:hAnsi="GHEA Grapalat" w:cs="Times New Roman"/>
          <w:color w:val="auto"/>
          <w:szCs w:val="20"/>
          <w:lang w:val="hy-AM"/>
        </w:rPr>
        <w:t>Բյուջետային եկամուտների` ըստ առանձին եկամտատեսակների կանխա</w:t>
      </w:r>
      <w:r w:rsidRPr="000232DD">
        <w:rPr>
          <w:rFonts w:ascii="GHEA Grapalat" w:eastAsia="Times New Roman" w:hAnsi="GHEA Grapalat" w:cs="Times New Roman"/>
          <w:color w:val="auto"/>
          <w:szCs w:val="20"/>
          <w:lang w:val="hy-AM"/>
        </w:rPr>
        <w:softHyphen/>
        <w:t>տե</w:t>
      </w:r>
      <w:r w:rsidRPr="000232DD">
        <w:rPr>
          <w:rFonts w:ascii="GHEA Grapalat" w:eastAsia="Times New Roman" w:hAnsi="GHEA Grapalat" w:cs="Times New Roman"/>
          <w:color w:val="auto"/>
          <w:szCs w:val="20"/>
          <w:lang w:val="hy-AM"/>
        </w:rPr>
        <w:softHyphen/>
        <w:t>սում</w:t>
      </w:r>
      <w:r w:rsidRPr="000232DD">
        <w:rPr>
          <w:rFonts w:ascii="GHEA Grapalat" w:eastAsia="Times New Roman" w:hAnsi="GHEA Grapalat" w:cs="Times New Roman"/>
          <w:color w:val="auto"/>
          <w:szCs w:val="20"/>
          <w:lang w:val="hy-AM"/>
        </w:rPr>
        <w:softHyphen/>
        <w:t>ների ման</w:t>
      </w:r>
      <w:r w:rsidRPr="000232DD">
        <w:rPr>
          <w:rFonts w:ascii="GHEA Grapalat" w:eastAsia="Times New Roman" w:hAnsi="GHEA Grapalat" w:cs="Times New Roman"/>
          <w:color w:val="auto"/>
          <w:szCs w:val="20"/>
          <w:lang w:val="hy-AM"/>
        </w:rPr>
        <w:softHyphen/>
      </w:r>
      <w:r w:rsidRPr="000232DD">
        <w:rPr>
          <w:rFonts w:ascii="GHEA Grapalat" w:eastAsia="Times New Roman" w:hAnsi="GHEA Grapalat" w:cs="Times New Roman"/>
          <w:color w:val="auto"/>
          <w:szCs w:val="20"/>
          <w:lang w:val="hy-AM"/>
        </w:rPr>
        <w:softHyphen/>
        <w:t>րամասները ներկայացված են «Հայաստանի Հանրապետության 2027 թվականի պե</w:t>
      </w:r>
      <w:r w:rsidRPr="000232DD">
        <w:rPr>
          <w:rFonts w:ascii="GHEA Grapalat" w:eastAsia="Times New Roman" w:hAnsi="GHEA Grapalat" w:cs="Times New Roman"/>
          <w:color w:val="auto"/>
          <w:szCs w:val="20"/>
          <w:lang w:val="hy-AM"/>
        </w:rPr>
        <w:softHyphen/>
        <w:t>տա</w:t>
      </w:r>
      <w:r w:rsidRPr="000232DD">
        <w:rPr>
          <w:rFonts w:ascii="GHEA Grapalat" w:eastAsia="Times New Roman" w:hAnsi="GHEA Grapalat" w:cs="Times New Roman"/>
          <w:color w:val="auto"/>
          <w:szCs w:val="20"/>
          <w:lang w:val="hy-AM"/>
        </w:rPr>
        <w:softHyphen/>
      </w:r>
      <w:r w:rsidRPr="000232DD">
        <w:rPr>
          <w:rFonts w:ascii="GHEA Grapalat" w:eastAsia="Times New Roman" w:hAnsi="GHEA Grapalat" w:cs="Times New Roman"/>
          <w:color w:val="auto"/>
          <w:szCs w:val="20"/>
          <w:lang w:val="hy-AM"/>
        </w:rPr>
        <w:softHyphen/>
        <w:t>կան բյուջեի մասին» ՀՀ օրենքի բացատրագրի` եկամուտների կան</w:t>
      </w:r>
      <w:r w:rsidRPr="000232DD">
        <w:rPr>
          <w:rFonts w:ascii="GHEA Grapalat" w:eastAsia="Times New Roman" w:hAnsi="GHEA Grapalat" w:cs="Times New Roman"/>
          <w:color w:val="auto"/>
          <w:szCs w:val="20"/>
          <w:lang w:val="hy-AM"/>
        </w:rPr>
        <w:softHyphen/>
        <w:t>խա</w:t>
      </w:r>
      <w:r w:rsidRPr="000232DD">
        <w:rPr>
          <w:rFonts w:ascii="GHEA Grapalat" w:eastAsia="Times New Roman" w:hAnsi="GHEA Grapalat" w:cs="Times New Roman"/>
          <w:color w:val="auto"/>
          <w:szCs w:val="20"/>
          <w:lang w:val="hy-AM"/>
        </w:rPr>
        <w:softHyphen/>
        <w:t>տես</w:t>
      </w:r>
      <w:r w:rsidRPr="000232DD">
        <w:rPr>
          <w:rFonts w:ascii="GHEA Grapalat" w:eastAsia="Times New Roman" w:hAnsi="GHEA Grapalat" w:cs="Times New Roman"/>
          <w:color w:val="auto"/>
          <w:szCs w:val="20"/>
          <w:lang w:val="hy-AM"/>
        </w:rPr>
        <w:softHyphen/>
        <w:t>մանը վերաբերվող մասում (սույն ուղերձի մաս 2-Բ):</w:t>
      </w:r>
    </w:p>
    <w:p w14:paraId="1EC30C50" w14:textId="77777777" w:rsidR="00280C7E" w:rsidRPr="000232DD" w:rsidRDefault="00280C7E" w:rsidP="00082769">
      <w:pPr>
        <w:pStyle w:val="TOC4"/>
        <w:ind w:right="-22"/>
        <w:rPr>
          <w:rFonts w:eastAsia="Times New Roman"/>
          <w:color w:val="auto"/>
          <w:lang w:val="hy-AM"/>
        </w:rPr>
      </w:pPr>
      <w:r w:rsidRPr="000232DD">
        <w:rPr>
          <w:rFonts w:eastAsia="Times New Roman"/>
          <w:color w:val="auto"/>
          <w:lang w:val="hy-AM"/>
        </w:rPr>
        <w:t xml:space="preserve"> </w:t>
      </w:r>
      <w:bookmarkStart w:id="317" w:name="_Toc178356578"/>
      <w:r w:rsidRPr="000232DD">
        <w:rPr>
          <w:rFonts w:eastAsia="Times New Roman"/>
          <w:color w:val="auto"/>
          <w:lang w:val="hy-AM"/>
        </w:rPr>
        <w:t>2027 ԹՎԱԿԱՆԻ ԾԱԽՍԵՐԸ ԵՎ ԳԵՐԱԿԱՅՈՒԹՅՈՒՆՆԵՐԸ</w:t>
      </w:r>
      <w:bookmarkEnd w:id="317"/>
    </w:p>
    <w:p w14:paraId="3BBC0F50" w14:textId="415CF31C" w:rsidR="00280C7E" w:rsidRPr="000232DD" w:rsidRDefault="00280C7E" w:rsidP="00082769">
      <w:pPr>
        <w:ind w:right="-22"/>
        <w:jc w:val="both"/>
        <w:rPr>
          <w:rFonts w:ascii="GHEA Grapalat" w:eastAsia="Times New Roman" w:hAnsi="GHEA Grapalat" w:cs="Times New Roman"/>
          <w:color w:val="auto"/>
          <w:szCs w:val="20"/>
          <w:lang w:val="hy-AM"/>
        </w:rPr>
      </w:pPr>
      <w:bookmarkStart w:id="318" w:name="_Toc48835701"/>
      <w:r w:rsidRPr="000232DD">
        <w:rPr>
          <w:rFonts w:ascii="GHEA Grapalat" w:eastAsia="Times New Roman" w:hAnsi="GHEA Grapalat" w:cs="Times New Roman"/>
          <w:color w:val="auto"/>
          <w:szCs w:val="20"/>
          <w:lang w:val="hy-AM"/>
        </w:rPr>
        <w:t>Հաշվի առնելով ՀՀ 2027 թվականի պետական բյուջեի եկամուտների կանխատեսվող մակարդակը և դեֆիցիտի ու պետական պարտքի նպատակային ցուցանիշները, որոնք ներկա</w:t>
      </w:r>
      <w:r w:rsidRPr="000232DD">
        <w:rPr>
          <w:rFonts w:ascii="GHEA Grapalat" w:eastAsia="Times New Roman" w:hAnsi="GHEA Grapalat" w:cs="Times New Roman"/>
          <w:color w:val="auto"/>
          <w:szCs w:val="20"/>
          <w:lang w:val="hy-AM"/>
        </w:rPr>
        <w:softHyphen/>
        <w:t>յացվում են հաջորդ բաժնում, ՀՀ կառավարությունը ՀՀ 202</w:t>
      </w:r>
      <w:r w:rsidR="00231EEA" w:rsidRPr="000232DD">
        <w:rPr>
          <w:rFonts w:ascii="GHEA Grapalat" w:eastAsia="Times New Roman" w:hAnsi="GHEA Grapalat" w:cs="Times New Roman"/>
          <w:color w:val="auto"/>
          <w:szCs w:val="20"/>
          <w:lang w:val="hy-AM"/>
        </w:rPr>
        <w:t>7</w:t>
      </w:r>
      <w:r w:rsidRPr="000232DD">
        <w:rPr>
          <w:rFonts w:ascii="GHEA Grapalat" w:eastAsia="Times New Roman" w:hAnsi="GHEA Grapalat" w:cs="Times New Roman"/>
          <w:color w:val="auto"/>
          <w:szCs w:val="20"/>
          <w:lang w:val="hy-AM"/>
        </w:rPr>
        <w:t xml:space="preserve"> թվականի պետական բյուջեի ծախսերի ծավալը առաջարկում է սահմանել </w:t>
      </w:r>
      <w:r w:rsidR="00231EEA" w:rsidRPr="000232DD">
        <w:rPr>
          <w:rFonts w:ascii="GHEA Grapalat" w:eastAsia="Times New Roman" w:hAnsi="GHEA Grapalat" w:cs="Times New Roman"/>
          <w:color w:val="auto"/>
          <w:szCs w:val="20"/>
          <w:lang w:val="hy-AM"/>
        </w:rPr>
        <w:t>4</w:t>
      </w:r>
      <w:r w:rsidRPr="000232DD">
        <w:rPr>
          <w:rFonts w:ascii="GHEA Grapalat" w:eastAsia="Times New Roman" w:hAnsi="GHEA Grapalat" w:cs="Times New Roman"/>
          <w:color w:val="auto"/>
          <w:szCs w:val="20"/>
          <w:lang w:val="hy-AM"/>
        </w:rPr>
        <w:t>,</w:t>
      </w:r>
      <w:r w:rsidR="00231EEA" w:rsidRPr="000232DD">
        <w:rPr>
          <w:rFonts w:ascii="GHEA Grapalat" w:eastAsia="Times New Roman" w:hAnsi="GHEA Grapalat" w:cs="Times New Roman"/>
          <w:color w:val="auto"/>
          <w:szCs w:val="20"/>
          <w:lang w:val="hy-AM"/>
        </w:rPr>
        <w:t>07</w:t>
      </w:r>
      <w:r w:rsidR="00256975">
        <w:rPr>
          <w:rFonts w:ascii="GHEA Grapalat" w:eastAsia="Times New Roman" w:hAnsi="GHEA Grapalat" w:cs="Times New Roman"/>
          <w:color w:val="auto"/>
          <w:szCs w:val="20"/>
          <w:lang w:val="hy-AM"/>
        </w:rPr>
        <w:t>2</w:t>
      </w:r>
      <w:r w:rsidRPr="000232DD">
        <w:rPr>
          <w:rFonts w:ascii="GHEA Grapalat" w:eastAsia="Times New Roman" w:hAnsi="GHEA Grapalat" w:cs="Times New Roman"/>
          <w:color w:val="auto"/>
          <w:szCs w:val="20"/>
          <w:lang w:val="hy-AM"/>
        </w:rPr>
        <w:t>.</w:t>
      </w:r>
      <w:r w:rsidR="00256975">
        <w:rPr>
          <w:rFonts w:ascii="GHEA Grapalat" w:eastAsia="Times New Roman" w:hAnsi="GHEA Grapalat" w:cs="Times New Roman"/>
          <w:color w:val="auto"/>
          <w:szCs w:val="20"/>
          <w:lang w:val="hy-AM"/>
        </w:rPr>
        <w:t>0</w:t>
      </w:r>
      <w:r w:rsidRPr="000232DD">
        <w:rPr>
          <w:rFonts w:ascii="GHEA Grapalat" w:eastAsia="Times New Roman" w:hAnsi="GHEA Grapalat" w:cs="Times New Roman"/>
          <w:color w:val="auto"/>
          <w:szCs w:val="20"/>
          <w:lang w:val="hy-AM"/>
        </w:rPr>
        <w:t xml:space="preserve"> մլրդ դրամի չափով, 202</w:t>
      </w:r>
      <w:r w:rsidR="00231EEA" w:rsidRPr="000232DD">
        <w:rPr>
          <w:rFonts w:ascii="GHEA Grapalat" w:eastAsia="Times New Roman" w:hAnsi="GHEA Grapalat" w:cs="Times New Roman"/>
          <w:color w:val="auto"/>
          <w:szCs w:val="20"/>
          <w:lang w:val="hy-AM"/>
        </w:rPr>
        <w:t>8</w:t>
      </w:r>
      <w:r w:rsidRPr="000232DD">
        <w:rPr>
          <w:rFonts w:ascii="GHEA Grapalat" w:eastAsia="Times New Roman" w:hAnsi="GHEA Grapalat" w:cs="Times New Roman"/>
          <w:color w:val="auto"/>
          <w:szCs w:val="20"/>
          <w:lang w:val="hy-AM"/>
        </w:rPr>
        <w:t xml:space="preserve"> թվականի համար՝ </w:t>
      </w:r>
      <w:r w:rsidR="00231EEA" w:rsidRPr="000232DD">
        <w:rPr>
          <w:rFonts w:ascii="GHEA Grapalat" w:eastAsia="Times New Roman" w:hAnsi="GHEA Grapalat" w:cs="Times New Roman"/>
          <w:color w:val="auto"/>
          <w:szCs w:val="20"/>
          <w:lang w:val="hy-AM"/>
        </w:rPr>
        <w:t>4</w:t>
      </w:r>
      <w:r w:rsidRPr="000232DD">
        <w:rPr>
          <w:rFonts w:ascii="GHEA Grapalat" w:eastAsia="Times New Roman" w:hAnsi="GHEA Grapalat" w:cs="Times New Roman"/>
          <w:color w:val="auto"/>
          <w:szCs w:val="20"/>
          <w:lang w:val="hy-AM"/>
        </w:rPr>
        <w:t>,</w:t>
      </w:r>
      <w:r w:rsidR="00231EEA" w:rsidRPr="000232DD">
        <w:rPr>
          <w:rFonts w:ascii="GHEA Grapalat" w:eastAsia="Times New Roman" w:hAnsi="GHEA Grapalat" w:cs="Times New Roman"/>
          <w:color w:val="auto"/>
          <w:szCs w:val="20"/>
          <w:lang w:val="hy-AM"/>
        </w:rPr>
        <w:t>364.</w:t>
      </w:r>
      <w:r w:rsidR="00256975">
        <w:rPr>
          <w:rFonts w:ascii="GHEA Grapalat" w:eastAsia="Times New Roman" w:hAnsi="GHEA Grapalat" w:cs="Times New Roman"/>
          <w:color w:val="auto"/>
          <w:szCs w:val="20"/>
          <w:lang w:val="hy-AM"/>
        </w:rPr>
        <w:t>3</w:t>
      </w:r>
      <w:r w:rsidRPr="000232DD">
        <w:rPr>
          <w:rFonts w:ascii="GHEA Grapalat" w:eastAsia="Times New Roman" w:hAnsi="GHEA Grapalat" w:cs="Times New Roman"/>
          <w:color w:val="auto"/>
          <w:szCs w:val="20"/>
          <w:lang w:val="hy-AM"/>
        </w:rPr>
        <w:t xml:space="preserve"> մլրդ դրամ, իսկ 202</w:t>
      </w:r>
      <w:r w:rsidR="00231EEA" w:rsidRPr="000232DD">
        <w:rPr>
          <w:rFonts w:ascii="GHEA Grapalat" w:eastAsia="Times New Roman" w:hAnsi="GHEA Grapalat" w:cs="Times New Roman"/>
          <w:color w:val="auto"/>
          <w:szCs w:val="20"/>
          <w:lang w:val="hy-AM"/>
        </w:rPr>
        <w:t>9</w:t>
      </w:r>
      <w:r w:rsidRPr="000232DD">
        <w:rPr>
          <w:rFonts w:ascii="GHEA Grapalat" w:eastAsia="Times New Roman" w:hAnsi="GHEA Grapalat" w:cs="Times New Roman"/>
          <w:color w:val="auto"/>
          <w:szCs w:val="20"/>
          <w:lang w:val="hy-AM"/>
        </w:rPr>
        <w:t xml:space="preserve"> թվականին՝ 4,</w:t>
      </w:r>
      <w:r w:rsidR="00212B95" w:rsidRPr="000232DD">
        <w:rPr>
          <w:rFonts w:ascii="GHEA Grapalat" w:eastAsia="Times New Roman" w:hAnsi="GHEA Grapalat" w:cs="Times New Roman"/>
          <w:color w:val="auto"/>
          <w:szCs w:val="20"/>
          <w:lang w:val="hy-AM"/>
        </w:rPr>
        <w:t>602</w:t>
      </w:r>
      <w:r w:rsidRPr="000232DD">
        <w:rPr>
          <w:rFonts w:ascii="GHEA Grapalat" w:eastAsia="Times New Roman" w:hAnsi="GHEA Grapalat" w:cs="Times New Roman"/>
          <w:color w:val="auto"/>
          <w:szCs w:val="20"/>
          <w:lang w:val="hy-AM"/>
        </w:rPr>
        <w:t>.</w:t>
      </w:r>
      <w:r w:rsidR="00212B95" w:rsidRPr="000232DD">
        <w:rPr>
          <w:rFonts w:ascii="GHEA Grapalat" w:eastAsia="Times New Roman" w:hAnsi="GHEA Grapalat" w:cs="Times New Roman"/>
          <w:color w:val="auto"/>
          <w:szCs w:val="20"/>
          <w:lang w:val="hy-AM"/>
        </w:rPr>
        <w:t>7</w:t>
      </w:r>
      <w:r w:rsidRPr="000232DD">
        <w:rPr>
          <w:rFonts w:ascii="GHEA Grapalat" w:eastAsia="Times New Roman" w:hAnsi="GHEA Grapalat" w:cs="Times New Roman"/>
          <w:color w:val="auto"/>
          <w:szCs w:val="20"/>
          <w:lang w:val="hy-AM"/>
        </w:rPr>
        <w:t xml:space="preserve"> մլրդ դրամ:</w:t>
      </w:r>
    </w:p>
    <w:p w14:paraId="38A43705" w14:textId="0650AAF5" w:rsidR="00280C7E" w:rsidRPr="000232DD" w:rsidRDefault="00280C7E"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ՀՀ կա</w:t>
      </w:r>
      <w:r w:rsidRPr="000232DD">
        <w:rPr>
          <w:rFonts w:ascii="GHEA Grapalat" w:eastAsia="Times New Roman" w:hAnsi="GHEA Grapalat" w:cs="Times New Roman"/>
          <w:color w:val="auto"/>
          <w:szCs w:val="20"/>
          <w:lang w:val="hy-AM"/>
        </w:rPr>
        <w:softHyphen/>
        <w:t>ռա</w:t>
      </w:r>
      <w:r w:rsidRPr="000232DD">
        <w:rPr>
          <w:rFonts w:ascii="GHEA Grapalat" w:eastAsia="Times New Roman" w:hAnsi="GHEA Grapalat" w:cs="Times New Roman"/>
          <w:color w:val="auto"/>
          <w:szCs w:val="20"/>
          <w:lang w:val="hy-AM"/>
        </w:rPr>
        <w:softHyphen/>
        <w:t>վա</w:t>
      </w:r>
      <w:r w:rsidRPr="000232DD">
        <w:rPr>
          <w:rFonts w:ascii="GHEA Grapalat" w:eastAsia="Times New Roman" w:hAnsi="GHEA Grapalat" w:cs="Times New Roman"/>
          <w:color w:val="auto"/>
          <w:szCs w:val="20"/>
          <w:lang w:val="hy-AM"/>
        </w:rPr>
        <w:softHyphen/>
        <w:t>րու</w:t>
      </w:r>
      <w:r w:rsidRPr="000232DD">
        <w:rPr>
          <w:rFonts w:ascii="GHEA Grapalat" w:eastAsia="Times New Roman" w:hAnsi="GHEA Grapalat" w:cs="Times New Roman"/>
          <w:color w:val="auto"/>
          <w:szCs w:val="20"/>
          <w:lang w:val="hy-AM"/>
        </w:rPr>
        <w:softHyphen/>
        <w:t>թ</w:t>
      </w:r>
      <w:r w:rsidRPr="000232DD">
        <w:rPr>
          <w:rFonts w:ascii="GHEA Grapalat" w:eastAsia="Times New Roman" w:hAnsi="GHEA Grapalat" w:cs="Times New Roman"/>
          <w:color w:val="auto"/>
          <w:szCs w:val="20"/>
          <w:lang w:val="hy-AM"/>
        </w:rPr>
        <w:softHyphen/>
        <w:t>յան 2026 թվականի ծախ</w:t>
      </w:r>
      <w:r w:rsidRPr="000232DD">
        <w:rPr>
          <w:rFonts w:ascii="GHEA Grapalat" w:eastAsia="Times New Roman" w:hAnsi="GHEA Grapalat" w:cs="Times New Roman"/>
          <w:color w:val="auto"/>
          <w:szCs w:val="20"/>
          <w:lang w:val="hy-AM"/>
        </w:rPr>
        <w:softHyphen/>
        <w:t>սային գերա</w:t>
      </w:r>
      <w:r w:rsidRPr="000232DD">
        <w:rPr>
          <w:rFonts w:ascii="GHEA Grapalat" w:eastAsia="Times New Roman" w:hAnsi="GHEA Grapalat" w:cs="Times New Roman"/>
          <w:color w:val="auto"/>
          <w:szCs w:val="20"/>
          <w:lang w:val="hy-AM"/>
        </w:rPr>
        <w:softHyphen/>
        <w:t>կա</w:t>
      </w:r>
      <w:r w:rsidRPr="000232DD">
        <w:rPr>
          <w:rFonts w:ascii="GHEA Grapalat" w:eastAsia="Times New Roman" w:hAnsi="GHEA Grapalat" w:cs="Times New Roman"/>
          <w:color w:val="auto"/>
          <w:szCs w:val="20"/>
          <w:lang w:val="hy-AM"/>
        </w:rPr>
        <w:softHyphen/>
        <w:t>յու</w:t>
      </w:r>
      <w:r w:rsidRPr="000232DD">
        <w:rPr>
          <w:rFonts w:ascii="GHEA Grapalat" w:eastAsia="Times New Roman" w:hAnsi="GHEA Grapalat" w:cs="Times New Roman"/>
          <w:color w:val="auto"/>
          <w:szCs w:val="20"/>
          <w:lang w:val="hy-AM"/>
        </w:rPr>
        <w:softHyphen/>
        <w:t>թ</w:t>
      </w:r>
      <w:r w:rsidRPr="000232DD">
        <w:rPr>
          <w:rFonts w:ascii="GHEA Grapalat" w:eastAsia="Times New Roman" w:hAnsi="GHEA Grapalat" w:cs="Times New Roman"/>
          <w:color w:val="auto"/>
          <w:szCs w:val="20"/>
          <w:lang w:val="hy-AM"/>
        </w:rPr>
        <w:softHyphen/>
        <w:t>յուն</w:t>
      </w:r>
      <w:r w:rsidRPr="000232DD">
        <w:rPr>
          <w:rFonts w:ascii="GHEA Grapalat" w:eastAsia="Times New Roman" w:hAnsi="GHEA Grapalat" w:cs="Times New Roman"/>
          <w:color w:val="auto"/>
          <w:szCs w:val="20"/>
          <w:lang w:val="hy-AM"/>
        </w:rPr>
        <w:softHyphen/>
        <w:t>ները բխում են ՀՀ կառավարության 202</w:t>
      </w:r>
      <w:r w:rsidR="0052459E" w:rsidRPr="000232DD">
        <w:rPr>
          <w:rFonts w:ascii="GHEA Grapalat" w:eastAsia="Times New Roman" w:hAnsi="GHEA Grapalat" w:cs="Times New Roman"/>
          <w:color w:val="auto"/>
          <w:szCs w:val="20"/>
          <w:lang w:val="hy-AM"/>
        </w:rPr>
        <w:t>6</w:t>
      </w:r>
      <w:r w:rsidRPr="000232DD">
        <w:rPr>
          <w:rFonts w:ascii="GHEA Grapalat" w:eastAsia="Times New Roman" w:hAnsi="GHEA Grapalat" w:cs="Times New Roman"/>
          <w:color w:val="auto"/>
          <w:szCs w:val="20"/>
          <w:lang w:val="hy-AM"/>
        </w:rPr>
        <w:t xml:space="preserve"> թվականի օգոստոսի </w:t>
      </w:r>
      <w:r w:rsidR="0052459E" w:rsidRPr="000232DD">
        <w:rPr>
          <w:rFonts w:ascii="GHEA Grapalat" w:eastAsia="Times New Roman" w:hAnsi="GHEA Grapalat" w:cs="Times New Roman"/>
          <w:color w:val="auto"/>
          <w:szCs w:val="20"/>
          <w:lang w:val="hy-AM"/>
        </w:rPr>
        <w:t>20</w:t>
      </w:r>
      <w:r w:rsidRPr="000232DD">
        <w:rPr>
          <w:rFonts w:ascii="GHEA Grapalat" w:eastAsia="Times New Roman" w:hAnsi="GHEA Grapalat" w:cs="Times New Roman"/>
          <w:color w:val="auto"/>
          <w:szCs w:val="20"/>
          <w:lang w:val="hy-AM"/>
        </w:rPr>
        <w:t>-ի թիվ 1</w:t>
      </w:r>
      <w:r w:rsidR="0052459E" w:rsidRPr="000232DD">
        <w:rPr>
          <w:rFonts w:ascii="GHEA Grapalat" w:eastAsia="Times New Roman" w:hAnsi="GHEA Grapalat" w:cs="Times New Roman"/>
          <w:color w:val="auto"/>
          <w:szCs w:val="20"/>
          <w:lang w:val="hy-AM"/>
        </w:rPr>
        <w:t>236</w:t>
      </w:r>
      <w:r w:rsidRPr="000232DD">
        <w:rPr>
          <w:rFonts w:ascii="GHEA Grapalat" w:eastAsia="Times New Roman" w:hAnsi="GHEA Grapalat" w:cs="Times New Roman"/>
          <w:color w:val="auto"/>
          <w:szCs w:val="20"/>
          <w:lang w:val="hy-AM"/>
        </w:rPr>
        <w:t>-Ա որոշմամբ հաստատված ՀՀ կառավարության 202</w:t>
      </w:r>
      <w:r w:rsidR="0052459E" w:rsidRPr="000232DD">
        <w:rPr>
          <w:rFonts w:ascii="GHEA Grapalat" w:eastAsia="Times New Roman" w:hAnsi="GHEA Grapalat" w:cs="Times New Roman"/>
          <w:color w:val="auto"/>
          <w:szCs w:val="20"/>
          <w:lang w:val="hy-AM"/>
        </w:rPr>
        <w:t>6</w:t>
      </w:r>
      <w:r w:rsidRPr="000232DD">
        <w:rPr>
          <w:rFonts w:ascii="GHEA Grapalat" w:eastAsia="Times New Roman" w:hAnsi="GHEA Grapalat" w:cs="Times New Roman"/>
          <w:color w:val="auto"/>
          <w:szCs w:val="20"/>
          <w:lang w:val="hy-AM"/>
        </w:rPr>
        <w:t>-20</w:t>
      </w:r>
      <w:r w:rsidR="0052459E" w:rsidRPr="000232DD">
        <w:rPr>
          <w:rFonts w:ascii="GHEA Grapalat" w:eastAsia="Times New Roman" w:hAnsi="GHEA Grapalat" w:cs="Times New Roman"/>
          <w:color w:val="auto"/>
          <w:szCs w:val="20"/>
          <w:lang w:val="hy-AM"/>
        </w:rPr>
        <w:t>31</w:t>
      </w:r>
      <w:r w:rsidRPr="000232DD">
        <w:rPr>
          <w:rFonts w:ascii="GHEA Grapalat" w:eastAsia="Times New Roman" w:hAnsi="GHEA Grapalat" w:cs="Times New Roman"/>
          <w:color w:val="auto"/>
          <w:szCs w:val="20"/>
          <w:lang w:val="hy-AM"/>
        </w:rPr>
        <w:t>թթ. ծրագրի առաջնահերթություններից:</w:t>
      </w:r>
    </w:p>
    <w:p w14:paraId="0EDF952F" w14:textId="77777777" w:rsidR="00280C7E" w:rsidRPr="00F53DDF" w:rsidRDefault="00280C7E" w:rsidP="00082769">
      <w:pPr>
        <w:pStyle w:val="Heading2"/>
        <w:spacing w:before="120" w:after="120"/>
        <w:ind w:right="-22"/>
        <w:jc w:val="both"/>
        <w:rPr>
          <w:rFonts w:ascii="GHEA Grapalat" w:hAnsi="GHEA Grapalat"/>
          <w:color w:val="ADADAD" w:themeColor="background2" w:themeShade="BF"/>
          <w:sz w:val="28"/>
          <w:szCs w:val="20"/>
          <w:lang w:val="hy-AM"/>
        </w:rPr>
      </w:pPr>
      <w:bookmarkStart w:id="319" w:name="_Toc178356579"/>
      <w:bookmarkStart w:id="320" w:name="_Toc89428301"/>
      <w:bookmarkStart w:id="321" w:name="_Toc89254349"/>
      <w:bookmarkStart w:id="322" w:name="_Toc241687675"/>
      <w:bookmarkEnd w:id="311"/>
      <w:bookmarkEnd w:id="312"/>
      <w:bookmarkEnd w:id="318"/>
      <w:r w:rsidRPr="00F53DDF">
        <w:rPr>
          <w:rFonts w:ascii="GHEA Grapalat" w:hAnsi="GHEA Grapalat"/>
          <w:color w:val="ADADAD" w:themeColor="background2" w:themeShade="BF"/>
          <w:sz w:val="28"/>
          <w:szCs w:val="20"/>
          <w:lang w:val="hy-AM"/>
        </w:rPr>
        <w:t>ՊԵՏԱԿԱՆ ԲՅՈՒՋԵԻ ԴԵՖԻՑԻՏԸ (ՊԱԿԱՍՈՒՐԴԸ) ԵՎ ՊԱՐՏՔԸ</w:t>
      </w:r>
      <w:bookmarkEnd w:id="319"/>
      <w:bookmarkEnd w:id="320"/>
      <w:bookmarkEnd w:id="321"/>
      <w:bookmarkEnd w:id="322"/>
    </w:p>
    <w:p w14:paraId="326AE1CD" w14:textId="0D0080BD" w:rsidR="00280C7E" w:rsidRPr="000232DD" w:rsidRDefault="00280C7E" w:rsidP="00082769">
      <w:pPr>
        <w:ind w:right="-22"/>
        <w:jc w:val="both"/>
        <w:rPr>
          <w:rFonts w:ascii="GHEA Grapalat" w:eastAsia="Times New Roman" w:hAnsi="GHEA Grapalat" w:cs="Times New Roman"/>
          <w:color w:val="auto"/>
          <w:szCs w:val="20"/>
          <w:lang w:val="es-ES"/>
        </w:rPr>
      </w:pPr>
      <w:bookmarkStart w:id="323" w:name="_Toc76556774"/>
      <w:bookmarkStart w:id="324" w:name="_Toc83928939"/>
      <w:bookmarkStart w:id="325" w:name="_Toc20590406"/>
      <w:bookmarkStart w:id="326" w:name="_Toc525773066"/>
      <w:bookmarkStart w:id="327" w:name="_Ref497916450"/>
      <w:bookmarkStart w:id="328" w:name="_Toc76456833"/>
      <w:bookmarkStart w:id="329" w:name="_Toc89254350"/>
      <w:bookmarkStart w:id="330" w:name="_Toc57655465"/>
      <w:bookmarkStart w:id="331" w:name="_Toc57655464"/>
      <w:r w:rsidRPr="000232DD">
        <w:rPr>
          <w:rFonts w:ascii="GHEA Grapalat" w:eastAsia="Times New Roman" w:hAnsi="GHEA Grapalat" w:cs="Times New Roman"/>
          <w:color w:val="auto"/>
          <w:szCs w:val="20"/>
          <w:lang w:val="hy-AM"/>
        </w:rPr>
        <w:t>ՀՀ 202</w:t>
      </w:r>
      <w:r w:rsidR="00CC7EC9" w:rsidRPr="000232DD">
        <w:rPr>
          <w:rFonts w:ascii="GHEA Grapalat" w:eastAsia="Times New Roman" w:hAnsi="GHEA Grapalat" w:cs="Times New Roman"/>
          <w:color w:val="auto"/>
          <w:szCs w:val="20"/>
          <w:lang w:val="hy-AM"/>
        </w:rPr>
        <w:t>7</w:t>
      </w:r>
      <w:r w:rsidRPr="000232DD">
        <w:rPr>
          <w:rFonts w:ascii="GHEA Grapalat" w:eastAsia="Times New Roman" w:hAnsi="GHEA Grapalat" w:cs="Times New Roman"/>
          <w:color w:val="auto"/>
          <w:szCs w:val="20"/>
          <w:lang w:val="hy-AM"/>
        </w:rPr>
        <w:t xml:space="preserve"> թվականի պետական բյուջեի դեֆիցիտը ծրագրավորվել է ՀՆԱ-ի </w:t>
      </w:r>
      <w:r w:rsidR="00CC7EC9" w:rsidRPr="000232DD">
        <w:rPr>
          <w:rFonts w:ascii="GHEA Grapalat" w:eastAsia="Times New Roman" w:hAnsi="GHEA Grapalat" w:cs="Times New Roman"/>
          <w:color w:val="auto"/>
          <w:szCs w:val="20"/>
          <w:lang w:val="hy-AM"/>
        </w:rPr>
        <w:t>3</w:t>
      </w:r>
      <w:r w:rsidRPr="000232DD">
        <w:rPr>
          <w:rFonts w:ascii="GHEA Grapalat" w:eastAsia="Times New Roman" w:hAnsi="GHEA Grapalat" w:cs="Times New Roman"/>
          <w:color w:val="auto"/>
          <w:szCs w:val="20"/>
          <w:lang w:val="hy-AM"/>
        </w:rPr>
        <w:t>.</w:t>
      </w:r>
      <w:r w:rsidR="00CC7EC9" w:rsidRPr="000232DD">
        <w:rPr>
          <w:rFonts w:ascii="GHEA Grapalat" w:eastAsia="Times New Roman" w:hAnsi="GHEA Grapalat" w:cs="Times New Roman"/>
          <w:color w:val="auto"/>
          <w:szCs w:val="20"/>
          <w:lang w:val="hy-AM"/>
        </w:rPr>
        <w:t>4</w:t>
      </w:r>
      <w:r w:rsidRPr="000232DD">
        <w:rPr>
          <w:rFonts w:ascii="GHEA Grapalat" w:eastAsia="Times New Roman" w:hAnsi="GHEA Grapalat" w:cs="Times New Roman"/>
          <w:color w:val="auto"/>
          <w:szCs w:val="20"/>
          <w:lang w:val="hy-AM"/>
        </w:rPr>
        <w:t xml:space="preserve"> %-ի չա</w:t>
      </w:r>
      <w:r w:rsidRPr="000232DD">
        <w:rPr>
          <w:rFonts w:ascii="GHEA Grapalat" w:eastAsia="Times New Roman" w:hAnsi="GHEA Grapalat" w:cs="Times New Roman"/>
          <w:color w:val="auto"/>
          <w:szCs w:val="20"/>
          <w:lang w:val="hy-AM"/>
        </w:rPr>
        <w:softHyphen/>
        <w:t xml:space="preserve">փով և կազմում է </w:t>
      </w:r>
      <w:r w:rsidR="00CC7EC9" w:rsidRPr="000232DD">
        <w:rPr>
          <w:rFonts w:ascii="GHEA Grapalat" w:eastAsia="Times New Roman" w:hAnsi="GHEA Grapalat" w:cs="Times New Roman"/>
          <w:color w:val="auto"/>
          <w:szCs w:val="20"/>
          <w:lang w:val="hy-AM"/>
        </w:rPr>
        <w:t>468</w:t>
      </w:r>
      <w:r w:rsidRPr="000232DD">
        <w:rPr>
          <w:rFonts w:ascii="GHEA Grapalat" w:eastAsia="Times New Roman" w:hAnsi="GHEA Grapalat" w:cs="Times New Roman"/>
          <w:color w:val="auto"/>
          <w:szCs w:val="20"/>
          <w:lang w:val="hy-AM"/>
        </w:rPr>
        <w:t>.</w:t>
      </w:r>
      <w:r w:rsidR="00CC7EC9" w:rsidRPr="000232DD">
        <w:rPr>
          <w:rFonts w:ascii="GHEA Grapalat" w:eastAsia="Times New Roman" w:hAnsi="GHEA Grapalat" w:cs="Times New Roman"/>
          <w:color w:val="auto"/>
          <w:szCs w:val="20"/>
          <w:lang w:val="hy-AM"/>
        </w:rPr>
        <w:t>2</w:t>
      </w:r>
      <w:r w:rsidRPr="000232DD">
        <w:rPr>
          <w:rFonts w:ascii="GHEA Grapalat" w:eastAsia="Times New Roman" w:hAnsi="GHEA Grapalat" w:cs="Times New Roman"/>
          <w:color w:val="auto"/>
          <w:szCs w:val="20"/>
          <w:lang w:val="hy-AM"/>
        </w:rPr>
        <w:t xml:space="preserve"> մլրդ դրամ, 202</w:t>
      </w:r>
      <w:r w:rsidR="00CC7EC9" w:rsidRPr="000232DD">
        <w:rPr>
          <w:rFonts w:ascii="GHEA Grapalat" w:eastAsia="Times New Roman" w:hAnsi="GHEA Grapalat" w:cs="Times New Roman"/>
          <w:color w:val="auto"/>
          <w:szCs w:val="20"/>
          <w:lang w:val="hy-AM"/>
        </w:rPr>
        <w:t>8</w:t>
      </w:r>
      <w:r w:rsidRPr="000232DD">
        <w:rPr>
          <w:rFonts w:ascii="GHEA Grapalat" w:eastAsia="Times New Roman" w:hAnsi="GHEA Grapalat" w:cs="Times New Roman"/>
          <w:color w:val="auto"/>
          <w:szCs w:val="20"/>
          <w:lang w:val="hy-AM"/>
        </w:rPr>
        <w:t xml:space="preserve"> թվականին՝ ՀՆԱ-ի </w:t>
      </w:r>
      <w:r w:rsidR="00CC7EC9" w:rsidRPr="000232DD">
        <w:rPr>
          <w:rFonts w:ascii="GHEA Grapalat" w:eastAsia="Times New Roman" w:hAnsi="GHEA Grapalat" w:cs="Times New Roman"/>
          <w:color w:val="auto"/>
          <w:szCs w:val="20"/>
          <w:lang w:val="hy-AM"/>
        </w:rPr>
        <w:t>2</w:t>
      </w:r>
      <w:r w:rsidRPr="000232DD">
        <w:rPr>
          <w:rFonts w:ascii="GHEA Grapalat" w:eastAsia="Times New Roman" w:hAnsi="GHEA Grapalat" w:cs="Times New Roman"/>
          <w:color w:val="auto"/>
          <w:szCs w:val="20"/>
          <w:lang w:val="hy-AM"/>
        </w:rPr>
        <w:t>.</w:t>
      </w:r>
      <w:r w:rsidR="00CC7EC9" w:rsidRPr="000232DD">
        <w:rPr>
          <w:rFonts w:ascii="GHEA Grapalat" w:eastAsia="Times New Roman" w:hAnsi="GHEA Grapalat" w:cs="Times New Roman"/>
          <w:color w:val="auto"/>
          <w:szCs w:val="20"/>
          <w:lang w:val="hy-AM"/>
        </w:rPr>
        <w:t>8</w:t>
      </w:r>
      <w:r w:rsidRPr="000232DD">
        <w:rPr>
          <w:rFonts w:ascii="GHEA Grapalat" w:eastAsia="Times New Roman" w:hAnsi="GHEA Grapalat" w:cs="Times New Roman"/>
          <w:color w:val="auto"/>
          <w:szCs w:val="20"/>
          <w:lang w:val="hy-AM"/>
        </w:rPr>
        <w:t>%-ի չա</w:t>
      </w:r>
      <w:r w:rsidRPr="000232DD">
        <w:rPr>
          <w:rFonts w:ascii="GHEA Grapalat" w:eastAsia="Times New Roman" w:hAnsi="GHEA Grapalat" w:cs="Times New Roman"/>
          <w:color w:val="auto"/>
          <w:szCs w:val="20"/>
          <w:lang w:val="hy-AM"/>
        </w:rPr>
        <w:softHyphen/>
        <w:t>փով կամ 4</w:t>
      </w:r>
      <w:r w:rsidR="00CC7EC9" w:rsidRPr="000232DD">
        <w:rPr>
          <w:rFonts w:ascii="GHEA Grapalat" w:eastAsia="Times New Roman" w:hAnsi="GHEA Grapalat" w:cs="Times New Roman"/>
          <w:color w:val="auto"/>
          <w:szCs w:val="20"/>
          <w:lang w:val="hy-AM"/>
        </w:rPr>
        <w:t>14</w:t>
      </w:r>
      <w:r w:rsidRPr="000232DD">
        <w:rPr>
          <w:rFonts w:ascii="GHEA Grapalat" w:eastAsia="Times New Roman" w:hAnsi="GHEA Grapalat" w:cs="Times New Roman"/>
          <w:color w:val="auto"/>
          <w:szCs w:val="20"/>
          <w:lang w:val="hy-AM"/>
        </w:rPr>
        <w:t>.</w:t>
      </w:r>
      <w:r w:rsidR="00CC7EC9" w:rsidRPr="000232DD">
        <w:rPr>
          <w:rFonts w:ascii="GHEA Grapalat" w:eastAsia="Times New Roman" w:hAnsi="GHEA Grapalat" w:cs="Times New Roman"/>
          <w:color w:val="auto"/>
          <w:szCs w:val="20"/>
          <w:lang w:val="hy-AM"/>
        </w:rPr>
        <w:t>2</w:t>
      </w:r>
      <w:r w:rsidRPr="000232DD">
        <w:rPr>
          <w:rFonts w:ascii="GHEA Grapalat" w:eastAsia="Times New Roman" w:hAnsi="GHEA Grapalat" w:cs="Times New Roman"/>
          <w:color w:val="auto"/>
          <w:szCs w:val="20"/>
          <w:lang w:val="hy-AM"/>
        </w:rPr>
        <w:t xml:space="preserve"> մլրդ դրամ, 202</w:t>
      </w:r>
      <w:r w:rsidR="00CC7EC9" w:rsidRPr="000232DD">
        <w:rPr>
          <w:rFonts w:ascii="GHEA Grapalat" w:eastAsia="Times New Roman" w:hAnsi="GHEA Grapalat" w:cs="Times New Roman"/>
          <w:color w:val="auto"/>
          <w:szCs w:val="20"/>
          <w:lang w:val="hy-AM"/>
        </w:rPr>
        <w:t>9</w:t>
      </w:r>
      <w:r w:rsidRPr="000232DD">
        <w:rPr>
          <w:rFonts w:ascii="GHEA Grapalat" w:eastAsia="Times New Roman" w:hAnsi="GHEA Grapalat" w:cs="Times New Roman"/>
          <w:color w:val="auto"/>
          <w:szCs w:val="20"/>
          <w:lang w:val="hy-AM"/>
        </w:rPr>
        <w:t xml:space="preserve"> թվականին՝ ՀՆԱ-ի </w:t>
      </w:r>
      <w:r w:rsidR="00CC7EC9" w:rsidRPr="000232DD">
        <w:rPr>
          <w:rFonts w:ascii="GHEA Grapalat" w:eastAsia="Times New Roman" w:hAnsi="GHEA Grapalat" w:cs="Times New Roman"/>
          <w:color w:val="auto"/>
          <w:szCs w:val="20"/>
          <w:lang w:val="hy-AM"/>
        </w:rPr>
        <w:t>1</w:t>
      </w:r>
      <w:r w:rsidRPr="000232DD">
        <w:rPr>
          <w:rFonts w:ascii="GHEA Grapalat" w:eastAsia="Times New Roman" w:hAnsi="GHEA Grapalat" w:cs="Times New Roman"/>
          <w:color w:val="auto"/>
          <w:szCs w:val="20"/>
          <w:lang w:val="hy-AM"/>
        </w:rPr>
        <w:t>.8%-ի չա</w:t>
      </w:r>
      <w:r w:rsidRPr="000232DD">
        <w:rPr>
          <w:rFonts w:ascii="GHEA Grapalat" w:eastAsia="Times New Roman" w:hAnsi="GHEA Grapalat" w:cs="Times New Roman"/>
          <w:color w:val="auto"/>
          <w:szCs w:val="20"/>
          <w:lang w:val="hy-AM"/>
        </w:rPr>
        <w:softHyphen/>
        <w:t xml:space="preserve">փով կամ </w:t>
      </w:r>
      <w:r w:rsidR="00CC7EC9" w:rsidRPr="000232DD">
        <w:rPr>
          <w:rFonts w:ascii="GHEA Grapalat" w:eastAsia="Times New Roman" w:hAnsi="GHEA Grapalat" w:cs="Times New Roman"/>
          <w:color w:val="auto"/>
          <w:szCs w:val="20"/>
          <w:lang w:val="hy-AM"/>
        </w:rPr>
        <w:t>2</w:t>
      </w:r>
      <w:r w:rsidRPr="000232DD">
        <w:rPr>
          <w:rFonts w:ascii="GHEA Grapalat" w:eastAsia="Times New Roman" w:hAnsi="GHEA Grapalat" w:cs="Times New Roman"/>
          <w:color w:val="auto"/>
          <w:szCs w:val="20"/>
          <w:lang w:val="hy-AM"/>
        </w:rPr>
        <w:t>9</w:t>
      </w:r>
      <w:r w:rsidR="00CC7EC9" w:rsidRPr="000232DD">
        <w:rPr>
          <w:rFonts w:ascii="GHEA Grapalat" w:eastAsia="Times New Roman" w:hAnsi="GHEA Grapalat" w:cs="Times New Roman"/>
          <w:color w:val="auto"/>
          <w:szCs w:val="20"/>
          <w:lang w:val="hy-AM"/>
        </w:rPr>
        <w:t>1</w:t>
      </w:r>
      <w:r w:rsidRPr="000232DD">
        <w:rPr>
          <w:rFonts w:ascii="GHEA Grapalat" w:eastAsia="Times New Roman" w:hAnsi="GHEA Grapalat" w:cs="Times New Roman"/>
          <w:color w:val="auto"/>
          <w:szCs w:val="20"/>
          <w:lang w:val="hy-AM"/>
        </w:rPr>
        <w:t>.4 մլրդ դրամ: Դեֆիցիտի ֆինանսավորման ներքին աղբյուրների հիմ</w:t>
      </w:r>
      <w:r w:rsidRPr="000232DD">
        <w:rPr>
          <w:rFonts w:ascii="GHEA Grapalat" w:eastAsia="Times New Roman" w:hAnsi="GHEA Grapalat" w:cs="Times New Roman"/>
          <w:color w:val="auto"/>
          <w:szCs w:val="20"/>
          <w:lang w:val="hy-AM"/>
        </w:rPr>
        <w:softHyphen/>
        <w:t>նա</w:t>
      </w:r>
      <w:r w:rsidRPr="000232DD">
        <w:rPr>
          <w:rFonts w:ascii="GHEA Grapalat" w:eastAsia="Times New Roman" w:hAnsi="GHEA Grapalat" w:cs="Times New Roman"/>
          <w:color w:val="auto"/>
          <w:szCs w:val="20"/>
          <w:lang w:val="hy-AM"/>
        </w:rPr>
        <w:softHyphen/>
        <w:t>կան մասը ՀՀ 202</w:t>
      </w:r>
      <w:r w:rsidR="00CC7EC9" w:rsidRPr="000232DD">
        <w:rPr>
          <w:rFonts w:ascii="GHEA Grapalat" w:eastAsia="Times New Roman" w:hAnsi="GHEA Grapalat" w:cs="Times New Roman"/>
          <w:color w:val="auto"/>
          <w:szCs w:val="20"/>
          <w:lang w:val="hy-AM"/>
        </w:rPr>
        <w:t>7</w:t>
      </w:r>
      <w:r w:rsidRPr="000232DD">
        <w:rPr>
          <w:rFonts w:ascii="GHEA Grapalat" w:eastAsia="Times New Roman" w:hAnsi="GHEA Grapalat" w:cs="Times New Roman"/>
          <w:color w:val="auto"/>
          <w:szCs w:val="20"/>
          <w:lang w:val="hy-AM"/>
        </w:rPr>
        <w:t>-202</w:t>
      </w:r>
      <w:r w:rsidR="00CC7EC9" w:rsidRPr="000232DD">
        <w:rPr>
          <w:rFonts w:ascii="GHEA Grapalat" w:eastAsia="Times New Roman" w:hAnsi="GHEA Grapalat" w:cs="Times New Roman"/>
          <w:color w:val="auto"/>
          <w:szCs w:val="20"/>
          <w:lang w:val="hy-AM"/>
        </w:rPr>
        <w:t>9</w:t>
      </w:r>
      <w:r w:rsidRPr="000232DD">
        <w:rPr>
          <w:rFonts w:ascii="GHEA Grapalat" w:eastAsia="Times New Roman" w:hAnsi="GHEA Grapalat" w:cs="Times New Roman"/>
          <w:color w:val="auto"/>
          <w:szCs w:val="20"/>
          <w:lang w:val="hy-AM"/>
        </w:rPr>
        <w:t xml:space="preserve"> թվականներին ձևավորվելու է պե</w:t>
      </w:r>
      <w:r w:rsidRPr="000232DD">
        <w:rPr>
          <w:rFonts w:ascii="GHEA Grapalat" w:eastAsia="Times New Roman" w:hAnsi="GHEA Grapalat" w:cs="Times New Roman"/>
          <w:color w:val="auto"/>
          <w:szCs w:val="20"/>
          <w:lang w:val="hy-AM"/>
        </w:rPr>
        <w:softHyphen/>
      </w:r>
      <w:r w:rsidRPr="000232DD">
        <w:rPr>
          <w:rFonts w:ascii="GHEA Grapalat" w:eastAsia="Times New Roman" w:hAnsi="GHEA Grapalat" w:cs="Times New Roman"/>
          <w:color w:val="auto"/>
          <w:szCs w:val="20"/>
          <w:lang w:val="hy-AM"/>
        </w:rPr>
        <w:softHyphen/>
        <w:t>տական արժեթղթերի տեղաբաշխումից գոյացող մուտքերից, տրամադրված վարկերի և փոխատվությունների վերադարձից մուտքերից, ինչպես նաև ելքերի ֆինանսավորմանն ուղղվող պետական բյուջեի տարեսկզբի ազատ մնացորդի միջոցներից: Դեռևս զգալի են արտաքին աղբյուրներից` միջազգային կազմակերպություններից և օտարեր</w:t>
      </w:r>
      <w:r w:rsidRPr="000232DD">
        <w:rPr>
          <w:rFonts w:ascii="GHEA Grapalat" w:eastAsia="Times New Roman" w:hAnsi="GHEA Grapalat" w:cs="Times New Roman"/>
          <w:color w:val="auto"/>
          <w:szCs w:val="20"/>
          <w:lang w:val="hy-AM"/>
        </w:rPr>
        <w:softHyphen/>
        <w:t>կր</w:t>
      </w:r>
      <w:r w:rsidRPr="000232DD">
        <w:rPr>
          <w:rFonts w:ascii="GHEA Grapalat" w:eastAsia="Times New Roman" w:hAnsi="GHEA Grapalat" w:cs="Times New Roman"/>
          <w:color w:val="auto"/>
          <w:szCs w:val="20"/>
          <w:lang w:val="hy-AM"/>
        </w:rPr>
        <w:softHyphen/>
        <w:t>յա պետություն</w:t>
      </w:r>
      <w:r w:rsidRPr="000232DD">
        <w:rPr>
          <w:rFonts w:ascii="GHEA Grapalat" w:eastAsia="Times New Roman" w:hAnsi="GHEA Grapalat" w:cs="Times New Roman"/>
          <w:color w:val="auto"/>
          <w:szCs w:val="20"/>
          <w:lang w:val="hy-AM"/>
        </w:rPr>
        <w:softHyphen/>
        <w:t>նե</w:t>
      </w:r>
      <w:r w:rsidRPr="000232DD">
        <w:rPr>
          <w:rFonts w:ascii="GHEA Grapalat" w:eastAsia="Times New Roman" w:hAnsi="GHEA Grapalat" w:cs="Times New Roman"/>
          <w:color w:val="auto"/>
          <w:szCs w:val="20"/>
          <w:lang w:val="hy-AM"/>
        </w:rPr>
        <w:softHyphen/>
        <w:t>րից ստաց</w:t>
      </w:r>
      <w:r w:rsidRPr="000232DD">
        <w:rPr>
          <w:rFonts w:ascii="GHEA Grapalat" w:eastAsia="Times New Roman" w:hAnsi="GHEA Grapalat" w:cs="Times New Roman"/>
          <w:color w:val="auto"/>
          <w:szCs w:val="20"/>
          <w:lang w:val="hy-AM"/>
        </w:rPr>
        <w:softHyphen/>
        <w:t>վելիք վարկերի հաշվին պետական բյուջեի դեֆիցիտի ֆի</w:t>
      </w:r>
      <w:r w:rsidRPr="000232DD">
        <w:rPr>
          <w:rFonts w:ascii="GHEA Grapalat" w:eastAsia="Times New Roman" w:hAnsi="GHEA Grapalat" w:cs="Times New Roman"/>
          <w:color w:val="auto"/>
          <w:szCs w:val="20"/>
          <w:lang w:val="hy-AM"/>
        </w:rPr>
        <w:softHyphen/>
        <w:t>նան</w:t>
      </w:r>
      <w:r w:rsidRPr="000232DD">
        <w:rPr>
          <w:rFonts w:ascii="GHEA Grapalat" w:eastAsia="Times New Roman" w:hAnsi="GHEA Grapalat" w:cs="Times New Roman"/>
          <w:color w:val="auto"/>
          <w:szCs w:val="20"/>
          <w:lang w:val="hy-AM"/>
        </w:rPr>
        <w:softHyphen/>
        <w:t>սա</w:t>
      </w:r>
      <w:r w:rsidRPr="000232DD">
        <w:rPr>
          <w:rFonts w:ascii="GHEA Grapalat" w:eastAsia="Times New Roman" w:hAnsi="GHEA Grapalat" w:cs="Times New Roman"/>
          <w:color w:val="auto"/>
          <w:szCs w:val="20"/>
          <w:lang w:val="hy-AM"/>
        </w:rPr>
        <w:softHyphen/>
        <w:t>վորմանն ուղղվող միջոց</w:t>
      </w:r>
      <w:r w:rsidRPr="000232DD">
        <w:rPr>
          <w:rFonts w:ascii="GHEA Grapalat" w:eastAsia="Times New Roman" w:hAnsi="GHEA Grapalat" w:cs="Times New Roman"/>
          <w:color w:val="auto"/>
          <w:szCs w:val="20"/>
          <w:lang w:val="hy-AM"/>
        </w:rPr>
        <w:softHyphen/>
        <w:t xml:space="preserve">ները: </w:t>
      </w:r>
    </w:p>
    <w:p w14:paraId="49653204" w14:textId="6B88E72D" w:rsidR="00280C7E" w:rsidRPr="000232DD" w:rsidRDefault="00280C7E" w:rsidP="00082769">
      <w:pPr>
        <w:ind w:right="-22"/>
        <w:jc w:val="both"/>
        <w:rPr>
          <w:rFonts w:ascii="GHEA Grapalat" w:eastAsia="Times New Roman" w:hAnsi="GHEA Grapalat" w:cs="Times New Roman"/>
          <w:color w:val="auto"/>
          <w:szCs w:val="20"/>
          <w:lang w:val="es-ES"/>
        </w:rPr>
      </w:pPr>
      <w:r w:rsidRPr="000232DD">
        <w:rPr>
          <w:rFonts w:ascii="GHEA Grapalat" w:eastAsia="Times New Roman" w:hAnsi="GHEA Grapalat" w:cs="Times New Roman"/>
          <w:color w:val="auto"/>
          <w:szCs w:val="20"/>
        </w:rPr>
        <w:t>Համաձայն</w:t>
      </w:r>
      <w:r w:rsidRPr="000232DD">
        <w:rPr>
          <w:rFonts w:ascii="GHEA Grapalat" w:eastAsia="Times New Roman" w:hAnsi="GHEA Grapalat" w:cs="Times New Roman"/>
          <w:color w:val="auto"/>
          <w:szCs w:val="20"/>
          <w:lang w:val="es-ES"/>
        </w:rPr>
        <w:t xml:space="preserve"> </w:t>
      </w:r>
      <w:r w:rsidRPr="000232DD">
        <w:rPr>
          <w:rFonts w:ascii="GHEA Grapalat" w:eastAsia="Times New Roman" w:hAnsi="GHEA Grapalat" w:cs="Times New Roman"/>
          <w:color w:val="auto"/>
          <w:szCs w:val="20"/>
        </w:rPr>
        <w:t>կանխատեսումների</w:t>
      </w:r>
      <w:r w:rsidRPr="000232DD">
        <w:rPr>
          <w:rFonts w:ascii="GHEA Grapalat" w:eastAsia="Times New Roman" w:hAnsi="GHEA Grapalat" w:cs="Times New Roman"/>
          <w:color w:val="auto"/>
          <w:szCs w:val="20"/>
          <w:lang w:val="es-ES"/>
        </w:rPr>
        <w:t xml:space="preserve"> </w:t>
      </w:r>
      <w:r w:rsidRPr="000232DD">
        <w:rPr>
          <w:rFonts w:ascii="GHEA Grapalat" w:eastAsia="Times New Roman" w:hAnsi="GHEA Grapalat" w:cs="Times New Roman"/>
          <w:color w:val="auto"/>
          <w:szCs w:val="20"/>
        </w:rPr>
        <w:t>ծրագրային</w:t>
      </w:r>
      <w:r w:rsidRPr="000232DD">
        <w:rPr>
          <w:rFonts w:ascii="GHEA Grapalat" w:eastAsia="Times New Roman" w:hAnsi="GHEA Grapalat" w:cs="Times New Roman"/>
          <w:color w:val="auto"/>
          <w:szCs w:val="20"/>
          <w:lang w:val="es-ES"/>
        </w:rPr>
        <w:t xml:space="preserve"> </w:t>
      </w:r>
      <w:r w:rsidRPr="000232DD">
        <w:rPr>
          <w:rFonts w:ascii="GHEA Grapalat" w:eastAsia="Times New Roman" w:hAnsi="GHEA Grapalat" w:cs="Times New Roman"/>
          <w:color w:val="auto"/>
          <w:szCs w:val="20"/>
        </w:rPr>
        <w:t>ժամանակահատվածում</w:t>
      </w:r>
      <w:r w:rsidRPr="000232DD">
        <w:rPr>
          <w:rFonts w:ascii="GHEA Grapalat" w:eastAsia="Times New Roman" w:hAnsi="GHEA Grapalat" w:cs="Times New Roman"/>
          <w:color w:val="auto"/>
          <w:szCs w:val="20"/>
          <w:lang w:val="es-ES"/>
        </w:rPr>
        <w:t xml:space="preserve"> </w:t>
      </w:r>
      <w:r w:rsidRPr="000232DD">
        <w:rPr>
          <w:rFonts w:ascii="GHEA Grapalat" w:eastAsia="Times New Roman" w:hAnsi="GHEA Grapalat" w:cs="Times New Roman"/>
          <w:color w:val="auto"/>
          <w:szCs w:val="20"/>
        </w:rPr>
        <w:t>արտաքին</w:t>
      </w:r>
      <w:r w:rsidRPr="000232DD">
        <w:rPr>
          <w:rFonts w:ascii="GHEA Grapalat" w:eastAsia="Times New Roman" w:hAnsi="GHEA Grapalat" w:cs="Times New Roman"/>
          <w:color w:val="auto"/>
          <w:szCs w:val="20"/>
          <w:lang w:val="es-ES"/>
        </w:rPr>
        <w:t xml:space="preserve"> </w:t>
      </w:r>
      <w:r w:rsidRPr="000232DD">
        <w:rPr>
          <w:rFonts w:ascii="GHEA Grapalat" w:eastAsia="Times New Roman" w:hAnsi="GHEA Grapalat" w:cs="Times New Roman"/>
          <w:color w:val="auto"/>
          <w:szCs w:val="20"/>
        </w:rPr>
        <w:t>օժան</w:t>
      </w:r>
      <w:r w:rsidRPr="000232DD">
        <w:rPr>
          <w:rFonts w:ascii="GHEA Grapalat" w:eastAsia="Times New Roman" w:hAnsi="GHEA Grapalat" w:cs="Times New Roman"/>
          <w:color w:val="auto"/>
          <w:szCs w:val="20"/>
          <w:lang w:val="es-ES"/>
        </w:rPr>
        <w:softHyphen/>
      </w:r>
      <w:r w:rsidRPr="000232DD">
        <w:rPr>
          <w:rFonts w:ascii="GHEA Grapalat" w:eastAsia="Times New Roman" w:hAnsi="GHEA Grapalat" w:cs="Times New Roman"/>
          <w:color w:val="auto"/>
          <w:szCs w:val="20"/>
        </w:rPr>
        <w:t>դա</w:t>
      </w:r>
      <w:r w:rsidRPr="000232DD">
        <w:rPr>
          <w:rFonts w:ascii="GHEA Grapalat" w:eastAsia="Times New Roman" w:hAnsi="GHEA Grapalat" w:cs="Times New Roman"/>
          <w:color w:val="auto"/>
          <w:szCs w:val="20"/>
          <w:lang w:val="es-ES"/>
        </w:rPr>
        <w:softHyphen/>
      </w:r>
      <w:r w:rsidRPr="000232DD">
        <w:rPr>
          <w:rFonts w:ascii="GHEA Grapalat" w:eastAsia="Times New Roman" w:hAnsi="GHEA Grapalat" w:cs="Times New Roman"/>
          <w:color w:val="auto"/>
          <w:szCs w:val="20"/>
          <w:lang w:val="es-ES"/>
        </w:rPr>
        <w:softHyphen/>
      </w:r>
      <w:r w:rsidRPr="000232DD">
        <w:rPr>
          <w:rFonts w:ascii="GHEA Grapalat" w:eastAsia="Times New Roman" w:hAnsi="GHEA Grapalat" w:cs="Times New Roman"/>
          <w:color w:val="auto"/>
          <w:szCs w:val="20"/>
        </w:rPr>
        <w:t>կության</w:t>
      </w:r>
      <w:r w:rsidRPr="000232DD">
        <w:rPr>
          <w:rFonts w:ascii="GHEA Grapalat" w:eastAsia="Times New Roman" w:hAnsi="GHEA Grapalat" w:cs="Times New Roman"/>
          <w:color w:val="auto"/>
          <w:szCs w:val="20"/>
          <w:lang w:val="es-ES"/>
        </w:rPr>
        <w:t xml:space="preserve"> </w:t>
      </w:r>
      <w:r w:rsidRPr="000232DD">
        <w:rPr>
          <w:rFonts w:ascii="GHEA Grapalat" w:eastAsia="Times New Roman" w:hAnsi="GHEA Grapalat" w:cs="Times New Roman"/>
          <w:color w:val="auto"/>
          <w:szCs w:val="20"/>
        </w:rPr>
        <w:t>կառուցվածքում</w:t>
      </w:r>
      <w:r w:rsidRPr="000232DD">
        <w:rPr>
          <w:rFonts w:ascii="GHEA Grapalat" w:eastAsia="Times New Roman" w:hAnsi="GHEA Grapalat" w:cs="Times New Roman"/>
          <w:color w:val="auto"/>
          <w:szCs w:val="20"/>
          <w:lang w:val="es-ES"/>
        </w:rPr>
        <w:t xml:space="preserve"> </w:t>
      </w:r>
      <w:r w:rsidR="00A71384">
        <w:rPr>
          <w:rFonts w:ascii="GHEA Grapalat" w:eastAsia="Times New Roman" w:hAnsi="GHEA Grapalat" w:cs="Times New Roman"/>
          <w:color w:val="auto"/>
          <w:szCs w:val="20"/>
          <w:lang w:val="es-ES"/>
        </w:rPr>
        <w:t xml:space="preserve">կանխատեսվում է 430.1 մլրդ դրամ, որից նպատակային ծրագրերի գծով՝ 139.3 մլրդ դրամ: </w:t>
      </w:r>
      <w:bookmarkEnd w:id="323"/>
    </w:p>
    <w:p w14:paraId="4A3C944D" w14:textId="69AF3B65" w:rsidR="00280C7E" w:rsidRPr="00E73A9A" w:rsidRDefault="00280C7E" w:rsidP="00E73A9A">
      <w:pPr>
        <w:pStyle w:val="Charts"/>
        <w:ind w:right="-22"/>
        <w:rPr>
          <w:b w:val="0"/>
          <w:bCs/>
          <w:color w:val="auto"/>
          <w:sz w:val="20"/>
          <w:szCs w:val="18"/>
        </w:rPr>
      </w:pPr>
      <w:bookmarkStart w:id="332" w:name="_Toc178350612"/>
      <w:bookmarkStart w:id="333" w:name="_Toc178612137"/>
      <w:bookmarkStart w:id="334" w:name="_Toc184110763"/>
      <w:bookmarkStart w:id="335" w:name="_Toc241602015"/>
      <w:r w:rsidRPr="00E73A9A">
        <w:rPr>
          <w:b w:val="0"/>
          <w:bCs/>
          <w:color w:val="auto"/>
          <w:sz w:val="20"/>
          <w:szCs w:val="18"/>
        </w:rPr>
        <w:t xml:space="preserve">Աղյուսակ </w:t>
      </w:r>
      <w:r w:rsidRPr="00E73A9A">
        <w:rPr>
          <w:b w:val="0"/>
          <w:bCs/>
          <w:color w:val="auto"/>
          <w:sz w:val="20"/>
          <w:szCs w:val="18"/>
        </w:rPr>
        <w:fldChar w:fldCharType="begin"/>
      </w:r>
      <w:r w:rsidRPr="00E73A9A">
        <w:rPr>
          <w:b w:val="0"/>
          <w:bCs/>
          <w:color w:val="auto"/>
          <w:sz w:val="20"/>
          <w:szCs w:val="18"/>
        </w:rPr>
        <w:instrText xml:space="preserve"> SEQ Աղյուսակ \* ARABIC </w:instrText>
      </w:r>
      <w:r w:rsidRPr="00E73A9A">
        <w:rPr>
          <w:b w:val="0"/>
          <w:bCs/>
          <w:color w:val="auto"/>
          <w:sz w:val="20"/>
          <w:szCs w:val="18"/>
        </w:rPr>
        <w:fldChar w:fldCharType="separate"/>
      </w:r>
      <w:r w:rsidR="00E46048">
        <w:rPr>
          <w:b w:val="0"/>
          <w:bCs/>
          <w:noProof/>
          <w:color w:val="auto"/>
          <w:sz w:val="20"/>
          <w:szCs w:val="18"/>
        </w:rPr>
        <w:t>2</w:t>
      </w:r>
      <w:r w:rsidRPr="00E73A9A">
        <w:rPr>
          <w:b w:val="0"/>
          <w:bCs/>
          <w:color w:val="auto"/>
          <w:sz w:val="20"/>
          <w:szCs w:val="18"/>
        </w:rPr>
        <w:fldChar w:fldCharType="end"/>
      </w:r>
      <w:r w:rsidRPr="00E73A9A">
        <w:rPr>
          <w:rFonts w:ascii="Cambria Math" w:hAnsi="Cambria Math" w:cs="Cambria Math"/>
          <w:b w:val="0"/>
          <w:bCs/>
          <w:color w:val="auto"/>
          <w:sz w:val="20"/>
          <w:szCs w:val="18"/>
        </w:rPr>
        <w:t>․</w:t>
      </w:r>
      <w:r w:rsidRPr="00E73A9A">
        <w:rPr>
          <w:b w:val="0"/>
          <w:bCs/>
          <w:color w:val="auto"/>
          <w:sz w:val="20"/>
          <w:szCs w:val="18"/>
        </w:rPr>
        <w:t xml:space="preserve"> 202</w:t>
      </w:r>
      <w:r w:rsidR="00CC7EC9" w:rsidRPr="00E73A9A">
        <w:rPr>
          <w:b w:val="0"/>
          <w:bCs/>
          <w:color w:val="auto"/>
          <w:sz w:val="20"/>
          <w:szCs w:val="18"/>
        </w:rPr>
        <w:t>7</w:t>
      </w:r>
      <w:r w:rsidRPr="00E73A9A">
        <w:rPr>
          <w:b w:val="0"/>
          <w:bCs/>
          <w:color w:val="auto"/>
          <w:sz w:val="20"/>
          <w:szCs w:val="18"/>
        </w:rPr>
        <w:t>թ ակնկալվող արտաքին օժանդակությունն ըստ բնույթի</w:t>
      </w:r>
      <w:bookmarkEnd w:id="324"/>
      <w:bookmarkEnd w:id="325"/>
      <w:bookmarkEnd w:id="326"/>
      <w:bookmarkEnd w:id="327"/>
      <w:bookmarkEnd w:id="332"/>
      <w:bookmarkEnd w:id="333"/>
      <w:bookmarkEnd w:id="334"/>
      <w:bookmarkEnd w:id="335"/>
    </w:p>
    <w:tbl>
      <w:tblPr>
        <w:tblW w:w="5000" w:type="pct"/>
        <w:tblBorders>
          <w:top w:val="single" w:sz="8" w:space="0" w:color="E1E1E3"/>
          <w:left w:val="single" w:sz="8" w:space="0" w:color="E1E1E3"/>
          <w:bottom w:val="single" w:sz="8" w:space="0" w:color="E1E1E3"/>
          <w:right w:val="single" w:sz="8" w:space="0" w:color="E1E1E3"/>
          <w:insideH w:val="single" w:sz="8" w:space="0" w:color="E1E1E3"/>
          <w:insideV w:val="single" w:sz="8" w:space="0" w:color="E1E1E3"/>
        </w:tblBorders>
        <w:tblCellMar>
          <w:left w:w="0" w:type="dxa"/>
          <w:right w:w="0" w:type="dxa"/>
        </w:tblCellMar>
        <w:tblLook w:val="04A0" w:firstRow="1" w:lastRow="0" w:firstColumn="1" w:lastColumn="0" w:noHBand="0" w:noVBand="1"/>
      </w:tblPr>
      <w:tblGrid>
        <w:gridCol w:w="5253"/>
        <w:gridCol w:w="1665"/>
        <w:gridCol w:w="3408"/>
      </w:tblGrid>
      <w:tr w:rsidR="004C0C21" w:rsidRPr="000232DD" w14:paraId="5A94F1A6" w14:textId="77777777" w:rsidTr="006422CA">
        <w:trPr>
          <w:trHeight w:val="360"/>
        </w:trPr>
        <w:tc>
          <w:tcPr>
            <w:tcW w:w="2544" w:type="pct"/>
            <w:shd w:val="clear" w:color="auto" w:fill="DAE9F7" w:themeFill="text2" w:themeFillTint="1A"/>
            <w:noWrap/>
            <w:tcMar>
              <w:top w:w="0" w:type="dxa"/>
              <w:left w:w="57" w:type="dxa"/>
              <w:bottom w:w="0" w:type="dxa"/>
              <w:right w:w="113" w:type="dxa"/>
            </w:tcMar>
            <w:vAlign w:val="center"/>
            <w:hideMark/>
          </w:tcPr>
          <w:bookmarkEnd w:id="328"/>
          <w:p w14:paraId="11122771" w14:textId="77777777" w:rsidR="00280C7E" w:rsidRPr="000232DD" w:rsidRDefault="00280C7E" w:rsidP="00082769">
            <w:pPr>
              <w:spacing w:before="0" w:after="0" w:line="240" w:lineRule="auto"/>
              <w:ind w:right="-22"/>
              <w:jc w:val="both"/>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Ցուցանիշներ</w:t>
            </w:r>
          </w:p>
        </w:tc>
        <w:tc>
          <w:tcPr>
            <w:tcW w:w="806" w:type="pct"/>
            <w:shd w:val="clear" w:color="auto" w:fill="DAE9F7" w:themeFill="text2" w:themeFillTint="1A"/>
            <w:vAlign w:val="center"/>
            <w:hideMark/>
          </w:tcPr>
          <w:p w14:paraId="007FC8E3"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Գումարը (մլրդ դրամներով)</w:t>
            </w:r>
          </w:p>
        </w:tc>
        <w:tc>
          <w:tcPr>
            <w:tcW w:w="1650" w:type="pct"/>
            <w:shd w:val="clear" w:color="auto" w:fill="DAE9F7" w:themeFill="text2" w:themeFillTint="1A"/>
            <w:vAlign w:val="center"/>
            <w:hideMark/>
          </w:tcPr>
          <w:p w14:paraId="414A4DBC"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Տեսակարար կշիռը արտաքին օժան</w:t>
            </w:r>
            <w:r w:rsidRPr="000232DD">
              <w:rPr>
                <w:rFonts w:ascii="GHEA Grapalat" w:eastAsia="Times New Roman" w:hAnsi="GHEA Grapalat" w:cs="Times New Roman"/>
                <w:b/>
                <w:color w:val="auto"/>
                <w:sz w:val="18"/>
                <w:szCs w:val="18"/>
              </w:rPr>
              <w:softHyphen/>
              <w:t>դա</w:t>
            </w:r>
            <w:r w:rsidRPr="000232DD">
              <w:rPr>
                <w:rFonts w:ascii="GHEA Grapalat" w:eastAsia="Times New Roman" w:hAnsi="GHEA Grapalat" w:cs="Times New Roman"/>
                <w:b/>
                <w:color w:val="auto"/>
                <w:sz w:val="18"/>
                <w:szCs w:val="18"/>
              </w:rPr>
              <w:softHyphen/>
              <w:t>կութ</w:t>
            </w:r>
            <w:r w:rsidRPr="000232DD">
              <w:rPr>
                <w:rFonts w:ascii="GHEA Grapalat" w:eastAsia="Times New Roman" w:hAnsi="GHEA Grapalat" w:cs="Times New Roman"/>
                <w:b/>
                <w:color w:val="auto"/>
                <w:sz w:val="18"/>
                <w:szCs w:val="18"/>
              </w:rPr>
              <w:softHyphen/>
              <w:t>յան ընդհանուր գումարում (%)</w:t>
            </w:r>
          </w:p>
        </w:tc>
      </w:tr>
      <w:tr w:rsidR="00D43121" w:rsidRPr="000232DD" w14:paraId="14042FF4" w14:textId="77777777" w:rsidTr="00D33D0C">
        <w:trPr>
          <w:trHeight w:val="360"/>
        </w:trPr>
        <w:tc>
          <w:tcPr>
            <w:tcW w:w="2544" w:type="pct"/>
            <w:shd w:val="clear" w:color="auto" w:fill="DAE9F7" w:themeFill="text2" w:themeFillTint="1A"/>
            <w:noWrap/>
            <w:tcMar>
              <w:top w:w="0" w:type="dxa"/>
              <w:left w:w="57" w:type="dxa"/>
              <w:bottom w:w="0" w:type="dxa"/>
              <w:right w:w="113" w:type="dxa"/>
            </w:tcMar>
            <w:vAlign w:val="center"/>
            <w:hideMark/>
          </w:tcPr>
          <w:p w14:paraId="1F075622" w14:textId="77777777" w:rsidR="00D43121" w:rsidRPr="000232DD" w:rsidRDefault="00D43121" w:rsidP="00D43121">
            <w:pPr>
              <w:spacing w:before="0" w:after="0" w:line="240" w:lineRule="auto"/>
              <w:ind w:right="-22"/>
              <w:jc w:val="both"/>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Ընդհանուր բնույթի բյուջետային օժանդակություն</w:t>
            </w:r>
          </w:p>
        </w:tc>
        <w:tc>
          <w:tcPr>
            <w:tcW w:w="806" w:type="pct"/>
            <w:shd w:val="clear" w:color="auto" w:fill="DAE9F7" w:themeFill="text2" w:themeFillTint="1A"/>
            <w:vAlign w:val="center"/>
          </w:tcPr>
          <w:p w14:paraId="77800E3F" w14:textId="29FD2534" w:rsidR="00D43121" w:rsidRPr="000232DD" w:rsidRDefault="00D43121" w:rsidP="00D43121">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color w:val="000000"/>
                <w:sz w:val="18"/>
                <w:szCs w:val="18"/>
              </w:rPr>
              <w:t>290.8</w:t>
            </w:r>
          </w:p>
        </w:tc>
        <w:tc>
          <w:tcPr>
            <w:tcW w:w="1650" w:type="pct"/>
            <w:shd w:val="clear" w:color="auto" w:fill="DAE9F7" w:themeFill="text2" w:themeFillTint="1A"/>
            <w:vAlign w:val="center"/>
          </w:tcPr>
          <w:p w14:paraId="06AF7410" w14:textId="772DAE75" w:rsidR="00D43121" w:rsidRPr="000232DD" w:rsidRDefault="00D43121" w:rsidP="00D43121">
            <w:pPr>
              <w:ind w:right="-22"/>
              <w:jc w:val="center"/>
              <w:rPr>
                <w:rFonts w:ascii="GHEA Grapalat" w:eastAsia="Times New Roman" w:hAnsi="GHEA Grapalat" w:cs="Calibri"/>
                <w:color w:val="auto"/>
                <w:sz w:val="18"/>
                <w:szCs w:val="18"/>
              </w:rPr>
            </w:pPr>
            <w:r>
              <w:rPr>
                <w:rFonts w:ascii="GHEA Grapalat" w:hAnsi="GHEA Grapalat"/>
                <w:color w:val="000000"/>
                <w:sz w:val="18"/>
                <w:szCs w:val="18"/>
              </w:rPr>
              <w:t>67.6%</w:t>
            </w:r>
          </w:p>
        </w:tc>
      </w:tr>
      <w:tr w:rsidR="00D43121" w:rsidRPr="000232DD" w14:paraId="4EE03E4D" w14:textId="77777777" w:rsidTr="00280C7E">
        <w:trPr>
          <w:trHeight w:val="360"/>
        </w:trPr>
        <w:tc>
          <w:tcPr>
            <w:tcW w:w="2544" w:type="pct"/>
            <w:shd w:val="clear" w:color="auto" w:fill="auto"/>
            <w:noWrap/>
            <w:tcMar>
              <w:top w:w="0" w:type="dxa"/>
              <w:left w:w="57" w:type="dxa"/>
              <w:bottom w:w="0" w:type="dxa"/>
              <w:right w:w="113" w:type="dxa"/>
            </w:tcMar>
            <w:hideMark/>
          </w:tcPr>
          <w:p w14:paraId="7FB06892" w14:textId="536BF26C" w:rsidR="00D43121" w:rsidRPr="000232DD" w:rsidRDefault="00D43121" w:rsidP="00D43121">
            <w:pPr>
              <w:spacing w:before="0" w:after="0" w:line="240" w:lineRule="auto"/>
              <w:ind w:right="-22"/>
              <w:jc w:val="both"/>
              <w:rPr>
                <w:rFonts w:ascii="GHEA Grapalat" w:eastAsia="Times New Roman" w:hAnsi="GHEA Grapalat" w:cs="Times New Roman"/>
                <w:color w:val="auto"/>
                <w:sz w:val="18"/>
                <w:szCs w:val="18"/>
              </w:rPr>
            </w:pPr>
            <w:r>
              <w:rPr>
                <w:rFonts w:ascii="GHEA Grapalat" w:eastAsia="Times New Roman" w:hAnsi="GHEA Grapalat" w:cs="Times New Roman"/>
                <w:color w:val="auto"/>
                <w:sz w:val="18"/>
                <w:szCs w:val="18"/>
              </w:rPr>
              <w:t>Աջակցության</w:t>
            </w:r>
            <w:r w:rsidRPr="000232DD">
              <w:rPr>
                <w:rFonts w:ascii="GHEA Grapalat" w:eastAsia="Times New Roman" w:hAnsi="GHEA Grapalat" w:cs="Times New Roman"/>
                <w:color w:val="auto"/>
                <w:sz w:val="18"/>
                <w:szCs w:val="18"/>
              </w:rPr>
              <w:t xml:space="preserve"> դրամաշնորհներ</w:t>
            </w:r>
          </w:p>
        </w:tc>
        <w:tc>
          <w:tcPr>
            <w:tcW w:w="806" w:type="pct"/>
            <w:shd w:val="clear" w:color="auto" w:fill="auto"/>
            <w:vAlign w:val="center"/>
          </w:tcPr>
          <w:p w14:paraId="2DA8AD70" w14:textId="1C97ADEF" w:rsidR="00D43121" w:rsidRPr="000232DD" w:rsidRDefault="00D43121" w:rsidP="00D43121">
            <w:pPr>
              <w:spacing w:before="0" w:after="0" w:line="240" w:lineRule="auto"/>
              <w:ind w:right="-22"/>
              <w:jc w:val="center"/>
              <w:rPr>
                <w:rFonts w:ascii="GHEA Grapalat" w:eastAsia="Times New Roman" w:hAnsi="GHEA Grapalat" w:cs="Times New Roman"/>
                <w:iCs/>
                <w:color w:val="auto"/>
                <w:sz w:val="18"/>
                <w:szCs w:val="18"/>
              </w:rPr>
            </w:pPr>
            <w:r>
              <w:rPr>
                <w:rFonts w:ascii="GHEA Grapalat" w:hAnsi="GHEA Grapalat"/>
                <w:sz w:val="18"/>
                <w:szCs w:val="18"/>
              </w:rPr>
              <w:t>1.5</w:t>
            </w:r>
          </w:p>
        </w:tc>
        <w:tc>
          <w:tcPr>
            <w:tcW w:w="1650" w:type="pct"/>
            <w:shd w:val="clear" w:color="auto" w:fill="auto"/>
            <w:vAlign w:val="center"/>
            <w:hideMark/>
          </w:tcPr>
          <w:p w14:paraId="3B127A07" w14:textId="3164F608" w:rsidR="00D43121" w:rsidRPr="000232DD" w:rsidRDefault="00D43121" w:rsidP="00D43121">
            <w:pPr>
              <w:spacing w:before="0" w:after="0" w:line="240" w:lineRule="auto"/>
              <w:ind w:right="-22"/>
              <w:jc w:val="center"/>
              <w:rPr>
                <w:rFonts w:ascii="GHEA Grapalat" w:eastAsia="Times New Roman" w:hAnsi="GHEA Grapalat" w:cs="Times New Roman"/>
                <w:iCs/>
                <w:color w:val="auto"/>
                <w:sz w:val="18"/>
                <w:szCs w:val="18"/>
              </w:rPr>
            </w:pPr>
            <w:r>
              <w:rPr>
                <w:rFonts w:ascii="GHEA Grapalat" w:hAnsi="GHEA Grapalat"/>
                <w:sz w:val="18"/>
                <w:szCs w:val="18"/>
              </w:rPr>
              <w:t>X</w:t>
            </w:r>
          </w:p>
        </w:tc>
      </w:tr>
      <w:tr w:rsidR="00D43121" w:rsidRPr="000232DD" w14:paraId="5E18A60C" w14:textId="77777777" w:rsidTr="00280C7E">
        <w:trPr>
          <w:trHeight w:val="360"/>
        </w:trPr>
        <w:tc>
          <w:tcPr>
            <w:tcW w:w="2544" w:type="pct"/>
            <w:shd w:val="clear" w:color="auto" w:fill="auto"/>
            <w:noWrap/>
            <w:tcMar>
              <w:top w:w="0" w:type="dxa"/>
              <w:left w:w="57" w:type="dxa"/>
              <w:bottom w:w="0" w:type="dxa"/>
              <w:right w:w="113" w:type="dxa"/>
            </w:tcMar>
          </w:tcPr>
          <w:p w14:paraId="0D8586E1" w14:textId="4D3771F8" w:rsidR="00D43121" w:rsidRPr="00D43121" w:rsidRDefault="00D43121" w:rsidP="00D43121">
            <w:pPr>
              <w:spacing w:before="0" w:after="0" w:line="240" w:lineRule="auto"/>
              <w:jc w:val="both"/>
              <w:rPr>
                <w:rFonts w:ascii="GHEA Grapalat" w:eastAsia="Times New Roman" w:hAnsi="GHEA Grapalat"/>
                <w:color w:val="auto"/>
                <w:sz w:val="18"/>
                <w:szCs w:val="18"/>
              </w:rPr>
            </w:pPr>
            <w:r>
              <w:rPr>
                <w:rFonts w:ascii="GHEA Grapalat" w:hAnsi="GHEA Grapalat"/>
                <w:sz w:val="18"/>
                <w:szCs w:val="18"/>
              </w:rPr>
              <w:t>Բյուջետային աջակցության վարկ</w:t>
            </w:r>
          </w:p>
        </w:tc>
        <w:tc>
          <w:tcPr>
            <w:tcW w:w="806" w:type="pct"/>
            <w:shd w:val="clear" w:color="auto" w:fill="auto"/>
            <w:vAlign w:val="center"/>
          </w:tcPr>
          <w:p w14:paraId="569426ED" w14:textId="093F64FB" w:rsidR="00D43121" w:rsidRDefault="00D43121" w:rsidP="00D43121">
            <w:pPr>
              <w:spacing w:before="0" w:after="0" w:line="240" w:lineRule="auto"/>
              <w:ind w:right="-22"/>
              <w:jc w:val="center"/>
              <w:rPr>
                <w:rFonts w:ascii="GHEA Grapalat" w:eastAsia="Times New Roman" w:hAnsi="GHEA Grapalat" w:cs="Times New Roman"/>
                <w:iCs/>
                <w:color w:val="auto"/>
                <w:sz w:val="18"/>
                <w:szCs w:val="18"/>
              </w:rPr>
            </w:pPr>
            <w:r>
              <w:rPr>
                <w:rFonts w:ascii="GHEA Grapalat" w:hAnsi="GHEA Grapalat"/>
                <w:sz w:val="18"/>
                <w:szCs w:val="18"/>
              </w:rPr>
              <w:t>289.3</w:t>
            </w:r>
          </w:p>
        </w:tc>
        <w:tc>
          <w:tcPr>
            <w:tcW w:w="1650" w:type="pct"/>
            <w:shd w:val="clear" w:color="auto" w:fill="auto"/>
            <w:vAlign w:val="center"/>
          </w:tcPr>
          <w:p w14:paraId="0CA62CFD" w14:textId="6011B405" w:rsidR="00D43121" w:rsidRPr="000232DD" w:rsidRDefault="00D43121" w:rsidP="00D43121">
            <w:pPr>
              <w:spacing w:before="0" w:after="0" w:line="240" w:lineRule="auto"/>
              <w:ind w:right="-22"/>
              <w:jc w:val="center"/>
              <w:rPr>
                <w:rFonts w:ascii="GHEA Grapalat" w:eastAsia="Times New Roman" w:hAnsi="GHEA Grapalat" w:cs="Times New Roman"/>
                <w:iCs/>
                <w:color w:val="auto"/>
                <w:sz w:val="18"/>
                <w:szCs w:val="18"/>
              </w:rPr>
            </w:pPr>
            <w:r>
              <w:rPr>
                <w:rFonts w:ascii="GHEA Grapalat" w:hAnsi="GHEA Grapalat"/>
                <w:sz w:val="18"/>
                <w:szCs w:val="18"/>
              </w:rPr>
              <w:t>X</w:t>
            </w:r>
          </w:p>
        </w:tc>
      </w:tr>
      <w:tr w:rsidR="00D43121" w:rsidRPr="000232DD" w14:paraId="34F43ADB" w14:textId="77777777" w:rsidTr="006422CA">
        <w:trPr>
          <w:trHeight w:val="360"/>
        </w:trPr>
        <w:tc>
          <w:tcPr>
            <w:tcW w:w="2544" w:type="pct"/>
            <w:shd w:val="clear" w:color="auto" w:fill="DAE9F7" w:themeFill="text2" w:themeFillTint="1A"/>
            <w:noWrap/>
            <w:tcMar>
              <w:top w:w="0" w:type="dxa"/>
              <w:left w:w="57" w:type="dxa"/>
              <w:bottom w:w="0" w:type="dxa"/>
              <w:right w:w="113" w:type="dxa"/>
            </w:tcMar>
            <w:hideMark/>
          </w:tcPr>
          <w:p w14:paraId="0BC2EF0F" w14:textId="77777777" w:rsidR="00D43121" w:rsidRPr="000232DD" w:rsidRDefault="00D43121" w:rsidP="00D43121">
            <w:pPr>
              <w:spacing w:before="0" w:after="0" w:line="240" w:lineRule="auto"/>
              <w:ind w:right="-22"/>
              <w:jc w:val="both"/>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Ծրագրային (նպատակային) օժանդակություն</w:t>
            </w:r>
          </w:p>
        </w:tc>
        <w:tc>
          <w:tcPr>
            <w:tcW w:w="806" w:type="pct"/>
            <w:shd w:val="clear" w:color="auto" w:fill="DAE9F7" w:themeFill="text2" w:themeFillTint="1A"/>
            <w:vAlign w:val="center"/>
          </w:tcPr>
          <w:p w14:paraId="5059D92E" w14:textId="3FB96627" w:rsidR="00D43121" w:rsidRPr="000232DD" w:rsidRDefault="00D43121" w:rsidP="00D43121">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color w:val="000000"/>
                <w:sz w:val="18"/>
                <w:szCs w:val="18"/>
              </w:rPr>
              <w:t>139.3</w:t>
            </w:r>
          </w:p>
        </w:tc>
        <w:tc>
          <w:tcPr>
            <w:tcW w:w="1650" w:type="pct"/>
            <w:shd w:val="clear" w:color="auto" w:fill="DAE9F7" w:themeFill="text2" w:themeFillTint="1A"/>
            <w:vAlign w:val="center"/>
            <w:hideMark/>
          </w:tcPr>
          <w:p w14:paraId="21EDA589" w14:textId="38683251" w:rsidR="00D43121" w:rsidRPr="000232DD" w:rsidRDefault="00D43121" w:rsidP="00D43121">
            <w:pPr>
              <w:spacing w:before="0" w:after="0" w:line="240" w:lineRule="auto"/>
              <w:ind w:right="-22"/>
              <w:jc w:val="center"/>
              <w:rPr>
                <w:rFonts w:ascii="GHEA Grapalat" w:eastAsia="Times New Roman" w:hAnsi="GHEA Grapalat" w:cs="Calibri"/>
                <w:color w:val="auto"/>
                <w:sz w:val="18"/>
                <w:szCs w:val="18"/>
              </w:rPr>
            </w:pPr>
            <w:r>
              <w:rPr>
                <w:rFonts w:ascii="GHEA Grapalat" w:hAnsi="GHEA Grapalat"/>
                <w:color w:val="000000"/>
                <w:sz w:val="18"/>
                <w:szCs w:val="18"/>
              </w:rPr>
              <w:t>32.4%</w:t>
            </w:r>
          </w:p>
        </w:tc>
      </w:tr>
      <w:tr w:rsidR="00D43121" w:rsidRPr="000232DD" w14:paraId="355DD429" w14:textId="77777777" w:rsidTr="00280C7E">
        <w:trPr>
          <w:trHeight w:val="360"/>
        </w:trPr>
        <w:tc>
          <w:tcPr>
            <w:tcW w:w="2544" w:type="pct"/>
            <w:shd w:val="clear" w:color="auto" w:fill="auto"/>
            <w:noWrap/>
            <w:tcMar>
              <w:top w:w="0" w:type="dxa"/>
              <w:left w:w="57" w:type="dxa"/>
              <w:bottom w:w="0" w:type="dxa"/>
              <w:right w:w="113" w:type="dxa"/>
            </w:tcMar>
            <w:hideMark/>
          </w:tcPr>
          <w:p w14:paraId="1882C558" w14:textId="77777777" w:rsidR="00D43121" w:rsidRPr="000232DD" w:rsidRDefault="00D43121" w:rsidP="00D43121">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Պաշտոնական դրամաշնորհներ</w:t>
            </w:r>
          </w:p>
        </w:tc>
        <w:tc>
          <w:tcPr>
            <w:tcW w:w="806" w:type="pct"/>
            <w:shd w:val="clear" w:color="auto" w:fill="auto"/>
            <w:vAlign w:val="center"/>
          </w:tcPr>
          <w:p w14:paraId="6BD97604" w14:textId="2AC04C6A" w:rsidR="00D43121" w:rsidRPr="000232DD" w:rsidRDefault="00D43121" w:rsidP="00D43121">
            <w:pPr>
              <w:spacing w:before="0" w:after="0" w:line="240" w:lineRule="auto"/>
              <w:ind w:right="-22"/>
              <w:jc w:val="center"/>
              <w:rPr>
                <w:rFonts w:ascii="GHEA Grapalat" w:eastAsia="Times New Roman" w:hAnsi="GHEA Grapalat" w:cs="Times New Roman"/>
                <w:iCs/>
                <w:color w:val="auto"/>
                <w:sz w:val="18"/>
                <w:szCs w:val="18"/>
              </w:rPr>
            </w:pPr>
            <w:r>
              <w:rPr>
                <w:rFonts w:ascii="GHEA Grapalat" w:hAnsi="GHEA Grapalat"/>
                <w:sz w:val="18"/>
                <w:szCs w:val="18"/>
              </w:rPr>
              <w:t>12.7</w:t>
            </w:r>
          </w:p>
        </w:tc>
        <w:tc>
          <w:tcPr>
            <w:tcW w:w="1650" w:type="pct"/>
            <w:shd w:val="clear" w:color="auto" w:fill="auto"/>
            <w:vAlign w:val="center"/>
            <w:hideMark/>
          </w:tcPr>
          <w:p w14:paraId="10916860" w14:textId="7436EF43" w:rsidR="00D43121" w:rsidRPr="000232DD" w:rsidRDefault="00D43121" w:rsidP="00D43121">
            <w:pPr>
              <w:spacing w:before="0" w:after="0" w:line="240" w:lineRule="auto"/>
              <w:ind w:right="-22"/>
              <w:jc w:val="center"/>
              <w:rPr>
                <w:rFonts w:ascii="GHEA Grapalat" w:eastAsia="Times New Roman" w:hAnsi="GHEA Grapalat" w:cs="Times New Roman"/>
                <w:iCs/>
                <w:color w:val="auto"/>
                <w:sz w:val="18"/>
                <w:szCs w:val="18"/>
              </w:rPr>
            </w:pPr>
            <w:r>
              <w:rPr>
                <w:rFonts w:ascii="GHEA Grapalat" w:hAnsi="GHEA Grapalat"/>
                <w:sz w:val="18"/>
                <w:szCs w:val="18"/>
              </w:rPr>
              <w:t>X</w:t>
            </w:r>
          </w:p>
        </w:tc>
      </w:tr>
      <w:tr w:rsidR="00D43121" w:rsidRPr="000232DD" w14:paraId="593D81DC" w14:textId="77777777" w:rsidTr="00280C7E">
        <w:trPr>
          <w:trHeight w:val="360"/>
        </w:trPr>
        <w:tc>
          <w:tcPr>
            <w:tcW w:w="2544" w:type="pct"/>
            <w:shd w:val="clear" w:color="auto" w:fill="auto"/>
            <w:noWrap/>
            <w:tcMar>
              <w:top w:w="0" w:type="dxa"/>
              <w:left w:w="57" w:type="dxa"/>
              <w:bottom w:w="0" w:type="dxa"/>
              <w:right w:w="113" w:type="dxa"/>
            </w:tcMar>
            <w:hideMark/>
          </w:tcPr>
          <w:p w14:paraId="6BA105F4" w14:textId="77777777" w:rsidR="00D43121" w:rsidRPr="000232DD" w:rsidRDefault="00D43121" w:rsidP="00D43121">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Վարկեր</w:t>
            </w:r>
          </w:p>
        </w:tc>
        <w:tc>
          <w:tcPr>
            <w:tcW w:w="806" w:type="pct"/>
            <w:shd w:val="clear" w:color="auto" w:fill="auto"/>
            <w:vAlign w:val="center"/>
          </w:tcPr>
          <w:p w14:paraId="1B6E5269" w14:textId="7AA2857C" w:rsidR="00D43121" w:rsidRPr="000232DD" w:rsidRDefault="00D43121" w:rsidP="00D43121">
            <w:pPr>
              <w:spacing w:before="0" w:after="0" w:line="240" w:lineRule="auto"/>
              <w:ind w:right="-22"/>
              <w:jc w:val="center"/>
              <w:rPr>
                <w:rFonts w:ascii="GHEA Grapalat" w:eastAsia="Times New Roman" w:hAnsi="GHEA Grapalat" w:cs="Times New Roman"/>
                <w:iCs/>
                <w:color w:val="auto"/>
                <w:sz w:val="18"/>
                <w:szCs w:val="18"/>
              </w:rPr>
            </w:pPr>
            <w:r>
              <w:rPr>
                <w:rFonts w:ascii="GHEA Grapalat" w:hAnsi="GHEA Grapalat"/>
                <w:sz w:val="18"/>
                <w:szCs w:val="18"/>
              </w:rPr>
              <w:t>126.6</w:t>
            </w:r>
          </w:p>
        </w:tc>
        <w:tc>
          <w:tcPr>
            <w:tcW w:w="1650" w:type="pct"/>
            <w:shd w:val="clear" w:color="auto" w:fill="auto"/>
            <w:vAlign w:val="center"/>
            <w:hideMark/>
          </w:tcPr>
          <w:p w14:paraId="725C47DB" w14:textId="24738E47" w:rsidR="00D43121" w:rsidRPr="000232DD" w:rsidRDefault="00D43121" w:rsidP="00D43121">
            <w:pPr>
              <w:spacing w:before="0" w:after="0" w:line="240" w:lineRule="auto"/>
              <w:ind w:right="-22"/>
              <w:jc w:val="center"/>
              <w:rPr>
                <w:rFonts w:ascii="GHEA Grapalat" w:eastAsia="Times New Roman" w:hAnsi="GHEA Grapalat" w:cs="Times New Roman"/>
                <w:iCs/>
                <w:color w:val="auto"/>
                <w:sz w:val="18"/>
                <w:szCs w:val="18"/>
              </w:rPr>
            </w:pPr>
            <w:r>
              <w:rPr>
                <w:rFonts w:ascii="GHEA Grapalat" w:hAnsi="GHEA Grapalat"/>
                <w:sz w:val="18"/>
                <w:szCs w:val="18"/>
              </w:rPr>
              <w:t>X</w:t>
            </w:r>
          </w:p>
        </w:tc>
      </w:tr>
      <w:tr w:rsidR="00D43121" w:rsidRPr="000232DD" w14:paraId="3C05B96E" w14:textId="77777777" w:rsidTr="00280C7E">
        <w:trPr>
          <w:trHeight w:val="360"/>
        </w:trPr>
        <w:tc>
          <w:tcPr>
            <w:tcW w:w="2544" w:type="pct"/>
            <w:shd w:val="clear" w:color="auto" w:fill="auto"/>
            <w:noWrap/>
            <w:tcMar>
              <w:top w:w="0" w:type="dxa"/>
              <w:left w:w="57" w:type="dxa"/>
              <w:bottom w:w="0" w:type="dxa"/>
              <w:right w:w="113" w:type="dxa"/>
            </w:tcMar>
            <w:hideMark/>
          </w:tcPr>
          <w:p w14:paraId="27ABC4F1" w14:textId="77777777" w:rsidR="00D43121" w:rsidRPr="000232DD" w:rsidRDefault="00D43121" w:rsidP="00D43121">
            <w:pPr>
              <w:spacing w:before="0" w:after="0" w:line="240" w:lineRule="auto"/>
              <w:ind w:right="-22"/>
              <w:jc w:val="both"/>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Ընդամենը արտաքին օժանդակություն</w:t>
            </w:r>
          </w:p>
        </w:tc>
        <w:tc>
          <w:tcPr>
            <w:tcW w:w="806" w:type="pct"/>
            <w:shd w:val="clear" w:color="auto" w:fill="auto"/>
            <w:vAlign w:val="center"/>
          </w:tcPr>
          <w:p w14:paraId="03AF1A3C" w14:textId="4CF4C03E" w:rsidR="00D43121" w:rsidRPr="000232DD" w:rsidRDefault="00D43121" w:rsidP="00D43121">
            <w:pPr>
              <w:spacing w:before="0" w:after="0" w:line="240" w:lineRule="auto"/>
              <w:ind w:right="-22"/>
              <w:jc w:val="center"/>
              <w:rPr>
                <w:rFonts w:ascii="GHEA Grapalat" w:eastAsia="Times New Roman" w:hAnsi="GHEA Grapalat" w:cs="Times New Roman"/>
                <w:iCs/>
                <w:color w:val="auto"/>
                <w:sz w:val="18"/>
                <w:szCs w:val="18"/>
              </w:rPr>
            </w:pPr>
            <w:r>
              <w:rPr>
                <w:rFonts w:ascii="GHEA Grapalat" w:hAnsi="GHEA Grapalat"/>
                <w:sz w:val="18"/>
                <w:szCs w:val="18"/>
              </w:rPr>
              <w:t>430.1</w:t>
            </w:r>
          </w:p>
        </w:tc>
        <w:tc>
          <w:tcPr>
            <w:tcW w:w="1650" w:type="pct"/>
            <w:shd w:val="clear" w:color="auto" w:fill="auto"/>
            <w:vAlign w:val="center"/>
          </w:tcPr>
          <w:p w14:paraId="6F8E2A9D" w14:textId="1A5CF8DA" w:rsidR="00D43121" w:rsidRPr="000232DD" w:rsidRDefault="00D43121" w:rsidP="00D43121">
            <w:pPr>
              <w:spacing w:before="0" w:after="0" w:line="240" w:lineRule="auto"/>
              <w:ind w:right="-22"/>
              <w:jc w:val="center"/>
              <w:rPr>
                <w:rFonts w:ascii="GHEA Grapalat" w:eastAsia="Times New Roman" w:hAnsi="GHEA Grapalat" w:cs="Times New Roman"/>
                <w:iCs/>
                <w:color w:val="auto"/>
                <w:sz w:val="18"/>
                <w:szCs w:val="18"/>
              </w:rPr>
            </w:pPr>
            <w:r>
              <w:rPr>
                <w:rFonts w:ascii="Calibri" w:hAnsi="Calibri" w:cs="Calibri"/>
                <w:sz w:val="18"/>
                <w:szCs w:val="18"/>
              </w:rPr>
              <w:t> </w:t>
            </w:r>
          </w:p>
        </w:tc>
      </w:tr>
    </w:tbl>
    <w:p w14:paraId="42A7761F" w14:textId="77777777" w:rsidR="00280C7E" w:rsidRPr="000232DD" w:rsidRDefault="00280C7E" w:rsidP="00082769">
      <w:pPr>
        <w:ind w:right="-22"/>
        <w:rPr>
          <w:rFonts w:ascii="GHEA Grapalat" w:eastAsia="Times New Roman" w:hAnsi="GHEA Grapalat" w:cs="Times New Roman"/>
          <w:color w:val="auto"/>
          <w:szCs w:val="20"/>
        </w:rPr>
      </w:pPr>
    </w:p>
    <w:p w14:paraId="2D6B4FD7" w14:textId="77777777" w:rsidR="00280C7E" w:rsidRPr="000232DD" w:rsidRDefault="00280C7E" w:rsidP="00082769">
      <w:pPr>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Բյուջետային փաթեթում ընդհանուր բնույթի բյուջետային օժանդակության թերստաց</w:t>
      </w:r>
      <w:r w:rsidRPr="000232DD">
        <w:rPr>
          <w:rFonts w:ascii="GHEA Grapalat" w:eastAsia="Times New Roman" w:hAnsi="GHEA Grapalat" w:cs="Times New Roman"/>
          <w:color w:val="auto"/>
          <w:szCs w:val="20"/>
        </w:rPr>
        <w:softHyphen/>
        <w:t>ման պայ</w:t>
      </w:r>
      <w:r w:rsidRPr="000232DD">
        <w:rPr>
          <w:rFonts w:ascii="GHEA Grapalat" w:eastAsia="Times New Roman" w:hAnsi="GHEA Grapalat" w:cs="Times New Roman"/>
          <w:color w:val="auto"/>
          <w:szCs w:val="20"/>
        </w:rPr>
        <w:softHyphen/>
      </w:r>
      <w:r w:rsidRPr="000232DD">
        <w:rPr>
          <w:rFonts w:ascii="GHEA Grapalat" w:eastAsia="Times New Roman" w:hAnsi="GHEA Grapalat" w:cs="Times New Roman"/>
          <w:color w:val="auto"/>
          <w:szCs w:val="20"/>
        </w:rPr>
        <w:softHyphen/>
        <w:t>մաններում ծախսերի վերանայման անհրաժեշտության առաջացման դեպ</w:t>
      </w:r>
      <w:r w:rsidRPr="000232DD">
        <w:rPr>
          <w:rFonts w:ascii="GHEA Grapalat" w:eastAsia="Times New Roman" w:hAnsi="GHEA Grapalat" w:cs="Times New Roman"/>
          <w:color w:val="auto"/>
          <w:szCs w:val="20"/>
        </w:rPr>
        <w:softHyphen/>
        <w:t>քում այդ վերանայումն իրականացվելու է` ելնելով ծախսերի գե</w:t>
      </w:r>
      <w:r w:rsidRPr="000232DD">
        <w:rPr>
          <w:rFonts w:ascii="GHEA Grapalat" w:eastAsia="Times New Roman" w:hAnsi="GHEA Grapalat" w:cs="Times New Roman"/>
          <w:color w:val="auto"/>
          <w:szCs w:val="20"/>
        </w:rPr>
        <w:softHyphen/>
        <w:t>րա</w:t>
      </w:r>
      <w:r w:rsidRPr="000232DD">
        <w:rPr>
          <w:rFonts w:ascii="GHEA Grapalat" w:eastAsia="Times New Roman" w:hAnsi="GHEA Grapalat" w:cs="Times New Roman"/>
          <w:color w:val="auto"/>
          <w:szCs w:val="20"/>
        </w:rPr>
        <w:softHyphen/>
      </w:r>
      <w:r w:rsidRPr="000232DD">
        <w:rPr>
          <w:rFonts w:ascii="GHEA Grapalat" w:eastAsia="Times New Roman" w:hAnsi="GHEA Grapalat" w:cs="Times New Roman"/>
          <w:color w:val="auto"/>
          <w:szCs w:val="20"/>
        </w:rPr>
        <w:softHyphen/>
      </w:r>
      <w:r w:rsidRPr="000232DD">
        <w:rPr>
          <w:rFonts w:ascii="GHEA Grapalat" w:eastAsia="Times New Roman" w:hAnsi="GHEA Grapalat" w:cs="Times New Roman"/>
          <w:color w:val="auto"/>
          <w:szCs w:val="20"/>
        </w:rPr>
        <w:softHyphen/>
        <w:t>կա</w:t>
      </w:r>
      <w:r w:rsidRPr="000232DD">
        <w:rPr>
          <w:rFonts w:ascii="GHEA Grapalat" w:eastAsia="Times New Roman" w:hAnsi="GHEA Grapalat" w:cs="Times New Roman"/>
          <w:color w:val="auto"/>
          <w:szCs w:val="20"/>
        </w:rPr>
        <w:softHyphen/>
        <w:t>յու</w:t>
      </w:r>
      <w:r w:rsidRPr="000232DD">
        <w:rPr>
          <w:rFonts w:ascii="GHEA Grapalat" w:eastAsia="Times New Roman" w:hAnsi="GHEA Grapalat" w:cs="Times New Roman"/>
          <w:color w:val="auto"/>
          <w:szCs w:val="20"/>
        </w:rPr>
        <w:softHyphen/>
        <w:t>թյան աստիճանից: Ծրագրային (նպատակային) պաշտոնական դրամաշ</w:t>
      </w:r>
      <w:r w:rsidRPr="000232DD">
        <w:rPr>
          <w:rFonts w:ascii="GHEA Grapalat" w:eastAsia="Times New Roman" w:hAnsi="GHEA Grapalat" w:cs="Times New Roman"/>
          <w:color w:val="auto"/>
          <w:szCs w:val="20"/>
        </w:rPr>
        <w:softHyphen/>
        <w:t>նորհ</w:t>
      </w:r>
      <w:r w:rsidRPr="000232DD">
        <w:rPr>
          <w:rFonts w:ascii="GHEA Grapalat" w:eastAsia="Times New Roman" w:hAnsi="GHEA Grapalat" w:cs="Times New Roman"/>
          <w:color w:val="auto"/>
          <w:szCs w:val="20"/>
        </w:rPr>
        <w:softHyphen/>
        <w:t>ների և վար</w:t>
      </w:r>
      <w:r w:rsidRPr="000232DD">
        <w:rPr>
          <w:rFonts w:ascii="GHEA Grapalat" w:eastAsia="Times New Roman" w:hAnsi="GHEA Grapalat" w:cs="Times New Roman"/>
          <w:color w:val="auto"/>
          <w:szCs w:val="20"/>
        </w:rPr>
        <w:softHyphen/>
      </w:r>
      <w:r w:rsidRPr="000232DD">
        <w:rPr>
          <w:rFonts w:ascii="GHEA Grapalat" w:eastAsia="Times New Roman" w:hAnsi="GHEA Grapalat" w:cs="Times New Roman"/>
          <w:color w:val="auto"/>
          <w:szCs w:val="20"/>
        </w:rPr>
        <w:softHyphen/>
        <w:t>կերի թերս</w:t>
      </w:r>
      <w:r w:rsidRPr="000232DD">
        <w:rPr>
          <w:rFonts w:ascii="GHEA Grapalat" w:eastAsia="Times New Roman" w:hAnsi="GHEA Grapalat" w:cs="Times New Roman"/>
          <w:color w:val="auto"/>
          <w:szCs w:val="20"/>
        </w:rPr>
        <w:softHyphen/>
        <w:t>տացումը հանգեցնելու է այն ծրագրերի գծով ծախսերի կրճատ</w:t>
      </w:r>
      <w:r w:rsidRPr="000232DD">
        <w:rPr>
          <w:rFonts w:ascii="GHEA Grapalat" w:eastAsia="Times New Roman" w:hAnsi="GHEA Grapalat" w:cs="Times New Roman"/>
          <w:color w:val="auto"/>
          <w:szCs w:val="20"/>
        </w:rPr>
        <w:softHyphen/>
        <w:t>մա</w:t>
      </w:r>
      <w:r w:rsidRPr="000232DD">
        <w:rPr>
          <w:rFonts w:ascii="GHEA Grapalat" w:eastAsia="Times New Roman" w:hAnsi="GHEA Grapalat" w:cs="Times New Roman"/>
          <w:color w:val="auto"/>
          <w:szCs w:val="20"/>
        </w:rPr>
        <w:softHyphen/>
        <w:t>նը, որոնք ան</w:t>
      </w:r>
      <w:r w:rsidRPr="000232DD">
        <w:rPr>
          <w:rFonts w:ascii="GHEA Grapalat" w:eastAsia="Times New Roman" w:hAnsi="GHEA Grapalat" w:cs="Times New Roman"/>
          <w:color w:val="auto"/>
          <w:szCs w:val="20"/>
        </w:rPr>
        <w:softHyphen/>
        <w:t>մի</w:t>
      </w:r>
      <w:r w:rsidRPr="000232DD">
        <w:rPr>
          <w:rFonts w:ascii="GHEA Grapalat" w:eastAsia="Times New Roman" w:hAnsi="GHEA Grapalat" w:cs="Times New Roman"/>
          <w:color w:val="auto"/>
          <w:szCs w:val="20"/>
        </w:rPr>
        <w:softHyphen/>
        <w:t>ջա</w:t>
      </w:r>
      <w:r w:rsidRPr="000232DD">
        <w:rPr>
          <w:rFonts w:ascii="GHEA Grapalat" w:eastAsia="Times New Roman" w:hAnsi="GHEA Grapalat" w:cs="Times New Roman"/>
          <w:color w:val="auto"/>
          <w:szCs w:val="20"/>
        </w:rPr>
        <w:softHyphen/>
      </w:r>
      <w:r w:rsidRPr="000232DD">
        <w:rPr>
          <w:rFonts w:ascii="GHEA Grapalat" w:eastAsia="Times New Roman" w:hAnsi="GHEA Grapalat" w:cs="Times New Roman"/>
          <w:color w:val="auto"/>
          <w:szCs w:val="20"/>
        </w:rPr>
        <w:softHyphen/>
        <w:t>կանորեն</w:t>
      </w:r>
      <w:r w:rsidRPr="000232DD">
        <w:rPr>
          <w:rFonts w:ascii="GHEA Grapalat" w:eastAsia="Times New Roman" w:hAnsi="GHEA Grapalat" w:cs="Times New Roman"/>
          <w:color w:val="auto"/>
          <w:szCs w:val="20"/>
        </w:rPr>
        <w:softHyphen/>
      </w:r>
      <w:r w:rsidRPr="000232DD">
        <w:rPr>
          <w:rFonts w:ascii="GHEA Grapalat" w:eastAsia="Times New Roman" w:hAnsi="GHEA Grapalat" w:cs="Times New Roman"/>
          <w:color w:val="auto"/>
          <w:szCs w:val="20"/>
          <w:lang w:val="hy-AM"/>
        </w:rPr>
        <w:t xml:space="preserve"> </w:t>
      </w:r>
      <w:r w:rsidRPr="000232DD">
        <w:rPr>
          <w:rFonts w:ascii="GHEA Grapalat" w:eastAsia="Times New Roman" w:hAnsi="GHEA Grapalat" w:cs="Times New Roman"/>
          <w:color w:val="auto"/>
          <w:szCs w:val="20"/>
        </w:rPr>
        <w:t xml:space="preserve">կապակցված են ֆինանսավորման այդ աղբյուրներին: </w:t>
      </w:r>
    </w:p>
    <w:p w14:paraId="08E2B703" w14:textId="09E631F7" w:rsidR="00280C7E" w:rsidRPr="000232DD" w:rsidRDefault="00280C7E" w:rsidP="00082769">
      <w:pPr>
        <w:ind w:right="-22"/>
        <w:jc w:val="both"/>
        <w:rPr>
          <w:rFonts w:ascii="GHEA Grapalat" w:eastAsia="Times New Roman" w:hAnsi="GHEA Grapalat" w:cs="Times New Roman"/>
          <w:color w:val="auto"/>
          <w:szCs w:val="20"/>
        </w:rPr>
      </w:pPr>
      <w:r w:rsidRPr="000232DD">
        <w:rPr>
          <w:rFonts w:ascii="GHEA Grapalat" w:eastAsia="Times New Roman" w:hAnsi="GHEA Grapalat" w:cs="Times New Roman"/>
          <w:color w:val="auto"/>
          <w:szCs w:val="20"/>
        </w:rPr>
        <w:t>ՀՀ 202</w:t>
      </w:r>
      <w:r w:rsidR="00CC7EC9" w:rsidRPr="000232DD">
        <w:rPr>
          <w:rFonts w:ascii="GHEA Grapalat" w:eastAsia="Times New Roman" w:hAnsi="GHEA Grapalat" w:cs="Times New Roman"/>
          <w:color w:val="auto"/>
          <w:szCs w:val="20"/>
        </w:rPr>
        <w:t>7</w:t>
      </w:r>
      <w:r w:rsidRPr="000232DD">
        <w:rPr>
          <w:rFonts w:ascii="GHEA Grapalat" w:eastAsia="Times New Roman" w:hAnsi="GHEA Grapalat" w:cs="Times New Roman"/>
          <w:color w:val="auto"/>
          <w:szCs w:val="20"/>
        </w:rPr>
        <w:t xml:space="preserve"> թվականի պետական բյուջեի հաշվարկներում «Հայաստանի Հան</w:t>
      </w:r>
      <w:r w:rsidRPr="000232DD">
        <w:rPr>
          <w:rFonts w:ascii="GHEA Grapalat" w:eastAsia="Times New Roman" w:hAnsi="GHEA Grapalat" w:cs="Times New Roman"/>
          <w:color w:val="auto"/>
          <w:szCs w:val="20"/>
        </w:rPr>
        <w:softHyphen/>
        <w:t>րա</w:t>
      </w:r>
      <w:r w:rsidRPr="000232DD">
        <w:rPr>
          <w:rFonts w:ascii="GHEA Grapalat" w:eastAsia="Times New Roman" w:hAnsi="GHEA Grapalat" w:cs="Times New Roman"/>
          <w:color w:val="auto"/>
          <w:szCs w:val="20"/>
        </w:rPr>
        <w:softHyphen/>
        <w:t>պետության բյուջետային հա</w:t>
      </w:r>
      <w:r w:rsidRPr="000232DD">
        <w:rPr>
          <w:rFonts w:ascii="GHEA Grapalat" w:eastAsia="Times New Roman" w:hAnsi="GHEA Grapalat" w:cs="Times New Roman"/>
          <w:color w:val="auto"/>
          <w:szCs w:val="20"/>
        </w:rPr>
        <w:softHyphen/>
        <w:t>մակարգի մասին» ՀՀ օրենքի 21-րդ հոդվածի 8.1-րդ մա</w:t>
      </w:r>
      <w:r w:rsidRPr="000232DD">
        <w:rPr>
          <w:rFonts w:ascii="GHEA Grapalat" w:eastAsia="Times New Roman" w:hAnsi="GHEA Grapalat" w:cs="Times New Roman"/>
          <w:color w:val="auto"/>
          <w:szCs w:val="20"/>
        </w:rPr>
        <w:softHyphen/>
        <w:t>սի պա</w:t>
      </w:r>
      <w:r w:rsidRPr="000232DD">
        <w:rPr>
          <w:rFonts w:ascii="GHEA Grapalat" w:eastAsia="Times New Roman" w:hAnsi="GHEA Grapalat" w:cs="Times New Roman"/>
          <w:color w:val="auto"/>
          <w:szCs w:val="20"/>
        </w:rPr>
        <w:softHyphen/>
      </w:r>
      <w:r w:rsidRPr="000232DD">
        <w:rPr>
          <w:rFonts w:ascii="GHEA Grapalat" w:eastAsia="Times New Roman" w:hAnsi="GHEA Grapalat" w:cs="Times New Roman"/>
          <w:color w:val="auto"/>
          <w:szCs w:val="20"/>
        </w:rPr>
        <w:softHyphen/>
        <w:t>հան</w:t>
      </w:r>
      <w:r w:rsidRPr="000232DD">
        <w:rPr>
          <w:rFonts w:ascii="GHEA Grapalat" w:eastAsia="Times New Roman" w:hAnsi="GHEA Grapalat" w:cs="Times New Roman"/>
          <w:color w:val="auto"/>
          <w:szCs w:val="20"/>
        </w:rPr>
        <w:softHyphen/>
        <w:t>ջի համաձայն կիրառ</w:t>
      </w:r>
      <w:r w:rsidRPr="000232DD">
        <w:rPr>
          <w:rFonts w:ascii="GHEA Grapalat" w:eastAsia="Times New Roman" w:hAnsi="GHEA Grapalat" w:cs="Times New Roman"/>
          <w:color w:val="auto"/>
          <w:szCs w:val="20"/>
        </w:rPr>
        <w:softHyphen/>
        <w:t xml:space="preserve">վել են ս.թ. </w:t>
      </w:r>
      <w:r w:rsidR="00CC7EC9" w:rsidRPr="000232DD">
        <w:rPr>
          <w:rFonts w:ascii="GHEA Grapalat" w:eastAsia="Times New Roman" w:hAnsi="GHEA Grapalat" w:cs="Times New Roman"/>
          <w:color w:val="auto"/>
          <w:szCs w:val="20"/>
          <w:lang w:val="hy-AM"/>
        </w:rPr>
        <w:t>սեպտեմբերի</w:t>
      </w:r>
      <w:r w:rsidRPr="000232DD">
        <w:rPr>
          <w:rFonts w:ascii="GHEA Grapalat" w:eastAsia="Times New Roman" w:hAnsi="GHEA Grapalat" w:cs="Times New Roman"/>
          <w:color w:val="auto"/>
          <w:szCs w:val="20"/>
        </w:rPr>
        <w:t xml:space="preserve"> </w:t>
      </w:r>
      <w:r w:rsidR="00CC7EC9" w:rsidRPr="000232DD">
        <w:rPr>
          <w:rFonts w:ascii="GHEA Grapalat" w:eastAsia="Times New Roman" w:hAnsi="GHEA Grapalat" w:cs="Times New Roman"/>
          <w:color w:val="auto"/>
          <w:szCs w:val="20"/>
        </w:rPr>
        <w:t>1</w:t>
      </w:r>
      <w:r w:rsidRPr="000232DD">
        <w:rPr>
          <w:rFonts w:ascii="GHEA Grapalat" w:eastAsia="Times New Roman" w:hAnsi="GHEA Grapalat" w:cs="Times New Roman"/>
          <w:color w:val="auto"/>
          <w:szCs w:val="20"/>
        </w:rPr>
        <w:t>-ի դրությամբ ՀՀ արտար</w:t>
      </w:r>
      <w:r w:rsidRPr="000232DD">
        <w:rPr>
          <w:rFonts w:ascii="GHEA Grapalat" w:eastAsia="Times New Roman" w:hAnsi="GHEA Grapalat" w:cs="Times New Roman"/>
          <w:color w:val="auto"/>
          <w:szCs w:val="20"/>
        </w:rPr>
        <w:softHyphen/>
        <w:t>ժու</w:t>
      </w:r>
      <w:r w:rsidRPr="000232DD">
        <w:rPr>
          <w:rFonts w:ascii="GHEA Grapalat" w:eastAsia="Times New Roman" w:hAnsi="GHEA Grapalat" w:cs="Times New Roman"/>
          <w:color w:val="auto"/>
          <w:szCs w:val="20"/>
        </w:rPr>
        <w:softHyphen/>
        <w:t>թա</w:t>
      </w:r>
      <w:r w:rsidRPr="000232DD">
        <w:rPr>
          <w:rFonts w:ascii="GHEA Grapalat" w:eastAsia="Times New Roman" w:hAnsi="GHEA Grapalat" w:cs="Times New Roman"/>
          <w:color w:val="auto"/>
          <w:szCs w:val="20"/>
        </w:rPr>
        <w:softHyphen/>
        <w:t>յին շու</w:t>
      </w:r>
      <w:r w:rsidRPr="000232DD">
        <w:rPr>
          <w:rFonts w:ascii="GHEA Grapalat" w:eastAsia="Times New Roman" w:hAnsi="GHEA Grapalat" w:cs="Times New Roman"/>
          <w:color w:val="auto"/>
          <w:szCs w:val="20"/>
        </w:rPr>
        <w:softHyphen/>
      </w:r>
      <w:r w:rsidRPr="000232DD">
        <w:rPr>
          <w:rFonts w:ascii="GHEA Grapalat" w:eastAsia="Times New Roman" w:hAnsi="GHEA Grapalat" w:cs="Times New Roman"/>
          <w:color w:val="auto"/>
          <w:szCs w:val="20"/>
        </w:rPr>
        <w:softHyphen/>
        <w:t>կա</w:t>
      </w:r>
      <w:r w:rsidRPr="000232DD">
        <w:rPr>
          <w:rFonts w:ascii="GHEA Grapalat" w:eastAsia="Times New Roman" w:hAnsi="GHEA Grapalat" w:cs="Times New Roman"/>
          <w:color w:val="auto"/>
          <w:szCs w:val="20"/>
        </w:rPr>
        <w:softHyphen/>
        <w:t>յում ձևավորված տա</w:t>
      </w:r>
      <w:r w:rsidRPr="000232DD">
        <w:rPr>
          <w:rFonts w:ascii="GHEA Grapalat" w:eastAsia="Times New Roman" w:hAnsi="GHEA Grapalat" w:cs="Times New Roman"/>
          <w:color w:val="auto"/>
          <w:szCs w:val="20"/>
        </w:rPr>
        <w:softHyphen/>
        <w:t>րա</w:t>
      </w:r>
      <w:r w:rsidRPr="000232DD">
        <w:rPr>
          <w:rFonts w:ascii="GHEA Grapalat" w:eastAsia="Times New Roman" w:hAnsi="GHEA Grapalat" w:cs="Times New Roman"/>
          <w:color w:val="auto"/>
          <w:szCs w:val="20"/>
        </w:rPr>
        <w:softHyphen/>
        <w:t>դրա</w:t>
      </w:r>
      <w:r w:rsidRPr="000232DD">
        <w:rPr>
          <w:rFonts w:ascii="GHEA Grapalat" w:eastAsia="Times New Roman" w:hAnsi="GHEA Grapalat" w:cs="Times New Roman"/>
          <w:color w:val="auto"/>
          <w:szCs w:val="20"/>
        </w:rPr>
        <w:softHyphen/>
        <w:t>մի փոխարժեքները ՀՀ դրամով:</w:t>
      </w:r>
    </w:p>
    <w:p w14:paraId="7C93A1A3" w14:textId="6123D330" w:rsidR="00280C7E" w:rsidRPr="00E73A9A" w:rsidRDefault="00280C7E" w:rsidP="00E73A9A">
      <w:pPr>
        <w:pStyle w:val="Charts"/>
        <w:ind w:right="-22"/>
        <w:rPr>
          <w:b w:val="0"/>
          <w:bCs/>
          <w:color w:val="auto"/>
          <w:sz w:val="20"/>
          <w:szCs w:val="18"/>
        </w:rPr>
      </w:pPr>
      <w:bookmarkStart w:id="336" w:name="_Toc120805262"/>
      <w:bookmarkStart w:id="337" w:name="_Toc241602016"/>
      <w:r w:rsidRPr="00E73A9A">
        <w:rPr>
          <w:b w:val="0"/>
          <w:bCs/>
          <w:color w:val="auto"/>
          <w:sz w:val="20"/>
          <w:szCs w:val="18"/>
        </w:rPr>
        <w:t xml:space="preserve">Աղյուսակ </w:t>
      </w:r>
      <w:r w:rsidRPr="00E73A9A">
        <w:rPr>
          <w:b w:val="0"/>
          <w:bCs/>
          <w:color w:val="auto"/>
          <w:sz w:val="20"/>
          <w:szCs w:val="18"/>
        </w:rPr>
        <w:fldChar w:fldCharType="begin"/>
      </w:r>
      <w:r w:rsidRPr="00E73A9A">
        <w:rPr>
          <w:b w:val="0"/>
          <w:bCs/>
          <w:color w:val="auto"/>
          <w:sz w:val="20"/>
          <w:szCs w:val="18"/>
        </w:rPr>
        <w:instrText xml:space="preserve"> SEQ Աղյուսակ \* ARABIC </w:instrText>
      </w:r>
      <w:r w:rsidRPr="00E73A9A">
        <w:rPr>
          <w:b w:val="0"/>
          <w:bCs/>
          <w:color w:val="auto"/>
          <w:sz w:val="20"/>
          <w:szCs w:val="18"/>
        </w:rPr>
        <w:fldChar w:fldCharType="separate"/>
      </w:r>
      <w:r w:rsidR="00E46048">
        <w:rPr>
          <w:b w:val="0"/>
          <w:bCs/>
          <w:noProof/>
          <w:color w:val="auto"/>
          <w:sz w:val="20"/>
          <w:szCs w:val="18"/>
        </w:rPr>
        <w:t>3</w:t>
      </w:r>
      <w:r w:rsidRPr="00E73A9A">
        <w:rPr>
          <w:b w:val="0"/>
          <w:bCs/>
          <w:color w:val="auto"/>
          <w:sz w:val="20"/>
          <w:szCs w:val="18"/>
        </w:rPr>
        <w:fldChar w:fldCharType="end"/>
      </w:r>
      <w:r w:rsidRPr="00E73A9A">
        <w:rPr>
          <w:rFonts w:ascii="Cambria Math" w:hAnsi="Cambria Math" w:cs="Cambria Math"/>
          <w:b w:val="0"/>
          <w:bCs/>
          <w:color w:val="auto"/>
          <w:sz w:val="20"/>
          <w:szCs w:val="18"/>
        </w:rPr>
        <w:t>․</w:t>
      </w:r>
      <w:r w:rsidRPr="00E73A9A">
        <w:rPr>
          <w:b w:val="0"/>
          <w:bCs/>
          <w:color w:val="auto"/>
          <w:sz w:val="20"/>
          <w:szCs w:val="18"/>
        </w:rPr>
        <w:t xml:space="preserve"> ՀՀ 202</w:t>
      </w:r>
      <w:r w:rsidR="00CC7EC9" w:rsidRPr="00E73A9A">
        <w:rPr>
          <w:b w:val="0"/>
          <w:bCs/>
          <w:color w:val="auto"/>
          <w:sz w:val="20"/>
          <w:szCs w:val="18"/>
        </w:rPr>
        <w:t>7</w:t>
      </w:r>
      <w:r w:rsidRPr="00E73A9A">
        <w:rPr>
          <w:b w:val="0"/>
          <w:bCs/>
          <w:color w:val="auto"/>
          <w:sz w:val="20"/>
          <w:szCs w:val="18"/>
        </w:rPr>
        <w:t xml:space="preserve"> թվականի պետական բյուջեի նախագծի հաշվարկներում կիրառված տարադրամների փոխարժեք</w:t>
      </w:r>
      <w:r w:rsidRPr="00E73A9A">
        <w:rPr>
          <w:b w:val="0"/>
          <w:bCs/>
          <w:color w:val="auto"/>
          <w:sz w:val="20"/>
          <w:szCs w:val="18"/>
        </w:rPr>
        <w:softHyphen/>
        <w:t>ները ՀՀ դրամով</w:t>
      </w:r>
      <w:bookmarkEnd w:id="336"/>
      <w:bookmarkEnd w:id="337"/>
    </w:p>
    <w:tbl>
      <w:tblPr>
        <w:tblW w:w="0" w:type="auto"/>
        <w:tblBorders>
          <w:top w:val="single" w:sz="8" w:space="0" w:color="E1E1E3"/>
          <w:left w:val="single" w:sz="8" w:space="0" w:color="E1E1E3"/>
          <w:bottom w:val="single" w:sz="8" w:space="0" w:color="E1E1E3"/>
          <w:right w:val="single" w:sz="8" w:space="0" w:color="E1E1E3"/>
          <w:insideH w:val="single" w:sz="8" w:space="0" w:color="E1E1E3"/>
          <w:insideV w:val="single" w:sz="8" w:space="0" w:color="E1E1E3"/>
        </w:tblBorders>
        <w:tblLayout w:type="fixed"/>
        <w:tblLook w:val="04A0" w:firstRow="1" w:lastRow="0" w:firstColumn="1" w:lastColumn="0" w:noHBand="0" w:noVBand="1"/>
      </w:tblPr>
      <w:tblGrid>
        <w:gridCol w:w="6152"/>
        <w:gridCol w:w="10"/>
        <w:gridCol w:w="3564"/>
      </w:tblGrid>
      <w:tr w:rsidR="004C0C21" w:rsidRPr="000232DD" w14:paraId="151ADB82" w14:textId="77777777" w:rsidTr="006422CA">
        <w:trPr>
          <w:trHeight w:val="432"/>
        </w:trPr>
        <w:tc>
          <w:tcPr>
            <w:tcW w:w="6152" w:type="dxa"/>
            <w:shd w:val="clear" w:color="auto" w:fill="DAE9F7" w:themeFill="text2" w:themeFillTint="1A"/>
            <w:vAlign w:val="center"/>
            <w:hideMark/>
          </w:tcPr>
          <w:p w14:paraId="46ACE938" w14:textId="77777777" w:rsidR="00280C7E" w:rsidRPr="000232DD" w:rsidRDefault="00280C7E" w:rsidP="00082769">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b/>
                <w:color w:val="auto"/>
                <w:sz w:val="18"/>
                <w:szCs w:val="18"/>
              </w:rPr>
              <w:t>Տարադրամի տեսակը</w:t>
            </w:r>
          </w:p>
        </w:tc>
        <w:tc>
          <w:tcPr>
            <w:tcW w:w="3574" w:type="dxa"/>
            <w:gridSpan w:val="2"/>
            <w:shd w:val="clear" w:color="auto" w:fill="DAE9F7" w:themeFill="text2" w:themeFillTint="1A"/>
            <w:vAlign w:val="center"/>
            <w:hideMark/>
          </w:tcPr>
          <w:p w14:paraId="727BDEAF"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Փոխարժեքը ՀՀ դրամով</w:t>
            </w:r>
          </w:p>
        </w:tc>
      </w:tr>
      <w:tr w:rsidR="004C0C21" w:rsidRPr="000232DD" w14:paraId="241B0AB6" w14:textId="77777777" w:rsidTr="00280C7E">
        <w:trPr>
          <w:trHeight w:val="384"/>
        </w:trPr>
        <w:tc>
          <w:tcPr>
            <w:tcW w:w="6162" w:type="dxa"/>
            <w:gridSpan w:val="2"/>
            <w:shd w:val="clear" w:color="auto" w:fill="auto"/>
            <w:vAlign w:val="center"/>
            <w:hideMark/>
          </w:tcPr>
          <w:p w14:paraId="4263CE7D" w14:textId="77777777" w:rsidR="00280C7E" w:rsidRPr="000232DD" w:rsidRDefault="00280C7E" w:rsidP="00082769">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1 ԱՄՆ դոլար </w:t>
            </w:r>
          </w:p>
        </w:tc>
        <w:tc>
          <w:tcPr>
            <w:tcW w:w="3564" w:type="dxa"/>
            <w:shd w:val="clear" w:color="auto" w:fill="auto"/>
            <w:vAlign w:val="center"/>
          </w:tcPr>
          <w:p w14:paraId="09F55719" w14:textId="569341A8" w:rsidR="00280C7E" w:rsidRPr="000232DD" w:rsidRDefault="00280C7E" w:rsidP="00082769">
            <w:pPr>
              <w:spacing w:before="0" w:after="0" w:line="240" w:lineRule="auto"/>
              <w:ind w:right="-22"/>
              <w:jc w:val="center"/>
              <w:rPr>
                <w:rFonts w:ascii="GHEA Grapalat" w:eastAsia="Times New Roman" w:hAnsi="GHEA Grapalat" w:cs="Times New Roman"/>
                <w:color w:val="auto"/>
                <w:sz w:val="18"/>
                <w:szCs w:val="18"/>
                <w:lang w:val="hy-AM" w:eastAsia="ru-RU"/>
              </w:rPr>
            </w:pPr>
            <w:r w:rsidRPr="000232DD">
              <w:rPr>
                <w:rFonts w:ascii="GHEA Grapalat" w:eastAsia="Times New Roman" w:hAnsi="GHEA Grapalat" w:cs="Times New Roman"/>
                <w:color w:val="auto"/>
                <w:sz w:val="18"/>
                <w:szCs w:val="18"/>
                <w:lang w:val="hy-AM" w:eastAsia="ru-RU"/>
              </w:rPr>
              <w:t>3</w:t>
            </w:r>
            <w:r w:rsidR="00B97575" w:rsidRPr="000232DD">
              <w:rPr>
                <w:rFonts w:ascii="GHEA Grapalat" w:eastAsia="Times New Roman" w:hAnsi="GHEA Grapalat" w:cs="Times New Roman"/>
                <w:color w:val="auto"/>
                <w:sz w:val="18"/>
                <w:szCs w:val="18"/>
                <w:lang w:val="hy-AM" w:eastAsia="ru-RU"/>
              </w:rPr>
              <w:t>64</w:t>
            </w:r>
            <w:r w:rsidRPr="000232DD">
              <w:rPr>
                <w:rFonts w:ascii="GHEA Grapalat" w:eastAsia="Times New Roman" w:hAnsi="GHEA Grapalat" w:cs="Times New Roman"/>
                <w:color w:val="auto"/>
                <w:sz w:val="18"/>
                <w:szCs w:val="18"/>
                <w:lang w:val="hy-AM" w:eastAsia="ru-RU"/>
              </w:rPr>
              <w:t>.</w:t>
            </w:r>
            <w:r w:rsidR="00B97575" w:rsidRPr="000232DD">
              <w:rPr>
                <w:rFonts w:ascii="GHEA Grapalat" w:eastAsia="Times New Roman" w:hAnsi="GHEA Grapalat" w:cs="Times New Roman"/>
                <w:color w:val="auto"/>
                <w:sz w:val="18"/>
                <w:szCs w:val="18"/>
                <w:lang w:val="hy-AM" w:eastAsia="ru-RU"/>
              </w:rPr>
              <w:t>26</w:t>
            </w:r>
          </w:p>
        </w:tc>
      </w:tr>
      <w:tr w:rsidR="004C0C21" w:rsidRPr="000232DD" w14:paraId="10D54FB1" w14:textId="77777777" w:rsidTr="00280C7E">
        <w:trPr>
          <w:trHeight w:val="403"/>
        </w:trPr>
        <w:tc>
          <w:tcPr>
            <w:tcW w:w="6162" w:type="dxa"/>
            <w:gridSpan w:val="2"/>
            <w:shd w:val="clear" w:color="auto" w:fill="auto"/>
            <w:vAlign w:val="center"/>
            <w:hideMark/>
          </w:tcPr>
          <w:p w14:paraId="3C76BD89" w14:textId="77777777" w:rsidR="00280C7E" w:rsidRPr="000232DD" w:rsidRDefault="00280C7E" w:rsidP="00082769">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 եվրո</w:t>
            </w:r>
          </w:p>
        </w:tc>
        <w:tc>
          <w:tcPr>
            <w:tcW w:w="3564" w:type="dxa"/>
            <w:shd w:val="clear" w:color="auto" w:fill="auto"/>
            <w:vAlign w:val="center"/>
          </w:tcPr>
          <w:p w14:paraId="32520D4F" w14:textId="7EB42555" w:rsidR="00280C7E" w:rsidRPr="000232DD" w:rsidRDefault="00280C7E" w:rsidP="00082769">
            <w:pPr>
              <w:spacing w:before="0" w:after="0" w:line="240" w:lineRule="auto"/>
              <w:ind w:right="-22"/>
              <w:jc w:val="center"/>
              <w:rPr>
                <w:rFonts w:ascii="GHEA Grapalat" w:eastAsia="Times New Roman" w:hAnsi="GHEA Grapalat" w:cs="Times New Roman"/>
                <w:color w:val="auto"/>
                <w:sz w:val="18"/>
                <w:szCs w:val="18"/>
                <w:lang w:val="hy-AM"/>
              </w:rPr>
            </w:pPr>
            <w:r w:rsidRPr="000232DD">
              <w:rPr>
                <w:rFonts w:ascii="GHEA Grapalat" w:eastAsia="Times New Roman" w:hAnsi="GHEA Grapalat" w:cs="Times New Roman"/>
                <w:color w:val="auto"/>
                <w:sz w:val="18"/>
                <w:szCs w:val="18"/>
                <w:lang w:val="hy-AM"/>
              </w:rPr>
              <w:t>4</w:t>
            </w:r>
            <w:r w:rsidR="00B97575" w:rsidRPr="000232DD">
              <w:rPr>
                <w:rFonts w:ascii="GHEA Grapalat" w:eastAsia="Times New Roman" w:hAnsi="GHEA Grapalat" w:cs="Times New Roman"/>
                <w:color w:val="auto"/>
                <w:sz w:val="18"/>
                <w:szCs w:val="18"/>
                <w:lang w:val="hy-AM"/>
              </w:rPr>
              <w:t>22</w:t>
            </w:r>
            <w:r w:rsidRPr="000232DD">
              <w:rPr>
                <w:rFonts w:ascii="GHEA Grapalat" w:eastAsia="Times New Roman" w:hAnsi="GHEA Grapalat" w:cs="Times New Roman"/>
                <w:color w:val="auto"/>
                <w:sz w:val="18"/>
                <w:szCs w:val="18"/>
                <w:lang w:val="hy-AM"/>
              </w:rPr>
              <w:t>.</w:t>
            </w:r>
            <w:r w:rsidR="00B97575" w:rsidRPr="000232DD">
              <w:rPr>
                <w:rFonts w:ascii="GHEA Grapalat" w:eastAsia="Times New Roman" w:hAnsi="GHEA Grapalat" w:cs="Times New Roman"/>
                <w:color w:val="auto"/>
                <w:sz w:val="18"/>
                <w:szCs w:val="18"/>
                <w:lang w:val="hy-AM"/>
              </w:rPr>
              <w:t>18</w:t>
            </w:r>
          </w:p>
        </w:tc>
      </w:tr>
      <w:tr w:rsidR="004C0C21" w:rsidRPr="000232DD" w14:paraId="67B20557" w14:textId="77777777" w:rsidTr="00280C7E">
        <w:trPr>
          <w:trHeight w:val="410"/>
        </w:trPr>
        <w:tc>
          <w:tcPr>
            <w:tcW w:w="6162" w:type="dxa"/>
            <w:gridSpan w:val="2"/>
            <w:shd w:val="clear" w:color="auto" w:fill="auto"/>
            <w:vAlign w:val="center"/>
          </w:tcPr>
          <w:p w14:paraId="625EF16C" w14:textId="77777777" w:rsidR="00280C7E" w:rsidRPr="000232DD" w:rsidRDefault="00280C7E" w:rsidP="00082769">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1 Մեծ Բրիտանիայի ֆունտ ստեռլինգ </w:t>
            </w:r>
          </w:p>
        </w:tc>
        <w:tc>
          <w:tcPr>
            <w:tcW w:w="3564" w:type="dxa"/>
            <w:shd w:val="clear" w:color="auto" w:fill="auto"/>
            <w:vAlign w:val="center"/>
          </w:tcPr>
          <w:p w14:paraId="6F6097F2" w14:textId="464732D8" w:rsidR="00280C7E" w:rsidRPr="000232DD" w:rsidRDefault="00B97575" w:rsidP="00082769">
            <w:pPr>
              <w:spacing w:before="0" w:after="0" w:line="240" w:lineRule="auto"/>
              <w:ind w:right="-22"/>
              <w:jc w:val="center"/>
              <w:rPr>
                <w:rFonts w:ascii="GHEA Grapalat" w:eastAsia="Times New Roman" w:hAnsi="GHEA Grapalat" w:cs="Times New Roman"/>
                <w:color w:val="auto"/>
                <w:sz w:val="18"/>
                <w:szCs w:val="18"/>
                <w:lang w:val="hy-AM"/>
              </w:rPr>
            </w:pPr>
            <w:r w:rsidRPr="000232DD">
              <w:rPr>
                <w:rFonts w:ascii="GHEA Grapalat" w:eastAsia="Times New Roman" w:hAnsi="GHEA Grapalat" w:cs="Times New Roman"/>
                <w:color w:val="auto"/>
                <w:sz w:val="18"/>
                <w:szCs w:val="18"/>
                <w:lang w:val="hy-AM"/>
              </w:rPr>
              <w:t>492</w:t>
            </w:r>
            <w:r w:rsidR="00280C7E" w:rsidRPr="000232DD">
              <w:rPr>
                <w:rFonts w:ascii="GHEA Grapalat" w:eastAsia="Times New Roman" w:hAnsi="GHEA Grapalat" w:cs="Times New Roman"/>
                <w:color w:val="auto"/>
                <w:sz w:val="18"/>
                <w:szCs w:val="18"/>
                <w:lang w:val="hy-AM"/>
              </w:rPr>
              <w:t>.</w:t>
            </w:r>
            <w:r w:rsidRPr="000232DD">
              <w:rPr>
                <w:rFonts w:ascii="GHEA Grapalat" w:eastAsia="Times New Roman" w:hAnsi="GHEA Grapalat" w:cs="Times New Roman"/>
                <w:color w:val="auto"/>
                <w:sz w:val="18"/>
                <w:szCs w:val="18"/>
                <w:lang w:val="hy-AM"/>
              </w:rPr>
              <w:t>92</w:t>
            </w:r>
          </w:p>
        </w:tc>
      </w:tr>
      <w:tr w:rsidR="004C0C21" w:rsidRPr="000232DD" w14:paraId="126BEB54" w14:textId="77777777" w:rsidTr="00280C7E">
        <w:trPr>
          <w:trHeight w:val="401"/>
        </w:trPr>
        <w:tc>
          <w:tcPr>
            <w:tcW w:w="6162" w:type="dxa"/>
            <w:gridSpan w:val="2"/>
            <w:shd w:val="clear" w:color="auto" w:fill="auto"/>
            <w:vAlign w:val="center"/>
          </w:tcPr>
          <w:p w14:paraId="3383C022" w14:textId="77777777" w:rsidR="00280C7E" w:rsidRPr="000232DD" w:rsidRDefault="00280C7E" w:rsidP="00082769">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1 Ռուսաստանյան ռուբլի </w:t>
            </w:r>
          </w:p>
        </w:tc>
        <w:tc>
          <w:tcPr>
            <w:tcW w:w="3564" w:type="dxa"/>
            <w:shd w:val="clear" w:color="auto" w:fill="auto"/>
            <w:vAlign w:val="center"/>
          </w:tcPr>
          <w:p w14:paraId="606EB6E9" w14:textId="693B4E23" w:rsidR="00280C7E" w:rsidRPr="000232DD" w:rsidRDefault="00280C7E" w:rsidP="00082769">
            <w:pPr>
              <w:spacing w:before="0" w:after="0" w:line="240" w:lineRule="auto"/>
              <w:ind w:right="-22"/>
              <w:jc w:val="center"/>
              <w:rPr>
                <w:rFonts w:ascii="GHEA Grapalat" w:eastAsia="Times New Roman" w:hAnsi="GHEA Grapalat" w:cs="Times New Roman"/>
                <w:color w:val="auto"/>
                <w:sz w:val="18"/>
                <w:szCs w:val="18"/>
                <w:lang w:val="hy-AM"/>
              </w:rPr>
            </w:pPr>
            <w:r w:rsidRPr="000232DD">
              <w:rPr>
                <w:rFonts w:ascii="GHEA Grapalat" w:eastAsia="Times New Roman" w:hAnsi="GHEA Grapalat" w:cs="Times New Roman"/>
                <w:color w:val="auto"/>
                <w:sz w:val="18"/>
                <w:szCs w:val="18"/>
                <w:lang w:val="hy-AM"/>
              </w:rPr>
              <w:t>4.</w:t>
            </w:r>
            <w:r w:rsidR="00B97575" w:rsidRPr="000232DD">
              <w:rPr>
                <w:rFonts w:ascii="GHEA Grapalat" w:eastAsia="Times New Roman" w:hAnsi="GHEA Grapalat" w:cs="Times New Roman"/>
                <w:color w:val="auto"/>
                <w:sz w:val="18"/>
                <w:szCs w:val="18"/>
                <w:lang w:val="hy-AM"/>
              </w:rPr>
              <w:t>2019</w:t>
            </w:r>
          </w:p>
        </w:tc>
      </w:tr>
      <w:tr w:rsidR="004C0C21" w:rsidRPr="000232DD" w14:paraId="7C9A7FF2" w14:textId="77777777" w:rsidTr="00280C7E">
        <w:trPr>
          <w:trHeight w:val="407"/>
        </w:trPr>
        <w:tc>
          <w:tcPr>
            <w:tcW w:w="6162" w:type="dxa"/>
            <w:gridSpan w:val="2"/>
            <w:shd w:val="clear" w:color="auto" w:fill="auto"/>
            <w:vAlign w:val="center"/>
          </w:tcPr>
          <w:p w14:paraId="512FB175" w14:textId="77777777" w:rsidR="00280C7E" w:rsidRPr="000232DD" w:rsidRDefault="00280C7E" w:rsidP="00082769">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1 Շվեյցարական ֆրանկ </w:t>
            </w:r>
          </w:p>
        </w:tc>
        <w:tc>
          <w:tcPr>
            <w:tcW w:w="3564" w:type="dxa"/>
            <w:shd w:val="clear" w:color="auto" w:fill="auto"/>
            <w:vAlign w:val="center"/>
          </w:tcPr>
          <w:p w14:paraId="2DB7BB55" w14:textId="621D8663" w:rsidR="00280C7E" w:rsidRPr="000232DD" w:rsidRDefault="00280C7E" w:rsidP="00082769">
            <w:pPr>
              <w:spacing w:before="0" w:after="0" w:line="240" w:lineRule="auto"/>
              <w:ind w:right="-22"/>
              <w:jc w:val="center"/>
              <w:rPr>
                <w:rFonts w:ascii="GHEA Grapalat" w:eastAsia="Times New Roman" w:hAnsi="GHEA Grapalat" w:cs="Times New Roman"/>
                <w:color w:val="auto"/>
                <w:sz w:val="18"/>
                <w:szCs w:val="18"/>
                <w:lang w:val="hy-AM"/>
              </w:rPr>
            </w:pPr>
            <w:r w:rsidRPr="000232DD">
              <w:rPr>
                <w:rFonts w:ascii="GHEA Grapalat" w:eastAsia="Times New Roman" w:hAnsi="GHEA Grapalat" w:cs="Times New Roman"/>
                <w:color w:val="auto"/>
                <w:sz w:val="18"/>
                <w:szCs w:val="18"/>
                <w:lang w:val="hy-AM"/>
              </w:rPr>
              <w:t>4</w:t>
            </w:r>
            <w:r w:rsidR="00B97575" w:rsidRPr="000232DD">
              <w:rPr>
                <w:rFonts w:ascii="GHEA Grapalat" w:eastAsia="Times New Roman" w:hAnsi="GHEA Grapalat" w:cs="Times New Roman"/>
                <w:color w:val="auto"/>
                <w:sz w:val="18"/>
                <w:szCs w:val="18"/>
                <w:lang w:val="hy-AM"/>
              </w:rPr>
              <w:t>49</w:t>
            </w:r>
            <w:r w:rsidRPr="000232DD">
              <w:rPr>
                <w:rFonts w:ascii="GHEA Grapalat" w:eastAsia="Times New Roman" w:hAnsi="GHEA Grapalat" w:cs="Times New Roman"/>
                <w:color w:val="auto"/>
                <w:sz w:val="18"/>
                <w:szCs w:val="18"/>
                <w:lang w:val="hy-AM"/>
              </w:rPr>
              <w:t>.</w:t>
            </w:r>
            <w:r w:rsidR="00B97575" w:rsidRPr="000232DD">
              <w:rPr>
                <w:rFonts w:ascii="GHEA Grapalat" w:eastAsia="Times New Roman" w:hAnsi="GHEA Grapalat" w:cs="Times New Roman"/>
                <w:color w:val="auto"/>
                <w:sz w:val="18"/>
                <w:szCs w:val="18"/>
                <w:lang w:val="hy-AM"/>
              </w:rPr>
              <w:t>59</w:t>
            </w:r>
          </w:p>
        </w:tc>
      </w:tr>
      <w:tr w:rsidR="004C0C21" w:rsidRPr="000232DD" w14:paraId="56605873" w14:textId="77777777" w:rsidTr="00280C7E">
        <w:trPr>
          <w:trHeight w:val="412"/>
        </w:trPr>
        <w:tc>
          <w:tcPr>
            <w:tcW w:w="6162" w:type="dxa"/>
            <w:gridSpan w:val="2"/>
            <w:shd w:val="clear" w:color="auto" w:fill="auto"/>
            <w:vAlign w:val="center"/>
          </w:tcPr>
          <w:p w14:paraId="4E2B5F79" w14:textId="77777777" w:rsidR="00280C7E" w:rsidRPr="000232DD" w:rsidRDefault="00280C7E" w:rsidP="00082769">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1 Կանադական դոլար </w:t>
            </w:r>
          </w:p>
        </w:tc>
        <w:tc>
          <w:tcPr>
            <w:tcW w:w="3564" w:type="dxa"/>
            <w:shd w:val="clear" w:color="auto" w:fill="auto"/>
            <w:vAlign w:val="center"/>
          </w:tcPr>
          <w:p w14:paraId="70FA88D5" w14:textId="583C2ED8" w:rsidR="00280C7E" w:rsidRPr="000232DD" w:rsidRDefault="00280C7E" w:rsidP="00082769">
            <w:pPr>
              <w:spacing w:before="0" w:after="0" w:line="240" w:lineRule="auto"/>
              <w:ind w:right="-22"/>
              <w:jc w:val="center"/>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2</w:t>
            </w:r>
            <w:r w:rsidR="00B97575" w:rsidRPr="000232DD">
              <w:rPr>
                <w:rFonts w:ascii="GHEA Grapalat" w:eastAsia="Times New Roman" w:hAnsi="GHEA Grapalat" w:cs="Times New Roman"/>
                <w:color w:val="auto"/>
                <w:sz w:val="18"/>
                <w:szCs w:val="18"/>
              </w:rPr>
              <w:t>62</w:t>
            </w:r>
            <w:r w:rsidRPr="000232DD">
              <w:rPr>
                <w:rFonts w:ascii="GHEA Grapalat" w:eastAsia="Times New Roman" w:hAnsi="GHEA Grapalat" w:cs="Times New Roman"/>
                <w:color w:val="auto"/>
                <w:sz w:val="18"/>
                <w:szCs w:val="18"/>
              </w:rPr>
              <w:t>.</w:t>
            </w:r>
            <w:r w:rsidR="00B97575" w:rsidRPr="000232DD">
              <w:rPr>
                <w:rFonts w:ascii="GHEA Grapalat" w:eastAsia="Times New Roman" w:hAnsi="GHEA Grapalat" w:cs="Times New Roman"/>
                <w:color w:val="auto"/>
                <w:sz w:val="18"/>
                <w:szCs w:val="18"/>
              </w:rPr>
              <w:t>57</w:t>
            </w:r>
          </w:p>
        </w:tc>
      </w:tr>
      <w:tr w:rsidR="004C0C21" w:rsidRPr="000232DD" w14:paraId="7D8AA2B0" w14:textId="77777777" w:rsidTr="00280C7E">
        <w:trPr>
          <w:trHeight w:val="391"/>
        </w:trPr>
        <w:tc>
          <w:tcPr>
            <w:tcW w:w="6162" w:type="dxa"/>
            <w:gridSpan w:val="2"/>
            <w:shd w:val="clear" w:color="auto" w:fill="auto"/>
            <w:vAlign w:val="center"/>
          </w:tcPr>
          <w:p w14:paraId="492E2465" w14:textId="77777777" w:rsidR="00280C7E" w:rsidRPr="000232DD" w:rsidRDefault="00280C7E" w:rsidP="00082769">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10 ճապոնական իեն </w:t>
            </w:r>
          </w:p>
        </w:tc>
        <w:tc>
          <w:tcPr>
            <w:tcW w:w="3564" w:type="dxa"/>
            <w:shd w:val="clear" w:color="auto" w:fill="auto"/>
            <w:vAlign w:val="center"/>
          </w:tcPr>
          <w:p w14:paraId="0A3710C2" w14:textId="57BC7AE4" w:rsidR="00280C7E" w:rsidRPr="000232DD" w:rsidRDefault="00280C7E" w:rsidP="00082769">
            <w:pPr>
              <w:spacing w:before="0" w:after="0" w:line="240" w:lineRule="auto"/>
              <w:ind w:right="-22"/>
              <w:jc w:val="center"/>
              <w:rPr>
                <w:rFonts w:ascii="GHEA Grapalat" w:eastAsia="Times New Roman" w:hAnsi="GHEA Grapalat" w:cs="Times New Roman"/>
                <w:color w:val="auto"/>
                <w:sz w:val="18"/>
                <w:szCs w:val="18"/>
                <w:lang w:val="hy-AM"/>
              </w:rPr>
            </w:pPr>
            <w:r w:rsidRPr="000232DD">
              <w:rPr>
                <w:rFonts w:ascii="GHEA Grapalat" w:eastAsia="Times New Roman" w:hAnsi="GHEA Grapalat" w:cs="Times New Roman"/>
                <w:color w:val="auto"/>
                <w:sz w:val="18"/>
                <w:szCs w:val="18"/>
                <w:lang w:val="hy-AM"/>
              </w:rPr>
              <w:t>2</w:t>
            </w:r>
            <w:r w:rsidR="00B97575" w:rsidRPr="000232DD">
              <w:rPr>
                <w:rFonts w:ascii="GHEA Grapalat" w:eastAsia="Times New Roman" w:hAnsi="GHEA Grapalat" w:cs="Times New Roman"/>
                <w:color w:val="auto"/>
                <w:sz w:val="18"/>
                <w:szCs w:val="18"/>
                <w:lang w:val="hy-AM"/>
              </w:rPr>
              <w:t>2</w:t>
            </w:r>
            <w:r w:rsidRPr="000232DD">
              <w:rPr>
                <w:rFonts w:ascii="GHEA Grapalat" w:eastAsia="Times New Roman" w:hAnsi="GHEA Grapalat" w:cs="Times New Roman"/>
                <w:color w:val="auto"/>
                <w:sz w:val="18"/>
                <w:szCs w:val="18"/>
                <w:lang w:val="hy-AM"/>
              </w:rPr>
              <w:t>.</w:t>
            </w:r>
            <w:r w:rsidR="00B97575" w:rsidRPr="000232DD">
              <w:rPr>
                <w:rFonts w:ascii="GHEA Grapalat" w:eastAsia="Times New Roman" w:hAnsi="GHEA Grapalat" w:cs="Times New Roman"/>
                <w:color w:val="auto"/>
                <w:sz w:val="18"/>
                <w:szCs w:val="18"/>
                <w:lang w:val="hy-AM"/>
              </w:rPr>
              <w:t>751</w:t>
            </w:r>
          </w:p>
        </w:tc>
      </w:tr>
      <w:tr w:rsidR="004C0C21" w:rsidRPr="000232DD" w14:paraId="47D20BD6" w14:textId="77777777" w:rsidTr="00280C7E">
        <w:trPr>
          <w:trHeight w:val="397"/>
        </w:trPr>
        <w:tc>
          <w:tcPr>
            <w:tcW w:w="6162" w:type="dxa"/>
            <w:gridSpan w:val="2"/>
            <w:shd w:val="clear" w:color="auto" w:fill="auto"/>
            <w:vAlign w:val="center"/>
          </w:tcPr>
          <w:p w14:paraId="4A902D54" w14:textId="77777777" w:rsidR="00280C7E" w:rsidRPr="000232DD" w:rsidRDefault="00280C7E" w:rsidP="00082769">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 xml:space="preserve">1 Չինական յուան </w:t>
            </w:r>
          </w:p>
        </w:tc>
        <w:tc>
          <w:tcPr>
            <w:tcW w:w="3564" w:type="dxa"/>
            <w:shd w:val="clear" w:color="auto" w:fill="auto"/>
            <w:vAlign w:val="center"/>
          </w:tcPr>
          <w:p w14:paraId="1827BEDE" w14:textId="2E1C0F22" w:rsidR="00280C7E" w:rsidRPr="000232DD" w:rsidRDefault="00280C7E" w:rsidP="00082769">
            <w:pPr>
              <w:spacing w:before="0" w:after="0" w:line="240" w:lineRule="auto"/>
              <w:ind w:right="-22"/>
              <w:jc w:val="center"/>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5</w:t>
            </w:r>
            <w:r w:rsidR="00B97575" w:rsidRPr="000232DD">
              <w:rPr>
                <w:rFonts w:ascii="GHEA Grapalat" w:eastAsia="Times New Roman" w:hAnsi="GHEA Grapalat" w:cs="Times New Roman"/>
                <w:color w:val="auto"/>
                <w:sz w:val="18"/>
                <w:szCs w:val="18"/>
              </w:rPr>
              <w:t>4.19</w:t>
            </w:r>
          </w:p>
        </w:tc>
      </w:tr>
      <w:tr w:rsidR="00280C7E" w:rsidRPr="000232DD" w14:paraId="1BBD8755" w14:textId="77777777" w:rsidTr="00280C7E">
        <w:trPr>
          <w:trHeight w:val="397"/>
        </w:trPr>
        <w:tc>
          <w:tcPr>
            <w:tcW w:w="6162" w:type="dxa"/>
            <w:gridSpan w:val="2"/>
            <w:shd w:val="clear" w:color="auto" w:fill="auto"/>
            <w:vAlign w:val="center"/>
          </w:tcPr>
          <w:p w14:paraId="601CEBA1" w14:textId="77777777" w:rsidR="00280C7E" w:rsidRPr="000232DD" w:rsidRDefault="00280C7E" w:rsidP="00082769">
            <w:pPr>
              <w:spacing w:before="0" w:after="0" w:line="240" w:lineRule="auto"/>
              <w:ind w:right="-22"/>
              <w:rPr>
                <w:rFonts w:ascii="GHEA Grapalat" w:eastAsia="Times New Roman" w:hAnsi="GHEA Grapalat" w:cs="Times New Roman"/>
                <w:color w:val="auto"/>
                <w:sz w:val="18"/>
                <w:szCs w:val="18"/>
                <w:lang w:val="hy-AM"/>
              </w:rPr>
            </w:pPr>
            <w:r w:rsidRPr="000232DD">
              <w:rPr>
                <w:rFonts w:ascii="GHEA Grapalat" w:eastAsia="Times New Roman" w:hAnsi="GHEA Grapalat" w:cs="Times New Roman"/>
                <w:color w:val="auto"/>
                <w:sz w:val="18"/>
                <w:szCs w:val="18"/>
                <w:lang w:val="hy-AM"/>
              </w:rPr>
              <w:t>1 ՀՓԻ</w:t>
            </w:r>
          </w:p>
        </w:tc>
        <w:tc>
          <w:tcPr>
            <w:tcW w:w="3564" w:type="dxa"/>
            <w:shd w:val="clear" w:color="auto" w:fill="auto"/>
            <w:vAlign w:val="center"/>
          </w:tcPr>
          <w:p w14:paraId="508865FD" w14:textId="0712F346" w:rsidR="00280C7E" w:rsidRPr="000232DD" w:rsidRDefault="00B97575" w:rsidP="00082769">
            <w:pPr>
              <w:spacing w:before="0" w:after="0" w:line="240" w:lineRule="auto"/>
              <w:ind w:right="-22"/>
              <w:jc w:val="center"/>
              <w:rPr>
                <w:rFonts w:ascii="GHEA Grapalat" w:eastAsia="Times New Roman" w:hAnsi="GHEA Grapalat" w:cs="Times New Roman"/>
                <w:color w:val="auto"/>
                <w:sz w:val="18"/>
                <w:szCs w:val="18"/>
                <w:lang w:val="hy-AM"/>
              </w:rPr>
            </w:pPr>
            <w:r w:rsidRPr="000232DD">
              <w:rPr>
                <w:rFonts w:ascii="GHEA Grapalat" w:eastAsia="Times New Roman" w:hAnsi="GHEA Grapalat" w:cs="Times New Roman"/>
                <w:color w:val="auto"/>
                <w:sz w:val="18"/>
                <w:szCs w:val="18"/>
                <w:lang w:val="hy-AM"/>
              </w:rPr>
              <w:t>498</w:t>
            </w:r>
            <w:r w:rsidR="00280C7E" w:rsidRPr="000232DD">
              <w:rPr>
                <w:rFonts w:ascii="GHEA Grapalat" w:eastAsia="Times New Roman" w:hAnsi="GHEA Grapalat" w:cs="Times New Roman"/>
                <w:color w:val="auto"/>
                <w:sz w:val="18"/>
                <w:szCs w:val="18"/>
                <w:lang w:val="hy-AM"/>
              </w:rPr>
              <w:t>.6</w:t>
            </w:r>
            <w:r w:rsidRPr="000232DD">
              <w:rPr>
                <w:rFonts w:ascii="GHEA Grapalat" w:eastAsia="Times New Roman" w:hAnsi="GHEA Grapalat" w:cs="Times New Roman"/>
                <w:color w:val="auto"/>
                <w:sz w:val="18"/>
                <w:szCs w:val="18"/>
                <w:lang w:val="hy-AM"/>
              </w:rPr>
              <w:t>3</w:t>
            </w:r>
          </w:p>
        </w:tc>
      </w:tr>
    </w:tbl>
    <w:p w14:paraId="50FD9B59" w14:textId="77777777" w:rsidR="00280C7E" w:rsidRPr="000232DD" w:rsidRDefault="00280C7E" w:rsidP="00082769">
      <w:pPr>
        <w:ind w:right="-22"/>
        <w:rPr>
          <w:rFonts w:ascii="GHEA Grapalat" w:eastAsia="Times New Roman" w:hAnsi="GHEA Grapalat" w:cs="Times New Roman"/>
          <w:color w:val="auto"/>
        </w:rPr>
      </w:pPr>
    </w:p>
    <w:p w14:paraId="2C3D8C83" w14:textId="77777777" w:rsidR="00280C7E" w:rsidRPr="00F53DDF" w:rsidRDefault="00280C7E" w:rsidP="00082769">
      <w:pPr>
        <w:pStyle w:val="TOC4"/>
        <w:ind w:right="-22"/>
        <w:rPr>
          <w:rFonts w:eastAsia="Times New Roman"/>
          <w:color w:val="ADADAD" w:themeColor="background2" w:themeShade="BF"/>
          <w:lang w:val="hy-AM"/>
        </w:rPr>
      </w:pPr>
      <w:r w:rsidRPr="00F53DDF">
        <w:rPr>
          <w:rFonts w:eastAsia="Times New Roman"/>
          <w:color w:val="ADADAD" w:themeColor="background2" w:themeShade="BF"/>
          <w:lang w:val="hy-AM"/>
        </w:rPr>
        <w:t>ՊԵՏԱԿԱՆ ԲՅՈՒՋԵԻ ԴԵՖԻՑԻՏԻ ՖԻՆԱՆՍԱՎՈՐՄԱՆ ԱՂԲՅՈՒՐՆԵՐԸ</w:t>
      </w:r>
      <w:bookmarkEnd w:id="329"/>
    </w:p>
    <w:p w14:paraId="504435A3" w14:textId="7CE2761D" w:rsidR="00280C7E" w:rsidRPr="000232DD" w:rsidRDefault="00280C7E" w:rsidP="00082769">
      <w:pPr>
        <w:ind w:right="-22"/>
        <w:jc w:val="both"/>
        <w:rPr>
          <w:rFonts w:ascii="GHEA Grapalat" w:eastAsia="Times New Roman" w:hAnsi="GHEA Grapalat" w:cs="Times New Roman"/>
          <w:color w:val="auto"/>
          <w:szCs w:val="20"/>
          <w:lang w:val="hy-AM"/>
        </w:rPr>
      </w:pPr>
      <w:bookmarkStart w:id="338" w:name="_Toc83728697"/>
      <w:bookmarkEnd w:id="330"/>
      <w:bookmarkEnd w:id="331"/>
      <w:r w:rsidRPr="000232DD">
        <w:rPr>
          <w:rFonts w:ascii="GHEA Grapalat" w:eastAsia="Times New Roman" w:hAnsi="GHEA Grapalat" w:cs="Times New Roman"/>
          <w:color w:val="auto"/>
          <w:szCs w:val="20"/>
          <w:lang w:val="hy-AM"/>
        </w:rPr>
        <w:t>Պետական  բյուջեի ձևավորումը 202</w:t>
      </w:r>
      <w:r w:rsidR="000D20D1" w:rsidRPr="000232DD">
        <w:rPr>
          <w:rFonts w:ascii="GHEA Grapalat" w:eastAsia="Times New Roman" w:hAnsi="GHEA Grapalat" w:cs="Times New Roman"/>
          <w:color w:val="auto"/>
          <w:szCs w:val="20"/>
          <w:lang w:val="hy-AM"/>
        </w:rPr>
        <w:t>7</w:t>
      </w:r>
      <w:r w:rsidRPr="000232DD">
        <w:rPr>
          <w:rFonts w:ascii="GHEA Grapalat" w:eastAsia="Times New Roman" w:hAnsi="GHEA Grapalat" w:cs="Times New Roman"/>
          <w:color w:val="auto"/>
          <w:szCs w:val="20"/>
          <w:lang w:val="hy-AM"/>
        </w:rPr>
        <w:t>-202</w:t>
      </w:r>
      <w:r w:rsidR="000D20D1" w:rsidRPr="000232DD">
        <w:rPr>
          <w:rFonts w:ascii="GHEA Grapalat" w:eastAsia="Times New Roman" w:hAnsi="GHEA Grapalat" w:cs="Times New Roman"/>
          <w:color w:val="auto"/>
          <w:szCs w:val="20"/>
          <w:lang w:val="hy-AM"/>
        </w:rPr>
        <w:t>9</w:t>
      </w:r>
      <w:r w:rsidRPr="000232DD">
        <w:rPr>
          <w:rFonts w:ascii="GHEA Grapalat" w:eastAsia="Times New Roman" w:hAnsi="GHEA Grapalat" w:cs="Times New Roman"/>
          <w:color w:val="auto"/>
          <w:szCs w:val="20"/>
          <w:lang w:val="hy-AM"/>
        </w:rPr>
        <w:t xml:space="preserve"> թվականներին շարունակելու է ընթանալ բյուջե</w:t>
      </w:r>
      <w:r w:rsidRPr="000232DD">
        <w:rPr>
          <w:rFonts w:ascii="GHEA Grapalat" w:eastAsia="Times New Roman" w:hAnsi="GHEA Grapalat" w:cs="Times New Roman"/>
          <w:color w:val="auto"/>
          <w:szCs w:val="20"/>
          <w:lang w:val="hy-AM"/>
        </w:rPr>
        <w:softHyphen/>
        <w:t>տա</w:t>
      </w:r>
      <w:r w:rsidRPr="000232DD">
        <w:rPr>
          <w:rFonts w:ascii="GHEA Grapalat" w:eastAsia="Times New Roman" w:hAnsi="GHEA Grapalat" w:cs="Times New Roman"/>
          <w:color w:val="auto"/>
          <w:szCs w:val="20"/>
          <w:lang w:val="hy-AM"/>
        </w:rPr>
        <w:softHyphen/>
        <w:t>յին եկա</w:t>
      </w:r>
      <w:r w:rsidRPr="000232DD">
        <w:rPr>
          <w:rFonts w:ascii="GHEA Grapalat" w:eastAsia="Times New Roman" w:hAnsi="GHEA Grapalat" w:cs="Times New Roman"/>
          <w:color w:val="auto"/>
          <w:szCs w:val="20"/>
          <w:lang w:val="hy-AM"/>
        </w:rPr>
        <w:softHyphen/>
        <w:t>մուտների նկատ</w:t>
      </w:r>
      <w:r w:rsidRPr="000232DD">
        <w:rPr>
          <w:rFonts w:ascii="GHEA Grapalat" w:eastAsia="Times New Roman" w:hAnsi="GHEA Grapalat" w:cs="Times New Roman"/>
          <w:color w:val="auto"/>
          <w:szCs w:val="20"/>
          <w:lang w:val="hy-AM"/>
        </w:rPr>
        <w:softHyphen/>
        <w:t>մամբ ծախսերի գերազանցմամբ, ընդ որում՝ բյուջետային դեֆիցի</w:t>
      </w:r>
      <w:r w:rsidRPr="000232DD">
        <w:rPr>
          <w:rFonts w:ascii="GHEA Grapalat" w:eastAsia="Times New Roman" w:hAnsi="GHEA Grapalat" w:cs="Times New Roman"/>
          <w:color w:val="auto"/>
          <w:szCs w:val="20"/>
          <w:lang w:val="hy-AM"/>
        </w:rPr>
        <w:softHyphen/>
        <w:t>տի ֆինան</w:t>
      </w:r>
      <w:r w:rsidRPr="000232DD">
        <w:rPr>
          <w:rFonts w:ascii="GHEA Grapalat" w:eastAsia="Times New Roman" w:hAnsi="GHEA Grapalat" w:cs="Times New Roman"/>
          <w:color w:val="auto"/>
          <w:szCs w:val="20"/>
          <w:lang w:val="hy-AM"/>
        </w:rPr>
        <w:softHyphen/>
      </w:r>
      <w:r w:rsidRPr="000232DD">
        <w:rPr>
          <w:rFonts w:ascii="GHEA Grapalat" w:eastAsia="Times New Roman" w:hAnsi="GHEA Grapalat" w:cs="Times New Roman"/>
          <w:color w:val="auto"/>
          <w:szCs w:val="20"/>
          <w:lang w:val="hy-AM"/>
        </w:rPr>
        <w:softHyphen/>
        <w:t>սա</w:t>
      </w:r>
      <w:r w:rsidRPr="000232DD">
        <w:rPr>
          <w:rFonts w:ascii="GHEA Grapalat" w:eastAsia="Times New Roman" w:hAnsi="GHEA Grapalat" w:cs="Times New Roman"/>
          <w:color w:val="auto"/>
          <w:szCs w:val="20"/>
          <w:lang w:val="hy-AM"/>
        </w:rPr>
        <w:softHyphen/>
        <w:t>վորման համար միջոց</w:t>
      </w:r>
      <w:r w:rsidRPr="000232DD">
        <w:rPr>
          <w:rFonts w:ascii="GHEA Grapalat" w:eastAsia="Times New Roman" w:hAnsi="GHEA Grapalat" w:cs="Times New Roman"/>
          <w:color w:val="auto"/>
          <w:szCs w:val="20"/>
          <w:lang w:val="hy-AM"/>
        </w:rPr>
        <w:softHyphen/>
        <w:t>ների ներգրավումն իրականացվելու է ինչպես ներքին, այն</w:t>
      </w:r>
      <w:r w:rsidRPr="000232DD">
        <w:rPr>
          <w:rFonts w:ascii="GHEA Grapalat" w:eastAsia="Times New Roman" w:hAnsi="GHEA Grapalat" w:cs="Times New Roman"/>
          <w:color w:val="auto"/>
          <w:szCs w:val="20"/>
          <w:lang w:val="hy-AM"/>
        </w:rPr>
        <w:softHyphen/>
        <w:t>պես էլ  արտա</w:t>
      </w:r>
      <w:r w:rsidRPr="000232DD">
        <w:rPr>
          <w:rFonts w:ascii="GHEA Grapalat" w:eastAsia="Times New Roman" w:hAnsi="GHEA Grapalat" w:cs="Times New Roman"/>
          <w:color w:val="auto"/>
          <w:szCs w:val="20"/>
          <w:lang w:val="hy-AM"/>
        </w:rPr>
        <w:softHyphen/>
        <w:t>քին աղբյու</w:t>
      </w:r>
      <w:r w:rsidR="004D300C">
        <w:rPr>
          <w:rFonts w:ascii="GHEA Grapalat" w:eastAsia="Times New Roman" w:hAnsi="GHEA Grapalat" w:cs="Times New Roman"/>
          <w:color w:val="auto"/>
          <w:szCs w:val="20"/>
          <w:lang w:val="hy-AM"/>
        </w:rPr>
        <w:t>ր</w:t>
      </w:r>
      <w:r w:rsidR="004D300C">
        <w:rPr>
          <w:rFonts w:ascii="GHEA Grapalat" w:eastAsia="Times New Roman" w:hAnsi="GHEA Grapalat" w:cs="Times New Roman"/>
          <w:color w:val="auto"/>
          <w:szCs w:val="20"/>
          <w:lang w:val="hy-AM"/>
        </w:rPr>
        <w:softHyphen/>
        <w:t>ներից, համապատասխանաբար` 187.5 մլրդ դրամի և 280.7</w:t>
      </w:r>
      <w:r w:rsidRPr="000232DD">
        <w:rPr>
          <w:rFonts w:ascii="GHEA Grapalat" w:eastAsia="Times New Roman" w:hAnsi="GHEA Grapalat" w:cs="Times New Roman"/>
          <w:color w:val="auto"/>
          <w:szCs w:val="20"/>
          <w:lang w:val="hy-AM"/>
        </w:rPr>
        <w:t xml:space="preserve"> մլրդ դրամի չափով 202</w:t>
      </w:r>
      <w:r w:rsidR="000D20D1" w:rsidRPr="000232DD">
        <w:rPr>
          <w:rFonts w:ascii="GHEA Grapalat" w:eastAsia="Times New Roman" w:hAnsi="GHEA Grapalat" w:cs="Times New Roman"/>
          <w:color w:val="auto"/>
          <w:szCs w:val="20"/>
          <w:lang w:val="hy-AM"/>
        </w:rPr>
        <w:t>7</w:t>
      </w:r>
      <w:r w:rsidR="004D300C">
        <w:rPr>
          <w:rFonts w:ascii="GHEA Grapalat" w:eastAsia="Times New Roman" w:hAnsi="GHEA Grapalat" w:cs="Times New Roman"/>
          <w:color w:val="auto"/>
          <w:szCs w:val="20"/>
          <w:lang w:val="hy-AM"/>
        </w:rPr>
        <w:t xml:space="preserve"> թվականին, 180.2 մլրդ դրամի և 234.0</w:t>
      </w:r>
      <w:r w:rsidRPr="000232DD">
        <w:rPr>
          <w:rFonts w:ascii="GHEA Grapalat" w:eastAsia="Times New Roman" w:hAnsi="GHEA Grapalat" w:cs="Times New Roman"/>
          <w:color w:val="auto"/>
          <w:szCs w:val="20"/>
          <w:lang w:val="hy-AM"/>
        </w:rPr>
        <w:t xml:space="preserve"> մլրդ դրամի չափով 202</w:t>
      </w:r>
      <w:r w:rsidR="000D20D1" w:rsidRPr="000232DD">
        <w:rPr>
          <w:rFonts w:ascii="GHEA Grapalat" w:eastAsia="Times New Roman" w:hAnsi="GHEA Grapalat" w:cs="Times New Roman"/>
          <w:color w:val="auto"/>
          <w:szCs w:val="20"/>
          <w:lang w:val="hy-AM"/>
        </w:rPr>
        <w:t>8</w:t>
      </w:r>
      <w:r w:rsidR="004D300C">
        <w:rPr>
          <w:rFonts w:ascii="GHEA Grapalat" w:eastAsia="Times New Roman" w:hAnsi="GHEA Grapalat" w:cs="Times New Roman"/>
          <w:color w:val="auto"/>
          <w:szCs w:val="20"/>
          <w:lang w:val="hy-AM"/>
        </w:rPr>
        <w:t xml:space="preserve"> թվականին, 132.9 մլրդ դրամի և 158.5</w:t>
      </w:r>
      <w:r w:rsidRPr="000232DD">
        <w:rPr>
          <w:rFonts w:ascii="GHEA Grapalat" w:eastAsia="Times New Roman" w:hAnsi="GHEA Grapalat" w:cs="Times New Roman"/>
          <w:color w:val="auto"/>
          <w:szCs w:val="20"/>
          <w:lang w:val="hy-AM"/>
        </w:rPr>
        <w:t xml:space="preserve"> մլրդ դրամի չափով 202</w:t>
      </w:r>
      <w:r w:rsidR="000D20D1" w:rsidRPr="000232DD">
        <w:rPr>
          <w:rFonts w:ascii="GHEA Grapalat" w:eastAsia="Times New Roman" w:hAnsi="GHEA Grapalat" w:cs="Times New Roman"/>
          <w:color w:val="auto"/>
          <w:szCs w:val="20"/>
          <w:lang w:val="hy-AM"/>
        </w:rPr>
        <w:t>9</w:t>
      </w:r>
      <w:r w:rsidRPr="000232DD">
        <w:rPr>
          <w:rFonts w:ascii="GHEA Grapalat" w:eastAsia="Times New Roman" w:hAnsi="GHEA Grapalat" w:cs="Times New Roman"/>
          <w:color w:val="auto"/>
          <w:szCs w:val="20"/>
          <w:lang w:val="hy-AM"/>
        </w:rPr>
        <w:t xml:space="preserve"> թվականին: </w:t>
      </w:r>
    </w:p>
    <w:p w14:paraId="63CA82F5" w14:textId="62C0C5BD" w:rsidR="00280C7E" w:rsidRPr="000232DD" w:rsidRDefault="00280C7E"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Ստորև ներկայացվում են ՀՀ 202</w:t>
      </w:r>
      <w:r w:rsidR="000D20D1" w:rsidRPr="000232DD">
        <w:rPr>
          <w:rFonts w:ascii="GHEA Grapalat" w:eastAsia="Times New Roman" w:hAnsi="GHEA Grapalat" w:cs="Times New Roman"/>
          <w:color w:val="auto"/>
          <w:szCs w:val="20"/>
          <w:lang w:val="hy-AM"/>
        </w:rPr>
        <w:t>7</w:t>
      </w:r>
      <w:r w:rsidRPr="000232DD">
        <w:rPr>
          <w:rFonts w:ascii="GHEA Grapalat" w:eastAsia="Times New Roman" w:hAnsi="GHEA Grapalat" w:cs="Times New Roman"/>
          <w:color w:val="auto"/>
          <w:szCs w:val="20"/>
          <w:lang w:val="hy-AM"/>
        </w:rPr>
        <w:t>-202</w:t>
      </w:r>
      <w:r w:rsidR="000D20D1" w:rsidRPr="000232DD">
        <w:rPr>
          <w:rFonts w:ascii="GHEA Grapalat" w:eastAsia="Times New Roman" w:hAnsi="GHEA Grapalat" w:cs="Times New Roman"/>
          <w:color w:val="auto"/>
          <w:szCs w:val="20"/>
          <w:lang w:val="hy-AM"/>
        </w:rPr>
        <w:t>9</w:t>
      </w:r>
      <w:r w:rsidRPr="000232DD">
        <w:rPr>
          <w:rFonts w:ascii="GHEA Grapalat" w:eastAsia="Times New Roman" w:hAnsi="GHEA Grapalat" w:cs="Times New Roman"/>
          <w:color w:val="auto"/>
          <w:szCs w:val="20"/>
          <w:lang w:val="hy-AM"/>
        </w:rPr>
        <w:t xml:space="preserve"> թվականների պետական բյուջեների դեֆիցիտի ֆինան</w:t>
      </w:r>
      <w:r w:rsidRPr="000232DD">
        <w:rPr>
          <w:rFonts w:ascii="GHEA Grapalat" w:eastAsia="Times New Roman" w:hAnsi="GHEA Grapalat" w:cs="Times New Roman"/>
          <w:color w:val="auto"/>
          <w:szCs w:val="20"/>
          <w:lang w:val="hy-AM"/>
        </w:rPr>
        <w:softHyphen/>
        <w:t>սա</w:t>
      </w:r>
      <w:r w:rsidRPr="000232DD">
        <w:rPr>
          <w:rFonts w:ascii="GHEA Grapalat" w:eastAsia="Times New Roman" w:hAnsi="GHEA Grapalat" w:cs="Times New Roman"/>
          <w:color w:val="auto"/>
          <w:szCs w:val="20"/>
          <w:lang w:val="hy-AM"/>
        </w:rPr>
        <w:softHyphen/>
      </w:r>
      <w:r w:rsidRPr="000232DD">
        <w:rPr>
          <w:rFonts w:ascii="GHEA Grapalat" w:eastAsia="Times New Roman" w:hAnsi="GHEA Grapalat" w:cs="Times New Roman"/>
          <w:color w:val="auto"/>
          <w:szCs w:val="20"/>
          <w:lang w:val="hy-AM"/>
        </w:rPr>
        <w:softHyphen/>
        <w:t>վորման աղբյուրները:</w:t>
      </w:r>
    </w:p>
    <w:p w14:paraId="6B0EDB8D" w14:textId="2CA15927" w:rsidR="00280C7E" w:rsidRPr="00E73A9A" w:rsidRDefault="00280C7E" w:rsidP="00E73A9A">
      <w:pPr>
        <w:pStyle w:val="Charts"/>
        <w:ind w:right="-22"/>
        <w:rPr>
          <w:b w:val="0"/>
          <w:bCs/>
          <w:color w:val="auto"/>
          <w:sz w:val="20"/>
          <w:szCs w:val="18"/>
        </w:rPr>
      </w:pPr>
      <w:bookmarkStart w:id="339" w:name="_Toc115283829"/>
      <w:bookmarkStart w:id="340" w:name="_Toc178350613"/>
      <w:bookmarkStart w:id="341" w:name="_Toc178612138"/>
      <w:bookmarkStart w:id="342" w:name="_Toc184110764"/>
      <w:r w:rsidRPr="00E73A9A">
        <w:rPr>
          <w:b w:val="0"/>
          <w:bCs/>
          <w:color w:val="auto"/>
          <w:sz w:val="20"/>
          <w:szCs w:val="18"/>
        </w:rPr>
        <w:t>Աղյուսակ 4</w:t>
      </w:r>
      <w:r w:rsidRPr="00E73A9A">
        <w:rPr>
          <w:rFonts w:ascii="Cambria Math" w:hAnsi="Cambria Math" w:cs="Cambria Math"/>
          <w:b w:val="0"/>
          <w:bCs/>
          <w:color w:val="auto"/>
          <w:sz w:val="20"/>
          <w:szCs w:val="18"/>
        </w:rPr>
        <w:t>․</w:t>
      </w:r>
      <w:r w:rsidRPr="00E73A9A">
        <w:rPr>
          <w:b w:val="0"/>
          <w:bCs/>
          <w:color w:val="auto"/>
          <w:sz w:val="20"/>
          <w:szCs w:val="18"/>
        </w:rPr>
        <w:t xml:space="preserve"> ՀՀ 202</w:t>
      </w:r>
      <w:r w:rsidR="00DE6A4A" w:rsidRPr="00E73A9A">
        <w:rPr>
          <w:b w:val="0"/>
          <w:bCs/>
          <w:color w:val="auto"/>
          <w:sz w:val="20"/>
          <w:szCs w:val="18"/>
        </w:rPr>
        <w:t>3</w:t>
      </w:r>
      <w:r w:rsidRPr="00E73A9A">
        <w:rPr>
          <w:b w:val="0"/>
          <w:bCs/>
          <w:color w:val="auto"/>
          <w:sz w:val="20"/>
          <w:szCs w:val="18"/>
        </w:rPr>
        <w:t>-202</w:t>
      </w:r>
      <w:r w:rsidR="00DE6A4A" w:rsidRPr="00E73A9A">
        <w:rPr>
          <w:b w:val="0"/>
          <w:bCs/>
          <w:color w:val="auto"/>
          <w:sz w:val="20"/>
          <w:szCs w:val="18"/>
        </w:rPr>
        <w:t>9</w:t>
      </w:r>
      <w:r w:rsidRPr="00E73A9A">
        <w:rPr>
          <w:b w:val="0"/>
          <w:bCs/>
          <w:color w:val="auto"/>
          <w:sz w:val="20"/>
          <w:szCs w:val="18"/>
        </w:rPr>
        <w:t>թթ. պետական բյուջեների դեֆիցիտի ֆինանսավորման աղբյուրները, մլրդ դրամ</w:t>
      </w:r>
      <w:bookmarkEnd w:id="338"/>
      <w:bookmarkEnd w:id="339"/>
      <w:bookmarkEnd w:id="340"/>
      <w:bookmarkEnd w:id="341"/>
      <w:bookmarkEnd w:id="342"/>
    </w:p>
    <w:tbl>
      <w:tblPr>
        <w:tblW w:w="5000" w:type="pct"/>
        <w:tblBorders>
          <w:top w:val="single" w:sz="8" w:space="0" w:color="E1E1E3"/>
          <w:left w:val="single" w:sz="8" w:space="0" w:color="E1E1E3"/>
          <w:bottom w:val="single" w:sz="8" w:space="0" w:color="E1E1E3"/>
          <w:right w:val="single" w:sz="8" w:space="0" w:color="E1E1E3"/>
          <w:insideH w:val="single" w:sz="8" w:space="0" w:color="E1E1E3"/>
          <w:insideV w:val="single" w:sz="8" w:space="0" w:color="E1E1E3"/>
        </w:tblBorders>
        <w:tblLook w:val="04A0" w:firstRow="1" w:lastRow="0" w:firstColumn="1" w:lastColumn="0" w:noHBand="0" w:noVBand="1"/>
      </w:tblPr>
      <w:tblGrid>
        <w:gridCol w:w="2559"/>
        <w:gridCol w:w="952"/>
        <w:gridCol w:w="1140"/>
        <w:gridCol w:w="1051"/>
        <w:gridCol w:w="1012"/>
        <w:gridCol w:w="1204"/>
        <w:gridCol w:w="1204"/>
        <w:gridCol w:w="1204"/>
      </w:tblGrid>
      <w:tr w:rsidR="004C0C21" w:rsidRPr="000232DD" w14:paraId="2234F751" w14:textId="77777777" w:rsidTr="006422CA">
        <w:trPr>
          <w:trHeight w:val="360"/>
        </w:trPr>
        <w:tc>
          <w:tcPr>
            <w:tcW w:w="1239" w:type="pct"/>
            <w:vMerge w:val="restart"/>
            <w:shd w:val="clear" w:color="auto" w:fill="DAE9F7" w:themeFill="text2" w:themeFillTint="1A"/>
            <w:vAlign w:val="center"/>
            <w:hideMark/>
          </w:tcPr>
          <w:p w14:paraId="3409954D" w14:textId="77777777" w:rsidR="00280C7E" w:rsidRPr="000232DD" w:rsidRDefault="00280C7E" w:rsidP="00082769">
            <w:pPr>
              <w:spacing w:before="0" w:after="0" w:line="240" w:lineRule="auto"/>
              <w:ind w:right="-22"/>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Ցուցանիշներ</w:t>
            </w:r>
          </w:p>
        </w:tc>
        <w:tc>
          <w:tcPr>
            <w:tcW w:w="1522" w:type="pct"/>
            <w:gridSpan w:val="3"/>
            <w:shd w:val="clear" w:color="auto" w:fill="DAE9F7" w:themeFill="text2" w:themeFillTint="1A"/>
            <w:noWrap/>
            <w:vAlign w:val="center"/>
            <w:hideMark/>
          </w:tcPr>
          <w:p w14:paraId="6EB18628"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Փաստ</w:t>
            </w:r>
          </w:p>
        </w:tc>
        <w:tc>
          <w:tcPr>
            <w:tcW w:w="490" w:type="pct"/>
            <w:shd w:val="clear" w:color="auto" w:fill="DAE9F7" w:themeFill="text2" w:themeFillTint="1A"/>
            <w:noWrap/>
            <w:vAlign w:val="center"/>
            <w:hideMark/>
          </w:tcPr>
          <w:p w14:paraId="2B74AEE8"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Բյուջե</w:t>
            </w:r>
          </w:p>
        </w:tc>
        <w:tc>
          <w:tcPr>
            <w:tcW w:w="1749" w:type="pct"/>
            <w:gridSpan w:val="3"/>
            <w:shd w:val="clear" w:color="auto" w:fill="DAE9F7" w:themeFill="text2" w:themeFillTint="1A"/>
          </w:tcPr>
          <w:p w14:paraId="3666D638" w14:textId="7777777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lang w:val="hy-AM"/>
              </w:rPr>
            </w:pPr>
            <w:r w:rsidRPr="000232DD">
              <w:rPr>
                <w:rFonts w:ascii="GHEA Grapalat" w:eastAsia="Times New Roman" w:hAnsi="GHEA Grapalat" w:cs="Times New Roman"/>
                <w:b/>
                <w:color w:val="auto"/>
                <w:sz w:val="18"/>
                <w:szCs w:val="18"/>
                <w:lang w:val="hy-AM"/>
              </w:rPr>
              <w:t>Ծ</w:t>
            </w:r>
            <w:r w:rsidRPr="000232DD">
              <w:rPr>
                <w:rFonts w:ascii="GHEA Grapalat" w:eastAsia="Times New Roman" w:hAnsi="GHEA Grapalat" w:cs="Times New Roman"/>
                <w:b/>
                <w:color w:val="auto"/>
                <w:sz w:val="18"/>
                <w:szCs w:val="18"/>
              </w:rPr>
              <w:t>րագիր</w:t>
            </w:r>
          </w:p>
        </w:tc>
      </w:tr>
      <w:tr w:rsidR="004C0C21" w:rsidRPr="000232DD" w14:paraId="2D2F74BA" w14:textId="77777777" w:rsidTr="006422CA">
        <w:trPr>
          <w:trHeight w:val="360"/>
        </w:trPr>
        <w:tc>
          <w:tcPr>
            <w:tcW w:w="1239" w:type="pct"/>
            <w:vMerge/>
            <w:shd w:val="clear" w:color="auto" w:fill="DAE9F7" w:themeFill="text2" w:themeFillTint="1A"/>
            <w:vAlign w:val="center"/>
            <w:hideMark/>
          </w:tcPr>
          <w:p w14:paraId="65009126" w14:textId="77777777" w:rsidR="00280C7E" w:rsidRPr="000232DD" w:rsidRDefault="00280C7E" w:rsidP="00082769">
            <w:pPr>
              <w:spacing w:before="0" w:after="0" w:line="240" w:lineRule="auto"/>
              <w:ind w:right="-22"/>
              <w:rPr>
                <w:rFonts w:ascii="GHEA Grapalat" w:eastAsia="Times New Roman" w:hAnsi="GHEA Grapalat" w:cs="Times New Roman"/>
                <w:b/>
                <w:color w:val="auto"/>
                <w:sz w:val="18"/>
                <w:szCs w:val="18"/>
              </w:rPr>
            </w:pPr>
          </w:p>
        </w:tc>
        <w:tc>
          <w:tcPr>
            <w:tcW w:w="461" w:type="pct"/>
            <w:shd w:val="clear" w:color="auto" w:fill="DAE9F7" w:themeFill="text2" w:themeFillTint="1A"/>
            <w:noWrap/>
            <w:vAlign w:val="center"/>
            <w:hideMark/>
          </w:tcPr>
          <w:p w14:paraId="61CD5DE2" w14:textId="0C2F0098"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20</w:t>
            </w:r>
            <w:r w:rsidR="00DE6A4A">
              <w:rPr>
                <w:rFonts w:ascii="GHEA Grapalat" w:eastAsia="Times New Roman" w:hAnsi="GHEA Grapalat" w:cs="Times New Roman"/>
                <w:b/>
                <w:color w:val="auto"/>
                <w:sz w:val="18"/>
                <w:szCs w:val="18"/>
              </w:rPr>
              <w:t>23</w:t>
            </w:r>
          </w:p>
        </w:tc>
        <w:tc>
          <w:tcPr>
            <w:tcW w:w="552" w:type="pct"/>
            <w:shd w:val="clear" w:color="auto" w:fill="DAE9F7" w:themeFill="text2" w:themeFillTint="1A"/>
            <w:noWrap/>
            <w:vAlign w:val="center"/>
            <w:hideMark/>
          </w:tcPr>
          <w:p w14:paraId="1E978357" w14:textId="00164471"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202</w:t>
            </w:r>
            <w:r w:rsidR="00DE6A4A">
              <w:rPr>
                <w:rFonts w:ascii="GHEA Grapalat" w:eastAsia="Times New Roman" w:hAnsi="GHEA Grapalat" w:cs="Times New Roman"/>
                <w:b/>
                <w:color w:val="auto"/>
                <w:sz w:val="18"/>
                <w:szCs w:val="18"/>
              </w:rPr>
              <w:t>4</w:t>
            </w:r>
          </w:p>
        </w:tc>
        <w:tc>
          <w:tcPr>
            <w:tcW w:w="509" w:type="pct"/>
            <w:shd w:val="clear" w:color="auto" w:fill="DAE9F7" w:themeFill="text2" w:themeFillTint="1A"/>
            <w:noWrap/>
            <w:vAlign w:val="center"/>
            <w:hideMark/>
          </w:tcPr>
          <w:p w14:paraId="35966B16" w14:textId="193B9ABB"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202</w:t>
            </w:r>
            <w:r w:rsidR="00DE6A4A">
              <w:rPr>
                <w:rFonts w:ascii="GHEA Grapalat" w:eastAsia="Times New Roman" w:hAnsi="GHEA Grapalat" w:cs="Times New Roman"/>
                <w:b/>
                <w:color w:val="auto"/>
                <w:sz w:val="18"/>
                <w:szCs w:val="18"/>
              </w:rPr>
              <w:t>5</w:t>
            </w:r>
          </w:p>
        </w:tc>
        <w:tc>
          <w:tcPr>
            <w:tcW w:w="490" w:type="pct"/>
            <w:shd w:val="clear" w:color="auto" w:fill="DAE9F7" w:themeFill="text2" w:themeFillTint="1A"/>
            <w:noWrap/>
            <w:vAlign w:val="center"/>
            <w:hideMark/>
          </w:tcPr>
          <w:p w14:paraId="6696F398" w14:textId="3DCCCAEF"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202</w:t>
            </w:r>
            <w:r w:rsidR="00DE6A4A">
              <w:rPr>
                <w:rFonts w:ascii="GHEA Grapalat" w:eastAsia="Times New Roman" w:hAnsi="GHEA Grapalat" w:cs="Times New Roman"/>
                <w:b/>
                <w:color w:val="auto"/>
                <w:sz w:val="18"/>
                <w:szCs w:val="18"/>
              </w:rPr>
              <w:t>6</w:t>
            </w:r>
          </w:p>
        </w:tc>
        <w:tc>
          <w:tcPr>
            <w:tcW w:w="583" w:type="pct"/>
            <w:shd w:val="clear" w:color="auto" w:fill="DAE9F7" w:themeFill="text2" w:themeFillTint="1A"/>
            <w:vAlign w:val="center"/>
          </w:tcPr>
          <w:p w14:paraId="480C0ECC" w14:textId="2116B1C7"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202</w:t>
            </w:r>
            <w:r w:rsidR="00DE6A4A">
              <w:rPr>
                <w:rFonts w:ascii="GHEA Grapalat" w:eastAsia="Times New Roman" w:hAnsi="GHEA Grapalat" w:cs="Times New Roman"/>
                <w:b/>
                <w:color w:val="auto"/>
                <w:sz w:val="18"/>
                <w:szCs w:val="18"/>
              </w:rPr>
              <w:t>7</w:t>
            </w:r>
          </w:p>
        </w:tc>
        <w:tc>
          <w:tcPr>
            <w:tcW w:w="583" w:type="pct"/>
            <w:shd w:val="clear" w:color="auto" w:fill="DAE9F7" w:themeFill="text2" w:themeFillTint="1A"/>
            <w:vAlign w:val="center"/>
          </w:tcPr>
          <w:p w14:paraId="11A07643" w14:textId="1736FA71"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lang w:val="hy-AM"/>
              </w:rPr>
            </w:pPr>
            <w:r w:rsidRPr="000232DD">
              <w:rPr>
                <w:rFonts w:ascii="GHEA Grapalat" w:eastAsia="Times New Roman" w:hAnsi="GHEA Grapalat" w:cs="Times New Roman"/>
                <w:b/>
                <w:color w:val="auto"/>
                <w:sz w:val="18"/>
                <w:szCs w:val="18"/>
              </w:rPr>
              <w:t>202</w:t>
            </w:r>
            <w:r w:rsidR="00DE6A4A">
              <w:rPr>
                <w:rFonts w:ascii="GHEA Grapalat" w:eastAsia="Times New Roman" w:hAnsi="GHEA Grapalat" w:cs="Times New Roman"/>
                <w:b/>
                <w:color w:val="auto"/>
                <w:sz w:val="18"/>
                <w:szCs w:val="18"/>
              </w:rPr>
              <w:t>8</w:t>
            </w:r>
          </w:p>
        </w:tc>
        <w:tc>
          <w:tcPr>
            <w:tcW w:w="583" w:type="pct"/>
            <w:shd w:val="clear" w:color="auto" w:fill="DAE9F7" w:themeFill="text2" w:themeFillTint="1A"/>
            <w:vAlign w:val="center"/>
            <w:hideMark/>
          </w:tcPr>
          <w:p w14:paraId="53E5AD20" w14:textId="3613FE05" w:rsidR="00280C7E" w:rsidRPr="000232DD" w:rsidRDefault="00280C7E" w:rsidP="00082769">
            <w:pPr>
              <w:spacing w:before="0" w:after="0" w:line="240" w:lineRule="auto"/>
              <w:ind w:right="-22"/>
              <w:jc w:val="center"/>
              <w:rPr>
                <w:rFonts w:ascii="GHEA Grapalat" w:eastAsia="Times New Roman" w:hAnsi="GHEA Grapalat" w:cs="Times New Roman"/>
                <w:b/>
                <w:color w:val="auto"/>
                <w:sz w:val="18"/>
                <w:szCs w:val="18"/>
                <w:lang w:eastAsia="ru-RU"/>
              </w:rPr>
            </w:pPr>
            <w:r w:rsidRPr="000232DD">
              <w:rPr>
                <w:rFonts w:ascii="GHEA Grapalat" w:eastAsia="Times New Roman" w:hAnsi="GHEA Grapalat" w:cs="Times New Roman"/>
                <w:b/>
                <w:color w:val="auto"/>
                <w:sz w:val="18"/>
                <w:szCs w:val="18"/>
              </w:rPr>
              <w:t>202</w:t>
            </w:r>
            <w:r w:rsidR="00DE6A4A">
              <w:rPr>
                <w:rFonts w:ascii="GHEA Grapalat" w:eastAsia="Times New Roman" w:hAnsi="GHEA Grapalat" w:cs="Times New Roman"/>
                <w:b/>
                <w:color w:val="auto"/>
                <w:sz w:val="18"/>
                <w:szCs w:val="18"/>
              </w:rPr>
              <w:t>9</w:t>
            </w:r>
          </w:p>
        </w:tc>
      </w:tr>
      <w:tr w:rsidR="00DE6A4A" w:rsidRPr="000232DD" w14:paraId="7B587870" w14:textId="77777777" w:rsidTr="00280C7E">
        <w:trPr>
          <w:trHeight w:val="360"/>
        </w:trPr>
        <w:tc>
          <w:tcPr>
            <w:tcW w:w="1239" w:type="pct"/>
            <w:shd w:val="clear" w:color="auto" w:fill="auto"/>
            <w:vAlign w:val="center"/>
          </w:tcPr>
          <w:p w14:paraId="109DBDB8" w14:textId="55FB8F7C" w:rsidR="00DE6A4A" w:rsidRPr="000232DD" w:rsidRDefault="00DE6A4A" w:rsidP="00DE6A4A">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Պետական բյուջեի դեֆիցիտի ֆինանսավորման աղբյուրներն ու դրանց տարրերի անվանումները</w:t>
            </w:r>
          </w:p>
        </w:tc>
        <w:tc>
          <w:tcPr>
            <w:tcW w:w="461" w:type="pct"/>
            <w:shd w:val="clear" w:color="auto" w:fill="auto"/>
            <w:noWrap/>
            <w:vAlign w:val="center"/>
          </w:tcPr>
          <w:p w14:paraId="0E83ED86" w14:textId="6A20043C" w:rsidR="00DE6A4A" w:rsidRPr="000232DD" w:rsidRDefault="00DE6A4A" w:rsidP="00DE6A4A">
            <w:pPr>
              <w:spacing w:before="0" w:after="0" w:line="240" w:lineRule="auto"/>
              <w:ind w:right="-22"/>
              <w:jc w:val="center"/>
              <w:rPr>
                <w:rFonts w:ascii="GHEA Grapalat" w:eastAsia="Times New Roman" w:hAnsi="GHEA Grapalat" w:cs="Times New Roman"/>
                <w:color w:val="auto"/>
                <w:sz w:val="18"/>
                <w:szCs w:val="18"/>
              </w:rPr>
            </w:pPr>
            <w:r w:rsidRPr="000232DD">
              <w:rPr>
                <w:rFonts w:ascii="GHEA Grapalat" w:eastAsia="Times New Roman" w:hAnsi="GHEA Grapalat" w:cs="Calibri"/>
                <w:color w:val="auto"/>
                <w:sz w:val="18"/>
                <w:szCs w:val="18"/>
              </w:rPr>
              <w:t>188.9</w:t>
            </w:r>
          </w:p>
        </w:tc>
        <w:tc>
          <w:tcPr>
            <w:tcW w:w="552" w:type="pct"/>
            <w:shd w:val="clear" w:color="auto" w:fill="auto"/>
            <w:noWrap/>
            <w:vAlign w:val="center"/>
          </w:tcPr>
          <w:p w14:paraId="763BF190" w14:textId="26DE06CC" w:rsidR="00DE6A4A" w:rsidRPr="000232DD" w:rsidRDefault="00DE6A4A" w:rsidP="00DE6A4A">
            <w:pPr>
              <w:spacing w:before="0" w:after="0" w:line="240" w:lineRule="auto"/>
              <w:ind w:right="-22"/>
              <w:jc w:val="center"/>
              <w:rPr>
                <w:rFonts w:ascii="GHEA Grapalat" w:eastAsia="Times New Roman" w:hAnsi="GHEA Grapalat" w:cs="Times New Roman"/>
                <w:color w:val="auto"/>
                <w:sz w:val="18"/>
                <w:szCs w:val="18"/>
              </w:rPr>
            </w:pPr>
            <w:r w:rsidRPr="000232DD">
              <w:rPr>
                <w:rFonts w:ascii="GHEA Grapalat" w:eastAsia="Times New Roman" w:hAnsi="GHEA Grapalat" w:cs="Calibri"/>
                <w:color w:val="auto"/>
                <w:sz w:val="18"/>
                <w:szCs w:val="18"/>
              </w:rPr>
              <w:t>376.1</w:t>
            </w:r>
          </w:p>
        </w:tc>
        <w:tc>
          <w:tcPr>
            <w:tcW w:w="509" w:type="pct"/>
            <w:shd w:val="clear" w:color="auto" w:fill="auto"/>
            <w:noWrap/>
            <w:vAlign w:val="center"/>
          </w:tcPr>
          <w:p w14:paraId="74AF10E1" w14:textId="234758DA" w:rsidR="00DE6A4A" w:rsidRPr="000232DD" w:rsidRDefault="00361F59" w:rsidP="00DE6A4A">
            <w:pPr>
              <w:spacing w:before="0" w:after="0" w:line="240" w:lineRule="auto"/>
              <w:ind w:right="-22"/>
              <w:jc w:val="center"/>
              <w:rPr>
                <w:rFonts w:ascii="GHEA Grapalat" w:eastAsia="Times New Roman" w:hAnsi="GHEA Grapalat" w:cs="Times New Roman"/>
                <w:color w:val="auto"/>
                <w:sz w:val="18"/>
                <w:szCs w:val="18"/>
              </w:rPr>
            </w:pPr>
            <w:r>
              <w:rPr>
                <w:rFonts w:ascii="GHEA Grapalat" w:eastAsia="Times New Roman" w:hAnsi="GHEA Grapalat" w:cs="Times New Roman"/>
                <w:color w:val="auto"/>
                <w:sz w:val="18"/>
                <w:szCs w:val="18"/>
              </w:rPr>
              <w:t>418.7</w:t>
            </w:r>
          </w:p>
        </w:tc>
        <w:tc>
          <w:tcPr>
            <w:tcW w:w="490" w:type="pct"/>
            <w:shd w:val="clear" w:color="auto" w:fill="auto"/>
            <w:vAlign w:val="center"/>
          </w:tcPr>
          <w:p w14:paraId="7B277368" w14:textId="1C7D8CA1" w:rsidR="00DE6A4A" w:rsidRPr="000232DD" w:rsidRDefault="00DE6A4A" w:rsidP="00DE6A4A">
            <w:pPr>
              <w:spacing w:before="0" w:after="0" w:line="240" w:lineRule="auto"/>
              <w:ind w:right="-22"/>
              <w:jc w:val="center"/>
              <w:rPr>
                <w:rFonts w:ascii="GHEA Grapalat" w:eastAsia="Times New Roman" w:hAnsi="GHEA Grapalat" w:cs="Times New Roman"/>
                <w:color w:val="auto"/>
                <w:sz w:val="18"/>
                <w:szCs w:val="18"/>
              </w:rPr>
            </w:pPr>
            <w:r w:rsidRPr="000232DD">
              <w:rPr>
                <w:rFonts w:ascii="GHEA Grapalat" w:eastAsia="Times New Roman" w:hAnsi="GHEA Grapalat" w:cs="Calibri"/>
                <w:color w:val="auto"/>
                <w:sz w:val="18"/>
                <w:szCs w:val="18"/>
              </w:rPr>
              <w:t>536.8</w:t>
            </w:r>
          </w:p>
        </w:tc>
        <w:tc>
          <w:tcPr>
            <w:tcW w:w="583" w:type="pct"/>
            <w:vAlign w:val="center"/>
          </w:tcPr>
          <w:p w14:paraId="33835DBC" w14:textId="6FC9A817" w:rsidR="00DE6A4A" w:rsidRPr="000232DD" w:rsidRDefault="00DE6A4A" w:rsidP="00DE6A4A">
            <w:pPr>
              <w:spacing w:before="0" w:after="0" w:line="240" w:lineRule="auto"/>
              <w:ind w:right="-22"/>
              <w:jc w:val="center"/>
              <w:rPr>
                <w:rFonts w:ascii="GHEA Grapalat" w:eastAsia="Times New Roman" w:hAnsi="GHEA Grapalat" w:cs="Calibri"/>
                <w:color w:val="auto"/>
                <w:sz w:val="18"/>
                <w:szCs w:val="18"/>
              </w:rPr>
            </w:pPr>
            <w:r>
              <w:rPr>
                <w:rFonts w:ascii="GHEA Grapalat" w:eastAsia="Times New Roman" w:hAnsi="GHEA Grapalat" w:cs="Calibri"/>
                <w:color w:val="auto"/>
                <w:sz w:val="18"/>
                <w:szCs w:val="18"/>
              </w:rPr>
              <w:t>468</w:t>
            </w:r>
            <w:r w:rsidR="00361F59">
              <w:rPr>
                <w:rFonts w:ascii="GHEA Grapalat" w:eastAsia="Times New Roman" w:hAnsi="GHEA Grapalat" w:cs="Calibri"/>
                <w:color w:val="auto"/>
                <w:sz w:val="18"/>
                <w:szCs w:val="18"/>
              </w:rPr>
              <w:t>.2</w:t>
            </w:r>
          </w:p>
        </w:tc>
        <w:tc>
          <w:tcPr>
            <w:tcW w:w="583" w:type="pct"/>
            <w:vAlign w:val="center"/>
          </w:tcPr>
          <w:p w14:paraId="51AFC000" w14:textId="06DC3056" w:rsidR="00DE6A4A" w:rsidRPr="000232DD" w:rsidRDefault="00EF2172" w:rsidP="00DE6A4A">
            <w:pPr>
              <w:spacing w:before="0" w:after="0" w:line="240" w:lineRule="auto"/>
              <w:ind w:right="-22"/>
              <w:jc w:val="center"/>
              <w:rPr>
                <w:rFonts w:ascii="GHEA Grapalat" w:eastAsia="Times New Roman" w:hAnsi="GHEA Grapalat" w:cs="Calibri"/>
                <w:color w:val="auto"/>
                <w:sz w:val="18"/>
                <w:szCs w:val="18"/>
              </w:rPr>
            </w:pPr>
            <w:r>
              <w:rPr>
                <w:rFonts w:ascii="GHEA Grapalat" w:eastAsia="Times New Roman" w:hAnsi="GHEA Grapalat" w:cs="Calibri"/>
                <w:color w:val="auto"/>
                <w:sz w:val="18"/>
                <w:szCs w:val="18"/>
              </w:rPr>
              <w:t>414.2</w:t>
            </w:r>
          </w:p>
        </w:tc>
        <w:tc>
          <w:tcPr>
            <w:tcW w:w="583" w:type="pct"/>
            <w:shd w:val="clear" w:color="auto" w:fill="auto"/>
            <w:vAlign w:val="center"/>
          </w:tcPr>
          <w:p w14:paraId="5E659D82" w14:textId="3C8CD806" w:rsidR="00DE6A4A" w:rsidRPr="000232DD" w:rsidRDefault="00EF2172" w:rsidP="00DE6A4A">
            <w:pPr>
              <w:spacing w:before="0" w:after="0" w:line="240" w:lineRule="auto"/>
              <w:ind w:right="-22"/>
              <w:jc w:val="center"/>
              <w:rPr>
                <w:rFonts w:ascii="GHEA Grapalat" w:eastAsia="Times New Roman" w:hAnsi="GHEA Grapalat" w:cs="Times New Roman"/>
                <w:color w:val="auto"/>
                <w:sz w:val="18"/>
                <w:szCs w:val="18"/>
                <w:lang w:eastAsia="ru-RU"/>
              </w:rPr>
            </w:pPr>
            <w:r>
              <w:rPr>
                <w:rFonts w:ascii="GHEA Grapalat" w:eastAsia="Times New Roman" w:hAnsi="GHEA Grapalat" w:cs="Times New Roman"/>
                <w:color w:val="auto"/>
                <w:sz w:val="18"/>
                <w:szCs w:val="18"/>
                <w:lang w:eastAsia="ru-RU"/>
              </w:rPr>
              <w:t>291.4</w:t>
            </w:r>
          </w:p>
        </w:tc>
      </w:tr>
      <w:tr w:rsidR="00DE6A4A" w:rsidRPr="000232DD" w14:paraId="24F1DC2B" w14:textId="77777777" w:rsidTr="00280C7E">
        <w:trPr>
          <w:trHeight w:val="360"/>
        </w:trPr>
        <w:tc>
          <w:tcPr>
            <w:tcW w:w="1239" w:type="pct"/>
            <w:shd w:val="clear" w:color="auto" w:fill="auto"/>
            <w:vAlign w:val="center"/>
            <w:hideMark/>
          </w:tcPr>
          <w:p w14:paraId="0C115654" w14:textId="77777777" w:rsidR="00DE6A4A" w:rsidRPr="000232DD" w:rsidRDefault="00DE6A4A" w:rsidP="00DE6A4A">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Ա.</w:t>
            </w:r>
            <w:r w:rsidRPr="000232DD">
              <w:rPr>
                <w:rFonts w:ascii="GHEA Grapalat" w:eastAsia="Times New Roman" w:hAnsi="GHEA Grapalat" w:cs="Times New Roman"/>
                <w:color w:val="auto"/>
                <w:sz w:val="18"/>
                <w:szCs w:val="18"/>
                <w:lang w:val="hy-AM"/>
              </w:rPr>
              <w:t xml:space="preserve"> </w:t>
            </w:r>
            <w:r w:rsidRPr="000232DD">
              <w:rPr>
                <w:rFonts w:ascii="GHEA Grapalat" w:eastAsia="Times New Roman" w:hAnsi="GHEA Grapalat" w:cs="Times New Roman"/>
                <w:color w:val="auto"/>
                <w:sz w:val="18"/>
                <w:szCs w:val="18"/>
              </w:rPr>
              <w:t>Ներքին աղբյուրներ</w:t>
            </w:r>
          </w:p>
        </w:tc>
        <w:tc>
          <w:tcPr>
            <w:tcW w:w="461" w:type="pct"/>
            <w:shd w:val="clear" w:color="auto" w:fill="auto"/>
            <w:noWrap/>
            <w:vAlign w:val="center"/>
          </w:tcPr>
          <w:p w14:paraId="10298EE3" w14:textId="50278429" w:rsidR="00DE6A4A" w:rsidRPr="000232DD" w:rsidRDefault="00DE6A4A" w:rsidP="00DE6A4A">
            <w:pPr>
              <w:spacing w:before="0" w:after="0" w:line="240" w:lineRule="auto"/>
              <w:ind w:right="-22"/>
              <w:jc w:val="center"/>
              <w:rPr>
                <w:rFonts w:ascii="GHEA Grapalat" w:eastAsia="Times New Roman" w:hAnsi="GHEA Grapalat" w:cs="Times New Roman"/>
                <w:color w:val="auto"/>
                <w:sz w:val="18"/>
                <w:szCs w:val="18"/>
                <w:lang w:val="hy-AM"/>
              </w:rPr>
            </w:pPr>
            <w:r w:rsidRPr="000232DD">
              <w:rPr>
                <w:rFonts w:ascii="GHEA Grapalat" w:eastAsia="Times New Roman" w:hAnsi="GHEA Grapalat" w:cs="Calibri"/>
                <w:color w:val="auto"/>
                <w:sz w:val="18"/>
                <w:szCs w:val="18"/>
              </w:rPr>
              <w:t>412.4</w:t>
            </w:r>
          </w:p>
        </w:tc>
        <w:tc>
          <w:tcPr>
            <w:tcW w:w="552" w:type="pct"/>
            <w:shd w:val="clear" w:color="auto" w:fill="auto"/>
            <w:noWrap/>
            <w:vAlign w:val="center"/>
          </w:tcPr>
          <w:p w14:paraId="255B610D" w14:textId="5D46050D" w:rsidR="00DE6A4A" w:rsidRPr="000232DD" w:rsidRDefault="00DE6A4A" w:rsidP="00DE6A4A">
            <w:pPr>
              <w:spacing w:before="0" w:after="0" w:line="240" w:lineRule="auto"/>
              <w:ind w:right="-22"/>
              <w:jc w:val="center"/>
              <w:rPr>
                <w:rFonts w:ascii="GHEA Grapalat" w:eastAsia="Times New Roman" w:hAnsi="GHEA Grapalat" w:cs="Times New Roman"/>
                <w:color w:val="auto"/>
                <w:sz w:val="18"/>
                <w:szCs w:val="18"/>
              </w:rPr>
            </w:pPr>
            <w:r w:rsidRPr="000232DD">
              <w:rPr>
                <w:rFonts w:ascii="GHEA Grapalat" w:eastAsia="Times New Roman" w:hAnsi="GHEA Grapalat" w:cs="Calibri"/>
                <w:color w:val="auto"/>
                <w:sz w:val="18"/>
                <w:szCs w:val="18"/>
              </w:rPr>
              <w:t>359.1</w:t>
            </w:r>
          </w:p>
        </w:tc>
        <w:tc>
          <w:tcPr>
            <w:tcW w:w="509" w:type="pct"/>
            <w:shd w:val="clear" w:color="auto" w:fill="auto"/>
            <w:noWrap/>
            <w:vAlign w:val="center"/>
          </w:tcPr>
          <w:p w14:paraId="3DA6E73F" w14:textId="618265D8" w:rsidR="00DE6A4A" w:rsidRPr="000232DD" w:rsidRDefault="00361F59" w:rsidP="00DE6A4A">
            <w:pPr>
              <w:spacing w:before="0" w:after="0" w:line="240" w:lineRule="auto"/>
              <w:ind w:right="-22"/>
              <w:jc w:val="center"/>
              <w:rPr>
                <w:rFonts w:ascii="GHEA Grapalat" w:eastAsia="Times New Roman" w:hAnsi="GHEA Grapalat" w:cs="Times New Roman"/>
                <w:color w:val="auto"/>
                <w:sz w:val="18"/>
                <w:szCs w:val="18"/>
              </w:rPr>
            </w:pPr>
            <w:r>
              <w:rPr>
                <w:rFonts w:ascii="GHEA Grapalat" w:eastAsia="Times New Roman" w:hAnsi="GHEA Grapalat" w:cs="Times New Roman"/>
                <w:color w:val="auto"/>
                <w:sz w:val="18"/>
                <w:szCs w:val="18"/>
              </w:rPr>
              <w:t>280.8</w:t>
            </w:r>
          </w:p>
        </w:tc>
        <w:tc>
          <w:tcPr>
            <w:tcW w:w="490" w:type="pct"/>
            <w:shd w:val="clear" w:color="auto" w:fill="auto"/>
            <w:vAlign w:val="center"/>
          </w:tcPr>
          <w:p w14:paraId="47022637" w14:textId="75C45B02" w:rsidR="00DE6A4A" w:rsidRPr="000232DD" w:rsidRDefault="00DE6A4A" w:rsidP="00DE6A4A">
            <w:pPr>
              <w:spacing w:before="0" w:after="0" w:line="240" w:lineRule="auto"/>
              <w:ind w:right="-22"/>
              <w:jc w:val="center"/>
              <w:rPr>
                <w:rFonts w:ascii="GHEA Grapalat" w:eastAsia="Times New Roman" w:hAnsi="GHEA Grapalat" w:cs="Times New Roman"/>
                <w:color w:val="auto"/>
                <w:sz w:val="18"/>
                <w:szCs w:val="18"/>
                <w:lang w:val="hy-AM"/>
              </w:rPr>
            </w:pPr>
            <w:r w:rsidRPr="000232DD">
              <w:rPr>
                <w:rFonts w:ascii="GHEA Grapalat" w:eastAsia="Times New Roman" w:hAnsi="GHEA Grapalat" w:cs="Calibri"/>
                <w:color w:val="auto"/>
                <w:sz w:val="18"/>
                <w:szCs w:val="18"/>
              </w:rPr>
              <w:t>210.0</w:t>
            </w:r>
          </w:p>
        </w:tc>
        <w:tc>
          <w:tcPr>
            <w:tcW w:w="583" w:type="pct"/>
            <w:vAlign w:val="center"/>
          </w:tcPr>
          <w:p w14:paraId="3880ED03" w14:textId="7D61FDCF" w:rsidR="00DE6A4A" w:rsidRPr="000232DD" w:rsidRDefault="00361F59" w:rsidP="00DE6A4A">
            <w:pPr>
              <w:spacing w:before="0" w:after="0" w:line="240" w:lineRule="auto"/>
              <w:ind w:right="-22"/>
              <w:jc w:val="center"/>
              <w:rPr>
                <w:rFonts w:ascii="GHEA Grapalat" w:eastAsia="Times New Roman" w:hAnsi="GHEA Grapalat" w:cs="Calibri"/>
                <w:color w:val="auto"/>
                <w:sz w:val="18"/>
                <w:szCs w:val="18"/>
              </w:rPr>
            </w:pPr>
            <w:r>
              <w:rPr>
                <w:rFonts w:ascii="GHEA Grapalat" w:eastAsia="Times New Roman" w:hAnsi="GHEA Grapalat" w:cs="Calibri"/>
                <w:color w:val="auto"/>
                <w:sz w:val="18"/>
                <w:szCs w:val="18"/>
              </w:rPr>
              <w:t>187.5</w:t>
            </w:r>
          </w:p>
        </w:tc>
        <w:tc>
          <w:tcPr>
            <w:tcW w:w="583" w:type="pct"/>
            <w:vAlign w:val="center"/>
          </w:tcPr>
          <w:p w14:paraId="45116E8C" w14:textId="35815D50" w:rsidR="00DE6A4A" w:rsidRPr="000232DD" w:rsidRDefault="00EF2172" w:rsidP="00DE6A4A">
            <w:pPr>
              <w:spacing w:before="0" w:after="0" w:line="240" w:lineRule="auto"/>
              <w:ind w:right="-22"/>
              <w:jc w:val="center"/>
              <w:rPr>
                <w:rFonts w:ascii="GHEA Grapalat" w:eastAsia="Times New Roman" w:hAnsi="GHEA Grapalat" w:cs="Calibri"/>
                <w:color w:val="auto"/>
                <w:sz w:val="18"/>
                <w:szCs w:val="18"/>
              </w:rPr>
            </w:pPr>
            <w:r>
              <w:rPr>
                <w:rFonts w:ascii="GHEA Grapalat" w:eastAsia="Times New Roman" w:hAnsi="GHEA Grapalat" w:cs="Calibri"/>
                <w:color w:val="auto"/>
                <w:sz w:val="18"/>
                <w:szCs w:val="18"/>
              </w:rPr>
              <w:t>180.2</w:t>
            </w:r>
          </w:p>
        </w:tc>
        <w:tc>
          <w:tcPr>
            <w:tcW w:w="583" w:type="pct"/>
            <w:shd w:val="clear" w:color="auto" w:fill="auto"/>
            <w:vAlign w:val="center"/>
          </w:tcPr>
          <w:p w14:paraId="48CABE43" w14:textId="10AF848F" w:rsidR="00DE6A4A" w:rsidRPr="000232DD" w:rsidRDefault="00EF2172" w:rsidP="00DE6A4A">
            <w:pPr>
              <w:spacing w:before="0" w:after="0" w:line="240" w:lineRule="auto"/>
              <w:ind w:right="-22"/>
              <w:jc w:val="center"/>
              <w:rPr>
                <w:rFonts w:ascii="GHEA Grapalat" w:eastAsia="Times New Roman" w:hAnsi="GHEA Grapalat" w:cs="Times New Roman"/>
                <w:color w:val="auto"/>
                <w:sz w:val="18"/>
                <w:szCs w:val="18"/>
                <w:lang w:val="hy-AM"/>
              </w:rPr>
            </w:pPr>
            <w:r>
              <w:rPr>
                <w:rFonts w:ascii="GHEA Grapalat" w:eastAsia="Times New Roman" w:hAnsi="GHEA Grapalat" w:cs="Times New Roman"/>
                <w:color w:val="auto"/>
                <w:sz w:val="18"/>
                <w:szCs w:val="18"/>
                <w:lang w:val="hy-AM"/>
              </w:rPr>
              <w:t>132.9</w:t>
            </w:r>
          </w:p>
        </w:tc>
      </w:tr>
      <w:tr w:rsidR="00DE6A4A" w:rsidRPr="000232DD" w14:paraId="034066E8" w14:textId="77777777" w:rsidTr="00280C7E">
        <w:trPr>
          <w:trHeight w:val="360"/>
        </w:trPr>
        <w:tc>
          <w:tcPr>
            <w:tcW w:w="1239" w:type="pct"/>
            <w:shd w:val="clear" w:color="auto" w:fill="auto"/>
            <w:vAlign w:val="center"/>
            <w:hideMark/>
          </w:tcPr>
          <w:p w14:paraId="6D983090" w14:textId="77777777" w:rsidR="00DE6A4A" w:rsidRPr="000232DD" w:rsidRDefault="00DE6A4A" w:rsidP="00DE6A4A">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Բ.</w:t>
            </w:r>
            <w:r w:rsidRPr="000232DD">
              <w:rPr>
                <w:rFonts w:ascii="GHEA Grapalat" w:eastAsia="Times New Roman" w:hAnsi="GHEA Grapalat" w:cs="Times New Roman"/>
                <w:color w:val="auto"/>
                <w:sz w:val="18"/>
                <w:szCs w:val="18"/>
                <w:lang w:val="hy-AM"/>
              </w:rPr>
              <w:t xml:space="preserve"> </w:t>
            </w:r>
            <w:r w:rsidRPr="000232DD">
              <w:rPr>
                <w:rFonts w:ascii="GHEA Grapalat" w:eastAsia="Times New Roman" w:hAnsi="GHEA Grapalat" w:cs="Times New Roman"/>
                <w:color w:val="auto"/>
                <w:sz w:val="18"/>
                <w:szCs w:val="18"/>
              </w:rPr>
              <w:t xml:space="preserve">Արտաքին աղբյուրներ </w:t>
            </w:r>
          </w:p>
        </w:tc>
        <w:tc>
          <w:tcPr>
            <w:tcW w:w="461" w:type="pct"/>
            <w:shd w:val="clear" w:color="auto" w:fill="auto"/>
            <w:noWrap/>
            <w:vAlign w:val="center"/>
          </w:tcPr>
          <w:p w14:paraId="028C0771" w14:textId="4A5E7005" w:rsidR="00DE6A4A" w:rsidRPr="000232DD" w:rsidRDefault="00DE6A4A" w:rsidP="00DE6A4A">
            <w:pPr>
              <w:spacing w:before="0" w:after="0" w:line="240" w:lineRule="auto"/>
              <w:ind w:right="-22"/>
              <w:jc w:val="center"/>
              <w:rPr>
                <w:rFonts w:ascii="GHEA Grapalat" w:eastAsia="Times New Roman" w:hAnsi="GHEA Grapalat" w:cs="Times New Roman"/>
                <w:color w:val="auto"/>
                <w:sz w:val="18"/>
                <w:szCs w:val="18"/>
              </w:rPr>
            </w:pPr>
            <w:r w:rsidRPr="000232DD">
              <w:rPr>
                <w:rFonts w:ascii="GHEA Grapalat" w:eastAsia="Times New Roman" w:hAnsi="GHEA Grapalat" w:cs="Calibri"/>
                <w:color w:val="auto"/>
                <w:sz w:val="18"/>
                <w:szCs w:val="18"/>
              </w:rPr>
              <w:t>(223.5)</w:t>
            </w:r>
          </w:p>
        </w:tc>
        <w:tc>
          <w:tcPr>
            <w:tcW w:w="552" w:type="pct"/>
            <w:shd w:val="clear" w:color="auto" w:fill="auto"/>
            <w:noWrap/>
            <w:vAlign w:val="center"/>
          </w:tcPr>
          <w:p w14:paraId="510628BB" w14:textId="1FC24DCB" w:rsidR="00DE6A4A" w:rsidRPr="000232DD" w:rsidRDefault="00DE6A4A" w:rsidP="00DE6A4A">
            <w:pPr>
              <w:spacing w:before="0" w:after="0" w:line="240" w:lineRule="auto"/>
              <w:ind w:right="-22"/>
              <w:jc w:val="center"/>
              <w:rPr>
                <w:rFonts w:ascii="GHEA Grapalat" w:eastAsia="Times New Roman" w:hAnsi="GHEA Grapalat" w:cs="Times New Roman"/>
                <w:color w:val="auto"/>
                <w:sz w:val="18"/>
                <w:szCs w:val="18"/>
              </w:rPr>
            </w:pPr>
            <w:r w:rsidRPr="000232DD">
              <w:rPr>
                <w:rFonts w:ascii="GHEA Grapalat" w:eastAsia="Times New Roman" w:hAnsi="GHEA Grapalat" w:cs="Calibri"/>
                <w:color w:val="auto"/>
                <w:sz w:val="18"/>
                <w:szCs w:val="18"/>
              </w:rPr>
              <w:t>17.0</w:t>
            </w:r>
          </w:p>
        </w:tc>
        <w:tc>
          <w:tcPr>
            <w:tcW w:w="509" w:type="pct"/>
            <w:shd w:val="clear" w:color="auto" w:fill="auto"/>
            <w:noWrap/>
            <w:vAlign w:val="center"/>
          </w:tcPr>
          <w:p w14:paraId="74556DFE" w14:textId="1F8B0D3B" w:rsidR="00DE6A4A" w:rsidRPr="000232DD" w:rsidRDefault="00361F59" w:rsidP="00DE6A4A">
            <w:pPr>
              <w:spacing w:before="0" w:after="0" w:line="240" w:lineRule="auto"/>
              <w:ind w:right="-22"/>
              <w:jc w:val="center"/>
              <w:rPr>
                <w:rFonts w:ascii="GHEA Grapalat" w:eastAsia="Times New Roman" w:hAnsi="GHEA Grapalat" w:cs="Times New Roman"/>
                <w:color w:val="auto"/>
                <w:sz w:val="18"/>
                <w:szCs w:val="18"/>
              </w:rPr>
            </w:pPr>
            <w:r>
              <w:rPr>
                <w:rFonts w:ascii="GHEA Grapalat" w:eastAsia="Times New Roman" w:hAnsi="GHEA Grapalat" w:cs="Times New Roman"/>
                <w:color w:val="auto"/>
                <w:sz w:val="18"/>
                <w:szCs w:val="18"/>
              </w:rPr>
              <w:t>137.9</w:t>
            </w:r>
          </w:p>
        </w:tc>
        <w:tc>
          <w:tcPr>
            <w:tcW w:w="490" w:type="pct"/>
            <w:shd w:val="clear" w:color="auto" w:fill="auto"/>
            <w:vAlign w:val="center"/>
          </w:tcPr>
          <w:p w14:paraId="0C6994E0" w14:textId="37889A99" w:rsidR="00DE6A4A" w:rsidRPr="000232DD" w:rsidRDefault="00DE6A4A" w:rsidP="00DE6A4A">
            <w:pPr>
              <w:spacing w:before="0" w:after="0" w:line="240" w:lineRule="auto"/>
              <w:ind w:right="-22"/>
              <w:jc w:val="center"/>
              <w:rPr>
                <w:rFonts w:ascii="GHEA Grapalat" w:eastAsia="Times New Roman" w:hAnsi="GHEA Grapalat" w:cs="Times New Roman"/>
                <w:color w:val="auto"/>
                <w:sz w:val="18"/>
                <w:szCs w:val="18"/>
              </w:rPr>
            </w:pPr>
            <w:r w:rsidRPr="000232DD">
              <w:rPr>
                <w:rFonts w:ascii="GHEA Grapalat" w:eastAsia="Times New Roman" w:hAnsi="GHEA Grapalat" w:cs="Calibri"/>
                <w:color w:val="auto"/>
                <w:sz w:val="18"/>
                <w:szCs w:val="18"/>
              </w:rPr>
              <w:t>326.7</w:t>
            </w:r>
          </w:p>
        </w:tc>
        <w:tc>
          <w:tcPr>
            <w:tcW w:w="583" w:type="pct"/>
            <w:vAlign w:val="center"/>
          </w:tcPr>
          <w:p w14:paraId="4981028E" w14:textId="6D6C7927" w:rsidR="00DE6A4A" w:rsidRPr="000232DD" w:rsidRDefault="00361F59" w:rsidP="00DE6A4A">
            <w:pPr>
              <w:spacing w:before="0" w:after="0" w:line="240" w:lineRule="auto"/>
              <w:ind w:right="-22"/>
              <w:jc w:val="center"/>
              <w:rPr>
                <w:rFonts w:ascii="GHEA Grapalat" w:eastAsia="Times New Roman" w:hAnsi="GHEA Grapalat" w:cs="Calibri"/>
                <w:color w:val="auto"/>
                <w:sz w:val="18"/>
                <w:szCs w:val="18"/>
              </w:rPr>
            </w:pPr>
            <w:r>
              <w:rPr>
                <w:rFonts w:ascii="GHEA Grapalat" w:eastAsia="Times New Roman" w:hAnsi="GHEA Grapalat" w:cs="Calibri"/>
                <w:color w:val="auto"/>
                <w:sz w:val="18"/>
                <w:szCs w:val="18"/>
              </w:rPr>
              <w:t>280.7</w:t>
            </w:r>
          </w:p>
        </w:tc>
        <w:tc>
          <w:tcPr>
            <w:tcW w:w="583" w:type="pct"/>
            <w:vAlign w:val="center"/>
          </w:tcPr>
          <w:p w14:paraId="754BEFBA" w14:textId="76636217" w:rsidR="00DE6A4A" w:rsidRPr="000232DD" w:rsidRDefault="00EF2172" w:rsidP="00DE6A4A">
            <w:pPr>
              <w:spacing w:before="0" w:after="0" w:line="240" w:lineRule="auto"/>
              <w:ind w:right="-22"/>
              <w:jc w:val="center"/>
              <w:rPr>
                <w:rFonts w:ascii="GHEA Grapalat" w:eastAsia="Times New Roman" w:hAnsi="GHEA Grapalat" w:cs="Calibri"/>
                <w:color w:val="auto"/>
                <w:sz w:val="18"/>
                <w:szCs w:val="18"/>
              </w:rPr>
            </w:pPr>
            <w:r>
              <w:rPr>
                <w:rFonts w:ascii="GHEA Grapalat" w:eastAsia="Times New Roman" w:hAnsi="GHEA Grapalat" w:cs="Calibri"/>
                <w:color w:val="auto"/>
                <w:sz w:val="18"/>
                <w:szCs w:val="18"/>
              </w:rPr>
              <w:t>234.0</w:t>
            </w:r>
          </w:p>
        </w:tc>
        <w:tc>
          <w:tcPr>
            <w:tcW w:w="583" w:type="pct"/>
            <w:shd w:val="clear" w:color="auto" w:fill="auto"/>
            <w:vAlign w:val="center"/>
          </w:tcPr>
          <w:p w14:paraId="7D38B338" w14:textId="4BC93766" w:rsidR="00DE6A4A" w:rsidRPr="000232DD" w:rsidRDefault="00EF2172" w:rsidP="00DE6A4A">
            <w:pPr>
              <w:spacing w:before="0" w:after="0" w:line="240" w:lineRule="auto"/>
              <w:ind w:right="-22"/>
              <w:jc w:val="center"/>
              <w:rPr>
                <w:rFonts w:ascii="GHEA Grapalat" w:eastAsia="Times New Roman" w:hAnsi="GHEA Grapalat" w:cs="Times New Roman"/>
                <w:color w:val="auto"/>
                <w:sz w:val="18"/>
                <w:szCs w:val="18"/>
              </w:rPr>
            </w:pPr>
            <w:r>
              <w:rPr>
                <w:rFonts w:ascii="GHEA Grapalat" w:eastAsia="Times New Roman" w:hAnsi="GHEA Grapalat" w:cs="Times New Roman"/>
                <w:color w:val="auto"/>
                <w:sz w:val="18"/>
                <w:szCs w:val="18"/>
              </w:rPr>
              <w:t>158.5</w:t>
            </w:r>
          </w:p>
        </w:tc>
      </w:tr>
    </w:tbl>
    <w:p w14:paraId="58B873A0" w14:textId="77777777" w:rsidR="00280C7E" w:rsidRPr="000232DD" w:rsidRDefault="00280C7E" w:rsidP="00082769">
      <w:pPr>
        <w:ind w:right="-22"/>
        <w:jc w:val="both"/>
        <w:rPr>
          <w:rFonts w:ascii="GHEA Grapalat" w:eastAsia="Times New Roman" w:hAnsi="GHEA Grapalat" w:cs="Times New Roman"/>
          <w:color w:val="auto"/>
        </w:rPr>
      </w:pPr>
    </w:p>
    <w:p w14:paraId="37389473" w14:textId="581AD17B" w:rsidR="00280C7E" w:rsidRPr="000232DD" w:rsidRDefault="00280C7E"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rPr>
        <w:t>Պետական բյուջեի դեֆիցիտի հարաբերակցությունը ՀՆԱ-ի նկատմամբ 202</w:t>
      </w:r>
      <w:r w:rsidR="00EF2172">
        <w:rPr>
          <w:rFonts w:ascii="GHEA Grapalat" w:eastAsia="Times New Roman" w:hAnsi="GHEA Grapalat" w:cs="Times New Roman"/>
          <w:color w:val="auto"/>
          <w:szCs w:val="20"/>
        </w:rPr>
        <w:t>7</w:t>
      </w:r>
      <w:r w:rsidRPr="000232DD">
        <w:rPr>
          <w:rFonts w:ascii="GHEA Grapalat" w:eastAsia="Times New Roman" w:hAnsi="GHEA Grapalat" w:cs="Times New Roman"/>
          <w:color w:val="auto"/>
          <w:szCs w:val="20"/>
        </w:rPr>
        <w:t xml:space="preserve"> թվականին կկազմի </w:t>
      </w:r>
      <w:r w:rsidR="00EF2172">
        <w:rPr>
          <w:rFonts w:ascii="GHEA Grapalat" w:eastAsia="Times New Roman" w:hAnsi="GHEA Grapalat" w:cs="Times New Roman"/>
          <w:color w:val="auto"/>
          <w:szCs w:val="20"/>
        </w:rPr>
        <w:t>3.4</w:t>
      </w:r>
      <w:r w:rsidRPr="000232DD">
        <w:rPr>
          <w:rFonts w:ascii="GHEA Grapalat" w:eastAsia="Times New Roman" w:hAnsi="GHEA Grapalat" w:cs="Times New Roman"/>
          <w:color w:val="auto"/>
          <w:szCs w:val="20"/>
        </w:rPr>
        <w:t>%</w:t>
      </w:r>
      <w:r w:rsidRPr="000232DD">
        <w:rPr>
          <w:rFonts w:ascii="GHEA Grapalat" w:eastAsia="Times New Roman" w:hAnsi="GHEA Grapalat" w:cs="Times New Roman"/>
          <w:color w:val="auto"/>
          <w:szCs w:val="20"/>
          <w:lang w:val="hy-AM"/>
        </w:rPr>
        <w:t>, 202</w:t>
      </w:r>
      <w:r w:rsidR="00EF2172">
        <w:rPr>
          <w:rFonts w:ascii="GHEA Grapalat" w:eastAsia="Times New Roman" w:hAnsi="GHEA Grapalat" w:cs="Times New Roman"/>
          <w:color w:val="auto"/>
          <w:szCs w:val="20"/>
          <w:lang w:val="hy-AM"/>
        </w:rPr>
        <w:t>8</w:t>
      </w:r>
      <w:r w:rsidRPr="000232DD">
        <w:rPr>
          <w:rFonts w:ascii="GHEA Grapalat" w:eastAsia="Times New Roman" w:hAnsi="GHEA Grapalat" w:cs="Times New Roman"/>
          <w:color w:val="auto"/>
          <w:szCs w:val="20"/>
          <w:lang w:val="hy-AM"/>
        </w:rPr>
        <w:t xml:space="preserve"> թվականին՝ </w:t>
      </w:r>
      <w:r w:rsidR="00EF2172">
        <w:rPr>
          <w:rFonts w:ascii="GHEA Grapalat" w:eastAsia="Times New Roman" w:hAnsi="GHEA Grapalat" w:cs="Times New Roman"/>
          <w:color w:val="auto"/>
          <w:szCs w:val="20"/>
          <w:lang w:val="hy-AM"/>
        </w:rPr>
        <w:t>2</w:t>
      </w:r>
      <w:r w:rsidRPr="000232DD">
        <w:rPr>
          <w:rFonts w:ascii="GHEA Grapalat" w:eastAsia="Times New Roman" w:hAnsi="GHEA Grapalat" w:cs="Times New Roman"/>
          <w:color w:val="auto"/>
          <w:szCs w:val="20"/>
          <w:lang w:val="hy-AM"/>
        </w:rPr>
        <w:t>.</w:t>
      </w:r>
      <w:r w:rsidR="00EF2172">
        <w:rPr>
          <w:rFonts w:ascii="GHEA Grapalat" w:eastAsia="Times New Roman" w:hAnsi="GHEA Grapalat" w:cs="Times New Roman"/>
          <w:color w:val="auto"/>
          <w:szCs w:val="20"/>
          <w:lang w:val="hy-AM"/>
        </w:rPr>
        <w:t>8</w:t>
      </w:r>
      <w:r w:rsidRPr="000232DD">
        <w:rPr>
          <w:rFonts w:ascii="GHEA Grapalat" w:eastAsia="Times New Roman" w:hAnsi="GHEA Grapalat" w:cs="Times New Roman"/>
          <w:color w:val="auto"/>
          <w:szCs w:val="20"/>
        </w:rPr>
        <w:t xml:space="preserve">%, </w:t>
      </w:r>
      <w:r w:rsidRPr="000232DD">
        <w:rPr>
          <w:rFonts w:ascii="GHEA Grapalat" w:eastAsia="Times New Roman" w:hAnsi="GHEA Grapalat" w:cs="Times New Roman"/>
          <w:color w:val="auto"/>
          <w:szCs w:val="20"/>
          <w:lang w:val="ru-RU"/>
        </w:rPr>
        <w:t>իսկ</w:t>
      </w:r>
      <w:r w:rsidRPr="000232DD">
        <w:rPr>
          <w:rFonts w:ascii="GHEA Grapalat" w:eastAsia="Times New Roman" w:hAnsi="GHEA Grapalat" w:cs="Times New Roman"/>
          <w:color w:val="auto"/>
          <w:szCs w:val="20"/>
        </w:rPr>
        <w:t xml:space="preserve"> 202</w:t>
      </w:r>
      <w:r w:rsidR="00EF2172">
        <w:rPr>
          <w:rFonts w:ascii="GHEA Grapalat" w:eastAsia="Times New Roman" w:hAnsi="GHEA Grapalat" w:cs="Times New Roman"/>
          <w:color w:val="auto"/>
          <w:szCs w:val="20"/>
        </w:rPr>
        <w:t>9</w:t>
      </w:r>
      <w:r w:rsidRPr="000232DD">
        <w:rPr>
          <w:rFonts w:ascii="GHEA Grapalat" w:eastAsia="Times New Roman" w:hAnsi="GHEA Grapalat" w:cs="Times New Roman"/>
          <w:color w:val="auto"/>
          <w:szCs w:val="20"/>
        </w:rPr>
        <w:t xml:space="preserve"> </w:t>
      </w:r>
      <w:r w:rsidRPr="000232DD">
        <w:rPr>
          <w:rFonts w:ascii="GHEA Grapalat" w:eastAsia="Times New Roman" w:hAnsi="GHEA Grapalat" w:cs="Times New Roman"/>
          <w:color w:val="auto"/>
          <w:szCs w:val="20"/>
          <w:lang w:val="ru-RU"/>
        </w:rPr>
        <w:t>թվականին</w:t>
      </w:r>
      <w:r w:rsidRPr="000232DD">
        <w:rPr>
          <w:rFonts w:ascii="GHEA Grapalat" w:eastAsia="Times New Roman" w:hAnsi="GHEA Grapalat" w:cs="Times New Roman"/>
          <w:color w:val="auto"/>
          <w:szCs w:val="20"/>
        </w:rPr>
        <w:t xml:space="preserve"> </w:t>
      </w:r>
      <w:r w:rsidR="00EF2172">
        <w:rPr>
          <w:rFonts w:ascii="GHEA Grapalat" w:eastAsia="Times New Roman" w:hAnsi="GHEA Grapalat" w:cs="Times New Roman"/>
          <w:color w:val="auto"/>
          <w:szCs w:val="20"/>
        </w:rPr>
        <w:t>1</w:t>
      </w:r>
      <w:r w:rsidRPr="000232DD">
        <w:rPr>
          <w:rFonts w:ascii="GHEA Grapalat" w:eastAsia="Times New Roman" w:hAnsi="GHEA Grapalat" w:cs="Times New Roman"/>
          <w:color w:val="auto"/>
          <w:szCs w:val="20"/>
        </w:rPr>
        <w:t>.</w:t>
      </w:r>
      <w:r w:rsidRPr="000232DD">
        <w:rPr>
          <w:rFonts w:ascii="GHEA Grapalat" w:eastAsia="Times New Roman" w:hAnsi="GHEA Grapalat" w:cs="Times New Roman"/>
          <w:color w:val="auto"/>
          <w:szCs w:val="20"/>
          <w:lang w:val="hy-AM"/>
        </w:rPr>
        <w:t>8</w:t>
      </w:r>
      <w:r w:rsidRPr="000232DD">
        <w:rPr>
          <w:rFonts w:ascii="GHEA Grapalat" w:eastAsia="Times New Roman" w:hAnsi="GHEA Grapalat" w:cs="Times New Roman"/>
          <w:color w:val="auto"/>
          <w:szCs w:val="20"/>
        </w:rPr>
        <w:t>%: Ինչպես 202</w:t>
      </w:r>
      <w:r w:rsidR="00EF2172">
        <w:rPr>
          <w:rFonts w:ascii="GHEA Grapalat" w:eastAsia="Times New Roman" w:hAnsi="GHEA Grapalat" w:cs="Times New Roman"/>
          <w:color w:val="auto"/>
          <w:szCs w:val="20"/>
        </w:rPr>
        <w:t>7</w:t>
      </w:r>
      <w:r w:rsidRPr="000232DD">
        <w:rPr>
          <w:rFonts w:ascii="GHEA Grapalat" w:eastAsia="Times New Roman" w:hAnsi="GHEA Grapalat" w:cs="Times New Roman"/>
          <w:color w:val="auto"/>
          <w:szCs w:val="20"/>
        </w:rPr>
        <w:t>-202</w:t>
      </w:r>
      <w:r w:rsidR="00EF2172">
        <w:rPr>
          <w:rFonts w:ascii="GHEA Grapalat" w:eastAsia="Times New Roman" w:hAnsi="GHEA Grapalat" w:cs="Times New Roman"/>
          <w:color w:val="auto"/>
          <w:szCs w:val="20"/>
        </w:rPr>
        <w:t>9</w:t>
      </w:r>
      <w:r w:rsidRPr="000232DD">
        <w:rPr>
          <w:rFonts w:ascii="GHEA Grapalat" w:eastAsia="Times New Roman" w:hAnsi="GHEA Grapalat" w:cs="Times New Roman"/>
          <w:color w:val="auto"/>
          <w:szCs w:val="20"/>
        </w:rPr>
        <w:t>թթ միջնաժամկետ ծախսային ծրագրում, ՀՀ 202</w:t>
      </w:r>
      <w:r w:rsidR="00EF2172">
        <w:rPr>
          <w:rFonts w:ascii="GHEA Grapalat" w:eastAsia="Times New Roman" w:hAnsi="GHEA Grapalat" w:cs="Times New Roman"/>
          <w:color w:val="auto"/>
          <w:szCs w:val="20"/>
        </w:rPr>
        <w:t>7</w:t>
      </w:r>
      <w:r w:rsidRPr="000232DD">
        <w:rPr>
          <w:rFonts w:ascii="GHEA Grapalat" w:eastAsia="Times New Roman" w:hAnsi="GHEA Grapalat" w:cs="Times New Roman"/>
          <w:color w:val="auto"/>
          <w:szCs w:val="20"/>
        </w:rPr>
        <w:t xml:space="preserve">թ </w:t>
      </w:r>
      <w:r w:rsidRPr="000232DD">
        <w:rPr>
          <w:rFonts w:ascii="GHEA Grapalat" w:eastAsia="Times New Roman" w:hAnsi="GHEA Grapalat" w:cs="Times New Roman"/>
          <w:color w:val="auto"/>
          <w:szCs w:val="20"/>
          <w:lang w:val="hy-AM"/>
        </w:rPr>
        <w:t xml:space="preserve">պետական </w:t>
      </w:r>
      <w:r w:rsidRPr="000232DD">
        <w:rPr>
          <w:rFonts w:ascii="GHEA Grapalat" w:eastAsia="Times New Roman" w:hAnsi="GHEA Grapalat" w:cs="Times New Roman"/>
          <w:color w:val="auto"/>
          <w:szCs w:val="20"/>
        </w:rPr>
        <w:t>բյուջեում նույն</w:t>
      </w:r>
      <w:r w:rsidRPr="000232DD">
        <w:rPr>
          <w:rFonts w:ascii="GHEA Grapalat" w:eastAsia="Times New Roman" w:hAnsi="GHEA Grapalat" w:cs="Times New Roman"/>
          <w:color w:val="auto"/>
          <w:szCs w:val="20"/>
        </w:rPr>
        <w:softHyphen/>
      </w:r>
      <w:r w:rsidRPr="000232DD">
        <w:rPr>
          <w:rFonts w:ascii="GHEA Grapalat" w:eastAsia="Times New Roman" w:hAnsi="GHEA Grapalat" w:cs="Times New Roman"/>
          <w:color w:val="auto"/>
          <w:szCs w:val="20"/>
        </w:rPr>
        <w:softHyphen/>
        <w:t>պես պահպանվել է ՀՀ պետական բյուջեի կախվա</w:t>
      </w:r>
      <w:r w:rsidRPr="000232DD">
        <w:rPr>
          <w:rFonts w:ascii="GHEA Grapalat" w:eastAsia="Times New Roman" w:hAnsi="GHEA Grapalat" w:cs="Times New Roman"/>
          <w:color w:val="auto"/>
          <w:szCs w:val="20"/>
        </w:rPr>
        <w:softHyphen/>
        <w:t>ծու</w:t>
      </w:r>
      <w:r w:rsidRPr="000232DD">
        <w:rPr>
          <w:rFonts w:ascii="GHEA Grapalat" w:eastAsia="Times New Roman" w:hAnsi="GHEA Grapalat" w:cs="Times New Roman"/>
          <w:color w:val="auto"/>
          <w:szCs w:val="20"/>
        </w:rPr>
        <w:softHyphen/>
        <w:t>թյունն արտաքին ֆինանսավորման աղբյուր</w:t>
      </w:r>
      <w:r w:rsidRPr="000232DD">
        <w:rPr>
          <w:rFonts w:ascii="GHEA Grapalat" w:eastAsia="Times New Roman" w:hAnsi="GHEA Grapalat" w:cs="Times New Roman"/>
          <w:color w:val="auto"/>
          <w:szCs w:val="20"/>
        </w:rPr>
        <w:softHyphen/>
      </w:r>
      <w:r w:rsidRPr="000232DD">
        <w:rPr>
          <w:rFonts w:ascii="GHEA Grapalat" w:eastAsia="Times New Roman" w:hAnsi="GHEA Grapalat" w:cs="Times New Roman"/>
          <w:color w:val="auto"/>
          <w:szCs w:val="20"/>
        </w:rPr>
        <w:softHyphen/>
        <w:t>ներից (արտասահմանյան վարկերից և պաշտո</w:t>
      </w:r>
      <w:r w:rsidRPr="000232DD">
        <w:rPr>
          <w:rFonts w:ascii="GHEA Grapalat" w:eastAsia="Times New Roman" w:hAnsi="GHEA Grapalat" w:cs="Times New Roman"/>
          <w:color w:val="auto"/>
          <w:szCs w:val="20"/>
        </w:rPr>
        <w:softHyphen/>
        <w:t>նական դրամաշնորհ</w:t>
      </w:r>
      <w:r w:rsidRPr="000232DD">
        <w:rPr>
          <w:rFonts w:ascii="GHEA Grapalat" w:eastAsia="Times New Roman" w:hAnsi="GHEA Grapalat" w:cs="Times New Roman"/>
          <w:color w:val="auto"/>
          <w:szCs w:val="20"/>
        </w:rPr>
        <w:softHyphen/>
        <w:t>ներից):</w:t>
      </w:r>
    </w:p>
    <w:p w14:paraId="767C0F9D" w14:textId="1857A350" w:rsidR="00280C7E" w:rsidRPr="00E73A9A" w:rsidRDefault="00280C7E" w:rsidP="00E73A9A">
      <w:pPr>
        <w:pStyle w:val="Charts"/>
        <w:ind w:right="-22"/>
        <w:rPr>
          <w:b w:val="0"/>
          <w:bCs/>
          <w:color w:val="auto"/>
          <w:sz w:val="20"/>
          <w:szCs w:val="18"/>
        </w:rPr>
      </w:pPr>
      <w:bookmarkStart w:id="343" w:name="_Toc178350614"/>
      <w:bookmarkStart w:id="344" w:name="_Toc178612139"/>
      <w:bookmarkStart w:id="345" w:name="_Toc115283830"/>
      <w:bookmarkStart w:id="346" w:name="_Toc83728698"/>
      <w:bookmarkStart w:id="347" w:name="_Toc184110765"/>
      <w:r w:rsidRPr="00E73A9A">
        <w:rPr>
          <w:b w:val="0"/>
          <w:bCs/>
          <w:color w:val="auto"/>
          <w:sz w:val="20"/>
          <w:szCs w:val="18"/>
        </w:rPr>
        <w:t>Աղյուսակ 5</w:t>
      </w:r>
      <w:r w:rsidRPr="00E73A9A">
        <w:rPr>
          <w:rFonts w:ascii="Cambria Math" w:hAnsi="Cambria Math" w:cs="Cambria Math"/>
          <w:b w:val="0"/>
          <w:bCs/>
          <w:color w:val="auto"/>
          <w:sz w:val="20"/>
          <w:szCs w:val="18"/>
        </w:rPr>
        <w:t>․</w:t>
      </w:r>
      <w:r w:rsidRPr="00E73A9A">
        <w:rPr>
          <w:b w:val="0"/>
          <w:bCs/>
          <w:color w:val="auto"/>
          <w:sz w:val="20"/>
          <w:szCs w:val="18"/>
        </w:rPr>
        <w:t xml:space="preserve"> Ընդհանուր և առաջնային դեֆիցիտները</w:t>
      </w:r>
      <w:bookmarkEnd w:id="343"/>
      <w:bookmarkEnd w:id="344"/>
      <w:bookmarkEnd w:id="345"/>
      <w:bookmarkEnd w:id="346"/>
      <w:r w:rsidRPr="00E73A9A">
        <w:rPr>
          <w:b w:val="0"/>
          <w:bCs/>
          <w:color w:val="auto"/>
          <w:sz w:val="20"/>
          <w:szCs w:val="18"/>
        </w:rPr>
        <w:t>, %-ով ՀՆԱ-ի նկատմամբ</w:t>
      </w:r>
      <w:bookmarkEnd w:id="347"/>
    </w:p>
    <w:tbl>
      <w:tblPr>
        <w:tblW w:w="5000" w:type="pct"/>
        <w:tblBorders>
          <w:top w:val="single" w:sz="8" w:space="0" w:color="E1E1E3"/>
          <w:left w:val="single" w:sz="8" w:space="0" w:color="E1E1E3"/>
          <w:bottom w:val="single" w:sz="8" w:space="0" w:color="E1E1E3"/>
          <w:right w:val="single" w:sz="8" w:space="0" w:color="E1E1E3"/>
          <w:insideH w:val="single" w:sz="8" w:space="0" w:color="E1E1E3"/>
          <w:insideV w:val="single" w:sz="8" w:space="0" w:color="E1E1E3"/>
        </w:tblBorders>
        <w:tblLook w:val="04A0" w:firstRow="1" w:lastRow="0" w:firstColumn="1" w:lastColumn="0" w:noHBand="0" w:noVBand="1"/>
      </w:tblPr>
      <w:tblGrid>
        <w:gridCol w:w="4891"/>
        <w:gridCol w:w="1724"/>
        <w:gridCol w:w="1524"/>
        <w:gridCol w:w="2187"/>
      </w:tblGrid>
      <w:tr w:rsidR="004C0C21" w:rsidRPr="00EF2172" w14:paraId="7B75C7D9" w14:textId="77777777" w:rsidTr="006422CA">
        <w:trPr>
          <w:trHeight w:val="432"/>
        </w:trPr>
        <w:tc>
          <w:tcPr>
            <w:tcW w:w="2368" w:type="pct"/>
            <w:shd w:val="clear" w:color="auto" w:fill="DAE9F7" w:themeFill="text2" w:themeFillTint="1A"/>
            <w:vAlign w:val="center"/>
            <w:hideMark/>
          </w:tcPr>
          <w:p w14:paraId="106FF538" w14:textId="77777777" w:rsidR="00280C7E" w:rsidRPr="00746EF2" w:rsidRDefault="00280C7E" w:rsidP="00746EF2">
            <w:pPr>
              <w:ind w:right="-22"/>
              <w:jc w:val="both"/>
              <w:rPr>
                <w:rFonts w:ascii="GHEA Grapalat" w:eastAsia="Times New Roman" w:hAnsi="GHEA Grapalat" w:cs="Times New Roman"/>
                <w:b/>
                <w:bCs/>
                <w:color w:val="auto"/>
                <w:sz w:val="18"/>
                <w:szCs w:val="20"/>
              </w:rPr>
            </w:pPr>
            <w:r w:rsidRPr="00746EF2">
              <w:rPr>
                <w:rFonts w:ascii="GHEA Grapalat" w:eastAsia="Times New Roman" w:hAnsi="GHEA Grapalat" w:cs="Times New Roman"/>
                <w:b/>
                <w:bCs/>
                <w:color w:val="auto"/>
                <w:sz w:val="18"/>
                <w:szCs w:val="20"/>
              </w:rPr>
              <w:t>Ցուցանիշներ</w:t>
            </w:r>
          </w:p>
        </w:tc>
        <w:tc>
          <w:tcPr>
            <w:tcW w:w="835" w:type="pct"/>
            <w:shd w:val="clear" w:color="auto" w:fill="DAE9F7" w:themeFill="text2" w:themeFillTint="1A"/>
            <w:vAlign w:val="center"/>
          </w:tcPr>
          <w:p w14:paraId="321F307F" w14:textId="02B59110" w:rsidR="00280C7E" w:rsidRPr="00746EF2" w:rsidRDefault="00280C7E" w:rsidP="00746EF2">
            <w:pPr>
              <w:ind w:right="-22"/>
              <w:jc w:val="center"/>
              <w:rPr>
                <w:rFonts w:ascii="GHEA Grapalat" w:eastAsia="Times New Roman" w:hAnsi="GHEA Grapalat" w:cs="Times New Roman"/>
                <w:b/>
                <w:bCs/>
                <w:color w:val="auto"/>
                <w:sz w:val="18"/>
                <w:szCs w:val="20"/>
              </w:rPr>
            </w:pPr>
            <w:r w:rsidRPr="00746EF2">
              <w:rPr>
                <w:rFonts w:ascii="GHEA Grapalat" w:eastAsia="Times New Roman" w:hAnsi="GHEA Grapalat" w:cs="Times New Roman"/>
                <w:b/>
                <w:bCs/>
                <w:color w:val="auto"/>
                <w:sz w:val="18"/>
                <w:szCs w:val="20"/>
              </w:rPr>
              <w:t>202</w:t>
            </w:r>
            <w:r w:rsidR="00746EF2" w:rsidRPr="00746EF2">
              <w:rPr>
                <w:rFonts w:ascii="GHEA Grapalat" w:eastAsia="Times New Roman" w:hAnsi="GHEA Grapalat" w:cs="Times New Roman"/>
                <w:b/>
                <w:bCs/>
                <w:color w:val="auto"/>
                <w:sz w:val="18"/>
                <w:szCs w:val="20"/>
              </w:rPr>
              <w:t>7</w:t>
            </w:r>
          </w:p>
        </w:tc>
        <w:tc>
          <w:tcPr>
            <w:tcW w:w="738" w:type="pct"/>
            <w:shd w:val="clear" w:color="auto" w:fill="DAE9F7" w:themeFill="text2" w:themeFillTint="1A"/>
            <w:vAlign w:val="center"/>
          </w:tcPr>
          <w:p w14:paraId="71945917" w14:textId="07986590" w:rsidR="00280C7E" w:rsidRPr="00746EF2" w:rsidRDefault="00280C7E" w:rsidP="00746EF2">
            <w:pPr>
              <w:ind w:right="-22"/>
              <w:jc w:val="center"/>
              <w:rPr>
                <w:rFonts w:ascii="GHEA Grapalat" w:eastAsia="Times New Roman" w:hAnsi="GHEA Grapalat" w:cs="Times New Roman"/>
                <w:b/>
                <w:bCs/>
                <w:color w:val="auto"/>
                <w:sz w:val="18"/>
                <w:szCs w:val="20"/>
              </w:rPr>
            </w:pPr>
            <w:r w:rsidRPr="00746EF2">
              <w:rPr>
                <w:rFonts w:ascii="GHEA Grapalat" w:eastAsia="Times New Roman" w:hAnsi="GHEA Grapalat" w:cs="Times New Roman"/>
                <w:b/>
                <w:bCs/>
                <w:color w:val="auto"/>
                <w:sz w:val="18"/>
                <w:szCs w:val="20"/>
              </w:rPr>
              <w:t>202</w:t>
            </w:r>
            <w:r w:rsidR="00746EF2" w:rsidRPr="00746EF2">
              <w:rPr>
                <w:rFonts w:ascii="GHEA Grapalat" w:eastAsia="Times New Roman" w:hAnsi="GHEA Grapalat" w:cs="Times New Roman"/>
                <w:b/>
                <w:bCs/>
                <w:color w:val="auto"/>
                <w:sz w:val="18"/>
                <w:szCs w:val="20"/>
              </w:rPr>
              <w:t>8</w:t>
            </w:r>
          </w:p>
        </w:tc>
        <w:tc>
          <w:tcPr>
            <w:tcW w:w="1059" w:type="pct"/>
            <w:shd w:val="clear" w:color="auto" w:fill="DAE9F7" w:themeFill="text2" w:themeFillTint="1A"/>
            <w:vAlign w:val="center"/>
          </w:tcPr>
          <w:p w14:paraId="632AC934" w14:textId="61A8AFD6" w:rsidR="00280C7E" w:rsidRPr="00746EF2" w:rsidRDefault="00280C7E" w:rsidP="00746EF2">
            <w:pPr>
              <w:ind w:right="-22"/>
              <w:jc w:val="center"/>
              <w:rPr>
                <w:rFonts w:ascii="GHEA Grapalat" w:eastAsia="Times New Roman" w:hAnsi="GHEA Grapalat" w:cs="Times New Roman"/>
                <w:b/>
                <w:bCs/>
                <w:color w:val="auto"/>
                <w:sz w:val="18"/>
                <w:szCs w:val="20"/>
              </w:rPr>
            </w:pPr>
            <w:r w:rsidRPr="00746EF2">
              <w:rPr>
                <w:rFonts w:ascii="GHEA Grapalat" w:eastAsia="Times New Roman" w:hAnsi="GHEA Grapalat" w:cs="Times New Roman"/>
                <w:b/>
                <w:bCs/>
                <w:color w:val="auto"/>
                <w:sz w:val="18"/>
                <w:szCs w:val="20"/>
              </w:rPr>
              <w:t>202</w:t>
            </w:r>
            <w:r w:rsidR="00746EF2" w:rsidRPr="00746EF2">
              <w:rPr>
                <w:rFonts w:ascii="GHEA Grapalat" w:eastAsia="Times New Roman" w:hAnsi="GHEA Grapalat" w:cs="Times New Roman"/>
                <w:b/>
                <w:bCs/>
                <w:color w:val="auto"/>
                <w:sz w:val="18"/>
                <w:szCs w:val="20"/>
              </w:rPr>
              <w:t>9</w:t>
            </w:r>
          </w:p>
        </w:tc>
      </w:tr>
      <w:tr w:rsidR="004C0C21" w:rsidRPr="00EF2172" w14:paraId="08E4E569" w14:textId="77777777" w:rsidTr="00280C7E">
        <w:trPr>
          <w:trHeight w:val="412"/>
        </w:trPr>
        <w:tc>
          <w:tcPr>
            <w:tcW w:w="2368" w:type="pct"/>
            <w:shd w:val="clear" w:color="auto" w:fill="auto"/>
            <w:vAlign w:val="center"/>
            <w:hideMark/>
          </w:tcPr>
          <w:p w14:paraId="7080C89D" w14:textId="77777777" w:rsidR="00280C7E" w:rsidRPr="00746EF2" w:rsidRDefault="00280C7E" w:rsidP="00746EF2">
            <w:pPr>
              <w:ind w:right="-22"/>
              <w:jc w:val="both"/>
              <w:rPr>
                <w:rFonts w:ascii="GHEA Grapalat" w:eastAsia="Times New Roman" w:hAnsi="GHEA Grapalat" w:cs="Times New Roman"/>
                <w:color w:val="auto"/>
                <w:sz w:val="18"/>
                <w:szCs w:val="20"/>
              </w:rPr>
            </w:pPr>
            <w:r w:rsidRPr="00746EF2">
              <w:rPr>
                <w:rFonts w:ascii="GHEA Grapalat" w:eastAsia="Times New Roman" w:hAnsi="GHEA Grapalat" w:cs="Times New Roman"/>
                <w:color w:val="auto"/>
                <w:sz w:val="18"/>
                <w:szCs w:val="20"/>
              </w:rPr>
              <w:t>Ընդհանուր դեֆիցիտ` Ընդհանուր եկամուտների և ծախսերի տարբերու</w:t>
            </w:r>
            <w:r w:rsidRPr="00746EF2">
              <w:rPr>
                <w:rFonts w:ascii="GHEA Grapalat" w:eastAsia="Times New Roman" w:hAnsi="GHEA Grapalat" w:cs="Times New Roman"/>
                <w:color w:val="auto"/>
                <w:sz w:val="18"/>
                <w:szCs w:val="20"/>
              </w:rPr>
              <w:softHyphen/>
              <w:t>թյունը</w:t>
            </w:r>
          </w:p>
        </w:tc>
        <w:tc>
          <w:tcPr>
            <w:tcW w:w="835" w:type="pct"/>
            <w:shd w:val="clear" w:color="auto" w:fill="auto"/>
            <w:vAlign w:val="center"/>
          </w:tcPr>
          <w:p w14:paraId="179D27BF" w14:textId="3AC34DC4" w:rsidR="00280C7E" w:rsidRPr="00746EF2" w:rsidRDefault="00280C7E" w:rsidP="00746EF2">
            <w:pPr>
              <w:ind w:right="-22"/>
              <w:jc w:val="center"/>
              <w:rPr>
                <w:rFonts w:ascii="GHEA Grapalat" w:eastAsia="Times New Roman" w:hAnsi="GHEA Grapalat" w:cs="Calibri"/>
                <w:bCs/>
                <w:color w:val="auto"/>
                <w:sz w:val="18"/>
                <w:szCs w:val="18"/>
              </w:rPr>
            </w:pPr>
            <w:r w:rsidRPr="00746EF2">
              <w:rPr>
                <w:rFonts w:ascii="GHEA Grapalat" w:eastAsia="Times New Roman" w:hAnsi="GHEA Grapalat" w:cs="Calibri"/>
                <w:bCs/>
                <w:color w:val="auto"/>
                <w:sz w:val="18"/>
                <w:szCs w:val="18"/>
              </w:rPr>
              <w:t>(</w:t>
            </w:r>
            <w:r w:rsidR="00746EF2" w:rsidRPr="00746EF2">
              <w:rPr>
                <w:rFonts w:ascii="GHEA Grapalat" w:eastAsia="Times New Roman" w:hAnsi="GHEA Grapalat" w:cs="Calibri"/>
                <w:bCs/>
                <w:color w:val="auto"/>
                <w:sz w:val="18"/>
                <w:szCs w:val="18"/>
              </w:rPr>
              <w:t>3.4</w:t>
            </w:r>
            <w:r w:rsidRPr="00746EF2">
              <w:rPr>
                <w:rFonts w:ascii="GHEA Grapalat" w:eastAsia="Times New Roman" w:hAnsi="GHEA Grapalat" w:cs="Calibri"/>
                <w:bCs/>
                <w:color w:val="auto"/>
                <w:sz w:val="18"/>
                <w:szCs w:val="18"/>
              </w:rPr>
              <w:t>)</w:t>
            </w:r>
          </w:p>
        </w:tc>
        <w:tc>
          <w:tcPr>
            <w:tcW w:w="738" w:type="pct"/>
            <w:vAlign w:val="center"/>
          </w:tcPr>
          <w:p w14:paraId="030A95D8" w14:textId="0067EA6A" w:rsidR="00280C7E" w:rsidRPr="00746EF2" w:rsidRDefault="00280C7E" w:rsidP="00746EF2">
            <w:pPr>
              <w:ind w:right="-22"/>
              <w:jc w:val="center"/>
              <w:rPr>
                <w:rFonts w:ascii="GHEA Grapalat" w:eastAsia="Times New Roman" w:hAnsi="GHEA Grapalat" w:cs="Calibri"/>
                <w:bCs/>
                <w:color w:val="auto"/>
                <w:sz w:val="18"/>
                <w:szCs w:val="18"/>
              </w:rPr>
            </w:pPr>
            <w:r w:rsidRPr="00746EF2">
              <w:rPr>
                <w:rFonts w:ascii="GHEA Grapalat" w:eastAsia="Times New Roman" w:hAnsi="GHEA Grapalat" w:cs="Calibri"/>
                <w:bCs/>
                <w:color w:val="auto"/>
                <w:sz w:val="18"/>
                <w:szCs w:val="18"/>
              </w:rPr>
              <w:t>(</w:t>
            </w:r>
            <w:r w:rsidR="00746EF2" w:rsidRPr="00746EF2">
              <w:rPr>
                <w:rFonts w:ascii="GHEA Grapalat" w:eastAsia="Times New Roman" w:hAnsi="GHEA Grapalat" w:cs="Calibri"/>
                <w:bCs/>
                <w:color w:val="auto"/>
                <w:sz w:val="18"/>
                <w:szCs w:val="18"/>
              </w:rPr>
              <w:t>2.8</w:t>
            </w:r>
            <w:r w:rsidRPr="00746EF2">
              <w:rPr>
                <w:rFonts w:ascii="GHEA Grapalat" w:eastAsia="Times New Roman" w:hAnsi="GHEA Grapalat" w:cs="Calibri"/>
                <w:bCs/>
                <w:color w:val="auto"/>
                <w:sz w:val="18"/>
                <w:szCs w:val="18"/>
              </w:rPr>
              <w:t>)</w:t>
            </w:r>
          </w:p>
        </w:tc>
        <w:tc>
          <w:tcPr>
            <w:tcW w:w="1059" w:type="pct"/>
            <w:vAlign w:val="center"/>
          </w:tcPr>
          <w:p w14:paraId="48232F93" w14:textId="52700BB1" w:rsidR="00280C7E" w:rsidRPr="00746EF2" w:rsidRDefault="00280C7E" w:rsidP="00746EF2">
            <w:pPr>
              <w:ind w:right="-22"/>
              <w:jc w:val="center"/>
              <w:rPr>
                <w:rFonts w:ascii="GHEA Grapalat" w:eastAsia="Times New Roman" w:hAnsi="GHEA Grapalat" w:cs="Calibri"/>
                <w:bCs/>
                <w:color w:val="auto"/>
                <w:sz w:val="18"/>
                <w:szCs w:val="18"/>
              </w:rPr>
            </w:pPr>
            <w:r w:rsidRPr="00746EF2">
              <w:rPr>
                <w:rFonts w:ascii="GHEA Grapalat" w:eastAsia="Times New Roman" w:hAnsi="GHEA Grapalat" w:cs="Calibri"/>
                <w:bCs/>
                <w:color w:val="auto"/>
                <w:sz w:val="18"/>
                <w:szCs w:val="18"/>
              </w:rPr>
              <w:t>(</w:t>
            </w:r>
            <w:r w:rsidR="00746EF2" w:rsidRPr="00746EF2">
              <w:rPr>
                <w:rFonts w:ascii="GHEA Grapalat" w:eastAsia="Times New Roman" w:hAnsi="GHEA Grapalat" w:cs="Calibri"/>
                <w:bCs/>
                <w:color w:val="auto"/>
                <w:sz w:val="18"/>
                <w:szCs w:val="18"/>
              </w:rPr>
              <w:t>1</w:t>
            </w:r>
            <w:r w:rsidRPr="00746EF2">
              <w:rPr>
                <w:rFonts w:ascii="GHEA Grapalat" w:eastAsia="Times New Roman" w:hAnsi="GHEA Grapalat" w:cs="Calibri"/>
                <w:bCs/>
                <w:color w:val="auto"/>
                <w:sz w:val="18"/>
                <w:szCs w:val="18"/>
              </w:rPr>
              <w:t>.8)</w:t>
            </w:r>
          </w:p>
        </w:tc>
      </w:tr>
      <w:tr w:rsidR="00746EF2" w:rsidRPr="00EF2172" w14:paraId="709E3836" w14:textId="77777777" w:rsidTr="00280C7E">
        <w:trPr>
          <w:trHeight w:val="60"/>
        </w:trPr>
        <w:tc>
          <w:tcPr>
            <w:tcW w:w="2368" w:type="pct"/>
            <w:shd w:val="clear" w:color="auto" w:fill="auto"/>
            <w:vAlign w:val="center"/>
            <w:hideMark/>
          </w:tcPr>
          <w:p w14:paraId="5041B0CE" w14:textId="2F7D764B" w:rsidR="00746EF2" w:rsidRPr="00746EF2" w:rsidRDefault="00746EF2" w:rsidP="00746EF2">
            <w:pPr>
              <w:ind w:right="-22"/>
              <w:jc w:val="both"/>
              <w:rPr>
                <w:rFonts w:ascii="GHEA Grapalat" w:eastAsia="Times New Roman" w:hAnsi="GHEA Grapalat" w:cs="Times New Roman"/>
                <w:color w:val="auto"/>
                <w:sz w:val="18"/>
                <w:szCs w:val="20"/>
              </w:rPr>
            </w:pPr>
            <w:r w:rsidRPr="00746EF2">
              <w:rPr>
                <w:rFonts w:ascii="GHEA Grapalat" w:eastAsia="Times New Roman" w:hAnsi="GHEA Grapalat" w:cs="Times New Roman"/>
                <w:color w:val="auto"/>
                <w:sz w:val="18"/>
                <w:szCs w:val="20"/>
              </w:rPr>
              <w:t>Առաջնային դեֆիցիտ` Ընդհանուր եկամուտների և ծախսերի (առանց տոկոսավճարների) տարբերությունը</w:t>
            </w:r>
          </w:p>
        </w:tc>
        <w:tc>
          <w:tcPr>
            <w:tcW w:w="835" w:type="pct"/>
            <w:shd w:val="clear" w:color="auto" w:fill="auto"/>
            <w:vAlign w:val="center"/>
          </w:tcPr>
          <w:p w14:paraId="0328A981" w14:textId="7BEEF597" w:rsidR="00746EF2" w:rsidRPr="00746EF2" w:rsidRDefault="00746EF2" w:rsidP="00746EF2">
            <w:pPr>
              <w:ind w:right="-22"/>
              <w:jc w:val="center"/>
              <w:rPr>
                <w:rFonts w:ascii="GHEA Grapalat" w:eastAsia="Times New Roman" w:hAnsi="GHEA Grapalat" w:cs="Calibri"/>
                <w:bCs/>
                <w:color w:val="auto"/>
                <w:sz w:val="18"/>
                <w:szCs w:val="18"/>
              </w:rPr>
            </w:pPr>
            <w:r w:rsidRPr="00746EF2">
              <w:rPr>
                <w:rFonts w:ascii="GHEA Grapalat" w:eastAsia="Times New Roman" w:hAnsi="GHEA Grapalat" w:cs="Calibri"/>
                <w:bCs/>
                <w:color w:val="auto"/>
                <w:sz w:val="18"/>
                <w:szCs w:val="18"/>
              </w:rPr>
              <w:t>(0.4)</w:t>
            </w:r>
          </w:p>
        </w:tc>
        <w:tc>
          <w:tcPr>
            <w:tcW w:w="738" w:type="pct"/>
            <w:vAlign w:val="center"/>
          </w:tcPr>
          <w:p w14:paraId="49FB6519" w14:textId="19509C24" w:rsidR="00746EF2" w:rsidRPr="00746EF2" w:rsidRDefault="00746EF2" w:rsidP="00746EF2">
            <w:pPr>
              <w:ind w:right="-22"/>
              <w:jc w:val="center"/>
              <w:rPr>
                <w:rFonts w:ascii="GHEA Grapalat" w:eastAsia="Times New Roman" w:hAnsi="GHEA Grapalat" w:cs="Calibri"/>
                <w:bCs/>
                <w:color w:val="auto"/>
                <w:sz w:val="18"/>
                <w:szCs w:val="18"/>
              </w:rPr>
            </w:pPr>
            <w:r w:rsidRPr="00746EF2">
              <w:rPr>
                <w:rFonts w:ascii="GHEA Grapalat" w:eastAsia="Times New Roman" w:hAnsi="GHEA Grapalat" w:cs="Calibri"/>
                <w:bCs/>
                <w:color w:val="auto"/>
                <w:sz w:val="18"/>
                <w:szCs w:val="18"/>
              </w:rPr>
              <w:t>0.3</w:t>
            </w:r>
          </w:p>
        </w:tc>
        <w:tc>
          <w:tcPr>
            <w:tcW w:w="1059" w:type="pct"/>
            <w:vAlign w:val="center"/>
          </w:tcPr>
          <w:p w14:paraId="4C624281" w14:textId="4482E0E0" w:rsidR="00746EF2" w:rsidRPr="00746EF2" w:rsidRDefault="00746EF2" w:rsidP="00746EF2">
            <w:pPr>
              <w:ind w:right="-22"/>
              <w:jc w:val="center"/>
              <w:rPr>
                <w:rFonts w:ascii="GHEA Grapalat" w:eastAsia="Times New Roman" w:hAnsi="GHEA Grapalat" w:cs="Calibri"/>
                <w:bCs/>
                <w:color w:val="auto"/>
                <w:sz w:val="18"/>
                <w:szCs w:val="18"/>
              </w:rPr>
            </w:pPr>
            <w:r w:rsidRPr="00746EF2">
              <w:rPr>
                <w:rFonts w:ascii="GHEA Grapalat" w:eastAsia="Times New Roman" w:hAnsi="GHEA Grapalat" w:cs="Calibri"/>
                <w:bCs/>
                <w:color w:val="auto"/>
                <w:sz w:val="18"/>
                <w:szCs w:val="18"/>
              </w:rPr>
              <w:t>1.2</w:t>
            </w:r>
          </w:p>
        </w:tc>
      </w:tr>
    </w:tbl>
    <w:p w14:paraId="00DF584C" w14:textId="77777777" w:rsidR="00280C7E" w:rsidRPr="000232DD" w:rsidRDefault="00280C7E" w:rsidP="00082769">
      <w:pPr>
        <w:ind w:right="-22"/>
        <w:jc w:val="both"/>
        <w:rPr>
          <w:rFonts w:ascii="GHEA Grapalat" w:eastAsia="Times New Roman" w:hAnsi="GHEA Grapalat" w:cs="Times New Roman"/>
          <w:color w:val="auto"/>
          <w:lang w:eastAsia="ru-RU"/>
        </w:rPr>
      </w:pPr>
    </w:p>
    <w:p w14:paraId="5BA3262D" w14:textId="77777777" w:rsidR="00B43595" w:rsidRPr="000232DD" w:rsidRDefault="00B43595" w:rsidP="00082769">
      <w:pPr>
        <w:ind w:right="-22"/>
        <w:outlineLvl w:val="0"/>
        <w:rPr>
          <w:rFonts w:ascii="GHEA Grapalat" w:eastAsia="Times New Roman" w:hAnsi="GHEA Grapalat" w:cs="Times New Roman"/>
          <w:b/>
          <w:color w:val="auto"/>
          <w:sz w:val="30"/>
          <w:szCs w:val="20"/>
          <w:lang w:val="hy-AM"/>
        </w:rPr>
      </w:pPr>
      <w:bookmarkStart w:id="348" w:name="_Toc241687676"/>
      <w:r w:rsidRPr="000232DD">
        <w:rPr>
          <w:rFonts w:ascii="GHEA Grapalat" w:eastAsia="Times New Roman" w:hAnsi="GHEA Grapalat" w:cs="Times New Roman"/>
          <w:b/>
          <w:color w:val="auto"/>
          <w:sz w:val="30"/>
          <w:szCs w:val="20"/>
          <w:lang w:val="hy-AM"/>
        </w:rPr>
        <w:t>ՄԱՍ II-Բ. ԵԿԱՄՈՒՏՆԵՐԻ ԿԱՆԽԱՏԵՍՈՒՄ</w:t>
      </w:r>
      <w:bookmarkEnd w:id="79"/>
      <w:bookmarkEnd w:id="348"/>
    </w:p>
    <w:p w14:paraId="1CFC697C" w14:textId="66141166" w:rsidR="00B43595" w:rsidRPr="000232DD" w:rsidRDefault="00B43595" w:rsidP="00082769">
      <w:pPr>
        <w:ind w:right="-22"/>
        <w:jc w:val="both"/>
        <w:rPr>
          <w:rFonts w:ascii="GHEA Grapalat" w:eastAsia="Times New Roman" w:hAnsi="GHEA Grapalat" w:cs="Times New Roman"/>
          <w:color w:val="auto"/>
          <w:szCs w:val="20"/>
          <w:lang w:val="hy-AM"/>
        </w:rPr>
      </w:pPr>
      <w:bookmarkStart w:id="349" w:name="_Toc530663263"/>
      <w:bookmarkStart w:id="350" w:name="_Toc26174934"/>
      <w:r w:rsidRPr="000232DD">
        <w:rPr>
          <w:rFonts w:ascii="GHEA Grapalat" w:eastAsia="Times New Roman" w:hAnsi="GHEA Grapalat" w:cs="Times New Roman"/>
          <w:color w:val="auto"/>
          <w:szCs w:val="20"/>
          <w:lang w:val="hy-AM"/>
        </w:rPr>
        <w:t>«Հայաստանի Հանրապետության 2027 թվականի պետական բյուջեի մասին» ՀՀ օրեն</w:t>
      </w:r>
      <w:r w:rsidRPr="000232DD">
        <w:rPr>
          <w:rFonts w:ascii="GHEA Grapalat" w:eastAsia="Times New Roman" w:hAnsi="GHEA Grapalat" w:cs="Times New Roman"/>
          <w:color w:val="auto"/>
          <w:szCs w:val="20"/>
          <w:lang w:val="hy-AM"/>
        </w:rPr>
        <w:softHyphen/>
        <w:t>քում (սույն մասում այսու</w:t>
      </w:r>
      <w:r w:rsidRPr="000232DD">
        <w:rPr>
          <w:rFonts w:ascii="GHEA Grapalat" w:eastAsia="Times New Roman" w:hAnsi="GHEA Grapalat" w:cs="Times New Roman"/>
          <w:color w:val="auto"/>
          <w:szCs w:val="20"/>
          <w:lang w:val="hy-AM"/>
        </w:rPr>
        <w:softHyphen/>
        <w:t>հետ՝ Օրենք) եկամուտների ընդհանուր գու</w:t>
      </w:r>
      <w:r w:rsidRPr="000232DD">
        <w:rPr>
          <w:rFonts w:ascii="GHEA Grapalat" w:eastAsia="Times New Roman" w:hAnsi="GHEA Grapalat" w:cs="Times New Roman"/>
          <w:color w:val="auto"/>
          <w:szCs w:val="20"/>
          <w:lang w:val="hy-AM"/>
        </w:rPr>
        <w:softHyphen/>
        <w:t>մարը ծրագրվել է 2027 թվականի համար 3,603.8 մլրդ դրամ, 2028 թվականի համար 3,950.2 մլրդ դրամ, իսկ 2029 թվականի համար 4,311.4 մլրդ դրամ՝ 2026 թվականի համար հաստատված 3,090</w:t>
      </w:r>
      <w:r w:rsidR="00910273">
        <w:rPr>
          <w:rFonts w:ascii="GHEA Grapalat" w:eastAsia="Times New Roman" w:hAnsi="GHEA Grapalat" w:cs="Times New Roman"/>
          <w:color w:val="auto"/>
          <w:szCs w:val="20"/>
          <w:lang w:val="hy-AM"/>
        </w:rPr>
        <w:t>.</w:t>
      </w:r>
      <w:r w:rsidRPr="000232DD">
        <w:rPr>
          <w:rFonts w:ascii="GHEA Grapalat" w:eastAsia="Times New Roman" w:hAnsi="GHEA Grapalat" w:cs="Times New Roman"/>
          <w:color w:val="auto"/>
          <w:szCs w:val="20"/>
          <w:lang w:val="hy-AM"/>
        </w:rPr>
        <w:t>9 մլրդ դրամի և 2025 թվականին փաստացի ստացված 2,886.5 մլրդ դրամ գու</w:t>
      </w:r>
      <w:r w:rsidRPr="000232DD">
        <w:rPr>
          <w:rFonts w:ascii="GHEA Grapalat" w:eastAsia="Times New Roman" w:hAnsi="GHEA Grapalat" w:cs="Times New Roman"/>
          <w:color w:val="auto"/>
          <w:szCs w:val="20"/>
          <w:lang w:val="hy-AM"/>
        </w:rPr>
        <w:softHyphen/>
        <w:t>մար</w:t>
      </w:r>
      <w:r w:rsidRPr="000232DD">
        <w:rPr>
          <w:rFonts w:ascii="GHEA Grapalat" w:eastAsia="Times New Roman" w:hAnsi="GHEA Grapalat" w:cs="Times New Roman"/>
          <w:color w:val="auto"/>
          <w:szCs w:val="20"/>
          <w:lang w:val="hy-AM"/>
        </w:rPr>
        <w:softHyphen/>
        <w:t>ների դիմաց: Եկա</w:t>
      </w:r>
      <w:r w:rsidRPr="000232DD">
        <w:rPr>
          <w:rFonts w:ascii="GHEA Grapalat" w:eastAsia="Times New Roman" w:hAnsi="GHEA Grapalat" w:cs="Times New Roman"/>
          <w:color w:val="auto"/>
          <w:szCs w:val="20"/>
          <w:lang w:val="hy-AM"/>
        </w:rPr>
        <w:softHyphen/>
        <w:t>մուտ</w:t>
      </w:r>
      <w:r w:rsidRPr="000232DD">
        <w:rPr>
          <w:rFonts w:ascii="GHEA Grapalat" w:eastAsia="Times New Roman" w:hAnsi="GHEA Grapalat" w:cs="Times New Roman"/>
          <w:color w:val="auto"/>
          <w:szCs w:val="20"/>
          <w:lang w:val="hy-AM"/>
        </w:rPr>
        <w:softHyphen/>
      </w:r>
      <w:r w:rsidRPr="000232DD">
        <w:rPr>
          <w:rFonts w:ascii="GHEA Grapalat" w:eastAsia="Times New Roman" w:hAnsi="GHEA Grapalat" w:cs="Times New Roman"/>
          <w:color w:val="auto"/>
          <w:szCs w:val="20"/>
          <w:lang w:val="hy-AM"/>
        </w:rPr>
        <w:softHyphen/>
      </w:r>
      <w:r w:rsidRPr="000232DD">
        <w:rPr>
          <w:rFonts w:ascii="GHEA Grapalat" w:eastAsia="Times New Roman" w:hAnsi="GHEA Grapalat" w:cs="Times New Roman"/>
          <w:color w:val="auto"/>
          <w:szCs w:val="20"/>
          <w:lang w:val="hy-AM"/>
        </w:rPr>
        <w:softHyphen/>
        <w:t>ների տա</w:t>
      </w:r>
      <w:r w:rsidRPr="000232DD">
        <w:rPr>
          <w:rFonts w:ascii="GHEA Grapalat" w:eastAsia="Times New Roman" w:hAnsi="GHEA Grapalat" w:cs="Times New Roman"/>
          <w:color w:val="auto"/>
          <w:szCs w:val="20"/>
          <w:lang w:val="hy-AM"/>
        </w:rPr>
        <w:softHyphen/>
      </w:r>
      <w:r w:rsidRPr="000232DD">
        <w:rPr>
          <w:rFonts w:ascii="GHEA Grapalat" w:eastAsia="Times New Roman" w:hAnsi="GHEA Grapalat" w:cs="Times New Roman"/>
          <w:color w:val="auto"/>
          <w:szCs w:val="20"/>
          <w:lang w:val="hy-AM"/>
        </w:rPr>
        <w:softHyphen/>
        <w:t>րեկան ծրա</w:t>
      </w:r>
      <w:r w:rsidRPr="000232DD">
        <w:rPr>
          <w:rFonts w:ascii="GHEA Grapalat" w:eastAsia="Times New Roman" w:hAnsi="GHEA Grapalat" w:cs="Times New Roman"/>
          <w:color w:val="auto"/>
          <w:szCs w:val="20"/>
          <w:lang w:val="hy-AM"/>
        </w:rPr>
        <w:softHyphen/>
        <w:t>գրա</w:t>
      </w:r>
      <w:r w:rsidRPr="000232DD">
        <w:rPr>
          <w:rFonts w:ascii="GHEA Grapalat" w:eastAsia="Times New Roman" w:hAnsi="GHEA Grapalat" w:cs="Times New Roman"/>
          <w:color w:val="auto"/>
          <w:szCs w:val="20"/>
          <w:lang w:val="hy-AM"/>
        </w:rPr>
        <w:softHyphen/>
        <w:t>յին ծավալները կապահովվեն հիմնականում ի հաշիվ հար</w:t>
      </w:r>
      <w:r w:rsidRPr="000232DD">
        <w:rPr>
          <w:rFonts w:ascii="GHEA Grapalat" w:eastAsia="Times New Roman" w:hAnsi="GHEA Grapalat" w:cs="Times New Roman"/>
          <w:color w:val="auto"/>
          <w:szCs w:val="20"/>
          <w:lang w:val="hy-AM"/>
        </w:rPr>
        <w:softHyphen/>
        <w:t>կային եկա</w:t>
      </w:r>
      <w:r w:rsidRPr="000232DD">
        <w:rPr>
          <w:rFonts w:ascii="GHEA Grapalat" w:eastAsia="Times New Roman" w:hAnsi="GHEA Grapalat" w:cs="Times New Roman"/>
          <w:color w:val="auto"/>
          <w:szCs w:val="20"/>
          <w:lang w:val="hy-AM"/>
        </w:rPr>
        <w:softHyphen/>
        <w:t>մուտ</w:t>
      </w:r>
      <w:r w:rsidRPr="000232DD">
        <w:rPr>
          <w:rFonts w:ascii="GHEA Grapalat" w:eastAsia="Times New Roman" w:hAnsi="GHEA Grapalat" w:cs="Times New Roman"/>
          <w:color w:val="auto"/>
          <w:szCs w:val="20"/>
          <w:lang w:val="hy-AM"/>
        </w:rPr>
        <w:softHyphen/>
        <w:t xml:space="preserve">ների: </w:t>
      </w:r>
    </w:p>
    <w:p w14:paraId="1A678B6C" w14:textId="77777777" w:rsidR="00B43595" w:rsidRPr="00787B5A" w:rsidRDefault="00B43595" w:rsidP="00787B5A">
      <w:pPr>
        <w:pStyle w:val="TableTitleCharCharCharCharCharCharCharCharCharChar11"/>
        <w:ind w:right="-22"/>
        <w:rPr>
          <w:rFonts w:ascii="Sylfaen" w:eastAsia="Times New Roman" w:hAnsi="Sylfaen" w:cs="Sylfaen"/>
          <w:color w:val="auto"/>
          <w:lang w:val="hy-AM"/>
        </w:rPr>
      </w:pPr>
      <w:bookmarkStart w:id="351" w:name="_Toc178350615"/>
      <w:bookmarkStart w:id="352" w:name="_Toc83928943"/>
      <w:bookmarkStart w:id="353" w:name="_Toc178612140"/>
      <w:bookmarkStart w:id="354" w:name="_Toc184110766"/>
    </w:p>
    <w:p w14:paraId="115C6BC1" w14:textId="298D4C7A" w:rsidR="00B43595" w:rsidRPr="00E73A9A" w:rsidRDefault="00B43595" w:rsidP="00E73A9A">
      <w:pPr>
        <w:pStyle w:val="Charts"/>
        <w:ind w:right="-22"/>
        <w:rPr>
          <w:b w:val="0"/>
          <w:bCs/>
          <w:color w:val="auto"/>
          <w:sz w:val="20"/>
          <w:szCs w:val="18"/>
        </w:rPr>
      </w:pPr>
      <w:bookmarkStart w:id="355" w:name="_Toc241602017"/>
      <w:r w:rsidRPr="00E73A9A">
        <w:rPr>
          <w:b w:val="0"/>
          <w:bCs/>
          <w:color w:val="auto"/>
          <w:sz w:val="20"/>
          <w:szCs w:val="18"/>
        </w:rPr>
        <w:t xml:space="preserve">Աղյուսակ </w:t>
      </w:r>
      <w:r w:rsidRPr="00E73A9A">
        <w:rPr>
          <w:b w:val="0"/>
          <w:bCs/>
          <w:color w:val="auto"/>
          <w:sz w:val="20"/>
          <w:szCs w:val="18"/>
        </w:rPr>
        <w:fldChar w:fldCharType="begin"/>
      </w:r>
      <w:r w:rsidRPr="00E73A9A">
        <w:rPr>
          <w:b w:val="0"/>
          <w:bCs/>
          <w:color w:val="auto"/>
          <w:sz w:val="20"/>
          <w:szCs w:val="18"/>
        </w:rPr>
        <w:instrText xml:space="preserve"> SEQ Աղյուսակ \* ARABIC </w:instrText>
      </w:r>
      <w:r w:rsidRPr="00E73A9A">
        <w:rPr>
          <w:b w:val="0"/>
          <w:bCs/>
          <w:color w:val="auto"/>
          <w:sz w:val="20"/>
          <w:szCs w:val="18"/>
        </w:rPr>
        <w:fldChar w:fldCharType="separate"/>
      </w:r>
      <w:r w:rsidR="00E46048">
        <w:rPr>
          <w:b w:val="0"/>
          <w:bCs/>
          <w:noProof/>
          <w:color w:val="auto"/>
          <w:sz w:val="20"/>
          <w:szCs w:val="18"/>
        </w:rPr>
        <w:t>4</w:t>
      </w:r>
      <w:r w:rsidRPr="00E73A9A">
        <w:rPr>
          <w:b w:val="0"/>
          <w:bCs/>
          <w:color w:val="auto"/>
          <w:sz w:val="20"/>
          <w:szCs w:val="18"/>
        </w:rPr>
        <w:fldChar w:fldCharType="end"/>
      </w:r>
      <w:r w:rsidRPr="00E73A9A">
        <w:rPr>
          <w:rFonts w:ascii="Cambria Math" w:hAnsi="Cambria Math" w:cs="Cambria Math"/>
          <w:b w:val="0"/>
          <w:bCs/>
          <w:color w:val="auto"/>
          <w:sz w:val="20"/>
          <w:szCs w:val="18"/>
        </w:rPr>
        <w:t>․</w:t>
      </w:r>
      <w:r w:rsidRPr="00E73A9A">
        <w:rPr>
          <w:b w:val="0"/>
          <w:bCs/>
          <w:color w:val="auto"/>
          <w:sz w:val="20"/>
          <w:szCs w:val="18"/>
        </w:rPr>
        <w:t xml:space="preserve"> 2023-2029թթ. փաստացի/կանխատեսումային բյուջետային եկամուտները, մլրդ դրամ</w:t>
      </w:r>
      <w:bookmarkEnd w:id="351"/>
      <w:bookmarkEnd w:id="352"/>
      <w:bookmarkEnd w:id="353"/>
      <w:bookmarkEnd w:id="354"/>
      <w:bookmarkEnd w:id="355"/>
    </w:p>
    <w:tbl>
      <w:tblPr>
        <w:tblW w:w="5000" w:type="pct"/>
        <w:jc w:val="center"/>
        <w:tblBorders>
          <w:top w:val="single" w:sz="8" w:space="0" w:color="E1E1E3"/>
          <w:left w:val="single" w:sz="8" w:space="0" w:color="E1E1E3"/>
          <w:bottom w:val="single" w:sz="8" w:space="0" w:color="E1E1E3"/>
          <w:right w:val="single" w:sz="8" w:space="0" w:color="E1E1E3"/>
          <w:insideH w:val="single" w:sz="8" w:space="0" w:color="E1E1E3"/>
          <w:insideV w:val="single" w:sz="8" w:space="0" w:color="E1E1E3"/>
        </w:tblBorders>
        <w:tblLook w:val="04A0" w:firstRow="1" w:lastRow="0" w:firstColumn="1" w:lastColumn="0" w:noHBand="0" w:noVBand="1"/>
      </w:tblPr>
      <w:tblGrid>
        <w:gridCol w:w="1832"/>
        <w:gridCol w:w="1187"/>
        <w:gridCol w:w="1210"/>
        <w:gridCol w:w="1272"/>
        <w:gridCol w:w="1059"/>
        <w:gridCol w:w="1415"/>
        <w:gridCol w:w="1415"/>
        <w:gridCol w:w="936"/>
      </w:tblGrid>
      <w:tr w:rsidR="004C0C21" w:rsidRPr="000232DD" w14:paraId="4CDF17F6" w14:textId="77777777" w:rsidTr="00ED1FDB">
        <w:trPr>
          <w:trHeight w:val="366"/>
          <w:jc w:val="center"/>
        </w:trPr>
        <w:tc>
          <w:tcPr>
            <w:tcW w:w="887" w:type="pct"/>
            <w:vMerge w:val="restart"/>
            <w:shd w:val="clear" w:color="auto" w:fill="DAE9F7" w:themeFill="text2" w:themeFillTint="1A"/>
            <w:vAlign w:val="center"/>
            <w:hideMark/>
          </w:tcPr>
          <w:p w14:paraId="219E8376" w14:textId="77777777" w:rsidR="00B43595" w:rsidRPr="000232DD" w:rsidRDefault="00B43595" w:rsidP="00082769">
            <w:pPr>
              <w:ind w:right="-22"/>
              <w:jc w:val="both"/>
              <w:rPr>
                <w:rFonts w:ascii="GHEA Grapalat" w:eastAsia="Times New Roman" w:hAnsi="GHEA Grapalat" w:cs="Times New Roman"/>
                <w:b/>
                <w:color w:val="auto"/>
                <w:sz w:val="18"/>
                <w:szCs w:val="20"/>
                <w:lang w:val="hy-AM"/>
              </w:rPr>
            </w:pPr>
            <w:r w:rsidRPr="000232DD">
              <w:rPr>
                <w:rFonts w:ascii="GHEA Grapalat" w:eastAsia="Times New Roman" w:hAnsi="GHEA Grapalat" w:cs="Times New Roman"/>
                <w:b/>
                <w:color w:val="auto"/>
                <w:sz w:val="18"/>
                <w:szCs w:val="20"/>
                <w:lang w:val="hy-AM"/>
              </w:rPr>
              <w:t>Ցուցանիշներ</w:t>
            </w:r>
          </w:p>
        </w:tc>
        <w:tc>
          <w:tcPr>
            <w:tcW w:w="1777" w:type="pct"/>
            <w:gridSpan w:val="3"/>
            <w:shd w:val="clear" w:color="auto" w:fill="DAE9F7" w:themeFill="text2" w:themeFillTint="1A"/>
            <w:noWrap/>
            <w:vAlign w:val="center"/>
            <w:hideMark/>
          </w:tcPr>
          <w:p w14:paraId="5926101F" w14:textId="77777777" w:rsidR="00B43595" w:rsidRPr="000232DD" w:rsidRDefault="00B43595" w:rsidP="00082769">
            <w:pPr>
              <w:ind w:right="-22"/>
              <w:jc w:val="center"/>
              <w:rPr>
                <w:rFonts w:ascii="GHEA Grapalat" w:eastAsia="Times New Roman" w:hAnsi="GHEA Grapalat" w:cs="Times New Roman"/>
                <w:b/>
                <w:color w:val="auto"/>
                <w:sz w:val="18"/>
                <w:szCs w:val="20"/>
                <w:lang w:val="hy-AM"/>
              </w:rPr>
            </w:pPr>
            <w:r w:rsidRPr="000232DD">
              <w:rPr>
                <w:rFonts w:ascii="GHEA Grapalat" w:eastAsia="Times New Roman" w:hAnsi="GHEA Grapalat" w:cs="Times New Roman"/>
                <w:b/>
                <w:color w:val="auto"/>
                <w:sz w:val="18"/>
                <w:szCs w:val="20"/>
                <w:lang w:val="hy-AM"/>
              </w:rPr>
              <w:t>Փաստ</w:t>
            </w:r>
          </w:p>
        </w:tc>
        <w:tc>
          <w:tcPr>
            <w:tcW w:w="513" w:type="pct"/>
            <w:shd w:val="clear" w:color="auto" w:fill="DAE9F7" w:themeFill="text2" w:themeFillTint="1A"/>
            <w:noWrap/>
            <w:vAlign w:val="center"/>
            <w:hideMark/>
          </w:tcPr>
          <w:p w14:paraId="24454F54" w14:textId="77777777" w:rsidR="00B43595" w:rsidRPr="000232DD" w:rsidRDefault="00B43595" w:rsidP="00082769">
            <w:pPr>
              <w:ind w:right="-22"/>
              <w:jc w:val="center"/>
              <w:rPr>
                <w:rFonts w:ascii="GHEA Grapalat" w:eastAsia="Times New Roman" w:hAnsi="GHEA Grapalat" w:cs="Times New Roman"/>
                <w:b/>
                <w:color w:val="auto"/>
                <w:sz w:val="18"/>
                <w:szCs w:val="20"/>
                <w:lang w:val="hy-AM"/>
              </w:rPr>
            </w:pPr>
            <w:r w:rsidRPr="000232DD">
              <w:rPr>
                <w:rFonts w:ascii="GHEA Grapalat" w:eastAsia="Times New Roman" w:hAnsi="GHEA Grapalat" w:cs="Times New Roman"/>
                <w:b/>
                <w:color w:val="auto"/>
                <w:sz w:val="18"/>
                <w:szCs w:val="20"/>
                <w:lang w:val="hy-AM"/>
              </w:rPr>
              <w:t>Բյուջե</w:t>
            </w:r>
          </w:p>
        </w:tc>
        <w:tc>
          <w:tcPr>
            <w:tcW w:w="1823" w:type="pct"/>
            <w:gridSpan w:val="3"/>
            <w:shd w:val="clear" w:color="auto" w:fill="DAE9F7" w:themeFill="text2" w:themeFillTint="1A"/>
            <w:noWrap/>
            <w:vAlign w:val="center"/>
            <w:hideMark/>
          </w:tcPr>
          <w:p w14:paraId="120109BB" w14:textId="77777777" w:rsidR="00B43595" w:rsidRPr="000232DD" w:rsidRDefault="00B43595" w:rsidP="00082769">
            <w:pPr>
              <w:ind w:right="-22"/>
              <w:jc w:val="center"/>
              <w:rPr>
                <w:rFonts w:ascii="GHEA Grapalat" w:eastAsia="Times New Roman" w:hAnsi="GHEA Grapalat" w:cs="Times New Roman"/>
                <w:b/>
                <w:color w:val="auto"/>
                <w:sz w:val="18"/>
                <w:szCs w:val="20"/>
                <w:lang w:val="hy-AM"/>
              </w:rPr>
            </w:pPr>
            <w:r w:rsidRPr="000232DD">
              <w:rPr>
                <w:rFonts w:ascii="GHEA Grapalat" w:eastAsia="Times New Roman" w:hAnsi="GHEA Grapalat" w:cs="Times New Roman"/>
                <w:b/>
                <w:color w:val="auto"/>
                <w:sz w:val="18"/>
                <w:szCs w:val="20"/>
                <w:lang w:val="hy-AM"/>
              </w:rPr>
              <w:t>Ծրագիր</w:t>
            </w:r>
          </w:p>
        </w:tc>
      </w:tr>
      <w:tr w:rsidR="00ED1FDB" w:rsidRPr="000232DD" w14:paraId="00194411" w14:textId="77777777" w:rsidTr="00ED1FDB">
        <w:trPr>
          <w:trHeight w:val="366"/>
          <w:jc w:val="center"/>
        </w:trPr>
        <w:tc>
          <w:tcPr>
            <w:tcW w:w="887" w:type="pct"/>
            <w:vMerge/>
            <w:shd w:val="clear" w:color="auto" w:fill="DAE9F7" w:themeFill="text2" w:themeFillTint="1A"/>
            <w:vAlign w:val="center"/>
            <w:hideMark/>
          </w:tcPr>
          <w:p w14:paraId="25A707B8" w14:textId="77777777" w:rsidR="00B43595" w:rsidRPr="000232DD" w:rsidRDefault="00B43595" w:rsidP="00082769">
            <w:pPr>
              <w:ind w:right="-22"/>
              <w:jc w:val="both"/>
              <w:rPr>
                <w:rFonts w:ascii="GHEA Grapalat" w:eastAsia="Times New Roman" w:hAnsi="GHEA Grapalat" w:cs="Times New Roman"/>
                <w:b/>
                <w:color w:val="auto"/>
                <w:sz w:val="18"/>
                <w:szCs w:val="20"/>
              </w:rPr>
            </w:pPr>
          </w:p>
        </w:tc>
        <w:tc>
          <w:tcPr>
            <w:tcW w:w="575" w:type="pct"/>
            <w:shd w:val="clear" w:color="auto" w:fill="DAE9F7" w:themeFill="text2" w:themeFillTint="1A"/>
            <w:noWrap/>
            <w:vAlign w:val="center"/>
            <w:hideMark/>
          </w:tcPr>
          <w:p w14:paraId="13DFDF09" w14:textId="77777777" w:rsidR="00B43595" w:rsidRPr="000232DD" w:rsidRDefault="00B43595" w:rsidP="00082769">
            <w:pPr>
              <w:ind w:right="-22"/>
              <w:jc w:val="center"/>
              <w:rPr>
                <w:rFonts w:ascii="GHEA Grapalat" w:eastAsia="Times New Roman" w:hAnsi="GHEA Grapalat" w:cs="Times New Roman"/>
                <w:b/>
                <w:color w:val="auto"/>
                <w:sz w:val="18"/>
                <w:szCs w:val="20"/>
              </w:rPr>
            </w:pPr>
            <w:r w:rsidRPr="000232DD">
              <w:rPr>
                <w:rFonts w:ascii="GHEA Grapalat" w:eastAsia="Times New Roman" w:hAnsi="GHEA Grapalat" w:cs="Calibri"/>
                <w:b/>
                <w:bCs/>
                <w:color w:val="auto"/>
                <w:sz w:val="18"/>
                <w:szCs w:val="20"/>
              </w:rPr>
              <w:t>2023</w:t>
            </w:r>
          </w:p>
        </w:tc>
        <w:tc>
          <w:tcPr>
            <w:tcW w:w="586" w:type="pct"/>
            <w:shd w:val="clear" w:color="auto" w:fill="DAE9F7" w:themeFill="text2" w:themeFillTint="1A"/>
            <w:noWrap/>
            <w:vAlign w:val="center"/>
            <w:hideMark/>
          </w:tcPr>
          <w:p w14:paraId="0E7C10CC" w14:textId="77777777" w:rsidR="00B43595" w:rsidRPr="000232DD" w:rsidRDefault="00B43595" w:rsidP="00082769">
            <w:pPr>
              <w:ind w:right="-22"/>
              <w:jc w:val="center"/>
              <w:rPr>
                <w:rFonts w:ascii="GHEA Grapalat" w:eastAsia="Times New Roman" w:hAnsi="GHEA Grapalat" w:cs="Calibri"/>
                <w:b/>
                <w:bCs/>
                <w:color w:val="auto"/>
                <w:sz w:val="18"/>
                <w:szCs w:val="20"/>
              </w:rPr>
            </w:pPr>
            <w:r w:rsidRPr="000232DD">
              <w:rPr>
                <w:rFonts w:ascii="GHEA Grapalat" w:eastAsia="Times New Roman" w:hAnsi="GHEA Grapalat" w:cs="Calibri"/>
                <w:b/>
                <w:bCs/>
                <w:color w:val="auto"/>
                <w:sz w:val="18"/>
                <w:szCs w:val="20"/>
              </w:rPr>
              <w:t>2024</w:t>
            </w:r>
          </w:p>
        </w:tc>
        <w:tc>
          <w:tcPr>
            <w:tcW w:w="616" w:type="pct"/>
            <w:shd w:val="clear" w:color="auto" w:fill="DAE9F7" w:themeFill="text2" w:themeFillTint="1A"/>
            <w:noWrap/>
            <w:vAlign w:val="center"/>
            <w:hideMark/>
          </w:tcPr>
          <w:p w14:paraId="489D223F" w14:textId="77777777" w:rsidR="00B43595" w:rsidRPr="000232DD" w:rsidRDefault="00B43595" w:rsidP="00082769">
            <w:pPr>
              <w:ind w:right="-22"/>
              <w:jc w:val="center"/>
              <w:rPr>
                <w:rFonts w:ascii="GHEA Grapalat" w:eastAsia="Times New Roman" w:hAnsi="GHEA Grapalat" w:cs="Calibri"/>
                <w:b/>
                <w:bCs/>
                <w:color w:val="auto"/>
                <w:sz w:val="18"/>
                <w:szCs w:val="20"/>
              </w:rPr>
            </w:pPr>
            <w:r w:rsidRPr="000232DD">
              <w:rPr>
                <w:rFonts w:ascii="GHEA Grapalat" w:eastAsia="Times New Roman" w:hAnsi="GHEA Grapalat" w:cs="Calibri"/>
                <w:b/>
                <w:bCs/>
                <w:color w:val="auto"/>
                <w:sz w:val="18"/>
                <w:szCs w:val="20"/>
              </w:rPr>
              <w:t>2025</w:t>
            </w:r>
          </w:p>
        </w:tc>
        <w:tc>
          <w:tcPr>
            <w:tcW w:w="513" w:type="pct"/>
            <w:shd w:val="clear" w:color="auto" w:fill="DAE9F7" w:themeFill="text2" w:themeFillTint="1A"/>
            <w:noWrap/>
            <w:vAlign w:val="center"/>
            <w:hideMark/>
          </w:tcPr>
          <w:p w14:paraId="4F37B74F" w14:textId="77777777" w:rsidR="00B43595" w:rsidRPr="000232DD" w:rsidRDefault="00B43595" w:rsidP="00082769">
            <w:pPr>
              <w:ind w:right="-22"/>
              <w:jc w:val="center"/>
              <w:rPr>
                <w:rFonts w:ascii="GHEA Grapalat" w:eastAsia="Times New Roman" w:hAnsi="GHEA Grapalat" w:cs="Calibri"/>
                <w:b/>
                <w:bCs/>
                <w:color w:val="auto"/>
                <w:sz w:val="18"/>
                <w:szCs w:val="20"/>
              </w:rPr>
            </w:pPr>
            <w:r w:rsidRPr="000232DD">
              <w:rPr>
                <w:rFonts w:ascii="GHEA Grapalat" w:eastAsia="Times New Roman" w:hAnsi="GHEA Grapalat" w:cs="Calibri"/>
                <w:b/>
                <w:bCs/>
                <w:color w:val="auto"/>
                <w:sz w:val="18"/>
                <w:szCs w:val="20"/>
              </w:rPr>
              <w:t>2026</w:t>
            </w:r>
          </w:p>
        </w:tc>
        <w:tc>
          <w:tcPr>
            <w:tcW w:w="685" w:type="pct"/>
            <w:shd w:val="clear" w:color="auto" w:fill="DAE9F7" w:themeFill="text2" w:themeFillTint="1A"/>
            <w:noWrap/>
            <w:vAlign w:val="center"/>
            <w:hideMark/>
          </w:tcPr>
          <w:p w14:paraId="2780252C" w14:textId="77777777" w:rsidR="00B43595" w:rsidRPr="000232DD" w:rsidRDefault="00B43595" w:rsidP="00082769">
            <w:pPr>
              <w:tabs>
                <w:tab w:val="left" w:pos="695"/>
              </w:tabs>
              <w:ind w:right="-22"/>
              <w:jc w:val="center"/>
              <w:rPr>
                <w:rFonts w:ascii="GHEA Grapalat" w:eastAsia="Times New Roman" w:hAnsi="GHEA Grapalat" w:cs="Calibri"/>
                <w:b/>
                <w:bCs/>
                <w:color w:val="auto"/>
                <w:sz w:val="18"/>
                <w:szCs w:val="20"/>
              </w:rPr>
            </w:pPr>
            <w:r w:rsidRPr="000232DD">
              <w:rPr>
                <w:rFonts w:ascii="GHEA Grapalat" w:eastAsia="Times New Roman" w:hAnsi="GHEA Grapalat" w:cs="Calibri"/>
                <w:b/>
                <w:bCs/>
                <w:color w:val="auto"/>
                <w:sz w:val="18"/>
                <w:szCs w:val="20"/>
              </w:rPr>
              <w:t>2027</w:t>
            </w:r>
          </w:p>
        </w:tc>
        <w:tc>
          <w:tcPr>
            <w:tcW w:w="685" w:type="pct"/>
            <w:shd w:val="clear" w:color="auto" w:fill="DAE9F7" w:themeFill="text2" w:themeFillTint="1A"/>
            <w:vAlign w:val="center"/>
          </w:tcPr>
          <w:p w14:paraId="7A1EC9CB" w14:textId="77777777" w:rsidR="00B43595" w:rsidRPr="000232DD" w:rsidRDefault="00B43595" w:rsidP="00082769">
            <w:pPr>
              <w:tabs>
                <w:tab w:val="left" w:pos="695"/>
              </w:tabs>
              <w:ind w:right="-22"/>
              <w:jc w:val="center"/>
              <w:rPr>
                <w:rFonts w:ascii="GHEA Grapalat" w:eastAsia="Times New Roman" w:hAnsi="GHEA Grapalat" w:cs="Calibri"/>
                <w:b/>
                <w:bCs/>
                <w:color w:val="auto"/>
                <w:sz w:val="18"/>
                <w:szCs w:val="20"/>
              </w:rPr>
            </w:pPr>
            <w:r w:rsidRPr="000232DD">
              <w:rPr>
                <w:rFonts w:ascii="GHEA Grapalat" w:eastAsia="Times New Roman" w:hAnsi="GHEA Grapalat" w:cs="Calibri"/>
                <w:b/>
                <w:bCs/>
                <w:color w:val="auto"/>
                <w:sz w:val="18"/>
                <w:szCs w:val="20"/>
              </w:rPr>
              <w:t>2028</w:t>
            </w:r>
          </w:p>
        </w:tc>
        <w:tc>
          <w:tcPr>
            <w:tcW w:w="453" w:type="pct"/>
            <w:shd w:val="clear" w:color="auto" w:fill="DAE9F7" w:themeFill="text2" w:themeFillTint="1A"/>
            <w:vAlign w:val="center"/>
          </w:tcPr>
          <w:p w14:paraId="0A307586" w14:textId="77777777" w:rsidR="00B43595" w:rsidRPr="000232DD" w:rsidRDefault="00B43595" w:rsidP="00082769">
            <w:pPr>
              <w:ind w:right="-22"/>
              <w:jc w:val="center"/>
              <w:rPr>
                <w:rFonts w:ascii="GHEA Grapalat" w:eastAsia="Times New Roman" w:hAnsi="GHEA Grapalat" w:cs="Calibri"/>
                <w:b/>
                <w:bCs/>
                <w:color w:val="auto"/>
                <w:sz w:val="18"/>
                <w:szCs w:val="20"/>
              </w:rPr>
            </w:pPr>
            <w:r w:rsidRPr="000232DD">
              <w:rPr>
                <w:rFonts w:ascii="GHEA Grapalat" w:eastAsia="Times New Roman" w:hAnsi="GHEA Grapalat" w:cs="Calibri"/>
                <w:b/>
                <w:bCs/>
                <w:color w:val="auto"/>
                <w:sz w:val="18"/>
                <w:szCs w:val="20"/>
              </w:rPr>
              <w:t>2029</w:t>
            </w:r>
          </w:p>
        </w:tc>
      </w:tr>
      <w:tr w:rsidR="00ED1FDB" w:rsidRPr="000232DD" w14:paraId="22FD1911" w14:textId="77777777" w:rsidTr="00ED1FDB">
        <w:trPr>
          <w:trHeight w:val="366"/>
          <w:jc w:val="center"/>
        </w:trPr>
        <w:tc>
          <w:tcPr>
            <w:tcW w:w="887" w:type="pct"/>
            <w:shd w:val="clear" w:color="auto" w:fill="DAE9F7" w:themeFill="text2" w:themeFillTint="1A"/>
            <w:vAlign w:val="center"/>
            <w:hideMark/>
          </w:tcPr>
          <w:p w14:paraId="6454DDFF" w14:textId="77777777" w:rsidR="00B43595" w:rsidRPr="000232DD" w:rsidRDefault="00B43595" w:rsidP="00082769">
            <w:pPr>
              <w:ind w:right="-22"/>
              <w:jc w:val="both"/>
              <w:rPr>
                <w:rFonts w:ascii="GHEA Grapalat" w:eastAsia="Times New Roman" w:hAnsi="GHEA Grapalat" w:cs="Times New Roman"/>
                <w:b/>
                <w:color w:val="auto"/>
                <w:sz w:val="18"/>
                <w:szCs w:val="20"/>
              </w:rPr>
            </w:pPr>
            <w:r w:rsidRPr="000232DD">
              <w:rPr>
                <w:rFonts w:ascii="GHEA Grapalat" w:eastAsia="Times New Roman" w:hAnsi="GHEA Grapalat" w:cs="Times New Roman"/>
                <w:b/>
                <w:color w:val="auto"/>
                <w:sz w:val="18"/>
                <w:szCs w:val="20"/>
              </w:rPr>
              <w:t>Պետական բյուջեի եկամուտներ</w:t>
            </w:r>
          </w:p>
        </w:tc>
        <w:tc>
          <w:tcPr>
            <w:tcW w:w="575" w:type="pct"/>
            <w:shd w:val="clear" w:color="auto" w:fill="DAE9F7" w:themeFill="text2" w:themeFillTint="1A"/>
            <w:noWrap/>
            <w:vAlign w:val="center"/>
            <w:hideMark/>
          </w:tcPr>
          <w:p w14:paraId="26D564B8" w14:textId="77777777" w:rsidR="00B43595" w:rsidRPr="000232DD" w:rsidRDefault="00B43595" w:rsidP="00082769">
            <w:pPr>
              <w:ind w:right="-22"/>
              <w:jc w:val="center"/>
              <w:rPr>
                <w:rFonts w:ascii="GHEA Grapalat" w:eastAsia="Times New Roman" w:hAnsi="GHEA Grapalat" w:cs="Times New Roman"/>
                <w:b/>
                <w:color w:val="auto"/>
                <w:sz w:val="18"/>
                <w:szCs w:val="18"/>
              </w:rPr>
            </w:pPr>
            <w:r w:rsidRPr="000232DD">
              <w:rPr>
                <w:rFonts w:ascii="GHEA Grapalat" w:eastAsia="Times New Roman" w:hAnsi="GHEA Grapalat" w:cs="Calibri"/>
                <w:b/>
                <w:bCs/>
                <w:color w:val="auto"/>
                <w:sz w:val="18"/>
                <w:szCs w:val="18"/>
              </w:rPr>
              <w:t>2,410.7</w:t>
            </w:r>
          </w:p>
        </w:tc>
        <w:tc>
          <w:tcPr>
            <w:tcW w:w="586" w:type="pct"/>
            <w:shd w:val="clear" w:color="auto" w:fill="DAE9F7" w:themeFill="text2" w:themeFillTint="1A"/>
            <w:noWrap/>
            <w:vAlign w:val="center"/>
            <w:hideMark/>
          </w:tcPr>
          <w:p w14:paraId="6385A93A" w14:textId="77777777" w:rsidR="00B43595" w:rsidRPr="000232DD" w:rsidRDefault="00B43595" w:rsidP="00082769">
            <w:pPr>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2,579.2</w:t>
            </w:r>
          </w:p>
        </w:tc>
        <w:tc>
          <w:tcPr>
            <w:tcW w:w="616" w:type="pct"/>
            <w:shd w:val="clear" w:color="auto" w:fill="DAE9F7" w:themeFill="text2" w:themeFillTint="1A"/>
            <w:noWrap/>
            <w:vAlign w:val="center"/>
          </w:tcPr>
          <w:p w14:paraId="19BA13BA" w14:textId="77777777" w:rsidR="00B43595" w:rsidRPr="000232DD" w:rsidRDefault="00B43595" w:rsidP="00082769">
            <w:pPr>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2,886.5</w:t>
            </w:r>
          </w:p>
        </w:tc>
        <w:tc>
          <w:tcPr>
            <w:tcW w:w="513" w:type="pct"/>
            <w:shd w:val="clear" w:color="auto" w:fill="DAE9F7" w:themeFill="text2" w:themeFillTint="1A"/>
            <w:noWrap/>
            <w:vAlign w:val="center"/>
            <w:hideMark/>
          </w:tcPr>
          <w:p w14:paraId="12939180" w14:textId="77777777" w:rsidR="00B43595" w:rsidRPr="000232DD" w:rsidRDefault="00B43595" w:rsidP="00082769">
            <w:pPr>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3,090.9</w:t>
            </w:r>
          </w:p>
        </w:tc>
        <w:tc>
          <w:tcPr>
            <w:tcW w:w="685" w:type="pct"/>
            <w:shd w:val="clear" w:color="auto" w:fill="DAE9F7" w:themeFill="text2" w:themeFillTint="1A"/>
            <w:noWrap/>
            <w:vAlign w:val="center"/>
          </w:tcPr>
          <w:p w14:paraId="4241A78D" w14:textId="77777777" w:rsidR="00B43595" w:rsidRPr="000232DD" w:rsidRDefault="00B43595" w:rsidP="00082769">
            <w:pPr>
              <w:tabs>
                <w:tab w:val="left" w:pos="695"/>
              </w:tabs>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3,603.8</w:t>
            </w:r>
          </w:p>
        </w:tc>
        <w:tc>
          <w:tcPr>
            <w:tcW w:w="685" w:type="pct"/>
            <w:shd w:val="clear" w:color="auto" w:fill="DAE9F7" w:themeFill="text2" w:themeFillTint="1A"/>
            <w:vAlign w:val="center"/>
          </w:tcPr>
          <w:p w14:paraId="6BC5B412" w14:textId="3465A636" w:rsidR="00B43595" w:rsidRPr="000232DD" w:rsidRDefault="004D300C" w:rsidP="00082769">
            <w:pPr>
              <w:ind w:right="-22"/>
              <w:jc w:val="center"/>
              <w:rPr>
                <w:rFonts w:ascii="GHEA Grapalat" w:eastAsia="Times New Roman" w:hAnsi="GHEA Grapalat" w:cs="Calibri"/>
                <w:b/>
                <w:bCs/>
                <w:color w:val="auto"/>
                <w:sz w:val="18"/>
                <w:szCs w:val="18"/>
              </w:rPr>
            </w:pPr>
            <w:r w:rsidRPr="004D300C">
              <w:rPr>
                <w:rFonts w:ascii="GHEA Grapalat" w:eastAsia="Times New Roman" w:hAnsi="GHEA Grapalat" w:cs="Calibri"/>
                <w:b/>
                <w:bCs/>
                <w:color w:val="auto"/>
                <w:sz w:val="18"/>
                <w:szCs w:val="18"/>
              </w:rPr>
              <w:t>3,950.2</w:t>
            </w:r>
          </w:p>
        </w:tc>
        <w:tc>
          <w:tcPr>
            <w:tcW w:w="453" w:type="pct"/>
            <w:shd w:val="clear" w:color="auto" w:fill="DAE9F7" w:themeFill="text2" w:themeFillTint="1A"/>
            <w:vAlign w:val="center"/>
          </w:tcPr>
          <w:p w14:paraId="1A9A0D4E" w14:textId="5B124D0A" w:rsidR="00B43595" w:rsidRPr="000232DD" w:rsidRDefault="00B43595" w:rsidP="00082769">
            <w:pPr>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4,311.</w:t>
            </w:r>
            <w:r w:rsidR="004D300C">
              <w:rPr>
                <w:rFonts w:ascii="GHEA Grapalat" w:eastAsia="Times New Roman" w:hAnsi="GHEA Grapalat" w:cs="Calibri"/>
                <w:b/>
                <w:bCs/>
                <w:color w:val="auto"/>
                <w:sz w:val="18"/>
                <w:szCs w:val="18"/>
              </w:rPr>
              <w:t>4</w:t>
            </w:r>
          </w:p>
        </w:tc>
      </w:tr>
      <w:tr w:rsidR="004C0C21" w:rsidRPr="000232DD" w14:paraId="34D8B636" w14:textId="77777777" w:rsidTr="0052459E">
        <w:trPr>
          <w:trHeight w:val="366"/>
          <w:jc w:val="center"/>
        </w:trPr>
        <w:tc>
          <w:tcPr>
            <w:tcW w:w="887" w:type="pct"/>
            <w:shd w:val="clear" w:color="auto" w:fill="auto"/>
            <w:vAlign w:val="center"/>
            <w:hideMark/>
          </w:tcPr>
          <w:p w14:paraId="62B76FB3" w14:textId="77777777" w:rsidR="00B43595" w:rsidRPr="000232DD" w:rsidRDefault="00B43595" w:rsidP="00082769">
            <w:pPr>
              <w:ind w:right="-22"/>
              <w:jc w:val="both"/>
              <w:rPr>
                <w:rFonts w:ascii="GHEA Grapalat" w:eastAsia="Times New Roman" w:hAnsi="GHEA Grapalat" w:cs="Times New Roman"/>
                <w:color w:val="auto"/>
                <w:sz w:val="18"/>
                <w:szCs w:val="20"/>
              </w:rPr>
            </w:pPr>
            <w:r w:rsidRPr="000232DD">
              <w:rPr>
                <w:rFonts w:ascii="GHEA Grapalat" w:eastAsia="Times New Roman" w:hAnsi="GHEA Grapalat" w:cs="Times New Roman"/>
                <w:color w:val="auto"/>
                <w:sz w:val="18"/>
                <w:szCs w:val="20"/>
              </w:rPr>
              <w:t xml:space="preserve">ՀՆԱ-ի նկատմամբ (%) </w:t>
            </w:r>
          </w:p>
        </w:tc>
        <w:tc>
          <w:tcPr>
            <w:tcW w:w="575" w:type="pct"/>
            <w:shd w:val="clear" w:color="auto" w:fill="auto"/>
            <w:noWrap/>
            <w:vAlign w:val="center"/>
            <w:hideMark/>
          </w:tcPr>
          <w:p w14:paraId="32450DA8"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25.4%</w:t>
            </w:r>
          </w:p>
        </w:tc>
        <w:tc>
          <w:tcPr>
            <w:tcW w:w="586" w:type="pct"/>
            <w:shd w:val="clear" w:color="auto" w:fill="auto"/>
            <w:noWrap/>
            <w:vAlign w:val="center"/>
            <w:hideMark/>
          </w:tcPr>
          <w:p w14:paraId="1E29A187"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25.3%</w:t>
            </w:r>
          </w:p>
        </w:tc>
        <w:tc>
          <w:tcPr>
            <w:tcW w:w="616" w:type="pct"/>
            <w:shd w:val="clear" w:color="auto" w:fill="auto"/>
            <w:noWrap/>
            <w:vAlign w:val="center"/>
          </w:tcPr>
          <w:p w14:paraId="3E267410"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25.4%</w:t>
            </w:r>
          </w:p>
        </w:tc>
        <w:tc>
          <w:tcPr>
            <w:tcW w:w="513" w:type="pct"/>
            <w:shd w:val="clear" w:color="auto" w:fill="auto"/>
            <w:noWrap/>
            <w:vAlign w:val="center"/>
            <w:hideMark/>
          </w:tcPr>
          <w:p w14:paraId="643F503E" w14:textId="62B07C26"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25.</w:t>
            </w:r>
            <w:r w:rsidR="00E46048">
              <w:rPr>
                <w:rFonts w:ascii="GHEA Grapalat" w:eastAsia="Times New Roman" w:hAnsi="GHEA Grapalat" w:cs="Calibri"/>
                <w:bCs/>
                <w:color w:val="auto"/>
                <w:sz w:val="18"/>
                <w:szCs w:val="18"/>
              </w:rPr>
              <w:t>9</w:t>
            </w:r>
            <w:r w:rsidRPr="000232DD">
              <w:rPr>
                <w:rFonts w:ascii="GHEA Grapalat" w:eastAsia="Times New Roman" w:hAnsi="GHEA Grapalat" w:cs="Calibri"/>
                <w:bCs/>
                <w:color w:val="auto"/>
                <w:sz w:val="18"/>
                <w:szCs w:val="18"/>
              </w:rPr>
              <w:t>%</w:t>
            </w:r>
          </w:p>
        </w:tc>
        <w:tc>
          <w:tcPr>
            <w:tcW w:w="685" w:type="pct"/>
            <w:shd w:val="clear" w:color="auto" w:fill="auto"/>
            <w:noWrap/>
            <w:vAlign w:val="center"/>
          </w:tcPr>
          <w:p w14:paraId="6BF650D5" w14:textId="77777777" w:rsidR="00B43595" w:rsidRPr="000232DD" w:rsidRDefault="00B43595" w:rsidP="00082769">
            <w:pPr>
              <w:tabs>
                <w:tab w:val="left" w:pos="695"/>
              </w:tabs>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26.5%</w:t>
            </w:r>
          </w:p>
        </w:tc>
        <w:tc>
          <w:tcPr>
            <w:tcW w:w="685" w:type="pct"/>
            <w:shd w:val="clear" w:color="auto" w:fill="auto"/>
            <w:vAlign w:val="center"/>
          </w:tcPr>
          <w:p w14:paraId="6387F450"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26.6%</w:t>
            </w:r>
          </w:p>
        </w:tc>
        <w:tc>
          <w:tcPr>
            <w:tcW w:w="453" w:type="pct"/>
            <w:shd w:val="clear" w:color="auto" w:fill="auto"/>
            <w:vAlign w:val="center"/>
          </w:tcPr>
          <w:p w14:paraId="71B4817E"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26.6%</w:t>
            </w:r>
          </w:p>
        </w:tc>
      </w:tr>
      <w:tr w:rsidR="004C0C21" w:rsidRPr="000232DD" w14:paraId="0B04DD08" w14:textId="77777777" w:rsidTr="0052459E">
        <w:trPr>
          <w:trHeight w:val="366"/>
          <w:jc w:val="center"/>
        </w:trPr>
        <w:tc>
          <w:tcPr>
            <w:tcW w:w="887" w:type="pct"/>
            <w:shd w:val="clear" w:color="auto" w:fill="DAE9F7" w:themeFill="text2" w:themeFillTint="1A"/>
            <w:vAlign w:val="center"/>
            <w:hideMark/>
          </w:tcPr>
          <w:p w14:paraId="78D2FDC5" w14:textId="77777777" w:rsidR="00B43595" w:rsidRPr="000232DD" w:rsidRDefault="00B43595" w:rsidP="00082769">
            <w:pPr>
              <w:ind w:right="-22"/>
              <w:jc w:val="both"/>
              <w:rPr>
                <w:rFonts w:ascii="GHEA Grapalat" w:eastAsia="Times New Roman" w:hAnsi="GHEA Grapalat" w:cs="Times New Roman"/>
                <w:color w:val="auto"/>
                <w:sz w:val="18"/>
                <w:szCs w:val="20"/>
              </w:rPr>
            </w:pPr>
            <w:r w:rsidRPr="000232DD">
              <w:rPr>
                <w:rFonts w:ascii="GHEA Grapalat" w:eastAsia="Times New Roman" w:hAnsi="GHEA Grapalat" w:cs="Times New Roman"/>
                <w:color w:val="auto"/>
                <w:sz w:val="18"/>
                <w:szCs w:val="20"/>
              </w:rPr>
              <w:t>Հարկային եկամուտներ և պետական տուրքեր</w:t>
            </w:r>
          </w:p>
        </w:tc>
        <w:tc>
          <w:tcPr>
            <w:tcW w:w="575" w:type="pct"/>
            <w:shd w:val="clear" w:color="auto" w:fill="DAE9F7" w:themeFill="text2" w:themeFillTint="1A"/>
            <w:noWrap/>
            <w:vAlign w:val="center"/>
            <w:hideMark/>
          </w:tcPr>
          <w:p w14:paraId="515E6BB2"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2,273.9</w:t>
            </w:r>
          </w:p>
        </w:tc>
        <w:tc>
          <w:tcPr>
            <w:tcW w:w="586" w:type="pct"/>
            <w:shd w:val="clear" w:color="auto" w:fill="DAE9F7" w:themeFill="text2" w:themeFillTint="1A"/>
            <w:noWrap/>
            <w:vAlign w:val="center"/>
            <w:hideMark/>
          </w:tcPr>
          <w:p w14:paraId="2E5672B1"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2,390.9</w:t>
            </w:r>
          </w:p>
        </w:tc>
        <w:tc>
          <w:tcPr>
            <w:tcW w:w="616" w:type="pct"/>
            <w:shd w:val="clear" w:color="auto" w:fill="DAE9F7" w:themeFill="text2" w:themeFillTint="1A"/>
            <w:noWrap/>
            <w:vAlign w:val="center"/>
          </w:tcPr>
          <w:p w14:paraId="457AC0C6"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2,725.2</w:t>
            </w:r>
          </w:p>
        </w:tc>
        <w:tc>
          <w:tcPr>
            <w:tcW w:w="513" w:type="pct"/>
            <w:shd w:val="clear" w:color="auto" w:fill="DAE9F7" w:themeFill="text2" w:themeFillTint="1A"/>
            <w:noWrap/>
            <w:vAlign w:val="center"/>
            <w:hideMark/>
          </w:tcPr>
          <w:p w14:paraId="114248EB"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2,972.9</w:t>
            </w:r>
          </w:p>
        </w:tc>
        <w:tc>
          <w:tcPr>
            <w:tcW w:w="685" w:type="pct"/>
            <w:shd w:val="clear" w:color="auto" w:fill="DAE9F7" w:themeFill="text2" w:themeFillTint="1A"/>
            <w:noWrap/>
            <w:vAlign w:val="center"/>
          </w:tcPr>
          <w:p w14:paraId="36F422CF" w14:textId="77777777" w:rsidR="00B43595" w:rsidRPr="000232DD" w:rsidRDefault="00B43595" w:rsidP="00082769">
            <w:pPr>
              <w:tabs>
                <w:tab w:val="left" w:pos="695"/>
              </w:tabs>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3,462.7</w:t>
            </w:r>
          </w:p>
        </w:tc>
        <w:tc>
          <w:tcPr>
            <w:tcW w:w="685" w:type="pct"/>
            <w:shd w:val="clear" w:color="auto" w:fill="DAE9F7" w:themeFill="text2" w:themeFillTint="1A"/>
            <w:vAlign w:val="center"/>
          </w:tcPr>
          <w:p w14:paraId="4EE824F5"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3,797.2</w:t>
            </w:r>
          </w:p>
        </w:tc>
        <w:tc>
          <w:tcPr>
            <w:tcW w:w="453" w:type="pct"/>
            <w:shd w:val="clear" w:color="auto" w:fill="DAE9F7" w:themeFill="text2" w:themeFillTint="1A"/>
            <w:vAlign w:val="center"/>
          </w:tcPr>
          <w:p w14:paraId="3ADEA8F7"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4,167.8</w:t>
            </w:r>
          </w:p>
        </w:tc>
      </w:tr>
      <w:tr w:rsidR="004C0C21" w:rsidRPr="000232DD" w14:paraId="1356E64A" w14:textId="77777777" w:rsidTr="0052459E">
        <w:trPr>
          <w:trHeight w:val="366"/>
          <w:jc w:val="center"/>
        </w:trPr>
        <w:tc>
          <w:tcPr>
            <w:tcW w:w="887" w:type="pct"/>
            <w:shd w:val="clear" w:color="auto" w:fill="FFFFFF" w:themeFill="background1"/>
            <w:vAlign w:val="center"/>
            <w:hideMark/>
          </w:tcPr>
          <w:p w14:paraId="54A03274" w14:textId="77777777" w:rsidR="00B43595" w:rsidRPr="000232DD" w:rsidRDefault="00B43595" w:rsidP="00082769">
            <w:pPr>
              <w:ind w:right="-22"/>
              <w:jc w:val="both"/>
              <w:rPr>
                <w:rFonts w:ascii="GHEA Grapalat" w:eastAsia="Times New Roman" w:hAnsi="GHEA Grapalat" w:cs="Times New Roman"/>
                <w:color w:val="auto"/>
                <w:sz w:val="18"/>
                <w:szCs w:val="20"/>
              </w:rPr>
            </w:pPr>
            <w:r w:rsidRPr="000232DD">
              <w:rPr>
                <w:rFonts w:ascii="GHEA Grapalat" w:eastAsia="Times New Roman" w:hAnsi="GHEA Grapalat" w:cs="Times New Roman"/>
                <w:color w:val="auto"/>
                <w:sz w:val="18"/>
                <w:szCs w:val="20"/>
              </w:rPr>
              <w:t xml:space="preserve">ՀՆԱ-ի նկատմամբ (%) </w:t>
            </w:r>
          </w:p>
        </w:tc>
        <w:tc>
          <w:tcPr>
            <w:tcW w:w="575" w:type="pct"/>
            <w:shd w:val="clear" w:color="auto" w:fill="FFFFFF" w:themeFill="background1"/>
            <w:noWrap/>
            <w:vAlign w:val="center"/>
            <w:hideMark/>
          </w:tcPr>
          <w:p w14:paraId="20BC6EF9" w14:textId="37702E33" w:rsidR="00B43595" w:rsidRPr="000232DD" w:rsidRDefault="00E46048" w:rsidP="00082769">
            <w:pPr>
              <w:ind w:right="-22"/>
              <w:jc w:val="center"/>
              <w:rPr>
                <w:rFonts w:ascii="GHEA Grapalat" w:eastAsia="Times New Roman" w:hAnsi="GHEA Grapalat" w:cs="Calibri"/>
                <w:bCs/>
                <w:color w:val="auto"/>
                <w:sz w:val="18"/>
                <w:szCs w:val="18"/>
              </w:rPr>
            </w:pPr>
            <w:r>
              <w:rPr>
                <w:rFonts w:ascii="GHEA Grapalat" w:eastAsia="Times New Roman" w:hAnsi="GHEA Grapalat" w:cs="Calibri"/>
                <w:bCs/>
                <w:color w:val="auto"/>
                <w:sz w:val="18"/>
                <w:szCs w:val="18"/>
              </w:rPr>
              <w:t>24.0</w:t>
            </w:r>
            <w:r w:rsidR="00B43595" w:rsidRPr="000232DD">
              <w:rPr>
                <w:rFonts w:ascii="GHEA Grapalat" w:eastAsia="Times New Roman" w:hAnsi="GHEA Grapalat" w:cs="Calibri"/>
                <w:bCs/>
                <w:color w:val="auto"/>
                <w:sz w:val="18"/>
                <w:szCs w:val="18"/>
              </w:rPr>
              <w:t>%</w:t>
            </w:r>
          </w:p>
        </w:tc>
        <w:tc>
          <w:tcPr>
            <w:tcW w:w="586" w:type="pct"/>
            <w:shd w:val="clear" w:color="auto" w:fill="FFFFFF" w:themeFill="background1"/>
            <w:noWrap/>
            <w:vAlign w:val="center"/>
            <w:hideMark/>
          </w:tcPr>
          <w:p w14:paraId="77FA1055"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23.5%</w:t>
            </w:r>
          </w:p>
        </w:tc>
        <w:tc>
          <w:tcPr>
            <w:tcW w:w="616" w:type="pct"/>
            <w:shd w:val="clear" w:color="auto" w:fill="FFFFFF" w:themeFill="background1"/>
            <w:noWrap/>
            <w:vAlign w:val="center"/>
          </w:tcPr>
          <w:p w14:paraId="4F5190D4"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24.0%</w:t>
            </w:r>
          </w:p>
        </w:tc>
        <w:tc>
          <w:tcPr>
            <w:tcW w:w="513" w:type="pct"/>
            <w:shd w:val="clear" w:color="auto" w:fill="FFFFFF" w:themeFill="background1"/>
            <w:noWrap/>
            <w:vAlign w:val="center"/>
            <w:hideMark/>
          </w:tcPr>
          <w:p w14:paraId="072DE9EA"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24.9%</w:t>
            </w:r>
          </w:p>
        </w:tc>
        <w:tc>
          <w:tcPr>
            <w:tcW w:w="685" w:type="pct"/>
            <w:shd w:val="clear" w:color="auto" w:fill="FFFFFF" w:themeFill="background1"/>
            <w:noWrap/>
            <w:vAlign w:val="center"/>
          </w:tcPr>
          <w:p w14:paraId="077361C5" w14:textId="77777777" w:rsidR="00B43595" w:rsidRPr="000232DD" w:rsidRDefault="00B43595" w:rsidP="00082769">
            <w:pPr>
              <w:tabs>
                <w:tab w:val="left" w:pos="695"/>
              </w:tabs>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25.4%</w:t>
            </w:r>
          </w:p>
        </w:tc>
        <w:tc>
          <w:tcPr>
            <w:tcW w:w="685" w:type="pct"/>
            <w:shd w:val="clear" w:color="auto" w:fill="FFFFFF" w:themeFill="background1"/>
            <w:vAlign w:val="center"/>
          </w:tcPr>
          <w:p w14:paraId="707A7909"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25.5%</w:t>
            </w:r>
          </w:p>
        </w:tc>
        <w:tc>
          <w:tcPr>
            <w:tcW w:w="453" w:type="pct"/>
            <w:shd w:val="clear" w:color="auto" w:fill="FFFFFF" w:themeFill="background1"/>
            <w:vAlign w:val="center"/>
          </w:tcPr>
          <w:p w14:paraId="2582507F"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25.7%</w:t>
            </w:r>
          </w:p>
        </w:tc>
      </w:tr>
      <w:tr w:rsidR="004C0C21" w:rsidRPr="000232DD" w14:paraId="5ED2BB79" w14:textId="77777777" w:rsidTr="0052459E">
        <w:trPr>
          <w:trHeight w:val="366"/>
          <w:jc w:val="center"/>
        </w:trPr>
        <w:tc>
          <w:tcPr>
            <w:tcW w:w="887" w:type="pct"/>
            <w:shd w:val="clear" w:color="auto" w:fill="FFFFFF" w:themeFill="background1"/>
            <w:vAlign w:val="center"/>
            <w:hideMark/>
          </w:tcPr>
          <w:p w14:paraId="07CD69AC" w14:textId="77777777" w:rsidR="00B43595" w:rsidRPr="000232DD" w:rsidRDefault="00B43595" w:rsidP="00082769">
            <w:pPr>
              <w:ind w:right="-22"/>
              <w:jc w:val="both"/>
              <w:rPr>
                <w:rFonts w:ascii="GHEA Grapalat" w:eastAsia="Times New Roman" w:hAnsi="GHEA Grapalat" w:cs="Times New Roman"/>
                <w:color w:val="auto"/>
                <w:sz w:val="18"/>
                <w:szCs w:val="20"/>
              </w:rPr>
            </w:pPr>
            <w:r w:rsidRPr="000232DD">
              <w:rPr>
                <w:rFonts w:ascii="GHEA Grapalat" w:eastAsia="Times New Roman" w:hAnsi="GHEA Grapalat" w:cs="Times New Roman"/>
                <w:color w:val="auto"/>
                <w:sz w:val="18"/>
                <w:szCs w:val="20"/>
              </w:rPr>
              <w:t>Ընդհանուրի նկատմամբ (%)</w:t>
            </w:r>
          </w:p>
        </w:tc>
        <w:tc>
          <w:tcPr>
            <w:tcW w:w="575" w:type="pct"/>
            <w:shd w:val="clear" w:color="auto" w:fill="FFFFFF" w:themeFill="background1"/>
            <w:noWrap/>
            <w:vAlign w:val="center"/>
            <w:hideMark/>
          </w:tcPr>
          <w:p w14:paraId="6E5B9538"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94.3%</w:t>
            </w:r>
          </w:p>
        </w:tc>
        <w:tc>
          <w:tcPr>
            <w:tcW w:w="586" w:type="pct"/>
            <w:shd w:val="clear" w:color="auto" w:fill="FFFFFF" w:themeFill="background1"/>
            <w:noWrap/>
            <w:vAlign w:val="center"/>
            <w:hideMark/>
          </w:tcPr>
          <w:p w14:paraId="4A7865DA"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92.7%</w:t>
            </w:r>
          </w:p>
        </w:tc>
        <w:tc>
          <w:tcPr>
            <w:tcW w:w="616" w:type="pct"/>
            <w:shd w:val="clear" w:color="auto" w:fill="FFFFFF" w:themeFill="background1"/>
            <w:noWrap/>
            <w:vAlign w:val="center"/>
          </w:tcPr>
          <w:p w14:paraId="07E8343D"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94.4%</w:t>
            </w:r>
          </w:p>
        </w:tc>
        <w:tc>
          <w:tcPr>
            <w:tcW w:w="513" w:type="pct"/>
            <w:shd w:val="clear" w:color="auto" w:fill="FFFFFF" w:themeFill="background1"/>
            <w:noWrap/>
            <w:vAlign w:val="center"/>
            <w:hideMark/>
          </w:tcPr>
          <w:p w14:paraId="7228CC0B"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96.2%</w:t>
            </w:r>
          </w:p>
        </w:tc>
        <w:tc>
          <w:tcPr>
            <w:tcW w:w="685" w:type="pct"/>
            <w:shd w:val="clear" w:color="auto" w:fill="FFFFFF" w:themeFill="background1"/>
            <w:noWrap/>
            <w:vAlign w:val="center"/>
          </w:tcPr>
          <w:p w14:paraId="2228B191" w14:textId="77777777" w:rsidR="00B43595" w:rsidRPr="000232DD" w:rsidRDefault="00B43595" w:rsidP="00082769">
            <w:pPr>
              <w:tabs>
                <w:tab w:val="left" w:pos="695"/>
              </w:tabs>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96.1%</w:t>
            </w:r>
          </w:p>
        </w:tc>
        <w:tc>
          <w:tcPr>
            <w:tcW w:w="685" w:type="pct"/>
            <w:shd w:val="clear" w:color="auto" w:fill="FFFFFF" w:themeFill="background1"/>
            <w:vAlign w:val="center"/>
          </w:tcPr>
          <w:p w14:paraId="0E30CCFD"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96.1%</w:t>
            </w:r>
          </w:p>
        </w:tc>
        <w:tc>
          <w:tcPr>
            <w:tcW w:w="453" w:type="pct"/>
            <w:shd w:val="clear" w:color="auto" w:fill="FFFFFF" w:themeFill="background1"/>
            <w:vAlign w:val="center"/>
          </w:tcPr>
          <w:p w14:paraId="0134BA10"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96.7%</w:t>
            </w:r>
          </w:p>
        </w:tc>
      </w:tr>
      <w:tr w:rsidR="004C0C21" w:rsidRPr="000232DD" w14:paraId="7C30C7BB" w14:textId="77777777" w:rsidTr="0052459E">
        <w:trPr>
          <w:trHeight w:val="366"/>
          <w:jc w:val="center"/>
        </w:trPr>
        <w:tc>
          <w:tcPr>
            <w:tcW w:w="887" w:type="pct"/>
            <w:shd w:val="clear" w:color="auto" w:fill="DAE9F7" w:themeFill="text2" w:themeFillTint="1A"/>
            <w:vAlign w:val="center"/>
            <w:hideMark/>
          </w:tcPr>
          <w:p w14:paraId="556EEB9F" w14:textId="77777777" w:rsidR="00B43595" w:rsidRPr="000232DD" w:rsidRDefault="00B43595" w:rsidP="00082769">
            <w:pPr>
              <w:ind w:right="-22"/>
              <w:jc w:val="both"/>
              <w:rPr>
                <w:rFonts w:ascii="GHEA Grapalat" w:eastAsia="Times New Roman" w:hAnsi="GHEA Grapalat" w:cs="Times New Roman"/>
                <w:color w:val="auto"/>
                <w:sz w:val="18"/>
                <w:szCs w:val="20"/>
              </w:rPr>
            </w:pPr>
            <w:r w:rsidRPr="000232DD">
              <w:rPr>
                <w:rFonts w:ascii="GHEA Grapalat" w:eastAsia="Times New Roman" w:hAnsi="GHEA Grapalat" w:cs="Times New Roman"/>
                <w:color w:val="auto"/>
                <w:sz w:val="18"/>
                <w:szCs w:val="20"/>
              </w:rPr>
              <w:t xml:space="preserve">Այլ եկամուտներ </w:t>
            </w:r>
          </w:p>
        </w:tc>
        <w:tc>
          <w:tcPr>
            <w:tcW w:w="575" w:type="pct"/>
            <w:shd w:val="clear" w:color="auto" w:fill="DAE9F7" w:themeFill="text2" w:themeFillTint="1A"/>
            <w:noWrap/>
            <w:vAlign w:val="center"/>
            <w:hideMark/>
          </w:tcPr>
          <w:p w14:paraId="1B520FD3"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123.7</w:t>
            </w:r>
          </w:p>
        </w:tc>
        <w:tc>
          <w:tcPr>
            <w:tcW w:w="586" w:type="pct"/>
            <w:shd w:val="clear" w:color="auto" w:fill="DAE9F7" w:themeFill="text2" w:themeFillTint="1A"/>
            <w:noWrap/>
            <w:vAlign w:val="center"/>
            <w:hideMark/>
          </w:tcPr>
          <w:p w14:paraId="3635DC0F"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161.6</w:t>
            </w:r>
          </w:p>
        </w:tc>
        <w:tc>
          <w:tcPr>
            <w:tcW w:w="616" w:type="pct"/>
            <w:shd w:val="clear" w:color="auto" w:fill="DAE9F7" w:themeFill="text2" w:themeFillTint="1A"/>
            <w:noWrap/>
            <w:vAlign w:val="center"/>
          </w:tcPr>
          <w:p w14:paraId="4B47ED16"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150.6</w:t>
            </w:r>
          </w:p>
        </w:tc>
        <w:tc>
          <w:tcPr>
            <w:tcW w:w="513" w:type="pct"/>
            <w:shd w:val="clear" w:color="auto" w:fill="DAE9F7" w:themeFill="text2" w:themeFillTint="1A"/>
            <w:noWrap/>
            <w:vAlign w:val="center"/>
            <w:hideMark/>
          </w:tcPr>
          <w:p w14:paraId="215F4354"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98.3</w:t>
            </w:r>
          </w:p>
        </w:tc>
        <w:tc>
          <w:tcPr>
            <w:tcW w:w="685" w:type="pct"/>
            <w:shd w:val="clear" w:color="auto" w:fill="DAE9F7" w:themeFill="text2" w:themeFillTint="1A"/>
            <w:noWrap/>
            <w:vAlign w:val="center"/>
          </w:tcPr>
          <w:p w14:paraId="5EA6BB4A" w14:textId="1B1491EB" w:rsidR="00B43595" w:rsidRPr="000232DD" w:rsidRDefault="00B43595" w:rsidP="00082769">
            <w:pPr>
              <w:tabs>
                <w:tab w:val="left" w:pos="695"/>
              </w:tabs>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12</w:t>
            </w:r>
            <w:r w:rsidR="005C7003" w:rsidRPr="000232DD">
              <w:rPr>
                <w:rFonts w:ascii="GHEA Grapalat" w:eastAsia="Times New Roman" w:hAnsi="GHEA Grapalat" w:cs="Calibri"/>
                <w:b/>
                <w:bCs/>
                <w:color w:val="auto"/>
                <w:sz w:val="18"/>
                <w:szCs w:val="18"/>
              </w:rPr>
              <w:t>6</w:t>
            </w:r>
            <w:r w:rsidRPr="000232DD">
              <w:rPr>
                <w:rFonts w:ascii="GHEA Grapalat" w:eastAsia="Times New Roman" w:hAnsi="GHEA Grapalat" w:cs="Calibri"/>
                <w:b/>
                <w:bCs/>
                <w:color w:val="auto"/>
                <w:sz w:val="18"/>
                <w:szCs w:val="18"/>
              </w:rPr>
              <w:t>.</w:t>
            </w:r>
            <w:r w:rsidR="005C7003" w:rsidRPr="000232DD">
              <w:rPr>
                <w:rFonts w:ascii="GHEA Grapalat" w:eastAsia="Times New Roman" w:hAnsi="GHEA Grapalat" w:cs="Calibri"/>
                <w:b/>
                <w:bCs/>
                <w:color w:val="auto"/>
                <w:sz w:val="18"/>
                <w:szCs w:val="18"/>
              </w:rPr>
              <w:t>9</w:t>
            </w:r>
          </w:p>
        </w:tc>
        <w:tc>
          <w:tcPr>
            <w:tcW w:w="685" w:type="pct"/>
            <w:shd w:val="clear" w:color="auto" w:fill="DAE9F7" w:themeFill="text2" w:themeFillTint="1A"/>
            <w:vAlign w:val="center"/>
          </w:tcPr>
          <w:p w14:paraId="3D6BF48D" w14:textId="7872684B"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12</w:t>
            </w:r>
            <w:r w:rsidR="005C7003" w:rsidRPr="000232DD">
              <w:rPr>
                <w:rFonts w:ascii="GHEA Grapalat" w:eastAsia="Times New Roman" w:hAnsi="GHEA Grapalat" w:cs="Calibri"/>
                <w:bCs/>
                <w:color w:val="auto"/>
                <w:sz w:val="18"/>
                <w:szCs w:val="18"/>
              </w:rPr>
              <w:t>3</w:t>
            </w:r>
            <w:r w:rsidRPr="000232DD">
              <w:rPr>
                <w:rFonts w:ascii="GHEA Grapalat" w:eastAsia="Times New Roman" w:hAnsi="GHEA Grapalat" w:cs="Calibri"/>
                <w:bCs/>
                <w:color w:val="auto"/>
                <w:sz w:val="18"/>
                <w:szCs w:val="18"/>
              </w:rPr>
              <w:t>.</w:t>
            </w:r>
            <w:r w:rsidR="005C7003" w:rsidRPr="000232DD">
              <w:rPr>
                <w:rFonts w:ascii="GHEA Grapalat" w:eastAsia="Times New Roman" w:hAnsi="GHEA Grapalat" w:cs="Calibri"/>
                <w:bCs/>
                <w:color w:val="auto"/>
                <w:sz w:val="18"/>
                <w:szCs w:val="18"/>
              </w:rPr>
              <w:t>8</w:t>
            </w:r>
          </w:p>
        </w:tc>
        <w:tc>
          <w:tcPr>
            <w:tcW w:w="453" w:type="pct"/>
            <w:shd w:val="clear" w:color="auto" w:fill="DAE9F7" w:themeFill="text2" w:themeFillTint="1A"/>
            <w:vAlign w:val="center"/>
          </w:tcPr>
          <w:p w14:paraId="7191A9EC" w14:textId="527909BA"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126.</w:t>
            </w:r>
            <w:r w:rsidR="00062BED">
              <w:rPr>
                <w:rFonts w:ascii="GHEA Grapalat" w:eastAsia="Times New Roman" w:hAnsi="GHEA Grapalat" w:cs="Calibri"/>
                <w:bCs/>
                <w:color w:val="auto"/>
                <w:sz w:val="18"/>
                <w:szCs w:val="18"/>
              </w:rPr>
              <w:t>3</w:t>
            </w:r>
          </w:p>
        </w:tc>
      </w:tr>
      <w:tr w:rsidR="004C0C21" w:rsidRPr="000232DD" w14:paraId="1F70752B" w14:textId="77777777" w:rsidTr="0052459E">
        <w:trPr>
          <w:trHeight w:val="366"/>
          <w:jc w:val="center"/>
        </w:trPr>
        <w:tc>
          <w:tcPr>
            <w:tcW w:w="887" w:type="pct"/>
            <w:shd w:val="clear" w:color="auto" w:fill="auto"/>
            <w:vAlign w:val="center"/>
            <w:hideMark/>
          </w:tcPr>
          <w:p w14:paraId="766B3AA8" w14:textId="77777777" w:rsidR="00B43595" w:rsidRPr="000232DD" w:rsidRDefault="00B43595" w:rsidP="00082769">
            <w:pPr>
              <w:ind w:right="-22"/>
              <w:jc w:val="both"/>
              <w:rPr>
                <w:rFonts w:ascii="GHEA Grapalat" w:eastAsia="Times New Roman" w:hAnsi="GHEA Grapalat" w:cs="Times New Roman"/>
                <w:color w:val="auto"/>
                <w:sz w:val="18"/>
                <w:szCs w:val="20"/>
              </w:rPr>
            </w:pPr>
            <w:r w:rsidRPr="000232DD">
              <w:rPr>
                <w:rFonts w:ascii="GHEA Grapalat" w:eastAsia="Times New Roman" w:hAnsi="GHEA Grapalat" w:cs="Times New Roman"/>
                <w:color w:val="auto"/>
                <w:sz w:val="18"/>
                <w:szCs w:val="20"/>
              </w:rPr>
              <w:t xml:space="preserve">ՀՆԱ-ի նկատմամբ (%) </w:t>
            </w:r>
          </w:p>
        </w:tc>
        <w:tc>
          <w:tcPr>
            <w:tcW w:w="575" w:type="pct"/>
            <w:shd w:val="clear" w:color="auto" w:fill="auto"/>
            <w:noWrap/>
            <w:vAlign w:val="center"/>
            <w:hideMark/>
          </w:tcPr>
          <w:p w14:paraId="0AB62443"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1.3%</w:t>
            </w:r>
          </w:p>
        </w:tc>
        <w:tc>
          <w:tcPr>
            <w:tcW w:w="586" w:type="pct"/>
            <w:shd w:val="clear" w:color="auto" w:fill="auto"/>
            <w:noWrap/>
            <w:vAlign w:val="center"/>
            <w:hideMark/>
          </w:tcPr>
          <w:p w14:paraId="0899E11B"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1.6%</w:t>
            </w:r>
          </w:p>
        </w:tc>
        <w:tc>
          <w:tcPr>
            <w:tcW w:w="616" w:type="pct"/>
            <w:shd w:val="clear" w:color="auto" w:fill="auto"/>
            <w:noWrap/>
            <w:vAlign w:val="center"/>
          </w:tcPr>
          <w:p w14:paraId="125D7638"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1.1%</w:t>
            </w:r>
          </w:p>
        </w:tc>
        <w:tc>
          <w:tcPr>
            <w:tcW w:w="513" w:type="pct"/>
            <w:shd w:val="clear" w:color="auto" w:fill="auto"/>
            <w:noWrap/>
            <w:vAlign w:val="center"/>
            <w:hideMark/>
          </w:tcPr>
          <w:p w14:paraId="268CF8AB"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0.8%</w:t>
            </w:r>
          </w:p>
        </w:tc>
        <w:tc>
          <w:tcPr>
            <w:tcW w:w="685" w:type="pct"/>
            <w:shd w:val="clear" w:color="auto" w:fill="auto"/>
            <w:noWrap/>
            <w:vAlign w:val="center"/>
          </w:tcPr>
          <w:p w14:paraId="092C860D" w14:textId="77777777" w:rsidR="00B43595" w:rsidRPr="000232DD" w:rsidRDefault="00B43595" w:rsidP="00082769">
            <w:pPr>
              <w:tabs>
                <w:tab w:val="left" w:pos="695"/>
              </w:tabs>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0.9%</w:t>
            </w:r>
          </w:p>
        </w:tc>
        <w:tc>
          <w:tcPr>
            <w:tcW w:w="685" w:type="pct"/>
            <w:shd w:val="clear" w:color="auto" w:fill="auto"/>
            <w:vAlign w:val="center"/>
          </w:tcPr>
          <w:p w14:paraId="0C1F509B"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0.8%</w:t>
            </w:r>
          </w:p>
        </w:tc>
        <w:tc>
          <w:tcPr>
            <w:tcW w:w="453" w:type="pct"/>
            <w:shd w:val="clear" w:color="auto" w:fill="auto"/>
            <w:vAlign w:val="center"/>
          </w:tcPr>
          <w:p w14:paraId="28640069"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0.8%</w:t>
            </w:r>
          </w:p>
        </w:tc>
      </w:tr>
      <w:tr w:rsidR="004C0C21" w:rsidRPr="000232DD" w14:paraId="11E9587F" w14:textId="77777777" w:rsidTr="0052459E">
        <w:trPr>
          <w:trHeight w:val="366"/>
          <w:jc w:val="center"/>
        </w:trPr>
        <w:tc>
          <w:tcPr>
            <w:tcW w:w="887" w:type="pct"/>
            <w:shd w:val="clear" w:color="auto" w:fill="auto"/>
            <w:vAlign w:val="center"/>
            <w:hideMark/>
          </w:tcPr>
          <w:p w14:paraId="384BAEDD" w14:textId="77777777" w:rsidR="00B43595" w:rsidRPr="000232DD" w:rsidRDefault="00B43595" w:rsidP="00082769">
            <w:pPr>
              <w:ind w:right="-22"/>
              <w:jc w:val="both"/>
              <w:rPr>
                <w:rFonts w:ascii="GHEA Grapalat" w:eastAsia="Times New Roman" w:hAnsi="GHEA Grapalat" w:cs="Times New Roman"/>
                <w:color w:val="auto"/>
                <w:sz w:val="18"/>
                <w:szCs w:val="20"/>
              </w:rPr>
            </w:pPr>
            <w:r w:rsidRPr="000232DD">
              <w:rPr>
                <w:rFonts w:ascii="GHEA Grapalat" w:eastAsia="Times New Roman" w:hAnsi="GHEA Grapalat" w:cs="Times New Roman"/>
                <w:color w:val="auto"/>
                <w:sz w:val="18"/>
                <w:szCs w:val="20"/>
              </w:rPr>
              <w:t>Ընդհանուրի նկատմամբ (%)</w:t>
            </w:r>
          </w:p>
        </w:tc>
        <w:tc>
          <w:tcPr>
            <w:tcW w:w="575" w:type="pct"/>
            <w:shd w:val="clear" w:color="auto" w:fill="auto"/>
            <w:noWrap/>
            <w:vAlign w:val="center"/>
            <w:hideMark/>
          </w:tcPr>
          <w:p w14:paraId="4A802F9F"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5.1%</w:t>
            </w:r>
          </w:p>
        </w:tc>
        <w:tc>
          <w:tcPr>
            <w:tcW w:w="586" w:type="pct"/>
            <w:shd w:val="clear" w:color="auto" w:fill="auto"/>
            <w:noWrap/>
            <w:vAlign w:val="center"/>
            <w:hideMark/>
          </w:tcPr>
          <w:p w14:paraId="32AFD0B6"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6.3%</w:t>
            </w:r>
          </w:p>
        </w:tc>
        <w:tc>
          <w:tcPr>
            <w:tcW w:w="616" w:type="pct"/>
            <w:shd w:val="clear" w:color="auto" w:fill="auto"/>
            <w:noWrap/>
            <w:vAlign w:val="center"/>
          </w:tcPr>
          <w:p w14:paraId="1DE6A9D1"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5.2%</w:t>
            </w:r>
          </w:p>
        </w:tc>
        <w:tc>
          <w:tcPr>
            <w:tcW w:w="513" w:type="pct"/>
            <w:shd w:val="clear" w:color="auto" w:fill="auto"/>
            <w:noWrap/>
            <w:vAlign w:val="center"/>
            <w:hideMark/>
          </w:tcPr>
          <w:p w14:paraId="350D6648"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3.2%</w:t>
            </w:r>
          </w:p>
        </w:tc>
        <w:tc>
          <w:tcPr>
            <w:tcW w:w="685" w:type="pct"/>
            <w:shd w:val="clear" w:color="auto" w:fill="auto"/>
            <w:noWrap/>
            <w:vAlign w:val="center"/>
          </w:tcPr>
          <w:p w14:paraId="5E19AA34" w14:textId="77777777" w:rsidR="00B43595" w:rsidRPr="000232DD" w:rsidRDefault="00B43595" w:rsidP="00082769">
            <w:pPr>
              <w:tabs>
                <w:tab w:val="left" w:pos="695"/>
              </w:tabs>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3.5%</w:t>
            </w:r>
          </w:p>
        </w:tc>
        <w:tc>
          <w:tcPr>
            <w:tcW w:w="685" w:type="pct"/>
            <w:shd w:val="clear" w:color="auto" w:fill="auto"/>
            <w:vAlign w:val="center"/>
          </w:tcPr>
          <w:p w14:paraId="19A362C3"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3.2%</w:t>
            </w:r>
          </w:p>
        </w:tc>
        <w:tc>
          <w:tcPr>
            <w:tcW w:w="453" w:type="pct"/>
            <w:shd w:val="clear" w:color="auto" w:fill="auto"/>
            <w:vAlign w:val="center"/>
          </w:tcPr>
          <w:p w14:paraId="2C108C76"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2.9%</w:t>
            </w:r>
          </w:p>
        </w:tc>
      </w:tr>
      <w:tr w:rsidR="004C0C21" w:rsidRPr="000232DD" w14:paraId="5473C790" w14:textId="77777777" w:rsidTr="0052459E">
        <w:trPr>
          <w:trHeight w:val="366"/>
          <w:jc w:val="center"/>
        </w:trPr>
        <w:tc>
          <w:tcPr>
            <w:tcW w:w="887" w:type="pct"/>
            <w:shd w:val="clear" w:color="auto" w:fill="DAE9F7" w:themeFill="text2" w:themeFillTint="1A"/>
            <w:vAlign w:val="center"/>
            <w:hideMark/>
          </w:tcPr>
          <w:p w14:paraId="3FF4BA82" w14:textId="77777777" w:rsidR="00B43595" w:rsidRPr="000232DD" w:rsidRDefault="00B43595" w:rsidP="00082769">
            <w:pPr>
              <w:ind w:right="-22"/>
              <w:jc w:val="both"/>
              <w:rPr>
                <w:rFonts w:ascii="GHEA Grapalat" w:eastAsia="Times New Roman" w:hAnsi="GHEA Grapalat" w:cs="Times New Roman"/>
                <w:color w:val="auto"/>
                <w:sz w:val="18"/>
                <w:szCs w:val="20"/>
              </w:rPr>
            </w:pPr>
            <w:r w:rsidRPr="000232DD">
              <w:rPr>
                <w:rFonts w:ascii="GHEA Grapalat" w:eastAsia="Times New Roman" w:hAnsi="GHEA Grapalat" w:cs="Times New Roman"/>
                <w:color w:val="auto"/>
                <w:sz w:val="18"/>
                <w:szCs w:val="20"/>
              </w:rPr>
              <w:t xml:space="preserve">Պաշտոնական դրամաշնորհներ </w:t>
            </w:r>
          </w:p>
        </w:tc>
        <w:tc>
          <w:tcPr>
            <w:tcW w:w="575" w:type="pct"/>
            <w:shd w:val="clear" w:color="auto" w:fill="DAE9F7" w:themeFill="text2" w:themeFillTint="1A"/>
            <w:noWrap/>
            <w:vAlign w:val="center"/>
            <w:hideMark/>
          </w:tcPr>
          <w:p w14:paraId="2AA3D3D0"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13.1</w:t>
            </w:r>
          </w:p>
        </w:tc>
        <w:tc>
          <w:tcPr>
            <w:tcW w:w="586" w:type="pct"/>
            <w:shd w:val="clear" w:color="auto" w:fill="DAE9F7" w:themeFill="text2" w:themeFillTint="1A"/>
            <w:noWrap/>
            <w:vAlign w:val="center"/>
            <w:hideMark/>
          </w:tcPr>
          <w:p w14:paraId="6A018A15"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26.7</w:t>
            </w:r>
          </w:p>
        </w:tc>
        <w:tc>
          <w:tcPr>
            <w:tcW w:w="616" w:type="pct"/>
            <w:shd w:val="clear" w:color="auto" w:fill="DAE9F7" w:themeFill="text2" w:themeFillTint="1A"/>
            <w:noWrap/>
            <w:vAlign w:val="center"/>
          </w:tcPr>
          <w:p w14:paraId="581B3852"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10.7</w:t>
            </w:r>
          </w:p>
        </w:tc>
        <w:tc>
          <w:tcPr>
            <w:tcW w:w="513" w:type="pct"/>
            <w:shd w:val="clear" w:color="auto" w:fill="DAE9F7" w:themeFill="text2" w:themeFillTint="1A"/>
            <w:noWrap/>
            <w:vAlign w:val="center"/>
            <w:hideMark/>
          </w:tcPr>
          <w:p w14:paraId="274C82D3"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19.7</w:t>
            </w:r>
          </w:p>
        </w:tc>
        <w:tc>
          <w:tcPr>
            <w:tcW w:w="685" w:type="pct"/>
            <w:shd w:val="clear" w:color="auto" w:fill="DAE9F7" w:themeFill="text2" w:themeFillTint="1A"/>
            <w:noWrap/>
            <w:vAlign w:val="center"/>
          </w:tcPr>
          <w:p w14:paraId="3D4394BF" w14:textId="7993C1D4" w:rsidR="00B43595" w:rsidRPr="000232DD" w:rsidRDefault="005C7003" w:rsidP="00082769">
            <w:pPr>
              <w:tabs>
                <w:tab w:val="left" w:pos="695"/>
              </w:tabs>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14.15</w:t>
            </w:r>
          </w:p>
        </w:tc>
        <w:tc>
          <w:tcPr>
            <w:tcW w:w="685" w:type="pct"/>
            <w:shd w:val="clear" w:color="auto" w:fill="DAE9F7" w:themeFill="text2" w:themeFillTint="1A"/>
            <w:vAlign w:val="center"/>
          </w:tcPr>
          <w:p w14:paraId="64AE30C9" w14:textId="29302EDA"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2</w:t>
            </w:r>
            <w:r w:rsidR="005C7003" w:rsidRPr="000232DD">
              <w:rPr>
                <w:rFonts w:ascii="GHEA Grapalat" w:eastAsia="Times New Roman" w:hAnsi="GHEA Grapalat" w:cs="Calibri"/>
                <w:bCs/>
                <w:color w:val="auto"/>
                <w:sz w:val="18"/>
                <w:szCs w:val="18"/>
              </w:rPr>
              <w:t>8</w:t>
            </w:r>
            <w:r w:rsidRPr="000232DD">
              <w:rPr>
                <w:rFonts w:ascii="GHEA Grapalat" w:eastAsia="Times New Roman" w:hAnsi="GHEA Grapalat" w:cs="Calibri"/>
                <w:bCs/>
                <w:color w:val="auto"/>
                <w:sz w:val="18"/>
                <w:szCs w:val="18"/>
              </w:rPr>
              <w:t>.9</w:t>
            </w:r>
          </w:p>
        </w:tc>
        <w:tc>
          <w:tcPr>
            <w:tcW w:w="453" w:type="pct"/>
            <w:shd w:val="clear" w:color="auto" w:fill="DAE9F7" w:themeFill="text2" w:themeFillTint="1A"/>
            <w:vAlign w:val="center"/>
          </w:tcPr>
          <w:p w14:paraId="09928137" w14:textId="773F3884"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17.</w:t>
            </w:r>
            <w:r w:rsidR="005C7003" w:rsidRPr="000232DD">
              <w:rPr>
                <w:rFonts w:ascii="GHEA Grapalat" w:eastAsia="Times New Roman" w:hAnsi="GHEA Grapalat" w:cs="Calibri"/>
                <w:bCs/>
                <w:color w:val="auto"/>
                <w:sz w:val="18"/>
                <w:szCs w:val="18"/>
              </w:rPr>
              <w:t>2</w:t>
            </w:r>
          </w:p>
        </w:tc>
      </w:tr>
      <w:tr w:rsidR="004C0C21" w:rsidRPr="000232DD" w14:paraId="091DE03A" w14:textId="77777777" w:rsidTr="0052459E">
        <w:trPr>
          <w:trHeight w:val="366"/>
          <w:jc w:val="center"/>
        </w:trPr>
        <w:tc>
          <w:tcPr>
            <w:tcW w:w="887" w:type="pct"/>
            <w:shd w:val="clear" w:color="auto" w:fill="auto"/>
            <w:vAlign w:val="center"/>
            <w:hideMark/>
          </w:tcPr>
          <w:p w14:paraId="78BBBC12" w14:textId="77777777" w:rsidR="00B43595" w:rsidRPr="000232DD" w:rsidRDefault="00B43595" w:rsidP="00082769">
            <w:pPr>
              <w:ind w:right="-22"/>
              <w:jc w:val="both"/>
              <w:rPr>
                <w:rFonts w:ascii="GHEA Grapalat" w:eastAsia="Times New Roman" w:hAnsi="GHEA Grapalat" w:cs="Times New Roman"/>
                <w:color w:val="auto"/>
                <w:sz w:val="18"/>
                <w:szCs w:val="20"/>
              </w:rPr>
            </w:pPr>
            <w:r w:rsidRPr="000232DD">
              <w:rPr>
                <w:rFonts w:ascii="GHEA Grapalat" w:eastAsia="Times New Roman" w:hAnsi="GHEA Grapalat" w:cs="Times New Roman"/>
                <w:color w:val="auto"/>
                <w:sz w:val="18"/>
                <w:szCs w:val="20"/>
              </w:rPr>
              <w:t xml:space="preserve">ՀՆԱ-ի նկատմամբ (%) </w:t>
            </w:r>
          </w:p>
        </w:tc>
        <w:tc>
          <w:tcPr>
            <w:tcW w:w="575" w:type="pct"/>
            <w:shd w:val="clear" w:color="auto" w:fill="auto"/>
            <w:noWrap/>
            <w:vAlign w:val="center"/>
            <w:hideMark/>
          </w:tcPr>
          <w:p w14:paraId="552AF9CC"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0.1%</w:t>
            </w:r>
          </w:p>
        </w:tc>
        <w:tc>
          <w:tcPr>
            <w:tcW w:w="586" w:type="pct"/>
            <w:shd w:val="clear" w:color="auto" w:fill="auto"/>
            <w:noWrap/>
            <w:vAlign w:val="center"/>
            <w:hideMark/>
          </w:tcPr>
          <w:p w14:paraId="6CBDD94E"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0.3%</w:t>
            </w:r>
          </w:p>
        </w:tc>
        <w:tc>
          <w:tcPr>
            <w:tcW w:w="616" w:type="pct"/>
            <w:shd w:val="clear" w:color="auto" w:fill="auto"/>
            <w:noWrap/>
            <w:vAlign w:val="center"/>
          </w:tcPr>
          <w:p w14:paraId="4A466924"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0.2%</w:t>
            </w:r>
          </w:p>
        </w:tc>
        <w:tc>
          <w:tcPr>
            <w:tcW w:w="513" w:type="pct"/>
            <w:shd w:val="clear" w:color="auto" w:fill="auto"/>
            <w:noWrap/>
            <w:vAlign w:val="center"/>
            <w:hideMark/>
          </w:tcPr>
          <w:p w14:paraId="0A3C61D3" w14:textId="192BBA05"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0.2%</w:t>
            </w:r>
          </w:p>
        </w:tc>
        <w:tc>
          <w:tcPr>
            <w:tcW w:w="685" w:type="pct"/>
            <w:shd w:val="clear" w:color="auto" w:fill="auto"/>
            <w:noWrap/>
            <w:vAlign w:val="center"/>
          </w:tcPr>
          <w:p w14:paraId="498183AA" w14:textId="2D8069DB" w:rsidR="00B43595" w:rsidRPr="000232DD" w:rsidRDefault="00B43595" w:rsidP="00082769">
            <w:pPr>
              <w:tabs>
                <w:tab w:val="left" w:pos="695"/>
              </w:tabs>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0.</w:t>
            </w:r>
            <w:r w:rsidR="00B901C2" w:rsidRPr="000232DD">
              <w:rPr>
                <w:rFonts w:ascii="GHEA Grapalat" w:eastAsia="Times New Roman" w:hAnsi="GHEA Grapalat" w:cs="Times New Roman"/>
                <w:b/>
                <w:bCs/>
                <w:smallCaps/>
                <w:noProof/>
                <w:color w:val="auto"/>
                <w:sz w:val="18"/>
                <w:szCs w:val="18"/>
              </w:rPr>
              <w:t xml:space="preserve"> </w:t>
            </w:r>
            <w:r w:rsidRPr="000232DD">
              <w:rPr>
                <w:rFonts w:ascii="GHEA Grapalat" w:eastAsia="Times New Roman" w:hAnsi="GHEA Grapalat" w:cs="Calibri"/>
                <w:b/>
                <w:bCs/>
                <w:color w:val="auto"/>
                <w:sz w:val="18"/>
                <w:szCs w:val="18"/>
              </w:rPr>
              <w:t>1%</w:t>
            </w:r>
          </w:p>
        </w:tc>
        <w:tc>
          <w:tcPr>
            <w:tcW w:w="685" w:type="pct"/>
            <w:shd w:val="clear" w:color="auto" w:fill="auto"/>
            <w:vAlign w:val="center"/>
          </w:tcPr>
          <w:p w14:paraId="08A4EA73" w14:textId="3C140418"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0.2%</w:t>
            </w:r>
          </w:p>
        </w:tc>
        <w:tc>
          <w:tcPr>
            <w:tcW w:w="453" w:type="pct"/>
            <w:shd w:val="clear" w:color="auto" w:fill="auto"/>
            <w:vAlign w:val="center"/>
          </w:tcPr>
          <w:p w14:paraId="39C30183"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0.1%</w:t>
            </w:r>
          </w:p>
        </w:tc>
      </w:tr>
      <w:tr w:rsidR="00B43595" w:rsidRPr="000232DD" w14:paraId="08B763D5" w14:textId="77777777" w:rsidTr="0052459E">
        <w:trPr>
          <w:trHeight w:val="366"/>
          <w:jc w:val="center"/>
        </w:trPr>
        <w:tc>
          <w:tcPr>
            <w:tcW w:w="887" w:type="pct"/>
            <w:shd w:val="clear" w:color="auto" w:fill="auto"/>
            <w:vAlign w:val="center"/>
            <w:hideMark/>
          </w:tcPr>
          <w:p w14:paraId="5A2FB82E" w14:textId="77777777" w:rsidR="00B43595" w:rsidRPr="000232DD" w:rsidRDefault="00B43595" w:rsidP="00082769">
            <w:pPr>
              <w:ind w:right="-22"/>
              <w:jc w:val="both"/>
              <w:rPr>
                <w:rFonts w:ascii="GHEA Grapalat" w:eastAsia="Times New Roman" w:hAnsi="GHEA Grapalat" w:cs="Times New Roman"/>
                <w:color w:val="auto"/>
                <w:sz w:val="18"/>
                <w:szCs w:val="20"/>
              </w:rPr>
            </w:pPr>
            <w:r w:rsidRPr="000232DD">
              <w:rPr>
                <w:rFonts w:ascii="GHEA Grapalat" w:eastAsia="Times New Roman" w:hAnsi="GHEA Grapalat" w:cs="Times New Roman"/>
                <w:color w:val="auto"/>
                <w:sz w:val="18"/>
                <w:szCs w:val="20"/>
              </w:rPr>
              <w:t>Ընդհանուրի նկատմամբ (%)</w:t>
            </w:r>
          </w:p>
        </w:tc>
        <w:tc>
          <w:tcPr>
            <w:tcW w:w="575" w:type="pct"/>
            <w:shd w:val="clear" w:color="auto" w:fill="auto"/>
            <w:noWrap/>
            <w:vAlign w:val="center"/>
            <w:hideMark/>
          </w:tcPr>
          <w:p w14:paraId="73B9B5DE"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0.5%</w:t>
            </w:r>
          </w:p>
        </w:tc>
        <w:tc>
          <w:tcPr>
            <w:tcW w:w="586" w:type="pct"/>
            <w:shd w:val="clear" w:color="auto" w:fill="auto"/>
            <w:noWrap/>
            <w:vAlign w:val="center"/>
            <w:hideMark/>
          </w:tcPr>
          <w:p w14:paraId="3682FAD6"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1.0%</w:t>
            </w:r>
          </w:p>
        </w:tc>
        <w:tc>
          <w:tcPr>
            <w:tcW w:w="616" w:type="pct"/>
            <w:shd w:val="clear" w:color="auto" w:fill="auto"/>
            <w:noWrap/>
            <w:vAlign w:val="center"/>
          </w:tcPr>
          <w:p w14:paraId="59DDC0E0"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0.4%</w:t>
            </w:r>
          </w:p>
        </w:tc>
        <w:tc>
          <w:tcPr>
            <w:tcW w:w="513" w:type="pct"/>
            <w:shd w:val="clear" w:color="auto" w:fill="auto"/>
            <w:noWrap/>
            <w:vAlign w:val="center"/>
            <w:hideMark/>
          </w:tcPr>
          <w:p w14:paraId="2B3D491D" w14:textId="77777777"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0.6%</w:t>
            </w:r>
          </w:p>
        </w:tc>
        <w:tc>
          <w:tcPr>
            <w:tcW w:w="685" w:type="pct"/>
            <w:shd w:val="clear" w:color="auto" w:fill="auto"/>
            <w:noWrap/>
            <w:vAlign w:val="center"/>
          </w:tcPr>
          <w:p w14:paraId="692A9B0D" w14:textId="68D435B9" w:rsidR="00B43595" w:rsidRPr="000232DD" w:rsidRDefault="00B43595" w:rsidP="00082769">
            <w:pPr>
              <w:tabs>
                <w:tab w:val="left" w:pos="695"/>
              </w:tabs>
              <w:ind w:right="-22"/>
              <w:jc w:val="center"/>
              <w:rPr>
                <w:rFonts w:ascii="GHEA Grapalat" w:eastAsia="Times New Roman" w:hAnsi="GHEA Grapalat" w:cs="Calibri"/>
                <w:b/>
                <w:bCs/>
                <w:color w:val="auto"/>
                <w:sz w:val="18"/>
                <w:szCs w:val="18"/>
              </w:rPr>
            </w:pPr>
            <w:r w:rsidRPr="000232DD">
              <w:rPr>
                <w:rFonts w:ascii="GHEA Grapalat" w:eastAsia="Times New Roman" w:hAnsi="GHEA Grapalat" w:cs="Calibri"/>
                <w:b/>
                <w:bCs/>
                <w:color w:val="auto"/>
                <w:sz w:val="18"/>
                <w:szCs w:val="18"/>
              </w:rPr>
              <w:t>0.</w:t>
            </w:r>
            <w:r w:rsidR="005C7003" w:rsidRPr="000232DD">
              <w:rPr>
                <w:rFonts w:ascii="GHEA Grapalat" w:eastAsia="Times New Roman" w:hAnsi="GHEA Grapalat" w:cs="Calibri"/>
                <w:b/>
                <w:bCs/>
                <w:color w:val="auto"/>
                <w:sz w:val="18"/>
                <w:szCs w:val="18"/>
              </w:rPr>
              <w:t>4</w:t>
            </w:r>
            <w:r w:rsidRPr="000232DD">
              <w:rPr>
                <w:rFonts w:ascii="GHEA Grapalat" w:eastAsia="Times New Roman" w:hAnsi="GHEA Grapalat" w:cs="Calibri"/>
                <w:b/>
                <w:bCs/>
                <w:color w:val="auto"/>
                <w:sz w:val="18"/>
                <w:szCs w:val="18"/>
              </w:rPr>
              <w:t>%</w:t>
            </w:r>
          </w:p>
        </w:tc>
        <w:tc>
          <w:tcPr>
            <w:tcW w:w="685" w:type="pct"/>
            <w:shd w:val="clear" w:color="auto" w:fill="auto"/>
            <w:vAlign w:val="center"/>
          </w:tcPr>
          <w:p w14:paraId="228B206F" w14:textId="597BBD7E" w:rsidR="00B43595" w:rsidRPr="000232DD" w:rsidRDefault="005C7003"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0.7</w:t>
            </w:r>
            <w:r w:rsidR="00B43595" w:rsidRPr="000232DD">
              <w:rPr>
                <w:rFonts w:ascii="GHEA Grapalat" w:eastAsia="Times New Roman" w:hAnsi="GHEA Grapalat" w:cs="Calibri"/>
                <w:bCs/>
                <w:color w:val="auto"/>
                <w:sz w:val="18"/>
                <w:szCs w:val="18"/>
              </w:rPr>
              <w:t>%</w:t>
            </w:r>
          </w:p>
        </w:tc>
        <w:tc>
          <w:tcPr>
            <w:tcW w:w="453" w:type="pct"/>
            <w:shd w:val="clear" w:color="auto" w:fill="auto"/>
            <w:vAlign w:val="center"/>
          </w:tcPr>
          <w:p w14:paraId="4E680C94" w14:textId="4DD82D48" w:rsidR="00B43595" w:rsidRPr="000232DD" w:rsidRDefault="00B43595" w:rsidP="00082769">
            <w:pPr>
              <w:ind w:right="-22"/>
              <w:jc w:val="center"/>
              <w:rPr>
                <w:rFonts w:ascii="GHEA Grapalat" w:eastAsia="Times New Roman" w:hAnsi="GHEA Grapalat" w:cs="Calibri"/>
                <w:bCs/>
                <w:color w:val="auto"/>
                <w:sz w:val="18"/>
                <w:szCs w:val="18"/>
              </w:rPr>
            </w:pPr>
            <w:r w:rsidRPr="000232DD">
              <w:rPr>
                <w:rFonts w:ascii="GHEA Grapalat" w:eastAsia="Times New Roman" w:hAnsi="GHEA Grapalat" w:cs="Calibri"/>
                <w:bCs/>
                <w:color w:val="auto"/>
                <w:sz w:val="18"/>
                <w:szCs w:val="18"/>
              </w:rPr>
              <w:t>0.</w:t>
            </w:r>
            <w:r w:rsidR="005C7003" w:rsidRPr="000232DD">
              <w:rPr>
                <w:rFonts w:ascii="GHEA Grapalat" w:eastAsia="Times New Roman" w:hAnsi="GHEA Grapalat" w:cs="Calibri"/>
                <w:bCs/>
                <w:color w:val="auto"/>
                <w:sz w:val="18"/>
                <w:szCs w:val="18"/>
              </w:rPr>
              <w:t>4</w:t>
            </w:r>
            <w:r w:rsidRPr="000232DD">
              <w:rPr>
                <w:rFonts w:ascii="GHEA Grapalat" w:eastAsia="Times New Roman" w:hAnsi="GHEA Grapalat" w:cs="Calibri"/>
                <w:bCs/>
                <w:color w:val="auto"/>
                <w:sz w:val="18"/>
                <w:szCs w:val="18"/>
              </w:rPr>
              <w:t>%</w:t>
            </w:r>
          </w:p>
        </w:tc>
      </w:tr>
    </w:tbl>
    <w:p w14:paraId="7E7DA297" w14:textId="77777777" w:rsidR="00B43595" w:rsidRPr="000232DD" w:rsidRDefault="00B43595" w:rsidP="00082769">
      <w:pPr>
        <w:ind w:right="-22"/>
        <w:jc w:val="both"/>
        <w:rPr>
          <w:rFonts w:ascii="GHEA Grapalat" w:eastAsia="Times New Roman" w:hAnsi="GHEA Grapalat" w:cs="Times New Roman"/>
          <w:color w:val="auto"/>
          <w:lang w:val="fr-FR" w:eastAsia="en-GB"/>
        </w:rPr>
      </w:pPr>
    </w:p>
    <w:p w14:paraId="34D36E3F" w14:textId="77777777" w:rsidR="00B43595" w:rsidRPr="000232DD" w:rsidRDefault="00B43595" w:rsidP="00082769">
      <w:pPr>
        <w:ind w:right="-22"/>
        <w:jc w:val="both"/>
        <w:rPr>
          <w:rFonts w:ascii="GHEA Grapalat" w:eastAsia="Times New Roman" w:hAnsi="GHEA Grapalat" w:cs="Times New Roman"/>
          <w:color w:val="auto"/>
          <w:sz w:val="28"/>
          <w:szCs w:val="20"/>
          <w:lang w:val="fr-FR"/>
        </w:rPr>
      </w:pPr>
      <w:r w:rsidRPr="000232DD">
        <w:rPr>
          <w:rFonts w:ascii="GHEA Grapalat" w:eastAsia="Times New Roman" w:hAnsi="GHEA Grapalat" w:cs="Times New Roman"/>
          <w:color w:val="auto"/>
          <w:szCs w:val="20"/>
        </w:rPr>
        <w:t>ՀՀ</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պետական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բյուջեի</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եկամուտները</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ծրագրելիս</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օգտագործվել</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են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այն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մակրո</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rPr>
        <w:t>տնտեսական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ցուցանիշների</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կանխատեսումները</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որոնք</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էական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ազդեցություն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ունեն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ա</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rPr>
        <w:t>ռան</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rPr>
        <w:t>ձին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եկամտա</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rPr>
        <w:t>տե</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rPr>
        <w:t>սակ</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rPr>
        <w:t>ների</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բազայի</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ձևավորման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կամ</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հաշվարկման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վրա</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Առանձին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դեպքերում</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հաշ</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rPr>
        <w:t>վի</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են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առնվել</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նաև</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պայմանա</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rPr>
        <w:t>գրային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հարաբերություններով</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կարգավորվող</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rPr>
        <w:t>ցու</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rPr>
        <w:t>ցանիշները</w:t>
      </w:r>
      <w:r w:rsidRPr="000232DD">
        <w:rPr>
          <w:rFonts w:ascii="GHEA Grapalat" w:eastAsia="Times New Roman" w:hAnsi="GHEA Grapalat" w:cs="Times New Roman"/>
          <w:color w:val="auto"/>
          <w:szCs w:val="20"/>
          <w:lang w:val="fr-FR"/>
        </w:rPr>
        <w:t>:</w:t>
      </w:r>
      <w:bookmarkStart w:id="356" w:name="_Toc178356582"/>
      <w:bookmarkStart w:id="357" w:name="_Toc153184481"/>
    </w:p>
    <w:p w14:paraId="2E39363D" w14:textId="77777777" w:rsidR="00B43595" w:rsidRPr="002A5C86" w:rsidRDefault="00B43595" w:rsidP="00082769">
      <w:pPr>
        <w:pStyle w:val="TOC4"/>
        <w:ind w:right="-22"/>
        <w:rPr>
          <w:color w:val="ADADAD" w:themeColor="background2" w:themeShade="BF"/>
          <w:lang w:val="fr-FR"/>
        </w:rPr>
      </w:pPr>
      <w:r w:rsidRPr="002A5C86">
        <w:rPr>
          <w:color w:val="ADADAD" w:themeColor="background2" w:themeShade="BF"/>
        </w:rPr>
        <w:t>ՀԱՐԿԱՅԻՆ</w:t>
      </w:r>
      <w:r w:rsidRPr="002A5C86">
        <w:rPr>
          <w:color w:val="ADADAD" w:themeColor="background2" w:themeShade="BF"/>
          <w:lang w:val="fr-FR"/>
        </w:rPr>
        <w:t xml:space="preserve"> </w:t>
      </w:r>
      <w:r w:rsidRPr="002A5C86">
        <w:rPr>
          <w:color w:val="ADADAD" w:themeColor="background2" w:themeShade="BF"/>
        </w:rPr>
        <w:t>ԵԿԱՄՈՒՏՆԵՐ</w:t>
      </w:r>
      <w:r w:rsidRPr="002A5C86">
        <w:rPr>
          <w:color w:val="ADADAD" w:themeColor="background2" w:themeShade="BF"/>
          <w:lang w:val="fr-FR"/>
        </w:rPr>
        <w:t xml:space="preserve"> </w:t>
      </w:r>
      <w:r w:rsidRPr="002A5C86">
        <w:rPr>
          <w:color w:val="ADADAD" w:themeColor="background2" w:themeShade="BF"/>
        </w:rPr>
        <w:t>ԵՎ</w:t>
      </w:r>
      <w:r w:rsidRPr="002A5C86">
        <w:rPr>
          <w:color w:val="ADADAD" w:themeColor="background2" w:themeShade="BF"/>
          <w:lang w:val="fr-FR"/>
        </w:rPr>
        <w:t xml:space="preserve"> </w:t>
      </w:r>
      <w:r w:rsidRPr="002A5C86">
        <w:rPr>
          <w:color w:val="ADADAD" w:themeColor="background2" w:themeShade="BF"/>
        </w:rPr>
        <w:t>ՊԵՏԱԿԱՆ</w:t>
      </w:r>
      <w:r w:rsidRPr="002A5C86">
        <w:rPr>
          <w:color w:val="ADADAD" w:themeColor="background2" w:themeShade="BF"/>
          <w:lang w:val="fr-FR"/>
        </w:rPr>
        <w:t xml:space="preserve"> </w:t>
      </w:r>
      <w:r w:rsidRPr="002A5C86">
        <w:rPr>
          <w:color w:val="ADADAD" w:themeColor="background2" w:themeShade="BF"/>
        </w:rPr>
        <w:t>ՏՈՒՐՔԵՐ</w:t>
      </w:r>
      <w:bookmarkEnd w:id="356"/>
      <w:bookmarkEnd w:id="357"/>
    </w:p>
    <w:bookmarkEnd w:id="349"/>
    <w:bookmarkEnd w:id="350"/>
    <w:p w14:paraId="63E28359" w14:textId="4756C668" w:rsidR="00B43595" w:rsidRPr="000232DD" w:rsidRDefault="00B43595" w:rsidP="00082769">
      <w:pPr>
        <w:ind w:right="-22"/>
        <w:jc w:val="both"/>
        <w:rPr>
          <w:rFonts w:ascii="GHEA Grapalat" w:eastAsia="Times New Roman" w:hAnsi="GHEA Grapalat" w:cs="Times New Roman"/>
          <w:color w:val="auto"/>
          <w:szCs w:val="20"/>
          <w:lang w:val="fr-FR"/>
        </w:rPr>
      </w:pPr>
      <w:r w:rsidRPr="000232DD">
        <w:rPr>
          <w:rFonts w:ascii="GHEA Grapalat" w:eastAsia="Times New Roman" w:hAnsi="GHEA Grapalat" w:cs="Times New Roman"/>
          <w:color w:val="auto"/>
          <w:szCs w:val="20"/>
          <w:lang w:val="hy-AM"/>
        </w:rPr>
        <w:t>Հարկային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եկամուտների</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և</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պետական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տուրքերի</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գծով</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բյու</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ջետային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մուտքերի</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հաշվարկներում</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ենթադրվել</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է</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որ</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հարկերի</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գծով հաջորդող տարիների</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համար</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հարկային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եկամուտներ</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և</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պետական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տուրքեր</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ՀՆԱ</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ցուցանիշի</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սպասողական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մակարդակը</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ապա</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հո</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վե</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լու</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համար</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բա</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վարար</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հիմքեր</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կստեղծեն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առկա</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օրենս</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դրա</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կան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նա</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խադրյալները</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կի</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րառ</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վելիք</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վարչարարական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միջոցա</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ռում</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ները</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ինչպես</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նաև</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մակ</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րո</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տնտե</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սական</w:t>
      </w:r>
      <w:r w:rsidRPr="000232DD">
        <w:rPr>
          <w:rFonts w:ascii="GHEA Grapalat" w:eastAsia="Times New Roman" w:hAnsi="GHEA Grapalat" w:cs="Times New Roman"/>
          <w:color w:val="auto"/>
          <w:szCs w:val="20"/>
          <w:lang w:val="fr-FR"/>
        </w:rPr>
        <w:t xml:space="preserve"> </w:t>
      </w:r>
      <w:r w:rsidRPr="000232DD">
        <w:rPr>
          <w:rFonts w:ascii="GHEA Grapalat" w:eastAsia="Times New Roman" w:hAnsi="GHEA Grapalat" w:cs="Times New Roman"/>
          <w:color w:val="auto"/>
          <w:szCs w:val="20"/>
          <w:lang w:val="hy-AM"/>
        </w:rPr>
        <w:t>զար</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գա</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ցում</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նե</w:t>
      </w:r>
      <w:r w:rsidRPr="000232DD">
        <w:rPr>
          <w:rFonts w:ascii="GHEA Grapalat" w:eastAsia="Times New Roman" w:hAnsi="GHEA Grapalat" w:cs="Times New Roman"/>
          <w:color w:val="auto"/>
          <w:szCs w:val="20"/>
          <w:lang w:val="fr-FR"/>
        </w:rPr>
        <w:softHyphen/>
      </w:r>
      <w:r w:rsidRPr="000232DD">
        <w:rPr>
          <w:rFonts w:ascii="GHEA Grapalat" w:eastAsia="Times New Roman" w:hAnsi="GHEA Grapalat" w:cs="Times New Roman"/>
          <w:color w:val="auto"/>
          <w:szCs w:val="20"/>
          <w:lang w:val="hy-AM"/>
        </w:rPr>
        <w:t>րը</w:t>
      </w:r>
      <w:r w:rsidRPr="000232DD">
        <w:rPr>
          <w:rFonts w:ascii="GHEA Grapalat" w:eastAsia="Times New Roman" w:hAnsi="GHEA Grapalat" w:cs="Times New Roman"/>
          <w:color w:val="auto"/>
          <w:szCs w:val="20"/>
          <w:lang w:val="fr-FR"/>
        </w:rPr>
        <w:t xml:space="preserve">: </w:t>
      </w:r>
      <w:bookmarkStart w:id="358" w:name="_Toc52223576"/>
    </w:p>
    <w:p w14:paraId="03D5C839" w14:textId="516D799A" w:rsidR="00B43595" w:rsidRPr="00E73A9A" w:rsidRDefault="00B43595" w:rsidP="00082769">
      <w:pPr>
        <w:pStyle w:val="Charts"/>
        <w:ind w:right="-22"/>
        <w:rPr>
          <w:b w:val="0"/>
          <w:bCs/>
          <w:color w:val="auto"/>
          <w:sz w:val="20"/>
          <w:szCs w:val="18"/>
        </w:rPr>
      </w:pPr>
      <w:bookmarkStart w:id="359" w:name="_Toc184110746"/>
      <w:bookmarkStart w:id="360" w:name="_Toc241608096"/>
      <w:r w:rsidRPr="00E73A9A">
        <w:rPr>
          <w:b w:val="0"/>
          <w:bCs/>
          <w:color w:val="auto"/>
          <w:sz w:val="20"/>
          <w:szCs w:val="18"/>
        </w:rPr>
        <w:t xml:space="preserve">Գծապատկեր </w:t>
      </w:r>
      <w:r w:rsidRPr="00E73A9A">
        <w:rPr>
          <w:b w:val="0"/>
          <w:bCs/>
          <w:color w:val="auto"/>
          <w:sz w:val="20"/>
          <w:szCs w:val="18"/>
        </w:rPr>
        <w:fldChar w:fldCharType="begin"/>
      </w:r>
      <w:r w:rsidRPr="00E73A9A">
        <w:rPr>
          <w:b w:val="0"/>
          <w:bCs/>
          <w:color w:val="auto"/>
          <w:sz w:val="20"/>
          <w:szCs w:val="18"/>
        </w:rPr>
        <w:instrText xml:space="preserve"> SEQ Գծապատկեր \* ARABIC </w:instrText>
      </w:r>
      <w:r w:rsidRPr="00E73A9A">
        <w:rPr>
          <w:b w:val="0"/>
          <w:bCs/>
          <w:color w:val="auto"/>
          <w:sz w:val="20"/>
          <w:szCs w:val="18"/>
        </w:rPr>
        <w:fldChar w:fldCharType="separate"/>
      </w:r>
      <w:r w:rsidR="00E46048">
        <w:rPr>
          <w:b w:val="0"/>
          <w:bCs/>
          <w:noProof/>
          <w:color w:val="auto"/>
          <w:sz w:val="20"/>
          <w:szCs w:val="18"/>
        </w:rPr>
        <w:t>1</w:t>
      </w:r>
      <w:r w:rsidRPr="00E73A9A">
        <w:rPr>
          <w:b w:val="0"/>
          <w:bCs/>
          <w:color w:val="auto"/>
          <w:sz w:val="20"/>
          <w:szCs w:val="18"/>
        </w:rPr>
        <w:fldChar w:fldCharType="end"/>
      </w:r>
      <w:r w:rsidRPr="00E73A9A">
        <w:rPr>
          <w:b w:val="0"/>
          <w:bCs/>
          <w:color w:val="auto"/>
          <w:sz w:val="20"/>
          <w:szCs w:val="18"/>
        </w:rPr>
        <w:t>. ՀՀ 2023-2029թթ. Հարկային եկամուտները և պետական տուրքերը (մլրդ դրամով) և կշիռը ՀՆԱ-ի նկատմամբ</w:t>
      </w:r>
      <w:bookmarkEnd w:id="359"/>
      <w:bookmarkEnd w:id="360"/>
    </w:p>
    <w:p w14:paraId="7C9010D1" w14:textId="796AAD5F" w:rsidR="00B43595" w:rsidRPr="000232DD" w:rsidRDefault="00B43595" w:rsidP="00082769">
      <w:pPr>
        <w:tabs>
          <w:tab w:val="left" w:pos="9630"/>
        </w:tabs>
        <w:ind w:right="-22"/>
        <w:jc w:val="both"/>
        <w:rPr>
          <w:rFonts w:ascii="GHEA Grapalat" w:eastAsia="Times New Roman" w:hAnsi="GHEA Grapalat" w:cs="Times New Roman"/>
          <w:b/>
          <w:color w:val="auto"/>
          <w:szCs w:val="20"/>
          <w:lang w:val="hy-AM"/>
        </w:rPr>
      </w:pPr>
      <w:bookmarkStart w:id="361" w:name="_Toc178350582"/>
      <w:bookmarkStart w:id="362" w:name="_Toc178595160"/>
      <w:bookmarkEnd w:id="358"/>
      <w:r w:rsidRPr="000232DD">
        <w:rPr>
          <w:rFonts w:ascii="GHEA Grapalat" w:eastAsia="Times New Roman" w:hAnsi="GHEA Grapalat" w:cs="Times New Roman"/>
          <w:b/>
          <w:noProof/>
          <w:color w:val="auto"/>
          <w:szCs w:val="20"/>
        </w:rPr>
        <w:drawing>
          <wp:anchor distT="0" distB="0" distL="114300" distR="114300" simplePos="0" relativeHeight="251668480" behindDoc="0" locked="0" layoutInCell="1" allowOverlap="1" wp14:anchorId="77A59212" wp14:editId="48092921">
            <wp:simplePos x="0" y="0"/>
            <wp:positionH relativeFrom="column">
              <wp:posOffset>2540</wp:posOffset>
            </wp:positionH>
            <wp:positionV relativeFrom="paragraph">
              <wp:posOffset>153670</wp:posOffset>
            </wp:positionV>
            <wp:extent cx="6175375" cy="2997200"/>
            <wp:effectExtent l="0" t="0" r="15875" b="12700"/>
            <wp:wrapTopAndBottom/>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14:sizeRelH relativeFrom="margin">
              <wp14:pctWidth>0</wp14:pctWidth>
            </wp14:sizeRelH>
            <wp14:sizeRelV relativeFrom="margin">
              <wp14:pctHeight>0</wp14:pctHeight>
            </wp14:sizeRelV>
          </wp:anchor>
        </w:drawing>
      </w:r>
      <w:bookmarkEnd w:id="361"/>
      <w:bookmarkEnd w:id="362"/>
    </w:p>
    <w:p w14:paraId="5464E24C" w14:textId="77777777" w:rsidR="00B43595" w:rsidRPr="002A5C86" w:rsidRDefault="00B43595" w:rsidP="00082769">
      <w:pPr>
        <w:pStyle w:val="TOC4"/>
        <w:ind w:right="-22"/>
        <w:rPr>
          <w:color w:val="ADADAD" w:themeColor="background2" w:themeShade="BF"/>
          <w:lang w:val="hy-AM"/>
        </w:rPr>
      </w:pPr>
      <w:bookmarkStart w:id="363" w:name="_Toc178356583"/>
      <w:bookmarkStart w:id="364" w:name="_Toc153184482"/>
      <w:r w:rsidRPr="002A5C86">
        <w:rPr>
          <w:color w:val="ADADAD" w:themeColor="background2" w:themeShade="BF"/>
          <w:lang w:val="hy-AM"/>
        </w:rPr>
        <w:t>2026 ԹՎԱԿԱՆԻ ՀԱՐԿԱՅԻՆ ԾԱԽՍԵՐԻ ՄԵԾՈՒԹՅԱՆ ԳՆԱՀԱՏՈՒՄ</w:t>
      </w:r>
      <w:bookmarkEnd w:id="363"/>
      <w:bookmarkEnd w:id="364"/>
    </w:p>
    <w:p w14:paraId="3D4A64C9" w14:textId="129442B2" w:rsidR="00B43595" w:rsidRPr="00262E30" w:rsidRDefault="00B43595" w:rsidP="00082769">
      <w:pPr>
        <w:ind w:right="-22"/>
        <w:jc w:val="both"/>
        <w:rPr>
          <w:rFonts w:ascii="GHEA Grapalat" w:eastAsia="Times New Roman" w:hAnsi="GHEA Grapalat" w:cs="Times New Roman"/>
          <w:color w:val="auto"/>
          <w:lang w:val="hy-AM"/>
        </w:rPr>
      </w:pPr>
      <w:r w:rsidRPr="00262E30">
        <w:rPr>
          <w:rFonts w:ascii="GHEA Grapalat" w:eastAsia="Times New Roman" w:hAnsi="GHEA Grapalat" w:cs="Sylfaen"/>
          <w:iCs/>
          <w:color w:val="auto"/>
          <w:lang w:val="af-ZA" w:eastAsia="en-GB"/>
        </w:rPr>
        <w:t>ՀՀ 202</w:t>
      </w:r>
      <w:r w:rsidR="002A5C86" w:rsidRPr="00262E30">
        <w:rPr>
          <w:rFonts w:ascii="GHEA Grapalat" w:eastAsia="Times New Roman" w:hAnsi="GHEA Grapalat" w:cs="Sylfaen"/>
          <w:iCs/>
          <w:color w:val="auto"/>
          <w:lang w:val="af-ZA" w:eastAsia="en-GB"/>
        </w:rPr>
        <w:t>7</w:t>
      </w:r>
      <w:r w:rsidRPr="00262E30">
        <w:rPr>
          <w:rFonts w:ascii="GHEA Grapalat" w:eastAsia="Times New Roman" w:hAnsi="GHEA Grapalat" w:cs="Sylfaen"/>
          <w:iCs/>
          <w:color w:val="auto"/>
          <w:lang w:val="af-ZA" w:eastAsia="en-GB"/>
        </w:rPr>
        <w:t xml:space="preserve"> թվականի հարկային եկա</w:t>
      </w:r>
      <w:r w:rsidRPr="00262E30">
        <w:rPr>
          <w:rFonts w:ascii="GHEA Grapalat" w:eastAsia="Times New Roman" w:hAnsi="GHEA Grapalat" w:cs="Sylfaen"/>
          <w:iCs/>
          <w:color w:val="auto"/>
          <w:lang w:val="af-ZA" w:eastAsia="en-GB"/>
        </w:rPr>
        <w:softHyphen/>
        <w:t>մուտ</w:t>
      </w:r>
      <w:r w:rsidRPr="00262E30">
        <w:rPr>
          <w:rFonts w:ascii="GHEA Grapalat" w:eastAsia="Times New Roman" w:hAnsi="GHEA Grapalat" w:cs="Sylfaen"/>
          <w:iCs/>
          <w:color w:val="auto"/>
          <w:lang w:val="af-ZA" w:eastAsia="en-GB"/>
        </w:rPr>
        <w:softHyphen/>
        <w:t>նե</w:t>
      </w:r>
      <w:r w:rsidRPr="00262E30">
        <w:rPr>
          <w:rFonts w:ascii="GHEA Grapalat" w:eastAsia="Times New Roman" w:hAnsi="GHEA Grapalat" w:cs="Sylfaen"/>
          <w:iCs/>
          <w:color w:val="auto"/>
          <w:lang w:val="af-ZA" w:eastAsia="en-GB"/>
        </w:rPr>
        <w:softHyphen/>
        <w:t>րի մուտքերի կանխատեսմամբ հանդերձ միջազգային պրակ</w:t>
      </w:r>
      <w:r w:rsidRPr="00262E30">
        <w:rPr>
          <w:rFonts w:ascii="GHEA Grapalat" w:eastAsia="Times New Roman" w:hAnsi="GHEA Grapalat" w:cs="Sylfaen"/>
          <w:iCs/>
          <w:color w:val="auto"/>
          <w:lang w:val="af-ZA" w:eastAsia="en-GB"/>
        </w:rPr>
        <w:softHyphen/>
        <w:t>տիկայում ընդունված մոտեցումների հիման վրա կատարվել է 202</w:t>
      </w:r>
      <w:r w:rsidR="002A5C86" w:rsidRPr="00262E30">
        <w:rPr>
          <w:rFonts w:ascii="GHEA Grapalat" w:eastAsia="Times New Roman" w:hAnsi="GHEA Grapalat" w:cs="Sylfaen"/>
          <w:iCs/>
          <w:color w:val="auto"/>
          <w:lang w:val="af-ZA" w:eastAsia="en-GB"/>
        </w:rPr>
        <w:t>7</w:t>
      </w:r>
      <w:r w:rsidRPr="00262E30">
        <w:rPr>
          <w:rFonts w:ascii="GHEA Grapalat" w:eastAsia="Times New Roman" w:hAnsi="GHEA Grapalat" w:cs="Sylfaen"/>
          <w:iCs/>
          <w:color w:val="auto"/>
          <w:lang w:val="af-ZA" w:eastAsia="en-GB"/>
        </w:rPr>
        <w:t xml:space="preserve"> թվականի հար</w:t>
      </w:r>
      <w:r w:rsidRPr="00262E30">
        <w:rPr>
          <w:rFonts w:ascii="GHEA Grapalat" w:eastAsia="Times New Roman" w:hAnsi="GHEA Grapalat" w:cs="Sylfaen"/>
          <w:iCs/>
          <w:color w:val="auto"/>
          <w:lang w:val="af-ZA" w:eastAsia="en-GB"/>
        </w:rPr>
        <w:softHyphen/>
        <w:t>կա</w:t>
      </w:r>
      <w:r w:rsidRPr="00262E30">
        <w:rPr>
          <w:rFonts w:ascii="GHEA Grapalat" w:eastAsia="Times New Roman" w:hAnsi="GHEA Grapalat" w:cs="Sylfaen"/>
          <w:iCs/>
          <w:color w:val="auto"/>
          <w:lang w:val="af-ZA" w:eastAsia="en-GB"/>
        </w:rPr>
        <w:softHyphen/>
        <w:t>յին ծախսերի գնահատում</w:t>
      </w:r>
      <w:r w:rsidRPr="00262E30">
        <w:rPr>
          <w:rFonts w:ascii="GHEA Grapalat" w:eastAsia="Times New Roman" w:hAnsi="GHEA Grapalat" w:cs="Times New Roman"/>
          <w:color w:val="auto"/>
          <w:lang w:val="hy-AM"/>
        </w:rPr>
        <w:t>։ Գնահատման արդյունքում հարկային ծախսերի տարեկան մեծությունը կազմել է 8</w:t>
      </w:r>
      <w:r w:rsidR="002A5C86" w:rsidRPr="00262E30">
        <w:rPr>
          <w:rFonts w:ascii="GHEA Grapalat" w:eastAsia="Times New Roman" w:hAnsi="GHEA Grapalat" w:cs="Times New Roman"/>
          <w:color w:val="auto"/>
          <w:lang w:val="hy-AM"/>
        </w:rPr>
        <w:t>31</w:t>
      </w:r>
      <w:r w:rsidRPr="00262E30">
        <w:rPr>
          <w:rFonts w:ascii="GHEA Grapalat" w:eastAsia="Times New Roman" w:hAnsi="GHEA Grapalat" w:cs="Times New Roman"/>
          <w:color w:val="auto"/>
          <w:lang w:val="hy-AM"/>
        </w:rPr>
        <w:t>,</w:t>
      </w:r>
      <w:r w:rsidR="002A5C86" w:rsidRPr="00262E30">
        <w:rPr>
          <w:rFonts w:ascii="GHEA Grapalat" w:eastAsia="Times New Roman" w:hAnsi="GHEA Grapalat" w:cs="Times New Roman"/>
          <w:color w:val="auto"/>
          <w:lang w:val="hy-AM"/>
        </w:rPr>
        <w:t>462</w:t>
      </w:r>
      <w:r w:rsidRPr="00262E30">
        <w:rPr>
          <w:rFonts w:ascii="GHEA Grapalat" w:eastAsia="Times New Roman" w:hAnsi="GHEA Grapalat" w:cs="Times New Roman"/>
          <w:color w:val="auto"/>
          <w:lang w:val="hy-AM"/>
        </w:rPr>
        <w:t xml:space="preserve"> մլն դրամ, ինչը </w:t>
      </w:r>
      <w:r w:rsidR="00262E30" w:rsidRPr="00262E30">
        <w:rPr>
          <w:rFonts w:ascii="GHEA Grapalat" w:eastAsia="Times New Roman" w:hAnsi="GHEA Grapalat" w:cs="Times New Roman"/>
          <w:color w:val="auto"/>
          <w:lang w:val="hy-AM"/>
        </w:rPr>
        <w:t>28</w:t>
      </w:r>
      <w:r w:rsidRPr="00262E30">
        <w:rPr>
          <w:rFonts w:ascii="GHEA Grapalat" w:eastAsia="Times New Roman" w:hAnsi="GHEA Grapalat" w:cs="Times New Roman"/>
          <w:color w:val="auto"/>
          <w:lang w:val="hy-AM"/>
        </w:rPr>
        <w:t>,</w:t>
      </w:r>
      <w:r w:rsidR="00262E30" w:rsidRPr="00262E30">
        <w:rPr>
          <w:rFonts w:ascii="GHEA Grapalat" w:eastAsia="Times New Roman" w:hAnsi="GHEA Grapalat" w:cs="Times New Roman"/>
          <w:color w:val="auto"/>
          <w:lang w:val="hy-AM"/>
        </w:rPr>
        <w:t>615</w:t>
      </w:r>
      <w:r w:rsidRPr="00262E30">
        <w:rPr>
          <w:rFonts w:ascii="GHEA Grapalat" w:eastAsia="Times New Roman" w:hAnsi="GHEA Grapalat" w:cs="Times New Roman"/>
          <w:color w:val="auto"/>
          <w:lang w:val="hy-AM"/>
        </w:rPr>
        <w:t xml:space="preserve"> մլն դրամով կամ </w:t>
      </w:r>
      <w:r w:rsidR="00262E30" w:rsidRPr="00262E30">
        <w:rPr>
          <w:rFonts w:ascii="GHEA Grapalat" w:eastAsia="Times New Roman" w:hAnsi="GHEA Grapalat" w:cs="Times New Roman"/>
          <w:color w:val="auto"/>
          <w:lang w:val="hy-AM"/>
        </w:rPr>
        <w:t>3</w:t>
      </w:r>
      <w:r w:rsidRPr="00262E30">
        <w:rPr>
          <w:rFonts w:ascii="GHEA Grapalat" w:eastAsia="Times New Roman" w:hAnsi="GHEA Grapalat" w:cs="Times New Roman"/>
          <w:color w:val="auto"/>
          <w:lang w:val="hy-AM"/>
        </w:rPr>
        <w:t>.</w:t>
      </w:r>
      <w:r w:rsidR="00262E30" w:rsidRPr="00262E30">
        <w:rPr>
          <w:rFonts w:ascii="GHEA Grapalat" w:eastAsia="Times New Roman" w:hAnsi="GHEA Grapalat" w:cs="Times New Roman"/>
          <w:color w:val="auto"/>
          <w:lang w:val="hy-AM"/>
        </w:rPr>
        <w:t>6</w:t>
      </w:r>
      <w:r w:rsidRPr="00262E30">
        <w:rPr>
          <w:rFonts w:ascii="GHEA Grapalat" w:eastAsia="Times New Roman" w:hAnsi="GHEA Grapalat" w:cs="Times New Roman"/>
          <w:color w:val="auto"/>
          <w:lang w:val="hy-AM"/>
        </w:rPr>
        <w:t xml:space="preserve"> տոկոսով ավելին է, քան նախորդ տարվա գնահատականը: Հարկային ծախսեր ՀՆԱ հարաբերակցությունը կազմում է 6.</w:t>
      </w:r>
      <w:r w:rsidR="00C50F60" w:rsidRPr="00262E30">
        <w:rPr>
          <w:rFonts w:ascii="GHEA Grapalat" w:eastAsia="Times New Roman" w:hAnsi="GHEA Grapalat" w:cs="Times New Roman"/>
          <w:color w:val="auto"/>
          <w:lang w:val="hy-AM"/>
        </w:rPr>
        <w:t>1</w:t>
      </w:r>
      <w:r w:rsidRPr="00262E30">
        <w:rPr>
          <w:rFonts w:ascii="GHEA Grapalat" w:eastAsia="Times New Roman" w:hAnsi="GHEA Grapalat" w:cs="Times New Roman"/>
          <w:color w:val="auto"/>
          <w:lang w:val="hy-AM"/>
        </w:rPr>
        <w:t xml:space="preserve"> տոկոս, իսկ հարկային ծախսեր հարկային եկամուտներ հարաբերակցությունը՝ </w:t>
      </w:r>
      <w:r w:rsidR="002A5C86" w:rsidRPr="00262E30">
        <w:rPr>
          <w:rFonts w:ascii="GHEA Grapalat" w:eastAsia="Times New Roman" w:hAnsi="GHEA Grapalat" w:cs="Times New Roman"/>
          <w:color w:val="auto"/>
          <w:lang w:val="hy-AM"/>
        </w:rPr>
        <w:t>24.</w:t>
      </w:r>
      <w:r w:rsidR="00C50F60" w:rsidRPr="00262E30">
        <w:rPr>
          <w:rFonts w:ascii="GHEA Grapalat" w:eastAsia="Times New Roman" w:hAnsi="GHEA Grapalat" w:cs="Times New Roman"/>
          <w:color w:val="auto"/>
          <w:lang w:val="hy-AM"/>
        </w:rPr>
        <w:t>0</w:t>
      </w:r>
      <w:r w:rsidRPr="00262E30">
        <w:rPr>
          <w:rFonts w:ascii="GHEA Grapalat" w:eastAsia="Times New Roman" w:hAnsi="GHEA Grapalat" w:cs="Times New Roman"/>
          <w:color w:val="auto"/>
          <w:lang w:val="hy-AM"/>
        </w:rPr>
        <w:t xml:space="preserve"> տոկոս: Գնահատման արդյունքները ավելի մանրամասն՝ այդ թվում ոլորտային գնահատականներ, ներ</w:t>
      </w:r>
      <w:r w:rsidRPr="00262E30">
        <w:rPr>
          <w:rFonts w:ascii="GHEA Grapalat" w:eastAsia="Times New Roman" w:hAnsi="GHEA Grapalat" w:cs="Times New Roman"/>
          <w:color w:val="auto"/>
          <w:lang w:val="hy-AM"/>
        </w:rPr>
        <w:softHyphen/>
        <w:t>կայացված են Վերլուծություններ բաժնում:</w:t>
      </w:r>
    </w:p>
    <w:p w14:paraId="743ABF8A" w14:textId="77777777" w:rsidR="00E32748" w:rsidRPr="000232DD" w:rsidRDefault="00E32748" w:rsidP="00082769">
      <w:pPr>
        <w:ind w:right="-22"/>
        <w:jc w:val="both"/>
        <w:rPr>
          <w:rFonts w:ascii="GHEA Grapalat" w:eastAsia="Times New Roman" w:hAnsi="GHEA Grapalat" w:cs="Sylfaen"/>
          <w:iCs/>
          <w:color w:val="auto"/>
          <w:lang w:val="af-ZA" w:eastAsia="en-GB"/>
        </w:rPr>
      </w:pPr>
    </w:p>
    <w:p w14:paraId="6A09516D" w14:textId="77777777" w:rsidR="00B43595" w:rsidRPr="000232DD" w:rsidRDefault="00B43595" w:rsidP="00082769">
      <w:pPr>
        <w:ind w:right="-22"/>
        <w:jc w:val="both"/>
        <w:rPr>
          <w:rFonts w:ascii="GHEA Grapalat" w:eastAsia="Times New Roman" w:hAnsi="GHEA Grapalat" w:cs="Times New Roman"/>
          <w:b/>
          <w:color w:val="auto"/>
          <w:lang w:val="hy-AM"/>
        </w:rPr>
      </w:pPr>
      <w:r w:rsidRPr="000232DD">
        <w:rPr>
          <w:rFonts w:ascii="GHEA Grapalat" w:eastAsia="Times New Roman" w:hAnsi="GHEA Grapalat" w:cs="Times New Roman"/>
          <w:b/>
          <w:color w:val="auto"/>
          <w:lang w:val="hy-AM"/>
        </w:rPr>
        <w:t xml:space="preserve">  Պետական</w:t>
      </w:r>
      <w:r w:rsidRPr="000232DD">
        <w:rPr>
          <w:rFonts w:ascii="GHEA Grapalat" w:eastAsia="Times New Roman" w:hAnsi="GHEA Grapalat" w:cs="Times New Roman"/>
          <w:b/>
          <w:color w:val="auto"/>
          <w:lang w:val="af-ZA"/>
        </w:rPr>
        <w:t xml:space="preserve"> </w:t>
      </w:r>
      <w:r w:rsidRPr="000232DD">
        <w:rPr>
          <w:rFonts w:ascii="GHEA Grapalat" w:eastAsia="Times New Roman" w:hAnsi="GHEA Grapalat" w:cs="Times New Roman"/>
          <w:b/>
          <w:color w:val="auto"/>
          <w:lang w:val="hy-AM"/>
        </w:rPr>
        <w:t>տուրքեր</w:t>
      </w:r>
    </w:p>
    <w:p w14:paraId="0285BDB5" w14:textId="77777777" w:rsidR="00B43595" w:rsidRPr="000232DD" w:rsidRDefault="00B43595" w:rsidP="00082769">
      <w:pPr>
        <w:ind w:right="-22"/>
        <w:jc w:val="both"/>
        <w:rPr>
          <w:rFonts w:ascii="GHEA Grapalat" w:eastAsia="Times New Roman" w:hAnsi="GHEA Grapalat" w:cs="Times New Roman"/>
          <w:color w:val="auto"/>
          <w:szCs w:val="20"/>
          <w:lang w:val="af-ZA" w:eastAsia="ru-RU"/>
        </w:rPr>
      </w:pPr>
      <w:r w:rsidRPr="000232DD">
        <w:rPr>
          <w:rFonts w:ascii="GHEA Grapalat" w:eastAsia="Times New Roman" w:hAnsi="GHEA Grapalat" w:cs="Times New Roman"/>
          <w:color w:val="auto"/>
          <w:szCs w:val="20"/>
          <w:lang w:val="hy-AM"/>
        </w:rPr>
        <w:t>Պետական տուրքերի գծով 2027 թվականի բյուջետային մուտքերը ծրագրվել են 115</w:t>
      </w:r>
      <w:r w:rsidRPr="000232DD">
        <w:rPr>
          <w:rFonts w:ascii="Cambria Math" w:eastAsia="Times New Roman" w:hAnsi="Cambria Math" w:cs="Cambria Math"/>
          <w:color w:val="auto"/>
          <w:szCs w:val="20"/>
          <w:lang w:val="hy-AM"/>
        </w:rPr>
        <w:t>․</w:t>
      </w:r>
      <w:r w:rsidRPr="000232DD">
        <w:rPr>
          <w:rFonts w:ascii="GHEA Grapalat" w:eastAsia="Times New Roman" w:hAnsi="GHEA Grapalat" w:cs="Times New Roman"/>
          <w:color w:val="auto"/>
          <w:szCs w:val="20"/>
          <w:lang w:val="hy-AM"/>
        </w:rPr>
        <w:t>5 մլրդ դրամ, 2028 թվականին 116</w:t>
      </w:r>
      <w:r w:rsidRPr="000232DD">
        <w:rPr>
          <w:rFonts w:ascii="Cambria Math" w:eastAsia="Times New Roman" w:hAnsi="Cambria Math" w:cs="Cambria Math"/>
          <w:color w:val="auto"/>
          <w:szCs w:val="20"/>
          <w:lang w:val="hy-AM"/>
        </w:rPr>
        <w:t>․</w:t>
      </w:r>
      <w:r w:rsidRPr="000232DD">
        <w:rPr>
          <w:rFonts w:ascii="GHEA Grapalat" w:eastAsia="Times New Roman" w:hAnsi="GHEA Grapalat" w:cs="Times New Roman"/>
          <w:color w:val="auto"/>
          <w:szCs w:val="20"/>
          <w:lang w:val="hy-AM"/>
        </w:rPr>
        <w:t>2 մլրդ դրամ, իսկ 2029 թվականին 116</w:t>
      </w:r>
      <w:r w:rsidRPr="000232DD">
        <w:rPr>
          <w:rFonts w:ascii="Cambria Math" w:eastAsia="Times New Roman" w:hAnsi="Cambria Math" w:cs="Cambria Math"/>
          <w:color w:val="auto"/>
          <w:szCs w:val="20"/>
          <w:lang w:val="hy-AM"/>
        </w:rPr>
        <w:t>․</w:t>
      </w:r>
      <w:r w:rsidRPr="000232DD">
        <w:rPr>
          <w:rFonts w:ascii="GHEA Grapalat" w:eastAsia="Times New Roman" w:hAnsi="GHEA Grapalat" w:cs="Times New Roman"/>
          <w:color w:val="auto"/>
          <w:szCs w:val="20"/>
          <w:lang w:val="hy-AM"/>
        </w:rPr>
        <w:t>9 մլրդ դրամ` 2026 թվականի համար հաստատված 87</w:t>
      </w:r>
      <w:r w:rsidRPr="000232DD">
        <w:rPr>
          <w:rFonts w:ascii="Cambria Math" w:eastAsia="Times New Roman" w:hAnsi="Cambria Math" w:cs="Cambria Math"/>
          <w:color w:val="auto"/>
          <w:szCs w:val="20"/>
          <w:lang w:val="hy-AM"/>
        </w:rPr>
        <w:t>․</w:t>
      </w:r>
      <w:r w:rsidRPr="000232DD">
        <w:rPr>
          <w:rFonts w:ascii="GHEA Grapalat" w:eastAsia="Times New Roman" w:hAnsi="GHEA Grapalat" w:cs="Times New Roman"/>
          <w:color w:val="auto"/>
          <w:szCs w:val="20"/>
          <w:lang w:val="hy-AM"/>
        </w:rPr>
        <w:t>9 մլրդ դրամի և 2025 թվականին փաստացի ստացված 95.8 մլրդ դրամի դիմաց:</w:t>
      </w:r>
    </w:p>
    <w:p w14:paraId="5FCB8CF0" w14:textId="77777777" w:rsidR="00B43595" w:rsidRPr="000232DD" w:rsidRDefault="00B43595"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rPr>
        <w:t>Պետական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տուրքերի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գծով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բյուջետային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մուտքերի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կանխատեսումները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կատարվել</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են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ըստ</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դրանց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նախորդ</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տարիների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փաստացի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հավաքագրումների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միտումների</w:t>
      </w:r>
      <w:r w:rsidRPr="000232DD">
        <w:rPr>
          <w:rFonts w:ascii="GHEA Grapalat" w:eastAsia="Times New Roman" w:hAnsi="GHEA Grapalat" w:cs="Times New Roman"/>
          <w:color w:val="auto"/>
          <w:szCs w:val="20"/>
          <w:lang w:val="af-ZA"/>
        </w:rPr>
        <w:t>, h</w:t>
      </w:r>
      <w:r w:rsidRPr="000232DD">
        <w:rPr>
          <w:rFonts w:ascii="GHEA Grapalat" w:eastAsia="Times New Roman" w:hAnsi="GHEA Grapalat" w:cs="Times New Roman"/>
          <w:color w:val="auto"/>
          <w:szCs w:val="20"/>
        </w:rPr>
        <w:t>աշվի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առնելով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ՀՀ</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օրենսդրության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մեջ</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կատարված</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առանձին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փոփոխություններ</w:t>
      </w:r>
      <w:r w:rsidRPr="000232DD">
        <w:rPr>
          <w:rFonts w:ascii="GHEA Grapalat" w:eastAsia="Times New Roman" w:hAnsi="GHEA Grapalat" w:cs="Times New Roman"/>
          <w:color w:val="auto"/>
          <w:szCs w:val="20"/>
          <w:lang w:val="hy-AM"/>
        </w:rPr>
        <w:t>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 xml:space="preserve">և </w:t>
      </w:r>
      <w:r w:rsidRPr="000232DD">
        <w:rPr>
          <w:rFonts w:ascii="GHEA Grapalat" w:eastAsia="Times New Roman" w:hAnsi="GHEA Grapalat" w:cs="Times New Roman"/>
          <w:color w:val="auto"/>
          <w:szCs w:val="20"/>
        </w:rPr>
        <w:t>լրացումները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ինչպես</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նաև</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պետական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տուրքի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յուրաքանչյուր</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տեսակի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առանձնահատկությունները</w:t>
      </w:r>
      <w:r w:rsidRPr="000232DD">
        <w:rPr>
          <w:rFonts w:ascii="GHEA Grapalat" w:eastAsia="Times New Roman" w:hAnsi="GHEA Grapalat" w:cs="Times New Roman"/>
          <w:color w:val="auto"/>
          <w:szCs w:val="20"/>
          <w:lang w:val="af-ZA"/>
        </w:rPr>
        <w:t xml:space="preserve">: </w:t>
      </w:r>
    </w:p>
    <w:p w14:paraId="1EEAB845" w14:textId="77777777" w:rsidR="00B43595" w:rsidRPr="000232DD" w:rsidRDefault="00B43595"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 xml:space="preserve">Մասնավորապես՝ </w:t>
      </w:r>
    </w:p>
    <w:p w14:paraId="2DABFAD2" w14:textId="77777777" w:rsidR="00B43595" w:rsidRPr="000232DD" w:rsidRDefault="00B43595" w:rsidP="00082769">
      <w:pPr>
        <w:tabs>
          <w:tab w:val="left" w:pos="4802"/>
        </w:tabs>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2026 թվականի հունվարի 1-ից ուժի մեջ է մտել «Պետական տուրքի մասին» Հայաստանի Հանրապետության օրենքում լրացումներ և փոփոխություններ կատարելու մասին» 04.12.2025թ. ՀՕ-441-Ն օրենքը, որով պետական տուրքի օբյեկտների շրջանակն ընդլայնվել է՝ ներառելով «Ինտերնետով հրապարակային և անհատական ծանուցման մասին» Հայաստանի Հանրապետության օրենքով նախատեսված հրապարակային և անհատական ծանուցումները, որոնց իրականացման համար սահմանվել են համապատասխան պետական տուրքի դրույքաչափեր։</w:t>
      </w:r>
    </w:p>
    <w:p w14:paraId="39C21644" w14:textId="77777777" w:rsidR="00B43595" w:rsidRPr="000232DD" w:rsidRDefault="00B43595" w:rsidP="00082769">
      <w:pPr>
        <w:tabs>
          <w:tab w:val="left" w:pos="4802"/>
        </w:tabs>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2026 թվականի հունվարի 8-ից ուժի մեջ է մտել «Պետական տուրքի մասին» Հայաստանի Հանրապետության օրենքում փոփոխություններ և լրացումներ կատարելու մասին» 17.12.2025թ. ՀՕ-523-Ն օրենքը, որով փոփոխություններ և լրացումներ են կատարվել քաղաքացիական կացության ակտերի գրանցման հետ կապված պետական տուրքի դրույքաչափերում, մասնավորապես՝ ամուսնության գրանցման, քաղաքացիական կացության ակտերի գրանցումների ուղղման, լրացման և փոփոխության, օտարերկրյա քաղաքացիների կողմից հայրության (մայրության) ճանաչման, երեխայի որդեգրման մասին ակտային գրանցման, ինչպես նաև քաղաքացիական կացության ակտային գրանցման առկայության վերաբերյալ տեղեկանքի տրամադրման համար։</w:t>
      </w:r>
    </w:p>
    <w:p w14:paraId="65DD0F95" w14:textId="77777777" w:rsidR="00B43595" w:rsidRPr="000232DD" w:rsidRDefault="00B43595" w:rsidP="00082769">
      <w:pPr>
        <w:tabs>
          <w:tab w:val="left" w:pos="4802"/>
        </w:tabs>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2026 թվականի նոյեմբերի 1-ից ուժի մեջ է մտել «Պետական տուրքի մասին» Հայաստանի Հանրապետության օրենքում լրացումներ կատարելու մասին» 13.11.2025թ. ՀՕ-393-Ն օրենքը, որով սահմանվել են նոր պետական տուրքեր ռիելթորի որակավորման քննությանը մասնակցելու և ռիելթորի որակավորման վկայականը վերաձևակերպելու համար։ Միաժամանակ, օրենքով նախատեսված միասնական տեղեկատվական համակարգի միջոցով անշարժ գույքի վերաբերյալ տվյալների մուտքագրման և անշարժ գույքի վաճառքի կայքերի հետ այդ համակարգի փոխգործելիության ապահովման համար պետական տուրքերը ուժի մեջ են մտնում 2027 թվականի հունիսի 1-ից։ Մասնավորապես՝ ռիելթորի որակավորման քննությանը մասնակցելու համար սահմանվել է պետական տուրք՝ բազային տուրքի 30-ապատիկի, իսկ որակավորման վկայականը վերաձևակերպելու համար՝ բազային տուրքի 3-ապատիկի չափով։ 2027 թվականի հունիսի 1-ից միասնական տեղեկատվական համակարգի միջոցով տվյալների մուտքագրման համար ֆիզիկական անձանց համար նախատեսվել է բազային տուրքի չափով, իսկ ռիելթորական և անշարժ գույքի կառավարման կազմակերպությունների, անհատ ձեռնարկատեր հանդիսացող ռիելթորների և անշարժ գույքի կառավարիչների համար՝ յուրաքանչյուր տարվա համար բազային տուրքի 450-ապատիկի չափով պետական տուրք։ Համակարգի հետ անշարժ գույքի վաճառքի կայքերի փոխգործելիության ապահովման համար սահմանվել է տարեկան բազային տուրքի 500-ապատիկի չափով պետական տուրք։</w:t>
      </w:r>
    </w:p>
    <w:p w14:paraId="6CABC202" w14:textId="77777777" w:rsidR="00B43595" w:rsidRPr="000232DD" w:rsidRDefault="00B43595" w:rsidP="00082769">
      <w:pPr>
        <w:tabs>
          <w:tab w:val="left" w:pos="4802"/>
        </w:tabs>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2027 թվականի հունվարի 1-ից ուժի մեջ է մտնելու «Պետական տուրքի մասին» Հայաստանի Հանրապետության օրենքում փոփոխություն և լրացում կատարելու մասին» 06.03.2025թ. ՀՕ-52-Ն օրենքով նախատեսված՝ ինտերնետ շահումով խաղի և (կամ) տոտալիզատորի (ինտերնետ տոտալիզատորի) կազմակերպչի կողմից խաղադրույք ընդունելու իրավունք ձեռք բերելու համար պետական տուրքի հաշվարկման հերթական գործակիցը, որը 2027 թվականի համար սահմանված է 4.0 չափով։ Մասնավորապես՝ ինտերնետ շահումով խաղերի կազմակերպչի կողմից յուրաքանչյուր 100 միլիարդ դրամի չափով խաղադրույք ընդունելու իրավունքի համար պետական տուրքը հաշվարկվում է բազային տուրքի 175 000-ապատիկի և 4.0 գործակցի արտադրյալի, իսկ տոտալիզատորի (ինտերնետ տոտալիզատորի) կազմակերպչի կողմից յուրաքանչյուր 50 միլիարդ դրամի չափով խաղադրույք ընդունելու իրավունքի համար՝ բազային տուրքի 50 000-ապատիկի և 4.0 գործակցի արտադրյալի չափով։</w:t>
      </w:r>
    </w:p>
    <w:p w14:paraId="143EC2BC" w14:textId="77777777" w:rsidR="00B43595" w:rsidRPr="000232DD" w:rsidRDefault="00B43595" w:rsidP="00082769">
      <w:pPr>
        <w:tabs>
          <w:tab w:val="left" w:pos="4802"/>
        </w:tabs>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 xml:space="preserve">2027 թվականի հունվարի 1-ից ուժի մեջ է մտնելու «Պետական տուրքի մասին» Հայաստանի Հանրապետության օրենքում փոփոխություններ և լրացումներ կատարելու մասին» 20.01.2026թ. ՀՕ-12-Ն օրենքը, որի համաձայն վերանայվել են Հայաստանի Հանրապետությունում օտարերկրացիներին կացության կարգավիճակ տրամադրելու և մուտքի վիզաների տրամադրման հետ կապված պետական տուրքի դրույքաչափերը։ Մասնավորապես՝ ժամանակավոր կացության կարգավիճակ տալու դիմումը քննարկելու, ներառյալ՝ կացության քարտ տալու համար սահմանվել է բազային տուրքի 150-ապատիկի, մշտական կացության կարգավիճակ տալու դիմումը քննարկելու համար՝ 250-ապատիկի, իսկ կացության կարգավիճակը հավաստող փաստաթուղթը վերականգնելու կամ փոխելու համար՝ 20-ապատիկի չափով պետական տուրք։ Մուտքի վիզաների մասով ևս սահմանվել են համապատասխան նոր դրույքաչափեր։ </w:t>
      </w:r>
    </w:p>
    <w:p w14:paraId="46C17173" w14:textId="77777777" w:rsidR="00B43595" w:rsidRPr="000232DD" w:rsidRDefault="00B43595" w:rsidP="00082769">
      <w:pPr>
        <w:tabs>
          <w:tab w:val="left" w:pos="4802"/>
        </w:tabs>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2027 թվականի հունվարի 1-ից ուժի մեջ է մտնելու «Պետական տուրքի մասին» Հայաստանի Հանրապետության օրենքում լրացումներ և փոփոխություններ կատարելու մասին» 04.03.2026թ. ՀՕ-77-Ն օրենքը, որով գյուղատնտեսության բնագավառում սահմանվում են նոր պետական տուրքեր։ Մասնավորապես՝ անասնաբուժական դեղատնային գործունեության համար սահմանվել է տարեկան բազային տուրքի 40-ապատիկի չափով պետական տուրք, բուսասանիտարական հսկողության ենթակա ապրանքների վարակազերծման գործունեությամբ զբաղվելու լիցենզիայի տրամադրման համար՝ բազային տուրքի 30-ապատիկի, իսկ դրա գործողության ժամկետի երկարաձգման կամ վերաձևակերպման համար՝ 20-ապատիկի չափով։ Պեստիցիդների կամ ագրոքիմիկատների արտադրության համար սահմանվել է տարեկան բազային տուրքի 40-ապատիկի չափով պետական տուրք ֆիզիկական անձանց և 60-ապատիկի չափով՝ իրավաբանական անձանց համար, իսկ վաճառքի համար՝ համապատասխանաբար 30-ապատիկ և 50-ապատիկ։</w:t>
      </w:r>
    </w:p>
    <w:p w14:paraId="062A29BD" w14:textId="77777777" w:rsidR="00B43595" w:rsidRPr="000232DD" w:rsidRDefault="00B43595" w:rsidP="00082769">
      <w:pPr>
        <w:tabs>
          <w:tab w:val="left" w:pos="4802"/>
        </w:tabs>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 xml:space="preserve">2027 թվականի հունվարի 1-ից ուժի մեջ է մտնելու «Պետական տուրքի մասին» Հայաստանի Հանրապետության օրենքում լրացումներ կատարելու մասին» 25.03.2026թ. ՀՕ-119-Ն օրենքը, որով սահմանվում են պետական տուրքեր ապրանքի ծագման հավաստագրերի տրամադրման և դրանց հետ կապված առանձին գործողությունների համար։ </w:t>
      </w:r>
    </w:p>
    <w:p w14:paraId="1A8FECC9" w14:textId="77777777" w:rsidR="00B43595" w:rsidRPr="000232DD" w:rsidRDefault="00B43595" w:rsidP="00082769">
      <w:pPr>
        <w:tabs>
          <w:tab w:val="left" w:pos="4802"/>
        </w:tabs>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2027 թվականի հունվարի 1-ից ուժի մեջ է մտնելու «Պետական տուրքի մասին» Հայաստանի Հանրապետության օրենքում փոփոխություններ կատարելու մասին» 16.04.2026թ. ՀՕ-144-Ն օրենքը, որով վերանայվել են մշակութային արժեքների արտահանման հետ կապված պետական տուրքի օբյեկտները և դրույքաչափերը։ Մասնավորապես՝ մշակութային արժեքների և հանքագիտության ու հնէաբանության հավաքածուների արտահանման, ժամանակավոր արտահանման և համապատասխան մաքսային ընթացակարգերով արտահանման փաստաթղթերի տրամադրման համար մեկ մշակութային արժեքի դեպքում սահմանվել է բազային տուրքի 10-ապատիկի, իսկ երկու և ավելի մշակութային արժեքների դեպքում՝ 15-ապատիկի չափով պետական տուրք։ Նշված փաստաթղթերի կրկնօրինակի տրամադրման համար սահմանվել է բազային տուրքի 3-ապատիկի չափով պետական տուրք։</w:t>
      </w:r>
    </w:p>
    <w:p w14:paraId="1E7BAC8B" w14:textId="77777777" w:rsidR="00B43595" w:rsidRPr="000232DD" w:rsidRDefault="00B43595"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 xml:space="preserve">2026 թվականի դեկտեմբերի 4-ից ուժի մեջ է մտնելու «Պետական տուրքի մասին» Հայաստանի Հանրապետության օրենքում լրացում կատարելու մասին» 11.05.2026թ. ՀՕ-230-Ն օրենքը, որով էներգիայի պահեստավորման գործունեության համար սահմանվել են նոր պետական տուրքեր։ </w:t>
      </w:r>
    </w:p>
    <w:p w14:paraId="09971BF4" w14:textId="77777777" w:rsidR="00B43595" w:rsidRPr="000232DD" w:rsidRDefault="00B43595"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2027 թվականի հունվարի 1-ից ուժի մեջ է մտնելու «Պետական տուրքի մասին» Հայաստանի Հանրապետության օրենքում փոփոխություններ կատարելու մասին» 03.07.2026թ. ՀՕ-380-Ն օրենքը, որով պետական տուրքի վճարումից ազատման շրջանակը հստակեցվել է ֆինանսական կազմակերպությունների և բանկերի սնանկության ու վերակառուցման գործընթացներում ժամանակավոր ադմինիստրացիայի ղեկավարի, լուծարային կառավարչի և հատուկ ղեկավարի կողմից իրենց օրենքով սահմանված խնդիրների իրականացման նպատակով ներկայացվող հայցերի մասով։</w:t>
      </w:r>
    </w:p>
    <w:p w14:paraId="05180FC0" w14:textId="77777777" w:rsidR="00B43595" w:rsidRPr="000232DD" w:rsidRDefault="00B43595"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2027 թվականի հուլիսի 3-ից ուժի մեջ է մտնելու «Պետական տուրքի մասին» Հայաստանի Հանրապետության օրենքում փոփոխություններ և լրացումներ կատարելու մասին» 18.06.2026թ. ՀՕ-258-Ն օրենքը, որով սնանկության ոլորտում սահմանվում է կանխարգելիչ վերակառուցման դիմումների համար պետական տուրք՝ բազային տուրքի 100-ապատիկի չափով, ինչպես նաև նախատեսվում են համապատասխան պետական տուրքի արտոնություններ։</w:t>
      </w:r>
    </w:p>
    <w:p w14:paraId="0720DD65" w14:textId="77777777" w:rsidR="00B43595" w:rsidRPr="000232DD" w:rsidRDefault="00B43595"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2027 թվականի հուլիսի 11-ից ուժի մեջ է մտնելու «Պետական տուրքի մասին» Հայաստանի Հանրապետության օրենքում լրացում կատարելու մասին» 18.06.2026թ. ՀՕ-287-Ն օրենքը, որով Հայաստանի Հանրապետության տարածքում գնահատման գործունեության ուսումնասիրություն իրականացնող մասնագիտական հանձնաժողովի կողմից շահառուների և գնահատման գործունեության սուբյեկտների դիմումների հիման վրա ուսումնասիրության համար սահմանվում է պետական տուրք՝ բազային տուրքի 30-ապատիկի չափով։</w:t>
      </w:r>
    </w:p>
    <w:p w14:paraId="12DA185A" w14:textId="77777777" w:rsidR="00B43595" w:rsidRPr="000232DD" w:rsidRDefault="00B43595"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Պետական տուրքի գծով փաստացի/կանխատեսումային ցուցանիշների ընդհանուր պատկերն ըստ եկամտի հիմնական աղբյուրների հետևյալն է.</w:t>
      </w:r>
      <w:bookmarkStart w:id="365" w:name="_Toc178350616"/>
    </w:p>
    <w:p w14:paraId="5E0E9B53" w14:textId="77777777" w:rsidR="00B43595" w:rsidRPr="00787B5A" w:rsidRDefault="00B43595" w:rsidP="00787B5A">
      <w:pPr>
        <w:pStyle w:val="TableTitleCharCharCharCharCharCharCharCharCharChar11"/>
        <w:ind w:right="-22"/>
        <w:rPr>
          <w:rFonts w:ascii="Sylfaen" w:eastAsia="Times New Roman" w:hAnsi="Sylfaen" w:cs="Sylfaen"/>
          <w:color w:val="auto"/>
          <w:lang w:val="hy-AM"/>
        </w:rPr>
      </w:pPr>
    </w:p>
    <w:p w14:paraId="7169B576" w14:textId="44413175" w:rsidR="00B43595" w:rsidRPr="00E73A9A" w:rsidRDefault="00B43595" w:rsidP="00E73A9A">
      <w:pPr>
        <w:pStyle w:val="Charts"/>
        <w:ind w:right="-22"/>
        <w:rPr>
          <w:b w:val="0"/>
          <w:bCs/>
          <w:color w:val="auto"/>
          <w:sz w:val="20"/>
          <w:szCs w:val="18"/>
        </w:rPr>
      </w:pPr>
      <w:bookmarkStart w:id="366" w:name="_Toc178612141"/>
      <w:bookmarkStart w:id="367" w:name="_Toc184110767"/>
      <w:bookmarkStart w:id="368" w:name="_Toc241602018"/>
      <w:r w:rsidRPr="00E73A9A">
        <w:rPr>
          <w:b w:val="0"/>
          <w:bCs/>
          <w:color w:val="auto"/>
          <w:sz w:val="20"/>
          <w:szCs w:val="18"/>
        </w:rPr>
        <w:t xml:space="preserve">Աղյուսակ </w:t>
      </w:r>
      <w:r w:rsidRPr="00E73A9A">
        <w:rPr>
          <w:b w:val="0"/>
          <w:bCs/>
          <w:color w:val="auto"/>
          <w:sz w:val="20"/>
          <w:szCs w:val="18"/>
        </w:rPr>
        <w:fldChar w:fldCharType="begin"/>
      </w:r>
      <w:r w:rsidRPr="00E73A9A">
        <w:rPr>
          <w:b w:val="0"/>
          <w:bCs/>
          <w:color w:val="auto"/>
          <w:sz w:val="20"/>
          <w:szCs w:val="18"/>
        </w:rPr>
        <w:instrText xml:space="preserve"> SEQ Աղյուսակ \* ARABIC </w:instrText>
      </w:r>
      <w:r w:rsidRPr="00E73A9A">
        <w:rPr>
          <w:b w:val="0"/>
          <w:bCs/>
          <w:color w:val="auto"/>
          <w:sz w:val="20"/>
          <w:szCs w:val="18"/>
        </w:rPr>
        <w:fldChar w:fldCharType="separate"/>
      </w:r>
      <w:r w:rsidR="00E46048">
        <w:rPr>
          <w:b w:val="0"/>
          <w:bCs/>
          <w:noProof/>
          <w:color w:val="auto"/>
          <w:sz w:val="20"/>
          <w:szCs w:val="18"/>
        </w:rPr>
        <w:t>5</w:t>
      </w:r>
      <w:r w:rsidRPr="00E73A9A">
        <w:rPr>
          <w:b w:val="0"/>
          <w:bCs/>
          <w:color w:val="auto"/>
          <w:sz w:val="20"/>
          <w:szCs w:val="18"/>
        </w:rPr>
        <w:fldChar w:fldCharType="end"/>
      </w:r>
      <w:r w:rsidRPr="00E73A9A">
        <w:rPr>
          <w:b w:val="0"/>
          <w:bCs/>
          <w:color w:val="auto"/>
          <w:sz w:val="20"/>
          <w:szCs w:val="18"/>
        </w:rPr>
        <w:t>. Պետական տուրքերի կազմում հաշվառվող եկամտատեսակների գծով ՀՀ 202-2028թթ. փաստացի/կանխատեսումային ցուցանիշները, մլրդ դրամ</w:t>
      </w:r>
      <w:bookmarkEnd w:id="365"/>
      <w:bookmarkEnd w:id="366"/>
      <w:bookmarkEnd w:id="367"/>
      <w:bookmarkEnd w:id="368"/>
    </w:p>
    <w:tbl>
      <w:tblPr>
        <w:tblW w:w="5117" w:type="pct"/>
        <w:jc w:val="center"/>
        <w:tblBorders>
          <w:top w:val="single" w:sz="8" w:space="0" w:color="E1E1E3"/>
          <w:left w:val="single" w:sz="8" w:space="0" w:color="E1E1E3"/>
          <w:bottom w:val="single" w:sz="8" w:space="0" w:color="E1E1E3"/>
          <w:right w:val="single" w:sz="8" w:space="0" w:color="E1E1E3"/>
          <w:insideH w:val="single" w:sz="8" w:space="0" w:color="E1E1E3"/>
          <w:insideV w:val="single" w:sz="8" w:space="0" w:color="E1E1E3"/>
        </w:tblBorders>
        <w:tblLayout w:type="fixed"/>
        <w:tblLook w:val="04A0" w:firstRow="1" w:lastRow="0" w:firstColumn="1" w:lastColumn="0" w:noHBand="0" w:noVBand="1"/>
      </w:tblPr>
      <w:tblGrid>
        <w:gridCol w:w="2562"/>
        <w:gridCol w:w="1004"/>
        <w:gridCol w:w="1000"/>
        <w:gridCol w:w="1002"/>
        <w:gridCol w:w="1141"/>
        <w:gridCol w:w="1285"/>
        <w:gridCol w:w="1287"/>
        <w:gridCol w:w="1287"/>
      </w:tblGrid>
      <w:tr w:rsidR="004C0C21" w:rsidRPr="000232DD" w14:paraId="4FC77B0C" w14:textId="77777777" w:rsidTr="0052459E">
        <w:trPr>
          <w:trHeight w:val="360"/>
          <w:jc w:val="center"/>
        </w:trPr>
        <w:tc>
          <w:tcPr>
            <w:tcW w:w="1212" w:type="pct"/>
            <w:vMerge w:val="restart"/>
            <w:shd w:val="clear" w:color="auto" w:fill="DAE9F7" w:themeFill="text2" w:themeFillTint="1A"/>
            <w:noWrap/>
            <w:vAlign w:val="center"/>
            <w:hideMark/>
          </w:tcPr>
          <w:p w14:paraId="7F6368CC" w14:textId="77777777" w:rsidR="00B43595" w:rsidRPr="000232DD" w:rsidRDefault="00B43595" w:rsidP="00082769">
            <w:pPr>
              <w:ind w:right="-22"/>
              <w:jc w:val="both"/>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Պետական տուրքեր</w:t>
            </w:r>
          </w:p>
        </w:tc>
        <w:tc>
          <w:tcPr>
            <w:tcW w:w="1422" w:type="pct"/>
            <w:gridSpan w:val="3"/>
            <w:shd w:val="clear" w:color="auto" w:fill="DAE9F7" w:themeFill="text2" w:themeFillTint="1A"/>
            <w:noWrap/>
            <w:vAlign w:val="center"/>
            <w:hideMark/>
          </w:tcPr>
          <w:p w14:paraId="23B860E8"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Փաստ</w:t>
            </w:r>
          </w:p>
        </w:tc>
        <w:tc>
          <w:tcPr>
            <w:tcW w:w="540" w:type="pct"/>
            <w:shd w:val="clear" w:color="auto" w:fill="DAE9F7" w:themeFill="text2" w:themeFillTint="1A"/>
            <w:noWrap/>
            <w:vAlign w:val="center"/>
            <w:hideMark/>
          </w:tcPr>
          <w:p w14:paraId="736A756D"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Բյուջե</w:t>
            </w:r>
          </w:p>
        </w:tc>
        <w:tc>
          <w:tcPr>
            <w:tcW w:w="1825" w:type="pct"/>
            <w:gridSpan w:val="3"/>
            <w:shd w:val="clear" w:color="auto" w:fill="DAE9F7" w:themeFill="text2" w:themeFillTint="1A"/>
            <w:vAlign w:val="center"/>
          </w:tcPr>
          <w:p w14:paraId="5627CBEF"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lang w:val="hy-AM"/>
              </w:rPr>
              <w:t>Ծ</w:t>
            </w:r>
            <w:r w:rsidRPr="000232DD">
              <w:rPr>
                <w:rFonts w:ascii="GHEA Grapalat" w:eastAsia="Times New Roman" w:hAnsi="GHEA Grapalat" w:cs="Times New Roman"/>
                <w:b/>
                <w:color w:val="auto"/>
                <w:sz w:val="16"/>
                <w:szCs w:val="16"/>
              </w:rPr>
              <w:t>րագիր</w:t>
            </w:r>
          </w:p>
        </w:tc>
      </w:tr>
      <w:tr w:rsidR="004C0C21" w:rsidRPr="000232DD" w14:paraId="32D1CB63" w14:textId="77777777" w:rsidTr="0052459E">
        <w:trPr>
          <w:trHeight w:val="360"/>
          <w:jc w:val="center"/>
        </w:trPr>
        <w:tc>
          <w:tcPr>
            <w:tcW w:w="1212" w:type="pct"/>
            <w:vMerge/>
            <w:shd w:val="clear" w:color="auto" w:fill="DAE9F7" w:themeFill="text2" w:themeFillTint="1A"/>
            <w:vAlign w:val="center"/>
            <w:hideMark/>
          </w:tcPr>
          <w:p w14:paraId="32C8526D" w14:textId="77777777" w:rsidR="00B43595" w:rsidRPr="000232DD" w:rsidRDefault="00B43595" w:rsidP="00082769">
            <w:pPr>
              <w:ind w:right="-22"/>
              <w:jc w:val="both"/>
              <w:rPr>
                <w:rFonts w:ascii="GHEA Grapalat" w:eastAsia="Times New Roman" w:hAnsi="GHEA Grapalat" w:cs="Times New Roman"/>
                <w:color w:val="auto"/>
                <w:sz w:val="16"/>
                <w:szCs w:val="16"/>
              </w:rPr>
            </w:pPr>
          </w:p>
        </w:tc>
        <w:tc>
          <w:tcPr>
            <w:tcW w:w="475" w:type="pct"/>
            <w:shd w:val="clear" w:color="auto" w:fill="DAE9F7" w:themeFill="text2" w:themeFillTint="1A"/>
            <w:noWrap/>
            <w:vAlign w:val="center"/>
            <w:hideMark/>
          </w:tcPr>
          <w:p w14:paraId="4A0EFBFC"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Calibri"/>
                <w:b/>
                <w:bCs/>
                <w:color w:val="auto"/>
                <w:sz w:val="16"/>
                <w:szCs w:val="16"/>
              </w:rPr>
              <w:t>2023</w:t>
            </w:r>
          </w:p>
        </w:tc>
        <w:tc>
          <w:tcPr>
            <w:tcW w:w="473" w:type="pct"/>
            <w:shd w:val="clear" w:color="auto" w:fill="DAE9F7" w:themeFill="text2" w:themeFillTint="1A"/>
            <w:noWrap/>
            <w:vAlign w:val="center"/>
            <w:hideMark/>
          </w:tcPr>
          <w:p w14:paraId="3BE5CAF6"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Calibri"/>
                <w:b/>
                <w:bCs/>
                <w:color w:val="auto"/>
                <w:sz w:val="16"/>
                <w:szCs w:val="16"/>
              </w:rPr>
              <w:t>2024</w:t>
            </w:r>
          </w:p>
        </w:tc>
        <w:tc>
          <w:tcPr>
            <w:tcW w:w="474" w:type="pct"/>
            <w:shd w:val="clear" w:color="auto" w:fill="DAE9F7" w:themeFill="text2" w:themeFillTint="1A"/>
            <w:noWrap/>
            <w:vAlign w:val="center"/>
            <w:hideMark/>
          </w:tcPr>
          <w:p w14:paraId="79A82617"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Calibri"/>
                <w:b/>
                <w:bCs/>
                <w:color w:val="auto"/>
                <w:sz w:val="16"/>
                <w:szCs w:val="16"/>
              </w:rPr>
              <w:t>2025</w:t>
            </w:r>
          </w:p>
        </w:tc>
        <w:tc>
          <w:tcPr>
            <w:tcW w:w="540" w:type="pct"/>
            <w:shd w:val="clear" w:color="auto" w:fill="DAE9F7" w:themeFill="text2" w:themeFillTint="1A"/>
            <w:noWrap/>
            <w:vAlign w:val="center"/>
            <w:hideMark/>
          </w:tcPr>
          <w:p w14:paraId="42CA41AF"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Calibri"/>
                <w:b/>
                <w:bCs/>
                <w:color w:val="auto"/>
                <w:sz w:val="16"/>
                <w:szCs w:val="16"/>
              </w:rPr>
              <w:t>2026</w:t>
            </w:r>
          </w:p>
        </w:tc>
        <w:tc>
          <w:tcPr>
            <w:tcW w:w="608" w:type="pct"/>
            <w:shd w:val="clear" w:color="auto" w:fill="DAE9F7" w:themeFill="text2" w:themeFillTint="1A"/>
            <w:vAlign w:val="center"/>
          </w:tcPr>
          <w:p w14:paraId="64469DD4"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Calibri"/>
                <w:b/>
                <w:bCs/>
                <w:color w:val="auto"/>
                <w:sz w:val="16"/>
                <w:szCs w:val="16"/>
              </w:rPr>
              <w:t>2027</w:t>
            </w:r>
          </w:p>
        </w:tc>
        <w:tc>
          <w:tcPr>
            <w:tcW w:w="609" w:type="pct"/>
            <w:shd w:val="clear" w:color="auto" w:fill="DAE9F7" w:themeFill="text2" w:themeFillTint="1A"/>
            <w:vAlign w:val="center"/>
          </w:tcPr>
          <w:p w14:paraId="0421C442" w14:textId="3DE22F04"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Calibri"/>
                <w:b/>
                <w:bCs/>
                <w:color w:val="auto"/>
                <w:sz w:val="16"/>
                <w:szCs w:val="16"/>
              </w:rPr>
              <w:t>2028</w:t>
            </w:r>
          </w:p>
        </w:tc>
        <w:tc>
          <w:tcPr>
            <w:tcW w:w="609" w:type="pct"/>
            <w:shd w:val="clear" w:color="auto" w:fill="DAE9F7" w:themeFill="text2" w:themeFillTint="1A"/>
            <w:vAlign w:val="center"/>
          </w:tcPr>
          <w:p w14:paraId="1E72BD38"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Calibri"/>
                <w:b/>
                <w:bCs/>
                <w:color w:val="auto"/>
                <w:sz w:val="16"/>
                <w:szCs w:val="16"/>
              </w:rPr>
              <w:t>2029</w:t>
            </w:r>
          </w:p>
        </w:tc>
      </w:tr>
      <w:tr w:rsidR="004C0C21" w:rsidRPr="000232DD" w14:paraId="719BCA3F" w14:textId="77777777" w:rsidTr="00B43595">
        <w:trPr>
          <w:trHeight w:val="360"/>
          <w:jc w:val="center"/>
        </w:trPr>
        <w:tc>
          <w:tcPr>
            <w:tcW w:w="1212" w:type="pct"/>
            <w:shd w:val="clear" w:color="auto" w:fill="auto"/>
            <w:vAlign w:val="center"/>
            <w:hideMark/>
          </w:tcPr>
          <w:p w14:paraId="357457BA" w14:textId="77777777" w:rsidR="00B43595" w:rsidRPr="000232DD" w:rsidRDefault="00B43595" w:rsidP="00082769">
            <w:pPr>
              <w:ind w:right="-22"/>
              <w:jc w:val="both"/>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Ընդամենը</w:t>
            </w:r>
            <w:r w:rsidRPr="000232DD">
              <w:rPr>
                <w:rFonts w:ascii="GHEA Grapalat" w:eastAsia="Times New Roman" w:hAnsi="GHEA Grapalat" w:cs="Times New Roman"/>
                <w:color w:val="auto"/>
                <w:sz w:val="16"/>
                <w:szCs w:val="16"/>
                <w:lang w:val="hy-AM"/>
              </w:rPr>
              <w:t>,</w:t>
            </w:r>
            <w:r w:rsidRPr="000232DD">
              <w:rPr>
                <w:rFonts w:ascii="GHEA Grapalat" w:eastAsia="Times New Roman" w:hAnsi="GHEA Grapalat" w:cs="Times New Roman"/>
                <w:color w:val="auto"/>
                <w:sz w:val="16"/>
                <w:szCs w:val="16"/>
              </w:rPr>
              <w:t xml:space="preserve"> այդ թվում`    </w:t>
            </w:r>
          </w:p>
        </w:tc>
        <w:tc>
          <w:tcPr>
            <w:tcW w:w="475" w:type="pct"/>
            <w:shd w:val="clear" w:color="auto" w:fill="auto"/>
            <w:noWrap/>
            <w:vAlign w:val="center"/>
            <w:hideMark/>
          </w:tcPr>
          <w:p w14:paraId="4B564E57"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67.4</w:t>
            </w:r>
          </w:p>
        </w:tc>
        <w:tc>
          <w:tcPr>
            <w:tcW w:w="473" w:type="pct"/>
            <w:shd w:val="clear" w:color="auto" w:fill="auto"/>
            <w:noWrap/>
            <w:vAlign w:val="center"/>
            <w:hideMark/>
          </w:tcPr>
          <w:p w14:paraId="49083C4B"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80.5</w:t>
            </w:r>
          </w:p>
        </w:tc>
        <w:tc>
          <w:tcPr>
            <w:tcW w:w="474" w:type="pct"/>
            <w:shd w:val="clear" w:color="auto" w:fill="auto"/>
            <w:noWrap/>
            <w:vAlign w:val="center"/>
            <w:hideMark/>
          </w:tcPr>
          <w:p w14:paraId="5BFDD72C"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 xml:space="preserve"> 95.8</w:t>
            </w:r>
          </w:p>
        </w:tc>
        <w:tc>
          <w:tcPr>
            <w:tcW w:w="540" w:type="pct"/>
            <w:shd w:val="clear" w:color="auto" w:fill="auto"/>
            <w:noWrap/>
            <w:vAlign w:val="center"/>
            <w:hideMark/>
          </w:tcPr>
          <w:p w14:paraId="3434893A"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87.9</w:t>
            </w:r>
          </w:p>
        </w:tc>
        <w:tc>
          <w:tcPr>
            <w:tcW w:w="608" w:type="pct"/>
            <w:vAlign w:val="center"/>
          </w:tcPr>
          <w:p w14:paraId="5E815288"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115.5</w:t>
            </w:r>
          </w:p>
        </w:tc>
        <w:tc>
          <w:tcPr>
            <w:tcW w:w="609" w:type="pct"/>
            <w:vAlign w:val="center"/>
          </w:tcPr>
          <w:p w14:paraId="22480ACB"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116.2</w:t>
            </w:r>
          </w:p>
        </w:tc>
        <w:tc>
          <w:tcPr>
            <w:tcW w:w="609" w:type="pct"/>
            <w:vAlign w:val="center"/>
          </w:tcPr>
          <w:p w14:paraId="40D2C9FD"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117.0</w:t>
            </w:r>
          </w:p>
        </w:tc>
      </w:tr>
      <w:tr w:rsidR="004C0C21" w:rsidRPr="000232DD" w14:paraId="6D31EED7" w14:textId="77777777" w:rsidTr="00B43595">
        <w:trPr>
          <w:trHeight w:val="360"/>
          <w:jc w:val="center"/>
        </w:trPr>
        <w:tc>
          <w:tcPr>
            <w:tcW w:w="1212" w:type="pct"/>
            <w:shd w:val="clear" w:color="auto" w:fill="auto"/>
            <w:vAlign w:val="center"/>
            <w:hideMark/>
          </w:tcPr>
          <w:p w14:paraId="00AABCD7" w14:textId="7063FB4A" w:rsidR="00B43595" w:rsidRPr="000232DD" w:rsidRDefault="00B43595" w:rsidP="00082769">
            <w:pPr>
              <w:ind w:right="-22"/>
              <w:jc w:val="both"/>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1.Դատարաններում հայցադիմումներ</w:t>
            </w:r>
          </w:p>
        </w:tc>
        <w:tc>
          <w:tcPr>
            <w:tcW w:w="475" w:type="pct"/>
            <w:shd w:val="clear" w:color="auto" w:fill="auto"/>
            <w:noWrap/>
            <w:vAlign w:val="center"/>
            <w:hideMark/>
          </w:tcPr>
          <w:p w14:paraId="311B3197"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2.7</w:t>
            </w:r>
          </w:p>
        </w:tc>
        <w:tc>
          <w:tcPr>
            <w:tcW w:w="473" w:type="pct"/>
            <w:shd w:val="clear" w:color="auto" w:fill="auto"/>
            <w:noWrap/>
            <w:vAlign w:val="center"/>
            <w:hideMark/>
          </w:tcPr>
          <w:p w14:paraId="7B4A2B25"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2.6</w:t>
            </w:r>
          </w:p>
        </w:tc>
        <w:tc>
          <w:tcPr>
            <w:tcW w:w="474" w:type="pct"/>
            <w:shd w:val="clear" w:color="auto" w:fill="auto"/>
            <w:noWrap/>
            <w:vAlign w:val="center"/>
            <w:hideMark/>
          </w:tcPr>
          <w:p w14:paraId="6766261C"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3.2</w:t>
            </w:r>
          </w:p>
        </w:tc>
        <w:tc>
          <w:tcPr>
            <w:tcW w:w="540" w:type="pct"/>
            <w:shd w:val="clear" w:color="auto" w:fill="auto"/>
            <w:noWrap/>
            <w:vAlign w:val="center"/>
            <w:hideMark/>
          </w:tcPr>
          <w:p w14:paraId="54D0E58D"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2.7</w:t>
            </w:r>
          </w:p>
        </w:tc>
        <w:tc>
          <w:tcPr>
            <w:tcW w:w="608" w:type="pct"/>
            <w:vAlign w:val="center"/>
          </w:tcPr>
          <w:p w14:paraId="6D0322D8"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3.1</w:t>
            </w:r>
          </w:p>
        </w:tc>
        <w:tc>
          <w:tcPr>
            <w:tcW w:w="609" w:type="pct"/>
            <w:vAlign w:val="center"/>
          </w:tcPr>
          <w:p w14:paraId="2C5CA365"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3.4</w:t>
            </w:r>
          </w:p>
        </w:tc>
        <w:tc>
          <w:tcPr>
            <w:tcW w:w="609" w:type="pct"/>
            <w:vAlign w:val="center"/>
          </w:tcPr>
          <w:p w14:paraId="78F514F5"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3.7</w:t>
            </w:r>
          </w:p>
        </w:tc>
      </w:tr>
      <w:tr w:rsidR="004C0C21" w:rsidRPr="000232DD" w14:paraId="0BD8E360" w14:textId="77777777" w:rsidTr="00B43595">
        <w:trPr>
          <w:trHeight w:val="360"/>
          <w:jc w:val="center"/>
        </w:trPr>
        <w:tc>
          <w:tcPr>
            <w:tcW w:w="1212" w:type="pct"/>
            <w:shd w:val="clear" w:color="auto" w:fill="auto"/>
            <w:vAlign w:val="center"/>
            <w:hideMark/>
          </w:tcPr>
          <w:p w14:paraId="2FA4A76A" w14:textId="46AC2F15" w:rsidR="00B43595" w:rsidRPr="000232DD" w:rsidRDefault="00B43595" w:rsidP="00082769">
            <w:pPr>
              <w:ind w:right="-22"/>
              <w:jc w:val="both"/>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2.ՀՀ քաղաքացիություն ստանալու և փոխելու համար</w:t>
            </w:r>
          </w:p>
        </w:tc>
        <w:tc>
          <w:tcPr>
            <w:tcW w:w="475" w:type="pct"/>
            <w:shd w:val="clear" w:color="auto" w:fill="auto"/>
            <w:noWrap/>
            <w:vAlign w:val="center"/>
            <w:hideMark/>
          </w:tcPr>
          <w:p w14:paraId="5AB76A58"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0.1</w:t>
            </w:r>
          </w:p>
        </w:tc>
        <w:tc>
          <w:tcPr>
            <w:tcW w:w="473" w:type="pct"/>
            <w:shd w:val="clear" w:color="auto" w:fill="auto"/>
            <w:noWrap/>
            <w:vAlign w:val="center"/>
            <w:hideMark/>
          </w:tcPr>
          <w:p w14:paraId="49778DD5"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0.1</w:t>
            </w:r>
          </w:p>
        </w:tc>
        <w:tc>
          <w:tcPr>
            <w:tcW w:w="474" w:type="pct"/>
            <w:shd w:val="clear" w:color="auto" w:fill="auto"/>
            <w:noWrap/>
            <w:vAlign w:val="center"/>
            <w:hideMark/>
          </w:tcPr>
          <w:p w14:paraId="0A88F262" w14:textId="77777777" w:rsidR="00B43595" w:rsidRPr="000232DD" w:rsidRDefault="00B43595" w:rsidP="00082769">
            <w:pPr>
              <w:ind w:right="-22"/>
              <w:jc w:val="center"/>
              <w:rPr>
                <w:rFonts w:ascii="Cambria Math" w:eastAsia="Times New Roman" w:hAnsi="Cambria Math" w:cs="Calibri"/>
                <w:bCs/>
                <w:color w:val="auto"/>
                <w:sz w:val="16"/>
                <w:szCs w:val="16"/>
              </w:rPr>
            </w:pPr>
            <w:r w:rsidRPr="000232DD">
              <w:rPr>
                <w:rFonts w:ascii="GHEA Grapalat" w:eastAsia="Times New Roman" w:hAnsi="GHEA Grapalat" w:cs="Calibri"/>
                <w:bCs/>
                <w:color w:val="auto"/>
                <w:sz w:val="16"/>
                <w:szCs w:val="16"/>
                <w:lang w:val="hy-AM"/>
              </w:rPr>
              <w:t>0</w:t>
            </w:r>
            <w:r w:rsidRPr="000232DD">
              <w:rPr>
                <w:rFonts w:ascii="GHEA Grapalat" w:eastAsia="Times New Roman" w:hAnsi="GHEA Grapalat" w:cs="Calibri"/>
                <w:bCs/>
                <w:color w:val="auto"/>
                <w:sz w:val="16"/>
                <w:szCs w:val="16"/>
              </w:rPr>
              <w:t>.3</w:t>
            </w:r>
          </w:p>
        </w:tc>
        <w:tc>
          <w:tcPr>
            <w:tcW w:w="540" w:type="pct"/>
            <w:shd w:val="clear" w:color="auto" w:fill="auto"/>
            <w:noWrap/>
            <w:vAlign w:val="center"/>
            <w:hideMark/>
          </w:tcPr>
          <w:p w14:paraId="42C75073"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1.1</w:t>
            </w:r>
          </w:p>
        </w:tc>
        <w:tc>
          <w:tcPr>
            <w:tcW w:w="608" w:type="pct"/>
            <w:vAlign w:val="center"/>
          </w:tcPr>
          <w:p w14:paraId="7366241D"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1.3</w:t>
            </w:r>
          </w:p>
        </w:tc>
        <w:tc>
          <w:tcPr>
            <w:tcW w:w="609" w:type="pct"/>
            <w:vAlign w:val="center"/>
          </w:tcPr>
          <w:p w14:paraId="308472A8"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1.3</w:t>
            </w:r>
          </w:p>
        </w:tc>
        <w:tc>
          <w:tcPr>
            <w:tcW w:w="609" w:type="pct"/>
            <w:vAlign w:val="center"/>
          </w:tcPr>
          <w:p w14:paraId="642F7643" w14:textId="77777777" w:rsidR="00B43595" w:rsidRPr="000232DD" w:rsidRDefault="00B43595" w:rsidP="00082769">
            <w:pPr>
              <w:ind w:right="-22"/>
              <w:jc w:val="center"/>
              <w:rPr>
                <w:rFonts w:ascii="GHEA Grapalat" w:eastAsia="Times New Roman" w:hAnsi="GHEA Grapalat" w:cs="Calibri"/>
                <w:bCs/>
                <w:color w:val="auto"/>
                <w:sz w:val="16"/>
                <w:szCs w:val="16"/>
                <w:lang w:val="hy-AM"/>
              </w:rPr>
            </w:pPr>
            <w:r w:rsidRPr="000232DD">
              <w:rPr>
                <w:rFonts w:ascii="GHEA Grapalat" w:eastAsia="Times New Roman" w:hAnsi="GHEA Grapalat" w:cs="Calibri"/>
                <w:bCs/>
                <w:color w:val="auto"/>
                <w:sz w:val="16"/>
                <w:szCs w:val="16"/>
              </w:rPr>
              <w:t>1.3</w:t>
            </w:r>
          </w:p>
        </w:tc>
      </w:tr>
      <w:tr w:rsidR="004C0C21" w:rsidRPr="000232DD" w14:paraId="70182B9D" w14:textId="77777777" w:rsidTr="00B43595">
        <w:trPr>
          <w:trHeight w:val="360"/>
          <w:jc w:val="center"/>
        </w:trPr>
        <w:tc>
          <w:tcPr>
            <w:tcW w:w="1212" w:type="pct"/>
            <w:shd w:val="clear" w:color="auto" w:fill="auto"/>
            <w:vAlign w:val="center"/>
            <w:hideMark/>
          </w:tcPr>
          <w:p w14:paraId="1A979718" w14:textId="34A5A2F7" w:rsidR="00B43595" w:rsidRPr="000232DD" w:rsidRDefault="00B43595" w:rsidP="00082769">
            <w:pPr>
              <w:ind w:right="-22"/>
              <w:jc w:val="both"/>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3.Հյուպատոսական ծառայություններ</w:t>
            </w:r>
          </w:p>
        </w:tc>
        <w:tc>
          <w:tcPr>
            <w:tcW w:w="475" w:type="pct"/>
            <w:shd w:val="clear" w:color="auto" w:fill="auto"/>
            <w:noWrap/>
            <w:vAlign w:val="center"/>
            <w:hideMark/>
          </w:tcPr>
          <w:p w14:paraId="448C368E"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2.8</w:t>
            </w:r>
          </w:p>
        </w:tc>
        <w:tc>
          <w:tcPr>
            <w:tcW w:w="473" w:type="pct"/>
            <w:shd w:val="clear" w:color="auto" w:fill="auto"/>
            <w:noWrap/>
            <w:vAlign w:val="center"/>
            <w:hideMark/>
          </w:tcPr>
          <w:p w14:paraId="5215C053"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2.8</w:t>
            </w:r>
          </w:p>
        </w:tc>
        <w:tc>
          <w:tcPr>
            <w:tcW w:w="474" w:type="pct"/>
            <w:shd w:val="clear" w:color="auto" w:fill="auto"/>
            <w:noWrap/>
            <w:vAlign w:val="center"/>
            <w:hideMark/>
          </w:tcPr>
          <w:p w14:paraId="278008B8"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2.7</w:t>
            </w:r>
          </w:p>
        </w:tc>
        <w:tc>
          <w:tcPr>
            <w:tcW w:w="540" w:type="pct"/>
            <w:shd w:val="clear" w:color="auto" w:fill="auto"/>
            <w:noWrap/>
            <w:vAlign w:val="center"/>
            <w:hideMark/>
          </w:tcPr>
          <w:p w14:paraId="75DB4924"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2.5</w:t>
            </w:r>
          </w:p>
        </w:tc>
        <w:tc>
          <w:tcPr>
            <w:tcW w:w="608" w:type="pct"/>
            <w:vAlign w:val="center"/>
          </w:tcPr>
          <w:p w14:paraId="7891E329"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2.7</w:t>
            </w:r>
          </w:p>
        </w:tc>
        <w:tc>
          <w:tcPr>
            <w:tcW w:w="609" w:type="pct"/>
            <w:vAlign w:val="center"/>
          </w:tcPr>
          <w:p w14:paraId="0FC48A1E"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2.8</w:t>
            </w:r>
          </w:p>
        </w:tc>
        <w:tc>
          <w:tcPr>
            <w:tcW w:w="609" w:type="pct"/>
            <w:vAlign w:val="center"/>
          </w:tcPr>
          <w:p w14:paraId="01F35BDF" w14:textId="77777777" w:rsidR="00B43595" w:rsidRPr="000232DD" w:rsidRDefault="00B43595" w:rsidP="00082769">
            <w:pPr>
              <w:ind w:right="-22"/>
              <w:jc w:val="center"/>
              <w:rPr>
                <w:rFonts w:ascii="GHEA Grapalat" w:eastAsia="Times New Roman" w:hAnsi="GHEA Grapalat" w:cs="Calibri"/>
                <w:bCs/>
                <w:color w:val="auto"/>
                <w:sz w:val="16"/>
                <w:szCs w:val="16"/>
                <w:lang w:val="hy-AM"/>
              </w:rPr>
            </w:pPr>
            <w:r w:rsidRPr="000232DD">
              <w:rPr>
                <w:rFonts w:ascii="GHEA Grapalat" w:eastAsia="Times New Roman" w:hAnsi="GHEA Grapalat" w:cs="Calibri"/>
                <w:bCs/>
                <w:color w:val="auto"/>
                <w:sz w:val="16"/>
                <w:szCs w:val="16"/>
              </w:rPr>
              <w:t>2.8</w:t>
            </w:r>
          </w:p>
        </w:tc>
      </w:tr>
      <w:tr w:rsidR="004C0C21" w:rsidRPr="000232DD" w14:paraId="3606E176" w14:textId="77777777" w:rsidTr="00B43595">
        <w:trPr>
          <w:trHeight w:val="360"/>
          <w:jc w:val="center"/>
        </w:trPr>
        <w:tc>
          <w:tcPr>
            <w:tcW w:w="1212" w:type="pct"/>
            <w:shd w:val="clear" w:color="auto" w:fill="auto"/>
            <w:vAlign w:val="center"/>
            <w:hideMark/>
          </w:tcPr>
          <w:p w14:paraId="6A4E0951" w14:textId="26E691FA" w:rsidR="00B43595" w:rsidRPr="000232DD" w:rsidRDefault="00B43595" w:rsidP="00082769">
            <w:pPr>
              <w:ind w:right="-22"/>
              <w:jc w:val="both"/>
              <w:rPr>
                <w:rFonts w:ascii="GHEA Grapalat" w:eastAsia="Times New Roman" w:hAnsi="GHEA Grapalat" w:cs="Times New Roman"/>
                <w:color w:val="auto"/>
                <w:sz w:val="16"/>
                <w:szCs w:val="16"/>
                <w:lang w:val="hy-AM"/>
              </w:rPr>
            </w:pPr>
            <w:r w:rsidRPr="000232DD">
              <w:rPr>
                <w:rFonts w:ascii="GHEA Grapalat" w:eastAsia="Times New Roman" w:hAnsi="GHEA Grapalat" w:cs="Times New Roman"/>
                <w:color w:val="auto"/>
                <w:sz w:val="16"/>
                <w:szCs w:val="16"/>
              </w:rPr>
              <w:t>4.Պետական գրանց</w:t>
            </w:r>
            <w:r w:rsidR="005C7003" w:rsidRPr="000232DD">
              <w:rPr>
                <w:rFonts w:ascii="GHEA Grapalat" w:eastAsia="Times New Roman" w:hAnsi="GHEA Grapalat" w:cs="Times New Roman"/>
                <w:color w:val="auto"/>
                <w:sz w:val="16"/>
                <w:szCs w:val="16"/>
                <w:lang w:val="hy-AM"/>
              </w:rPr>
              <w:t>ում</w:t>
            </w:r>
          </w:p>
        </w:tc>
        <w:tc>
          <w:tcPr>
            <w:tcW w:w="475" w:type="pct"/>
            <w:shd w:val="clear" w:color="auto" w:fill="auto"/>
            <w:noWrap/>
            <w:vAlign w:val="center"/>
            <w:hideMark/>
          </w:tcPr>
          <w:p w14:paraId="4EC84CC1"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6.5</w:t>
            </w:r>
          </w:p>
        </w:tc>
        <w:tc>
          <w:tcPr>
            <w:tcW w:w="473" w:type="pct"/>
            <w:shd w:val="clear" w:color="auto" w:fill="auto"/>
            <w:noWrap/>
            <w:vAlign w:val="center"/>
            <w:hideMark/>
          </w:tcPr>
          <w:p w14:paraId="75356A44"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6.8</w:t>
            </w:r>
          </w:p>
        </w:tc>
        <w:tc>
          <w:tcPr>
            <w:tcW w:w="474" w:type="pct"/>
            <w:shd w:val="clear" w:color="auto" w:fill="auto"/>
            <w:noWrap/>
            <w:vAlign w:val="center"/>
            <w:hideMark/>
          </w:tcPr>
          <w:p w14:paraId="1D3AB0F6"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7.2</w:t>
            </w:r>
          </w:p>
        </w:tc>
        <w:tc>
          <w:tcPr>
            <w:tcW w:w="540" w:type="pct"/>
            <w:shd w:val="clear" w:color="auto" w:fill="auto"/>
            <w:noWrap/>
            <w:vAlign w:val="center"/>
            <w:hideMark/>
          </w:tcPr>
          <w:p w14:paraId="6FA38363"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6.8</w:t>
            </w:r>
          </w:p>
        </w:tc>
        <w:tc>
          <w:tcPr>
            <w:tcW w:w="608" w:type="pct"/>
            <w:vAlign w:val="center"/>
          </w:tcPr>
          <w:p w14:paraId="6EF46BBE"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7.6</w:t>
            </w:r>
          </w:p>
        </w:tc>
        <w:tc>
          <w:tcPr>
            <w:tcW w:w="609" w:type="pct"/>
            <w:vAlign w:val="center"/>
          </w:tcPr>
          <w:p w14:paraId="31D63EC0"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7.6</w:t>
            </w:r>
          </w:p>
        </w:tc>
        <w:tc>
          <w:tcPr>
            <w:tcW w:w="609" w:type="pct"/>
            <w:vAlign w:val="center"/>
          </w:tcPr>
          <w:p w14:paraId="033226CB"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7.7</w:t>
            </w:r>
          </w:p>
        </w:tc>
      </w:tr>
      <w:tr w:rsidR="004C0C21" w:rsidRPr="000232DD" w14:paraId="062DD1A2" w14:textId="77777777" w:rsidTr="00B43595">
        <w:trPr>
          <w:trHeight w:val="360"/>
          <w:jc w:val="center"/>
        </w:trPr>
        <w:tc>
          <w:tcPr>
            <w:tcW w:w="1212" w:type="pct"/>
            <w:shd w:val="clear" w:color="auto" w:fill="auto"/>
            <w:vAlign w:val="center"/>
            <w:hideMark/>
          </w:tcPr>
          <w:p w14:paraId="410429B0" w14:textId="181E3077" w:rsidR="00B43595" w:rsidRPr="000232DD" w:rsidRDefault="00B43595" w:rsidP="00082769">
            <w:pPr>
              <w:ind w:right="-22"/>
              <w:jc w:val="both"/>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5.Մտավոր սեփականության հետ կապված գործողությունների համար</w:t>
            </w:r>
          </w:p>
        </w:tc>
        <w:tc>
          <w:tcPr>
            <w:tcW w:w="475" w:type="pct"/>
            <w:shd w:val="clear" w:color="auto" w:fill="auto"/>
            <w:noWrap/>
            <w:vAlign w:val="center"/>
            <w:hideMark/>
          </w:tcPr>
          <w:p w14:paraId="57C009CC"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0.4</w:t>
            </w:r>
          </w:p>
        </w:tc>
        <w:tc>
          <w:tcPr>
            <w:tcW w:w="473" w:type="pct"/>
            <w:shd w:val="clear" w:color="auto" w:fill="auto"/>
            <w:noWrap/>
            <w:vAlign w:val="center"/>
            <w:hideMark/>
          </w:tcPr>
          <w:p w14:paraId="7D44AE2C"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0.4</w:t>
            </w:r>
          </w:p>
        </w:tc>
        <w:tc>
          <w:tcPr>
            <w:tcW w:w="474" w:type="pct"/>
            <w:shd w:val="clear" w:color="auto" w:fill="auto"/>
            <w:noWrap/>
            <w:vAlign w:val="center"/>
            <w:hideMark/>
          </w:tcPr>
          <w:p w14:paraId="4EDAD0BC" w14:textId="77777777" w:rsidR="00B43595" w:rsidRPr="000232DD" w:rsidRDefault="00B43595" w:rsidP="00082769">
            <w:pPr>
              <w:ind w:right="-22"/>
              <w:jc w:val="center"/>
              <w:rPr>
                <w:rFonts w:ascii="Cambria Math" w:eastAsia="Times New Roman" w:hAnsi="Cambria Math" w:cs="Calibri"/>
                <w:bCs/>
                <w:color w:val="auto"/>
                <w:sz w:val="16"/>
                <w:szCs w:val="16"/>
                <w:lang w:val="hy-AM"/>
              </w:rPr>
            </w:pPr>
            <w:r w:rsidRPr="000232DD">
              <w:rPr>
                <w:rFonts w:ascii="GHEA Grapalat" w:eastAsia="Times New Roman" w:hAnsi="GHEA Grapalat" w:cs="Calibri"/>
                <w:bCs/>
                <w:color w:val="auto"/>
                <w:sz w:val="16"/>
                <w:szCs w:val="16"/>
              </w:rPr>
              <w:t>0.5</w:t>
            </w:r>
          </w:p>
        </w:tc>
        <w:tc>
          <w:tcPr>
            <w:tcW w:w="540" w:type="pct"/>
            <w:shd w:val="clear" w:color="auto" w:fill="auto"/>
            <w:noWrap/>
            <w:vAlign w:val="center"/>
            <w:hideMark/>
          </w:tcPr>
          <w:p w14:paraId="3B8694CA"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0.4</w:t>
            </w:r>
          </w:p>
        </w:tc>
        <w:tc>
          <w:tcPr>
            <w:tcW w:w="608" w:type="pct"/>
            <w:vAlign w:val="center"/>
          </w:tcPr>
          <w:p w14:paraId="3506D0B7"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0.5</w:t>
            </w:r>
          </w:p>
        </w:tc>
        <w:tc>
          <w:tcPr>
            <w:tcW w:w="609" w:type="pct"/>
            <w:vAlign w:val="center"/>
          </w:tcPr>
          <w:p w14:paraId="6181D352"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0.5</w:t>
            </w:r>
          </w:p>
        </w:tc>
        <w:tc>
          <w:tcPr>
            <w:tcW w:w="609" w:type="pct"/>
            <w:vAlign w:val="center"/>
          </w:tcPr>
          <w:p w14:paraId="4C94DEA2"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0.5</w:t>
            </w:r>
          </w:p>
        </w:tc>
      </w:tr>
      <w:tr w:rsidR="004C0C21" w:rsidRPr="000232DD" w14:paraId="39705859" w14:textId="77777777" w:rsidTr="00B43595">
        <w:trPr>
          <w:trHeight w:val="360"/>
          <w:jc w:val="center"/>
        </w:trPr>
        <w:tc>
          <w:tcPr>
            <w:tcW w:w="1212" w:type="pct"/>
            <w:shd w:val="clear" w:color="auto" w:fill="auto"/>
            <w:vAlign w:val="center"/>
            <w:hideMark/>
          </w:tcPr>
          <w:p w14:paraId="26CFF318" w14:textId="59360166" w:rsidR="00B43595" w:rsidRPr="000232DD" w:rsidRDefault="00B43595" w:rsidP="00082769">
            <w:pPr>
              <w:ind w:right="-22"/>
              <w:jc w:val="both"/>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6.Ֆիզիկական անձանց իրավաբանական նշանակություն ունեցող փաստաթղթերի տրամադրման և ծառայությունների համար</w:t>
            </w:r>
          </w:p>
        </w:tc>
        <w:tc>
          <w:tcPr>
            <w:tcW w:w="475" w:type="pct"/>
            <w:shd w:val="clear" w:color="auto" w:fill="auto"/>
            <w:noWrap/>
            <w:vAlign w:val="center"/>
            <w:hideMark/>
          </w:tcPr>
          <w:p w14:paraId="12AD9EE3"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3.0</w:t>
            </w:r>
          </w:p>
        </w:tc>
        <w:tc>
          <w:tcPr>
            <w:tcW w:w="473" w:type="pct"/>
            <w:shd w:val="clear" w:color="auto" w:fill="auto"/>
            <w:noWrap/>
            <w:vAlign w:val="center"/>
            <w:hideMark/>
          </w:tcPr>
          <w:p w14:paraId="29B522AA"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3.4</w:t>
            </w:r>
          </w:p>
        </w:tc>
        <w:tc>
          <w:tcPr>
            <w:tcW w:w="474" w:type="pct"/>
            <w:shd w:val="clear" w:color="auto" w:fill="auto"/>
            <w:noWrap/>
            <w:vAlign w:val="center"/>
            <w:hideMark/>
          </w:tcPr>
          <w:p w14:paraId="24FF9014"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4.7</w:t>
            </w:r>
          </w:p>
        </w:tc>
        <w:tc>
          <w:tcPr>
            <w:tcW w:w="540" w:type="pct"/>
            <w:shd w:val="clear" w:color="auto" w:fill="auto"/>
            <w:noWrap/>
            <w:vAlign w:val="center"/>
            <w:hideMark/>
          </w:tcPr>
          <w:p w14:paraId="7B470B34"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4.5</w:t>
            </w:r>
          </w:p>
        </w:tc>
        <w:tc>
          <w:tcPr>
            <w:tcW w:w="608" w:type="pct"/>
            <w:vAlign w:val="center"/>
          </w:tcPr>
          <w:p w14:paraId="6F85D614"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5.1</w:t>
            </w:r>
          </w:p>
        </w:tc>
        <w:tc>
          <w:tcPr>
            <w:tcW w:w="609" w:type="pct"/>
            <w:vAlign w:val="center"/>
          </w:tcPr>
          <w:p w14:paraId="7C72B7C5"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5.2</w:t>
            </w:r>
          </w:p>
        </w:tc>
        <w:tc>
          <w:tcPr>
            <w:tcW w:w="609" w:type="pct"/>
            <w:vAlign w:val="center"/>
          </w:tcPr>
          <w:p w14:paraId="5801002B"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5.3</w:t>
            </w:r>
          </w:p>
        </w:tc>
      </w:tr>
      <w:tr w:rsidR="004C0C21" w:rsidRPr="000232DD" w14:paraId="1B009F11" w14:textId="77777777" w:rsidTr="00B43595">
        <w:trPr>
          <w:trHeight w:val="360"/>
          <w:jc w:val="center"/>
        </w:trPr>
        <w:tc>
          <w:tcPr>
            <w:tcW w:w="1212" w:type="pct"/>
            <w:shd w:val="clear" w:color="auto" w:fill="auto"/>
            <w:vAlign w:val="center"/>
            <w:hideMark/>
          </w:tcPr>
          <w:p w14:paraId="25FA294C" w14:textId="009670F1" w:rsidR="00B43595" w:rsidRPr="000232DD" w:rsidRDefault="00B43595" w:rsidP="00082769">
            <w:pPr>
              <w:ind w:right="-22"/>
              <w:jc w:val="both"/>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7.Լիցենզիաների,</w:t>
            </w:r>
            <w:r w:rsidR="003A3FFA" w:rsidRPr="000232DD">
              <w:rPr>
                <w:rFonts w:ascii="GHEA Grapalat" w:eastAsia="Times New Roman" w:hAnsi="GHEA Grapalat" w:cs="Times New Roman"/>
                <w:color w:val="auto"/>
                <w:sz w:val="16"/>
                <w:szCs w:val="16"/>
              </w:rPr>
              <w:t xml:space="preserve"> </w:t>
            </w:r>
            <w:r w:rsidRPr="000232DD">
              <w:rPr>
                <w:rFonts w:ascii="GHEA Grapalat" w:eastAsia="Times New Roman" w:hAnsi="GHEA Grapalat" w:cs="Times New Roman"/>
                <w:color w:val="auto"/>
                <w:sz w:val="16"/>
                <w:szCs w:val="16"/>
              </w:rPr>
              <w:t>արտոնագրեր</w:t>
            </w:r>
            <w:r w:rsidR="003A3FFA" w:rsidRPr="000232DD">
              <w:rPr>
                <w:rFonts w:ascii="GHEA Grapalat" w:eastAsia="Times New Roman" w:hAnsi="GHEA Grapalat" w:cs="Times New Roman"/>
                <w:color w:val="auto"/>
                <w:sz w:val="16"/>
                <w:szCs w:val="16"/>
              </w:rPr>
              <w:t xml:space="preserve"> </w:t>
            </w:r>
            <w:r w:rsidRPr="000232DD">
              <w:rPr>
                <w:rFonts w:ascii="GHEA Grapalat" w:eastAsia="Times New Roman" w:hAnsi="GHEA Grapalat" w:cs="Times New Roman"/>
                <w:color w:val="auto"/>
                <w:sz w:val="16"/>
                <w:szCs w:val="16"/>
              </w:rPr>
              <w:t>և թույլտվություններ</w:t>
            </w:r>
          </w:p>
        </w:tc>
        <w:tc>
          <w:tcPr>
            <w:tcW w:w="475" w:type="pct"/>
            <w:shd w:val="clear" w:color="auto" w:fill="auto"/>
            <w:noWrap/>
            <w:vAlign w:val="center"/>
            <w:hideMark/>
          </w:tcPr>
          <w:p w14:paraId="090F0FB8"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29.0</w:t>
            </w:r>
          </w:p>
        </w:tc>
        <w:tc>
          <w:tcPr>
            <w:tcW w:w="473" w:type="pct"/>
            <w:shd w:val="clear" w:color="auto" w:fill="auto"/>
            <w:noWrap/>
            <w:vAlign w:val="center"/>
            <w:hideMark/>
          </w:tcPr>
          <w:p w14:paraId="21DAC7C8"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34.5</w:t>
            </w:r>
          </w:p>
        </w:tc>
        <w:tc>
          <w:tcPr>
            <w:tcW w:w="474" w:type="pct"/>
            <w:shd w:val="clear" w:color="auto" w:fill="auto"/>
            <w:noWrap/>
            <w:vAlign w:val="center"/>
            <w:hideMark/>
          </w:tcPr>
          <w:p w14:paraId="612F1780"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51.9</w:t>
            </w:r>
          </w:p>
        </w:tc>
        <w:tc>
          <w:tcPr>
            <w:tcW w:w="540" w:type="pct"/>
            <w:shd w:val="clear" w:color="auto" w:fill="auto"/>
            <w:noWrap/>
            <w:vAlign w:val="center"/>
            <w:hideMark/>
          </w:tcPr>
          <w:p w14:paraId="66A56D27"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47.6</w:t>
            </w:r>
          </w:p>
        </w:tc>
        <w:tc>
          <w:tcPr>
            <w:tcW w:w="608" w:type="pct"/>
            <w:vAlign w:val="center"/>
          </w:tcPr>
          <w:p w14:paraId="73596155" w14:textId="77777777" w:rsidR="00B43595" w:rsidRPr="000232DD" w:rsidRDefault="00B43595" w:rsidP="00082769">
            <w:pPr>
              <w:ind w:right="-22"/>
              <w:jc w:val="center"/>
              <w:rPr>
                <w:rFonts w:ascii="GHEA Grapalat" w:eastAsia="Times New Roman" w:hAnsi="GHEA Grapalat" w:cs="Calibri"/>
                <w:bCs/>
                <w:color w:val="auto"/>
                <w:sz w:val="16"/>
                <w:szCs w:val="16"/>
                <w:lang w:val="hy-AM"/>
              </w:rPr>
            </w:pPr>
            <w:r w:rsidRPr="000232DD">
              <w:rPr>
                <w:rFonts w:ascii="GHEA Grapalat" w:eastAsia="Times New Roman" w:hAnsi="GHEA Grapalat" w:cs="Calibri"/>
                <w:bCs/>
                <w:color w:val="auto"/>
                <w:sz w:val="16"/>
                <w:szCs w:val="16"/>
                <w:lang w:val="hy-AM"/>
              </w:rPr>
              <w:t>76.1</w:t>
            </w:r>
          </w:p>
        </w:tc>
        <w:tc>
          <w:tcPr>
            <w:tcW w:w="609" w:type="pct"/>
            <w:vAlign w:val="center"/>
          </w:tcPr>
          <w:p w14:paraId="46F7F6DC"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76.3</w:t>
            </w:r>
          </w:p>
        </w:tc>
        <w:tc>
          <w:tcPr>
            <w:tcW w:w="609" w:type="pct"/>
            <w:vAlign w:val="center"/>
          </w:tcPr>
          <w:p w14:paraId="31C62EDD"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76.5</w:t>
            </w:r>
          </w:p>
        </w:tc>
      </w:tr>
      <w:tr w:rsidR="00B43595" w:rsidRPr="000232DD" w14:paraId="26BA6344" w14:textId="77777777" w:rsidTr="00B43595">
        <w:trPr>
          <w:trHeight w:val="360"/>
          <w:jc w:val="center"/>
        </w:trPr>
        <w:tc>
          <w:tcPr>
            <w:tcW w:w="1212" w:type="pct"/>
            <w:shd w:val="clear" w:color="auto" w:fill="auto"/>
            <w:vAlign w:val="center"/>
            <w:hideMark/>
          </w:tcPr>
          <w:p w14:paraId="01E30D4C" w14:textId="77777777" w:rsidR="00B43595" w:rsidRPr="000232DD" w:rsidRDefault="00B43595" w:rsidP="00082769">
            <w:pPr>
              <w:ind w:right="-22"/>
              <w:jc w:val="both"/>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8.Օրենքով սահմանված այլ ծառայությունների և գործողությունների համար</w:t>
            </w:r>
          </w:p>
        </w:tc>
        <w:tc>
          <w:tcPr>
            <w:tcW w:w="475" w:type="pct"/>
            <w:shd w:val="clear" w:color="auto" w:fill="auto"/>
            <w:noWrap/>
            <w:vAlign w:val="center"/>
            <w:hideMark/>
          </w:tcPr>
          <w:p w14:paraId="7E81BFF9"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22.9</w:t>
            </w:r>
          </w:p>
        </w:tc>
        <w:tc>
          <w:tcPr>
            <w:tcW w:w="473" w:type="pct"/>
            <w:shd w:val="clear" w:color="auto" w:fill="auto"/>
            <w:noWrap/>
            <w:vAlign w:val="center"/>
            <w:hideMark/>
          </w:tcPr>
          <w:p w14:paraId="52AEA978"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29.9</w:t>
            </w:r>
          </w:p>
        </w:tc>
        <w:tc>
          <w:tcPr>
            <w:tcW w:w="474" w:type="pct"/>
            <w:shd w:val="clear" w:color="auto" w:fill="auto"/>
            <w:noWrap/>
            <w:vAlign w:val="center"/>
            <w:hideMark/>
          </w:tcPr>
          <w:p w14:paraId="11A854A9"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25.3</w:t>
            </w:r>
          </w:p>
        </w:tc>
        <w:tc>
          <w:tcPr>
            <w:tcW w:w="540" w:type="pct"/>
            <w:shd w:val="clear" w:color="auto" w:fill="auto"/>
            <w:noWrap/>
            <w:vAlign w:val="center"/>
            <w:hideMark/>
          </w:tcPr>
          <w:p w14:paraId="01C498BC"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22.3</w:t>
            </w:r>
          </w:p>
        </w:tc>
        <w:tc>
          <w:tcPr>
            <w:tcW w:w="608" w:type="pct"/>
            <w:vAlign w:val="center"/>
          </w:tcPr>
          <w:p w14:paraId="6E2426C1"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19.1</w:t>
            </w:r>
          </w:p>
        </w:tc>
        <w:tc>
          <w:tcPr>
            <w:tcW w:w="609" w:type="pct"/>
            <w:vAlign w:val="center"/>
          </w:tcPr>
          <w:p w14:paraId="7BEFBEBC"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19.1</w:t>
            </w:r>
          </w:p>
        </w:tc>
        <w:tc>
          <w:tcPr>
            <w:tcW w:w="609" w:type="pct"/>
            <w:vAlign w:val="center"/>
          </w:tcPr>
          <w:p w14:paraId="3775368C"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19.2</w:t>
            </w:r>
          </w:p>
        </w:tc>
      </w:tr>
    </w:tbl>
    <w:p w14:paraId="577EE957" w14:textId="77777777" w:rsidR="00B43595" w:rsidRPr="000232DD" w:rsidRDefault="00B43595" w:rsidP="00082769">
      <w:pPr>
        <w:ind w:right="-22"/>
        <w:jc w:val="both"/>
        <w:rPr>
          <w:rFonts w:ascii="GHEA Grapalat" w:eastAsia="Times New Roman" w:hAnsi="GHEA Grapalat" w:cs="Times New Roman"/>
          <w:color w:val="auto"/>
          <w:szCs w:val="20"/>
          <w:lang w:val="hy-AM"/>
        </w:rPr>
      </w:pPr>
      <w:bookmarkStart w:id="369" w:name="_Toc178356584"/>
    </w:p>
    <w:p w14:paraId="3ACA8CF1" w14:textId="77777777" w:rsidR="00B43595" w:rsidRPr="002A5C86" w:rsidRDefault="00B43595" w:rsidP="00082769">
      <w:pPr>
        <w:ind w:right="-22"/>
        <w:jc w:val="both"/>
        <w:rPr>
          <w:rFonts w:ascii="GHEA Grapalat" w:eastAsia="Times New Roman" w:hAnsi="GHEA Grapalat" w:cs="Times New Roman"/>
          <w:color w:val="ADADAD" w:themeColor="background2" w:themeShade="BF"/>
          <w:szCs w:val="20"/>
          <w:lang w:val="hy-AM"/>
        </w:rPr>
      </w:pPr>
      <w:r w:rsidRPr="002A5C86">
        <w:rPr>
          <w:rFonts w:ascii="GHEA Grapalat" w:eastAsia="Times New Roman" w:hAnsi="GHEA Grapalat" w:cs="Times New Roman"/>
          <w:color w:val="ADADAD" w:themeColor="background2" w:themeShade="BF"/>
          <w:szCs w:val="20"/>
          <w:lang w:val="hy-AM"/>
        </w:rPr>
        <w:t>ՊԱՇՏՈՆԱԿԱՆ ԴՐԱՄԱՇՆՈՐՀՆԵՐ</w:t>
      </w:r>
      <w:bookmarkEnd w:id="369"/>
    </w:p>
    <w:p w14:paraId="078DC755" w14:textId="77777777" w:rsidR="00B43595" w:rsidRPr="000232DD" w:rsidRDefault="00B43595" w:rsidP="00082769">
      <w:pPr>
        <w:ind w:right="-22"/>
        <w:jc w:val="both"/>
        <w:rPr>
          <w:rFonts w:ascii="GHEA Grapalat" w:eastAsia="Times New Roman" w:hAnsi="GHEA Grapalat" w:cs="Times New Roman"/>
          <w:color w:val="auto"/>
          <w:szCs w:val="20"/>
          <w:lang w:val="af-ZA"/>
        </w:rPr>
      </w:pPr>
      <w:bookmarkStart w:id="370" w:name="_Toc153184484"/>
      <w:r w:rsidRPr="000232DD">
        <w:rPr>
          <w:rFonts w:ascii="GHEA Grapalat" w:eastAsia="Times New Roman" w:hAnsi="GHEA Grapalat" w:cs="Times New Roman"/>
          <w:color w:val="auto"/>
          <w:szCs w:val="20"/>
          <w:lang w:val="hy-AM"/>
        </w:rPr>
        <w:t>Պաշտոնական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դրամաշնորհները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ծրագրվել</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են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հաշվի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առ</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նե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լով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առկա</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պայմանագրերը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դո</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նոր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նե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հետ</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ձեռքբերված</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նախնական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համաձայնությունները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և</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Եվրամիությունից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ակնկալվող</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դրամաշնորհների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դեպքում</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սպա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սում</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նե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րը</w:t>
      </w:r>
      <w:r w:rsidRPr="000232DD">
        <w:rPr>
          <w:rFonts w:ascii="GHEA Grapalat" w:eastAsia="Times New Roman" w:hAnsi="GHEA Grapalat" w:cs="Times New Roman"/>
          <w:color w:val="auto"/>
          <w:szCs w:val="20"/>
          <w:lang w:val="af-ZA"/>
        </w:rPr>
        <w:t>:</w:t>
      </w:r>
    </w:p>
    <w:p w14:paraId="6524A9D2" w14:textId="301CFE4C" w:rsidR="00B43595" w:rsidRPr="00E73A9A" w:rsidRDefault="00B43595" w:rsidP="00E73A9A">
      <w:pPr>
        <w:pStyle w:val="Charts"/>
        <w:ind w:right="-22"/>
        <w:rPr>
          <w:b w:val="0"/>
          <w:bCs/>
          <w:color w:val="auto"/>
          <w:sz w:val="20"/>
          <w:szCs w:val="18"/>
        </w:rPr>
      </w:pPr>
      <w:bookmarkStart w:id="371" w:name="_Toc178350617"/>
      <w:bookmarkStart w:id="372" w:name="_Toc178612142"/>
      <w:bookmarkStart w:id="373" w:name="_Toc184110768"/>
      <w:bookmarkStart w:id="374" w:name="_Toc241602019"/>
      <w:r w:rsidRPr="00E73A9A">
        <w:rPr>
          <w:b w:val="0"/>
          <w:bCs/>
          <w:color w:val="auto"/>
          <w:sz w:val="20"/>
          <w:szCs w:val="18"/>
        </w:rPr>
        <w:t xml:space="preserve">Աղյուսակ </w:t>
      </w:r>
      <w:r w:rsidRPr="00E73A9A">
        <w:rPr>
          <w:b w:val="0"/>
          <w:bCs/>
          <w:color w:val="auto"/>
          <w:sz w:val="20"/>
          <w:szCs w:val="18"/>
        </w:rPr>
        <w:fldChar w:fldCharType="begin"/>
      </w:r>
      <w:r w:rsidRPr="00E73A9A">
        <w:rPr>
          <w:b w:val="0"/>
          <w:bCs/>
          <w:color w:val="auto"/>
          <w:sz w:val="20"/>
          <w:szCs w:val="18"/>
        </w:rPr>
        <w:instrText xml:space="preserve"> SEQ Աղյուսակ \* ARABIC </w:instrText>
      </w:r>
      <w:r w:rsidRPr="00E73A9A">
        <w:rPr>
          <w:b w:val="0"/>
          <w:bCs/>
          <w:color w:val="auto"/>
          <w:sz w:val="20"/>
          <w:szCs w:val="18"/>
        </w:rPr>
        <w:fldChar w:fldCharType="separate"/>
      </w:r>
      <w:r w:rsidR="00E46048">
        <w:rPr>
          <w:b w:val="0"/>
          <w:bCs/>
          <w:noProof/>
          <w:color w:val="auto"/>
          <w:sz w:val="20"/>
          <w:szCs w:val="18"/>
        </w:rPr>
        <w:t>6</w:t>
      </w:r>
      <w:r w:rsidRPr="00E73A9A">
        <w:rPr>
          <w:b w:val="0"/>
          <w:bCs/>
          <w:color w:val="auto"/>
          <w:sz w:val="20"/>
          <w:szCs w:val="18"/>
        </w:rPr>
        <w:fldChar w:fldCharType="end"/>
      </w:r>
      <w:r w:rsidRPr="00E73A9A">
        <w:rPr>
          <w:b w:val="0"/>
          <w:bCs/>
          <w:color w:val="auto"/>
          <w:sz w:val="20"/>
          <w:szCs w:val="18"/>
        </w:rPr>
        <w:t>. 2023-2029թթ. փաստացի/կանխատեսումային պաշտոնական դրամաշնորհները, մլրդ դրամ</w:t>
      </w:r>
      <w:r w:rsidRPr="00E73A9A">
        <w:rPr>
          <w:b w:val="0"/>
          <w:bCs/>
          <w:color w:val="auto"/>
          <w:sz w:val="20"/>
          <w:szCs w:val="18"/>
        </w:rPr>
        <w:softHyphen/>
      </w:r>
      <w:bookmarkEnd w:id="371"/>
      <w:bookmarkEnd w:id="372"/>
      <w:bookmarkEnd w:id="373"/>
      <w:bookmarkEnd w:id="374"/>
    </w:p>
    <w:tbl>
      <w:tblPr>
        <w:tblW w:w="5000" w:type="pct"/>
        <w:jc w:val="center"/>
        <w:tblBorders>
          <w:top w:val="single" w:sz="8" w:space="0" w:color="E1E1E3"/>
          <w:left w:val="single" w:sz="8" w:space="0" w:color="E1E1E3"/>
          <w:bottom w:val="single" w:sz="8" w:space="0" w:color="E1E1E3"/>
          <w:right w:val="single" w:sz="8" w:space="0" w:color="E1E1E3"/>
          <w:insideH w:val="single" w:sz="8" w:space="0" w:color="E1E1E3"/>
          <w:insideV w:val="single" w:sz="8" w:space="0" w:color="E1E1E3"/>
        </w:tblBorders>
        <w:tblLook w:val="04A0" w:firstRow="1" w:lastRow="0" w:firstColumn="1" w:lastColumn="0" w:noHBand="0" w:noVBand="1"/>
      </w:tblPr>
      <w:tblGrid>
        <w:gridCol w:w="2410"/>
        <w:gridCol w:w="1138"/>
        <w:gridCol w:w="1138"/>
        <w:gridCol w:w="1136"/>
        <w:gridCol w:w="1138"/>
        <w:gridCol w:w="1138"/>
        <w:gridCol w:w="1136"/>
        <w:gridCol w:w="1092"/>
      </w:tblGrid>
      <w:tr w:rsidR="004C0C21" w:rsidRPr="000232DD" w14:paraId="1FF090DE" w14:textId="77777777" w:rsidTr="0052459E">
        <w:trPr>
          <w:trHeight w:val="365"/>
          <w:jc w:val="center"/>
        </w:trPr>
        <w:tc>
          <w:tcPr>
            <w:tcW w:w="1167" w:type="pct"/>
            <w:vMerge w:val="restart"/>
            <w:shd w:val="clear" w:color="auto" w:fill="DAE9F7" w:themeFill="text2" w:themeFillTint="1A"/>
            <w:vAlign w:val="center"/>
            <w:hideMark/>
          </w:tcPr>
          <w:p w14:paraId="4A93C1FE" w14:textId="77777777" w:rsidR="00B43595" w:rsidRPr="000232DD" w:rsidRDefault="00B43595" w:rsidP="00082769">
            <w:pPr>
              <w:tabs>
                <w:tab w:val="left" w:pos="4380"/>
              </w:tabs>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Պաշտոնական դրամաշնորհներ</w:t>
            </w:r>
          </w:p>
        </w:tc>
        <w:tc>
          <w:tcPr>
            <w:tcW w:w="1652" w:type="pct"/>
            <w:gridSpan w:val="3"/>
            <w:shd w:val="clear" w:color="auto" w:fill="DAE9F7" w:themeFill="text2" w:themeFillTint="1A"/>
            <w:noWrap/>
            <w:vAlign w:val="center"/>
            <w:hideMark/>
          </w:tcPr>
          <w:p w14:paraId="21860BE9"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Փաստ</w:t>
            </w:r>
          </w:p>
        </w:tc>
        <w:tc>
          <w:tcPr>
            <w:tcW w:w="551" w:type="pct"/>
            <w:shd w:val="clear" w:color="auto" w:fill="DAE9F7" w:themeFill="text2" w:themeFillTint="1A"/>
            <w:noWrap/>
            <w:vAlign w:val="center"/>
            <w:hideMark/>
          </w:tcPr>
          <w:p w14:paraId="2E83ACEE" w14:textId="77777777" w:rsidR="00B43595" w:rsidRPr="000232DD" w:rsidRDefault="00B43595" w:rsidP="00082769">
            <w:pPr>
              <w:tabs>
                <w:tab w:val="left" w:pos="486"/>
              </w:tabs>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Բյուջե</w:t>
            </w:r>
          </w:p>
        </w:tc>
        <w:tc>
          <w:tcPr>
            <w:tcW w:w="551" w:type="pct"/>
            <w:shd w:val="clear" w:color="auto" w:fill="DAE9F7" w:themeFill="text2" w:themeFillTint="1A"/>
            <w:vAlign w:val="center"/>
            <w:hideMark/>
          </w:tcPr>
          <w:p w14:paraId="0C8E04A6"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Ծրագիր</w:t>
            </w:r>
          </w:p>
        </w:tc>
        <w:tc>
          <w:tcPr>
            <w:tcW w:w="550" w:type="pct"/>
            <w:shd w:val="clear" w:color="auto" w:fill="DAE9F7" w:themeFill="text2" w:themeFillTint="1A"/>
          </w:tcPr>
          <w:p w14:paraId="3F551425"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Ծրագիր</w:t>
            </w:r>
          </w:p>
        </w:tc>
        <w:tc>
          <w:tcPr>
            <w:tcW w:w="529" w:type="pct"/>
            <w:shd w:val="clear" w:color="auto" w:fill="DAE9F7" w:themeFill="text2" w:themeFillTint="1A"/>
          </w:tcPr>
          <w:p w14:paraId="3DF29FFD"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Ծրագիր</w:t>
            </w:r>
          </w:p>
        </w:tc>
      </w:tr>
      <w:tr w:rsidR="004C0C21" w:rsidRPr="000232DD" w14:paraId="62213796" w14:textId="77777777" w:rsidTr="0052459E">
        <w:trPr>
          <w:trHeight w:val="365"/>
          <w:jc w:val="center"/>
        </w:trPr>
        <w:tc>
          <w:tcPr>
            <w:tcW w:w="1167" w:type="pct"/>
            <w:vMerge/>
            <w:shd w:val="clear" w:color="auto" w:fill="8EAADB"/>
            <w:vAlign w:val="center"/>
            <w:hideMark/>
          </w:tcPr>
          <w:p w14:paraId="6AF253F6" w14:textId="77777777" w:rsidR="00B43595" w:rsidRPr="000232DD" w:rsidRDefault="00B43595" w:rsidP="00082769">
            <w:pPr>
              <w:tabs>
                <w:tab w:val="left" w:pos="4380"/>
              </w:tabs>
              <w:ind w:right="-22"/>
              <w:jc w:val="center"/>
              <w:rPr>
                <w:rFonts w:ascii="GHEA Grapalat" w:eastAsia="Times New Roman" w:hAnsi="GHEA Grapalat" w:cs="Times New Roman"/>
                <w:b/>
                <w:color w:val="auto"/>
                <w:sz w:val="16"/>
                <w:szCs w:val="16"/>
              </w:rPr>
            </w:pPr>
          </w:p>
        </w:tc>
        <w:tc>
          <w:tcPr>
            <w:tcW w:w="551" w:type="pct"/>
            <w:shd w:val="clear" w:color="auto" w:fill="DAE9F7" w:themeFill="text2" w:themeFillTint="1A"/>
            <w:noWrap/>
            <w:vAlign w:val="center"/>
            <w:hideMark/>
          </w:tcPr>
          <w:p w14:paraId="6D8BF0DC"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2023</w:t>
            </w:r>
          </w:p>
        </w:tc>
        <w:tc>
          <w:tcPr>
            <w:tcW w:w="551" w:type="pct"/>
            <w:shd w:val="clear" w:color="auto" w:fill="DAE9F7" w:themeFill="text2" w:themeFillTint="1A"/>
            <w:noWrap/>
            <w:vAlign w:val="center"/>
            <w:hideMark/>
          </w:tcPr>
          <w:p w14:paraId="2CA428BA"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2024</w:t>
            </w:r>
          </w:p>
        </w:tc>
        <w:tc>
          <w:tcPr>
            <w:tcW w:w="550" w:type="pct"/>
            <w:shd w:val="clear" w:color="auto" w:fill="DAE9F7" w:themeFill="text2" w:themeFillTint="1A"/>
            <w:noWrap/>
            <w:vAlign w:val="center"/>
            <w:hideMark/>
          </w:tcPr>
          <w:p w14:paraId="30BB2457"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2025</w:t>
            </w:r>
          </w:p>
        </w:tc>
        <w:tc>
          <w:tcPr>
            <w:tcW w:w="551" w:type="pct"/>
            <w:shd w:val="clear" w:color="auto" w:fill="DAE9F7" w:themeFill="text2" w:themeFillTint="1A"/>
            <w:noWrap/>
            <w:vAlign w:val="center"/>
            <w:hideMark/>
          </w:tcPr>
          <w:p w14:paraId="166DDCFF"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2026</w:t>
            </w:r>
          </w:p>
        </w:tc>
        <w:tc>
          <w:tcPr>
            <w:tcW w:w="551" w:type="pct"/>
            <w:shd w:val="clear" w:color="auto" w:fill="DAE9F7" w:themeFill="text2" w:themeFillTint="1A"/>
            <w:vAlign w:val="center"/>
            <w:hideMark/>
          </w:tcPr>
          <w:p w14:paraId="0FC3EFBE"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2027</w:t>
            </w:r>
          </w:p>
        </w:tc>
        <w:tc>
          <w:tcPr>
            <w:tcW w:w="550" w:type="pct"/>
            <w:shd w:val="clear" w:color="auto" w:fill="DAE9F7" w:themeFill="text2" w:themeFillTint="1A"/>
            <w:vAlign w:val="center"/>
          </w:tcPr>
          <w:p w14:paraId="6AD0FBFA"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2028</w:t>
            </w:r>
          </w:p>
        </w:tc>
        <w:tc>
          <w:tcPr>
            <w:tcW w:w="529" w:type="pct"/>
            <w:shd w:val="clear" w:color="auto" w:fill="DAE9F7" w:themeFill="text2" w:themeFillTint="1A"/>
            <w:vAlign w:val="center"/>
          </w:tcPr>
          <w:p w14:paraId="6E5F893F"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2029</w:t>
            </w:r>
          </w:p>
        </w:tc>
      </w:tr>
      <w:tr w:rsidR="004C0C21" w:rsidRPr="000232DD" w14:paraId="39394537" w14:textId="77777777" w:rsidTr="00B43595">
        <w:trPr>
          <w:trHeight w:val="365"/>
          <w:jc w:val="center"/>
        </w:trPr>
        <w:tc>
          <w:tcPr>
            <w:tcW w:w="1167" w:type="pct"/>
            <w:shd w:val="clear" w:color="auto" w:fill="auto"/>
            <w:vAlign w:val="center"/>
            <w:hideMark/>
          </w:tcPr>
          <w:p w14:paraId="2F5E5F84" w14:textId="77777777" w:rsidR="00B43595" w:rsidRPr="000232DD" w:rsidRDefault="00B43595" w:rsidP="00082769">
            <w:pPr>
              <w:tabs>
                <w:tab w:val="left" w:pos="4380"/>
              </w:tabs>
              <w:ind w:right="-22"/>
              <w:jc w:val="both"/>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Ընդամենը, այդ թվում՝</w:t>
            </w:r>
          </w:p>
        </w:tc>
        <w:tc>
          <w:tcPr>
            <w:tcW w:w="551" w:type="pct"/>
            <w:shd w:val="clear" w:color="auto" w:fill="auto"/>
            <w:noWrap/>
            <w:vAlign w:val="center"/>
            <w:hideMark/>
          </w:tcPr>
          <w:p w14:paraId="5283259E"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13.1</w:t>
            </w:r>
          </w:p>
        </w:tc>
        <w:tc>
          <w:tcPr>
            <w:tcW w:w="551" w:type="pct"/>
            <w:shd w:val="clear" w:color="auto" w:fill="auto"/>
            <w:noWrap/>
            <w:vAlign w:val="center"/>
            <w:hideMark/>
          </w:tcPr>
          <w:p w14:paraId="0C46F000"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26.7</w:t>
            </w:r>
          </w:p>
        </w:tc>
        <w:tc>
          <w:tcPr>
            <w:tcW w:w="550" w:type="pct"/>
            <w:shd w:val="clear" w:color="auto" w:fill="auto"/>
            <w:noWrap/>
            <w:vAlign w:val="center"/>
            <w:hideMark/>
          </w:tcPr>
          <w:p w14:paraId="1871DC10"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10.6</w:t>
            </w:r>
          </w:p>
        </w:tc>
        <w:tc>
          <w:tcPr>
            <w:tcW w:w="551" w:type="pct"/>
            <w:shd w:val="clear" w:color="auto" w:fill="auto"/>
            <w:vAlign w:val="center"/>
            <w:hideMark/>
          </w:tcPr>
          <w:p w14:paraId="6313FDCB"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19.7</w:t>
            </w:r>
          </w:p>
        </w:tc>
        <w:tc>
          <w:tcPr>
            <w:tcW w:w="551" w:type="pct"/>
            <w:shd w:val="clear" w:color="auto" w:fill="auto"/>
            <w:vAlign w:val="center"/>
          </w:tcPr>
          <w:p w14:paraId="10FC467E" w14:textId="336F43F7" w:rsidR="00B43595" w:rsidRPr="000232DD" w:rsidRDefault="003A3FFA"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14,2</w:t>
            </w:r>
          </w:p>
        </w:tc>
        <w:tc>
          <w:tcPr>
            <w:tcW w:w="550" w:type="pct"/>
            <w:vAlign w:val="center"/>
          </w:tcPr>
          <w:p w14:paraId="3928F8E9" w14:textId="681708BE"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w:t>
            </w:r>
            <w:r w:rsidR="003A3FFA" w:rsidRPr="000232DD">
              <w:rPr>
                <w:rFonts w:ascii="GHEA Grapalat" w:eastAsia="Times New Roman" w:hAnsi="GHEA Grapalat" w:cs="Calibri"/>
                <w:bCs/>
                <w:color w:val="auto"/>
                <w:sz w:val="16"/>
                <w:szCs w:val="16"/>
              </w:rPr>
              <w:t>8</w:t>
            </w:r>
            <w:r w:rsidRPr="000232DD">
              <w:rPr>
                <w:rFonts w:ascii="GHEA Grapalat" w:eastAsia="Times New Roman" w:hAnsi="GHEA Grapalat" w:cs="Calibri"/>
                <w:bCs/>
                <w:color w:val="auto"/>
                <w:sz w:val="16"/>
                <w:szCs w:val="16"/>
              </w:rPr>
              <w:t>.9</w:t>
            </w:r>
          </w:p>
        </w:tc>
        <w:tc>
          <w:tcPr>
            <w:tcW w:w="529" w:type="pct"/>
            <w:vAlign w:val="center"/>
          </w:tcPr>
          <w:p w14:paraId="73E1D1C4" w14:textId="5093285A"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17.</w:t>
            </w:r>
            <w:r w:rsidR="003A3FFA" w:rsidRPr="000232DD">
              <w:rPr>
                <w:rFonts w:ascii="GHEA Grapalat" w:eastAsia="Times New Roman" w:hAnsi="GHEA Grapalat" w:cs="Calibri"/>
                <w:bCs/>
                <w:color w:val="auto"/>
                <w:sz w:val="16"/>
                <w:szCs w:val="16"/>
              </w:rPr>
              <w:t>2</w:t>
            </w:r>
          </w:p>
        </w:tc>
      </w:tr>
      <w:tr w:rsidR="004C0C21" w:rsidRPr="000232DD" w14:paraId="0C2B02D3" w14:textId="77777777" w:rsidTr="00B43595">
        <w:trPr>
          <w:trHeight w:val="365"/>
          <w:jc w:val="center"/>
        </w:trPr>
        <w:tc>
          <w:tcPr>
            <w:tcW w:w="1167" w:type="pct"/>
            <w:shd w:val="clear" w:color="auto" w:fill="auto"/>
            <w:vAlign w:val="center"/>
            <w:hideMark/>
          </w:tcPr>
          <w:p w14:paraId="65210FF1" w14:textId="7243AF23" w:rsidR="00B43595" w:rsidRPr="000232DD" w:rsidRDefault="00B43595" w:rsidP="00082769">
            <w:pPr>
              <w:tabs>
                <w:tab w:val="left" w:pos="4380"/>
              </w:tabs>
              <w:ind w:right="-22"/>
              <w:jc w:val="both"/>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 xml:space="preserve">ԵՄ </w:t>
            </w:r>
            <w:r w:rsidR="003A3FFA" w:rsidRPr="000232DD">
              <w:rPr>
                <w:rFonts w:ascii="GHEA Grapalat" w:eastAsia="Times New Roman" w:hAnsi="GHEA Grapalat" w:cs="Times New Roman"/>
                <w:color w:val="auto"/>
                <w:sz w:val="16"/>
                <w:szCs w:val="16"/>
              </w:rPr>
              <w:t>աջակցություն</w:t>
            </w:r>
          </w:p>
        </w:tc>
        <w:tc>
          <w:tcPr>
            <w:tcW w:w="551" w:type="pct"/>
            <w:shd w:val="clear" w:color="auto" w:fill="auto"/>
            <w:noWrap/>
            <w:vAlign w:val="center"/>
            <w:hideMark/>
          </w:tcPr>
          <w:p w14:paraId="406D7CE6"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4.2</w:t>
            </w:r>
          </w:p>
        </w:tc>
        <w:tc>
          <w:tcPr>
            <w:tcW w:w="551" w:type="pct"/>
            <w:shd w:val="clear" w:color="auto" w:fill="auto"/>
            <w:noWrap/>
            <w:vAlign w:val="center"/>
            <w:hideMark/>
          </w:tcPr>
          <w:p w14:paraId="435D500E"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21.1</w:t>
            </w:r>
          </w:p>
        </w:tc>
        <w:tc>
          <w:tcPr>
            <w:tcW w:w="550" w:type="pct"/>
            <w:shd w:val="clear" w:color="auto" w:fill="auto"/>
            <w:noWrap/>
            <w:vAlign w:val="center"/>
            <w:hideMark/>
          </w:tcPr>
          <w:p w14:paraId="6DD51461"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5.1</w:t>
            </w:r>
          </w:p>
        </w:tc>
        <w:tc>
          <w:tcPr>
            <w:tcW w:w="551" w:type="pct"/>
            <w:shd w:val="clear" w:color="auto" w:fill="auto"/>
            <w:vAlign w:val="center"/>
            <w:hideMark/>
          </w:tcPr>
          <w:p w14:paraId="227BD1A4"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0.9</w:t>
            </w:r>
          </w:p>
        </w:tc>
        <w:tc>
          <w:tcPr>
            <w:tcW w:w="551" w:type="pct"/>
            <w:shd w:val="clear" w:color="auto" w:fill="auto"/>
            <w:vAlign w:val="center"/>
          </w:tcPr>
          <w:p w14:paraId="0326328F" w14:textId="0453E1C6"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w:t>
            </w:r>
            <w:r w:rsidR="003A3FFA" w:rsidRPr="000232DD">
              <w:rPr>
                <w:rFonts w:ascii="GHEA Grapalat" w:eastAsia="Times New Roman" w:hAnsi="GHEA Grapalat" w:cs="Calibri"/>
                <w:bCs/>
                <w:color w:val="auto"/>
                <w:sz w:val="16"/>
                <w:szCs w:val="16"/>
              </w:rPr>
              <w:t>5</w:t>
            </w:r>
          </w:p>
        </w:tc>
        <w:tc>
          <w:tcPr>
            <w:tcW w:w="550" w:type="pct"/>
            <w:vAlign w:val="center"/>
          </w:tcPr>
          <w:p w14:paraId="6B6E5158" w14:textId="6A38070F"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22.</w:t>
            </w:r>
            <w:r w:rsidR="003A3FFA" w:rsidRPr="000232DD">
              <w:rPr>
                <w:rFonts w:ascii="GHEA Grapalat" w:eastAsia="Times New Roman" w:hAnsi="GHEA Grapalat" w:cs="Calibri"/>
                <w:bCs/>
                <w:color w:val="auto"/>
                <w:sz w:val="16"/>
                <w:szCs w:val="16"/>
              </w:rPr>
              <w:t>4</w:t>
            </w:r>
          </w:p>
        </w:tc>
        <w:tc>
          <w:tcPr>
            <w:tcW w:w="529" w:type="pct"/>
            <w:vAlign w:val="center"/>
          </w:tcPr>
          <w:p w14:paraId="02337C0F"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10.1</w:t>
            </w:r>
          </w:p>
        </w:tc>
      </w:tr>
      <w:tr w:rsidR="00B43595" w:rsidRPr="000232DD" w14:paraId="799D010A" w14:textId="77777777" w:rsidTr="00B43595">
        <w:trPr>
          <w:trHeight w:val="365"/>
          <w:jc w:val="center"/>
        </w:trPr>
        <w:tc>
          <w:tcPr>
            <w:tcW w:w="1167" w:type="pct"/>
            <w:shd w:val="clear" w:color="auto" w:fill="auto"/>
            <w:vAlign w:val="center"/>
            <w:hideMark/>
          </w:tcPr>
          <w:p w14:paraId="6918150B" w14:textId="77777777" w:rsidR="00B43595" w:rsidRPr="000232DD" w:rsidRDefault="00B43595" w:rsidP="00082769">
            <w:pPr>
              <w:tabs>
                <w:tab w:val="left" w:pos="4380"/>
              </w:tabs>
              <w:ind w:right="-22"/>
              <w:jc w:val="both"/>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Այլ նպատակային դրամաշնորհներ</w:t>
            </w:r>
          </w:p>
        </w:tc>
        <w:tc>
          <w:tcPr>
            <w:tcW w:w="551" w:type="pct"/>
            <w:shd w:val="clear" w:color="auto" w:fill="auto"/>
            <w:noWrap/>
            <w:vAlign w:val="center"/>
            <w:hideMark/>
          </w:tcPr>
          <w:p w14:paraId="5BEC4743"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8.9</w:t>
            </w:r>
          </w:p>
        </w:tc>
        <w:tc>
          <w:tcPr>
            <w:tcW w:w="551" w:type="pct"/>
            <w:shd w:val="clear" w:color="auto" w:fill="auto"/>
            <w:noWrap/>
            <w:vAlign w:val="center"/>
            <w:hideMark/>
          </w:tcPr>
          <w:p w14:paraId="1276C510"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5.6</w:t>
            </w:r>
          </w:p>
        </w:tc>
        <w:tc>
          <w:tcPr>
            <w:tcW w:w="550" w:type="pct"/>
            <w:shd w:val="clear" w:color="auto" w:fill="auto"/>
            <w:noWrap/>
            <w:vAlign w:val="center"/>
            <w:hideMark/>
          </w:tcPr>
          <w:p w14:paraId="7172A39E"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5.5</w:t>
            </w:r>
          </w:p>
        </w:tc>
        <w:tc>
          <w:tcPr>
            <w:tcW w:w="551" w:type="pct"/>
            <w:shd w:val="clear" w:color="auto" w:fill="auto"/>
            <w:vAlign w:val="center"/>
            <w:hideMark/>
          </w:tcPr>
          <w:p w14:paraId="55FBD610" w14:textId="77777777"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18.9</w:t>
            </w:r>
          </w:p>
        </w:tc>
        <w:tc>
          <w:tcPr>
            <w:tcW w:w="551" w:type="pct"/>
            <w:shd w:val="clear" w:color="auto" w:fill="auto"/>
            <w:vAlign w:val="center"/>
          </w:tcPr>
          <w:p w14:paraId="395012C8" w14:textId="1AEB1211" w:rsidR="00B43595" w:rsidRPr="000232DD" w:rsidRDefault="00B43595"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12.</w:t>
            </w:r>
            <w:r w:rsidR="003A3FFA" w:rsidRPr="000232DD">
              <w:rPr>
                <w:rFonts w:ascii="GHEA Grapalat" w:eastAsia="Times New Roman" w:hAnsi="GHEA Grapalat" w:cs="Calibri"/>
                <w:bCs/>
                <w:color w:val="auto"/>
                <w:sz w:val="16"/>
                <w:szCs w:val="16"/>
              </w:rPr>
              <w:t>7</w:t>
            </w:r>
          </w:p>
        </w:tc>
        <w:tc>
          <w:tcPr>
            <w:tcW w:w="550" w:type="pct"/>
            <w:vAlign w:val="center"/>
          </w:tcPr>
          <w:p w14:paraId="4FED5CDF" w14:textId="15BB82FF" w:rsidR="00B43595" w:rsidRPr="000232DD" w:rsidRDefault="003A3FFA"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6</w:t>
            </w:r>
            <w:r w:rsidR="00775552">
              <w:rPr>
                <w:rFonts w:ascii="GHEA Grapalat" w:eastAsia="Times New Roman" w:hAnsi="GHEA Grapalat" w:cs="Calibri"/>
                <w:bCs/>
                <w:color w:val="auto"/>
                <w:sz w:val="16"/>
                <w:szCs w:val="16"/>
              </w:rPr>
              <w:t>.</w:t>
            </w:r>
            <w:r w:rsidRPr="000232DD">
              <w:rPr>
                <w:rFonts w:ascii="GHEA Grapalat" w:eastAsia="Times New Roman" w:hAnsi="GHEA Grapalat" w:cs="Calibri"/>
                <w:bCs/>
                <w:color w:val="auto"/>
                <w:sz w:val="16"/>
                <w:szCs w:val="16"/>
              </w:rPr>
              <w:t>5</w:t>
            </w:r>
          </w:p>
        </w:tc>
        <w:tc>
          <w:tcPr>
            <w:tcW w:w="529" w:type="pct"/>
            <w:vAlign w:val="center"/>
          </w:tcPr>
          <w:p w14:paraId="6010A529" w14:textId="6A60F4E2" w:rsidR="00B43595" w:rsidRPr="000232DD" w:rsidRDefault="003A3FFA" w:rsidP="00082769">
            <w:pPr>
              <w:ind w:right="-22"/>
              <w:jc w:val="center"/>
              <w:rPr>
                <w:rFonts w:ascii="GHEA Grapalat" w:eastAsia="Times New Roman" w:hAnsi="GHEA Grapalat" w:cs="Calibri"/>
                <w:bCs/>
                <w:color w:val="auto"/>
                <w:sz w:val="16"/>
                <w:szCs w:val="16"/>
              </w:rPr>
            </w:pPr>
            <w:r w:rsidRPr="000232DD">
              <w:rPr>
                <w:rFonts w:ascii="GHEA Grapalat" w:eastAsia="Times New Roman" w:hAnsi="GHEA Grapalat" w:cs="Calibri"/>
                <w:bCs/>
                <w:color w:val="auto"/>
                <w:sz w:val="16"/>
                <w:szCs w:val="16"/>
              </w:rPr>
              <w:t>7</w:t>
            </w:r>
            <w:r w:rsidR="00775552">
              <w:rPr>
                <w:rFonts w:ascii="GHEA Grapalat" w:eastAsia="Times New Roman" w:hAnsi="GHEA Grapalat" w:cs="Calibri"/>
                <w:bCs/>
                <w:color w:val="auto"/>
                <w:sz w:val="16"/>
                <w:szCs w:val="16"/>
              </w:rPr>
              <w:t>.</w:t>
            </w:r>
            <w:r w:rsidRPr="000232DD">
              <w:rPr>
                <w:rFonts w:ascii="GHEA Grapalat" w:eastAsia="Times New Roman" w:hAnsi="GHEA Grapalat" w:cs="Calibri"/>
                <w:bCs/>
                <w:color w:val="auto"/>
                <w:sz w:val="16"/>
                <w:szCs w:val="16"/>
              </w:rPr>
              <w:t>1</w:t>
            </w:r>
          </w:p>
        </w:tc>
      </w:tr>
    </w:tbl>
    <w:p w14:paraId="173DD319" w14:textId="77777777" w:rsidR="00B43595" w:rsidRPr="000232DD" w:rsidRDefault="00B43595" w:rsidP="00082769">
      <w:pPr>
        <w:ind w:right="-22"/>
        <w:jc w:val="both"/>
        <w:rPr>
          <w:rFonts w:ascii="GHEA Grapalat" w:eastAsia="Times New Roman" w:hAnsi="GHEA Grapalat" w:cs="Times New Roman"/>
          <w:color w:val="auto"/>
          <w:lang w:val="hy-AM" w:eastAsia="ru-RU"/>
        </w:rPr>
      </w:pPr>
    </w:p>
    <w:p w14:paraId="39D8204D" w14:textId="5DD6F3A0" w:rsidR="00B43595" w:rsidRPr="000232DD" w:rsidRDefault="00B43595"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2027 թվականին Եվրոպական հարևանության ՀՀ-ԵՄ գործո</w:t>
      </w:r>
      <w:r w:rsidRPr="000232DD">
        <w:rPr>
          <w:rFonts w:ascii="GHEA Grapalat" w:eastAsia="Times New Roman" w:hAnsi="GHEA Grapalat" w:cs="Times New Roman"/>
          <w:color w:val="auto"/>
          <w:szCs w:val="20"/>
          <w:lang w:val="hy-AM"/>
        </w:rPr>
        <w:softHyphen/>
        <w:t>ղություն</w:t>
      </w:r>
      <w:r w:rsidRPr="000232DD">
        <w:rPr>
          <w:rFonts w:ascii="GHEA Grapalat" w:eastAsia="Times New Roman" w:hAnsi="GHEA Grapalat" w:cs="Times New Roman"/>
          <w:color w:val="auto"/>
          <w:szCs w:val="20"/>
          <w:lang w:val="hy-AM"/>
        </w:rPr>
        <w:softHyphen/>
        <w:t>ների ծրագրի շրջանակներում նախատեսվում է դրամաշնորհների ստացում «Բազմաոլորտ բյուջետային աջակցության» ծրագրի շրջանակում՝ 3.42 մլն եվրո կամ 1.</w:t>
      </w:r>
      <w:r w:rsidR="00FA08BF" w:rsidRPr="000232DD">
        <w:rPr>
          <w:rFonts w:ascii="GHEA Grapalat" w:eastAsia="Times New Roman" w:hAnsi="GHEA Grapalat" w:cs="Times New Roman"/>
          <w:color w:val="auto"/>
          <w:szCs w:val="20"/>
          <w:lang w:val="hy-AM"/>
        </w:rPr>
        <w:t>5</w:t>
      </w:r>
      <w:r w:rsidRPr="000232DD">
        <w:rPr>
          <w:rFonts w:ascii="GHEA Grapalat" w:eastAsia="Times New Roman" w:hAnsi="GHEA Grapalat" w:cs="Times New Roman"/>
          <w:color w:val="auto"/>
          <w:szCs w:val="20"/>
          <w:lang w:val="hy-AM"/>
        </w:rPr>
        <w:t xml:space="preserve"> մլրդ դրամ:</w:t>
      </w:r>
    </w:p>
    <w:p w14:paraId="6CD16B4F" w14:textId="1883D81E" w:rsidR="00B43595" w:rsidRPr="002A5C86" w:rsidRDefault="00B43595" w:rsidP="00082769">
      <w:pPr>
        <w:pStyle w:val="TOC4"/>
        <w:ind w:right="-22"/>
        <w:rPr>
          <w:rFonts w:eastAsia="Times New Roman"/>
          <w:color w:val="ADADAD" w:themeColor="background2" w:themeShade="BF"/>
          <w:lang w:val="hy-AM"/>
        </w:rPr>
      </w:pPr>
      <w:bookmarkStart w:id="375" w:name="_Toc178356585"/>
      <w:r w:rsidRPr="002A5C86">
        <w:rPr>
          <w:rFonts w:eastAsia="Times New Roman"/>
          <w:color w:val="ADADAD" w:themeColor="background2" w:themeShade="BF"/>
          <w:lang w:val="hy-AM"/>
        </w:rPr>
        <w:t>ԱՅԼ ԵԿԱՄՈՒՏՆԵՐ</w:t>
      </w:r>
      <w:bookmarkEnd w:id="370"/>
      <w:bookmarkEnd w:id="375"/>
    </w:p>
    <w:p w14:paraId="390EA5A5" w14:textId="77777777" w:rsidR="00B43595" w:rsidRPr="000232DD" w:rsidRDefault="00B43595" w:rsidP="00082769">
      <w:pPr>
        <w:pStyle w:val="BodyText1"/>
        <w:ind w:left="0" w:right="-22"/>
        <w:rPr>
          <w:color w:val="auto"/>
          <w:lang w:val="hy-AM"/>
        </w:rPr>
      </w:pPr>
      <w:r w:rsidRPr="000232DD">
        <w:rPr>
          <w:rFonts w:eastAsia="Times New Roman" w:cs="Times New Roman"/>
          <w:color w:val="auto"/>
          <w:lang w:val="hy-AM"/>
        </w:rPr>
        <w:t>Այլ եկամուտները ներառում են բանկերում և ֆինանսավարկային հաս</w:t>
      </w:r>
      <w:r w:rsidRPr="000232DD">
        <w:rPr>
          <w:rFonts w:eastAsia="Times New Roman" w:cs="Times New Roman"/>
          <w:color w:val="auto"/>
          <w:lang w:val="hy-AM"/>
        </w:rPr>
        <w:softHyphen/>
        <w:t>տա</w:t>
      </w:r>
      <w:r w:rsidRPr="000232DD">
        <w:rPr>
          <w:rFonts w:eastAsia="Times New Roman" w:cs="Times New Roman"/>
          <w:color w:val="auto"/>
          <w:lang w:val="hy-AM"/>
        </w:rPr>
        <w:softHyphen/>
        <w:t>տու</w:t>
      </w:r>
      <w:r w:rsidRPr="000232DD">
        <w:rPr>
          <w:rFonts w:eastAsia="Times New Roman" w:cs="Times New Roman"/>
          <w:color w:val="auto"/>
          <w:lang w:val="hy-AM"/>
        </w:rPr>
        <w:softHyphen/>
        <w:t>թյուն</w:t>
      </w:r>
      <w:r w:rsidRPr="000232DD">
        <w:rPr>
          <w:rFonts w:eastAsia="Times New Roman" w:cs="Times New Roman"/>
          <w:color w:val="auto"/>
          <w:lang w:val="hy-AM"/>
        </w:rPr>
        <w:softHyphen/>
        <w:t>նե</w:t>
      </w:r>
      <w:r w:rsidRPr="000232DD">
        <w:rPr>
          <w:rFonts w:eastAsia="Times New Roman" w:cs="Times New Roman"/>
          <w:color w:val="auto"/>
          <w:lang w:val="hy-AM"/>
        </w:rPr>
        <w:softHyphen/>
        <w:t>րում պե</w:t>
      </w:r>
      <w:r w:rsidRPr="000232DD">
        <w:rPr>
          <w:rFonts w:eastAsia="Times New Roman" w:cs="Times New Roman"/>
          <w:color w:val="auto"/>
          <w:lang w:val="hy-AM"/>
        </w:rPr>
        <w:softHyphen/>
        <w:t>տա</w:t>
      </w:r>
      <w:r w:rsidRPr="000232DD">
        <w:rPr>
          <w:rFonts w:eastAsia="Times New Roman" w:cs="Times New Roman"/>
          <w:color w:val="auto"/>
          <w:lang w:val="hy-AM"/>
        </w:rPr>
        <w:softHyphen/>
        <w:t xml:space="preserve">կան բյուջեի ժամանակավոր ազատ միջոցների տեղաբաշխումից և դեպոզիտներից </w:t>
      </w:r>
      <w:r w:rsidRPr="000232DD">
        <w:rPr>
          <w:color w:val="auto"/>
          <w:lang w:val="hy-AM"/>
        </w:rPr>
        <w:t>ստաց</w:t>
      </w:r>
      <w:r w:rsidRPr="000232DD">
        <w:rPr>
          <w:color w:val="auto"/>
          <w:lang w:val="hy-AM"/>
        </w:rPr>
        <w:softHyphen/>
      </w:r>
      <w:r w:rsidRPr="000232DD">
        <w:rPr>
          <w:color w:val="auto"/>
          <w:lang w:val="hy-AM"/>
        </w:rPr>
        <w:softHyphen/>
        <w:t>վող տո</w:t>
      </w:r>
      <w:r w:rsidRPr="000232DD">
        <w:rPr>
          <w:color w:val="auto"/>
          <w:lang w:val="hy-AM"/>
        </w:rPr>
        <w:softHyphen/>
        <w:t>կո</w:t>
      </w:r>
      <w:r w:rsidRPr="000232DD">
        <w:rPr>
          <w:color w:val="auto"/>
          <w:lang w:val="hy-AM"/>
        </w:rPr>
        <w:softHyphen/>
        <w:t>սա</w:t>
      </w:r>
      <w:r w:rsidRPr="000232DD">
        <w:rPr>
          <w:color w:val="auto"/>
          <w:lang w:val="hy-AM"/>
        </w:rPr>
        <w:softHyphen/>
        <w:t>վճար</w:t>
      </w:r>
      <w:r w:rsidRPr="000232DD">
        <w:rPr>
          <w:color w:val="auto"/>
          <w:lang w:val="hy-AM"/>
        </w:rPr>
        <w:softHyphen/>
        <w:t>ները, իրավաբանական անձանց կապիտալում կատարված ներդրում</w:t>
      </w:r>
      <w:r w:rsidRPr="000232DD">
        <w:rPr>
          <w:color w:val="auto"/>
          <w:lang w:val="hy-AM"/>
        </w:rPr>
        <w:softHyphen/>
        <w:t>ներից ստաց</w:t>
      </w:r>
      <w:r w:rsidRPr="000232DD">
        <w:rPr>
          <w:color w:val="auto"/>
          <w:lang w:val="hy-AM"/>
        </w:rPr>
        <w:softHyphen/>
      </w:r>
      <w:r w:rsidRPr="000232DD">
        <w:rPr>
          <w:color w:val="auto"/>
          <w:lang w:val="hy-AM"/>
        </w:rPr>
        <w:softHyphen/>
        <w:t>վող շահաբաժինները, պե</w:t>
      </w:r>
      <w:r w:rsidRPr="000232DD">
        <w:rPr>
          <w:color w:val="auto"/>
          <w:lang w:val="hy-AM"/>
        </w:rPr>
        <w:softHyphen/>
        <w:t>տա</w:t>
      </w:r>
      <w:r w:rsidRPr="000232DD">
        <w:rPr>
          <w:color w:val="auto"/>
          <w:lang w:val="hy-AM"/>
        </w:rPr>
        <w:softHyphen/>
        <w:t>կան ձեռնարկությունների գույքի օգտագործման վճար</w:t>
      </w:r>
      <w:r w:rsidRPr="000232DD">
        <w:rPr>
          <w:color w:val="auto"/>
          <w:lang w:val="hy-AM"/>
        </w:rPr>
        <w:softHyphen/>
        <w:t>ները, պետության կողմից տրված վարկերի օգտագործ</w:t>
      </w:r>
      <w:r w:rsidRPr="000232DD">
        <w:rPr>
          <w:color w:val="auto"/>
          <w:lang w:val="hy-AM"/>
        </w:rPr>
        <w:softHyphen/>
        <w:t>ման դի</w:t>
      </w:r>
      <w:r w:rsidRPr="000232DD">
        <w:rPr>
          <w:color w:val="auto"/>
          <w:lang w:val="hy-AM"/>
        </w:rPr>
        <w:softHyphen/>
        <w:t>մաց վճարները (տոկոսավճար</w:t>
      </w:r>
      <w:r w:rsidRPr="000232DD">
        <w:rPr>
          <w:color w:val="auto"/>
          <w:lang w:val="hy-AM"/>
        </w:rPr>
        <w:softHyphen/>
        <w:t>ները), իրա</w:t>
      </w:r>
      <w:r w:rsidRPr="000232DD">
        <w:rPr>
          <w:color w:val="auto"/>
          <w:lang w:val="hy-AM"/>
        </w:rPr>
        <w:softHyphen/>
        <w:t>վա</w:t>
      </w:r>
      <w:r w:rsidRPr="000232DD">
        <w:rPr>
          <w:color w:val="auto"/>
          <w:lang w:val="hy-AM"/>
        </w:rPr>
        <w:softHyphen/>
        <w:t>խախտումների համար գոր</w:t>
      </w:r>
      <w:r w:rsidRPr="000232DD">
        <w:rPr>
          <w:color w:val="auto"/>
          <w:lang w:val="hy-AM"/>
        </w:rPr>
        <w:softHyphen/>
        <w:t>ծա</w:t>
      </w:r>
      <w:r w:rsidRPr="000232DD">
        <w:rPr>
          <w:color w:val="auto"/>
          <w:lang w:val="hy-AM"/>
        </w:rPr>
        <w:softHyphen/>
        <w:t>դիր և դատական մար</w:t>
      </w:r>
      <w:r w:rsidRPr="000232DD">
        <w:rPr>
          <w:color w:val="auto"/>
          <w:lang w:val="hy-AM"/>
        </w:rPr>
        <w:softHyphen/>
      </w:r>
      <w:r w:rsidRPr="000232DD">
        <w:rPr>
          <w:color w:val="auto"/>
          <w:lang w:val="hy-AM"/>
        </w:rPr>
        <w:softHyphen/>
        <w:t>մին</w:t>
      </w:r>
      <w:r w:rsidRPr="000232DD">
        <w:rPr>
          <w:color w:val="auto"/>
          <w:lang w:val="hy-AM"/>
        </w:rPr>
        <w:softHyphen/>
        <w:t>նե</w:t>
      </w:r>
      <w:r w:rsidRPr="000232DD">
        <w:rPr>
          <w:color w:val="auto"/>
          <w:lang w:val="hy-AM"/>
        </w:rPr>
        <w:softHyphen/>
        <w:t>րի կողմից կիրառվող պատժամի</w:t>
      </w:r>
      <w:r w:rsidRPr="000232DD">
        <w:rPr>
          <w:color w:val="auto"/>
          <w:lang w:val="hy-AM"/>
        </w:rPr>
        <w:softHyphen/>
        <w:t>ջոցներից ստացվող մուտքերը, պետական մարմինների կողմից ապրանքների մա</w:t>
      </w:r>
      <w:r w:rsidRPr="000232DD">
        <w:rPr>
          <w:color w:val="auto"/>
          <w:lang w:val="hy-AM"/>
        </w:rPr>
        <w:softHyphen/>
        <w:t>տա</w:t>
      </w:r>
      <w:r w:rsidRPr="000232DD">
        <w:rPr>
          <w:color w:val="auto"/>
          <w:lang w:val="hy-AM"/>
        </w:rPr>
        <w:softHyphen/>
        <w:t>կա</w:t>
      </w:r>
      <w:r w:rsidRPr="000232DD">
        <w:rPr>
          <w:color w:val="auto"/>
          <w:lang w:val="hy-AM"/>
        </w:rPr>
        <w:softHyphen/>
        <w:t>րա</w:t>
      </w:r>
      <w:r w:rsidRPr="000232DD">
        <w:rPr>
          <w:color w:val="auto"/>
          <w:lang w:val="hy-AM"/>
        </w:rPr>
        <w:softHyphen/>
        <w:t>րումից և ծառայությունների մատուցումից մուտքերը և այլ եկա</w:t>
      </w:r>
      <w:r w:rsidRPr="000232DD">
        <w:rPr>
          <w:color w:val="auto"/>
          <w:lang w:val="hy-AM"/>
        </w:rPr>
        <w:softHyphen/>
        <w:t>մուտ</w:t>
      </w:r>
      <w:r w:rsidRPr="000232DD">
        <w:rPr>
          <w:color w:val="auto"/>
          <w:lang w:val="hy-AM"/>
        </w:rPr>
        <w:softHyphen/>
        <w:t>ները:</w:t>
      </w:r>
    </w:p>
    <w:p w14:paraId="01F56CCF" w14:textId="420521F9" w:rsidR="00B43595" w:rsidRPr="000232DD" w:rsidRDefault="00B43595" w:rsidP="00082769">
      <w:pPr>
        <w:pStyle w:val="BodyText1"/>
        <w:ind w:left="0" w:right="-22"/>
        <w:rPr>
          <w:color w:val="auto"/>
          <w:lang w:val="hy-AM"/>
        </w:rPr>
      </w:pPr>
      <w:r w:rsidRPr="000232DD">
        <w:rPr>
          <w:color w:val="auto"/>
          <w:lang w:val="hy-AM"/>
        </w:rPr>
        <w:t>Այլ եկամուտների գծով մուտքերը 2027 թվականի համար ծրագրվել են 1</w:t>
      </w:r>
      <w:r w:rsidR="00E40847">
        <w:rPr>
          <w:color w:val="auto"/>
          <w:lang w:val="hy-AM"/>
        </w:rPr>
        <w:t>26</w:t>
      </w:r>
      <w:r w:rsidRPr="000232DD">
        <w:rPr>
          <w:color w:val="auto"/>
          <w:lang w:val="hy-AM"/>
        </w:rPr>
        <w:t>.</w:t>
      </w:r>
      <w:r w:rsidR="00E40847">
        <w:rPr>
          <w:color w:val="auto"/>
          <w:lang w:val="hy-AM"/>
        </w:rPr>
        <w:t>9</w:t>
      </w:r>
      <w:r w:rsidRPr="000232DD">
        <w:rPr>
          <w:color w:val="auto"/>
          <w:lang w:val="hy-AM"/>
        </w:rPr>
        <w:t xml:space="preserve"> մլրդ դրամ, 2028 թվականին </w:t>
      </w:r>
      <w:r w:rsidR="00E40847">
        <w:rPr>
          <w:color w:val="auto"/>
          <w:lang w:val="hy-AM"/>
        </w:rPr>
        <w:t>123.8</w:t>
      </w:r>
      <w:r w:rsidRPr="000232DD">
        <w:rPr>
          <w:color w:val="auto"/>
          <w:lang w:val="hy-AM"/>
        </w:rPr>
        <w:t xml:space="preserve"> մլրդ դրամ, իսկ 2029 թվականին 1</w:t>
      </w:r>
      <w:r w:rsidR="00E40847">
        <w:rPr>
          <w:color w:val="auto"/>
          <w:lang w:val="hy-AM"/>
        </w:rPr>
        <w:t>2</w:t>
      </w:r>
      <w:r w:rsidRPr="000232DD">
        <w:rPr>
          <w:color w:val="auto"/>
          <w:lang w:val="hy-AM"/>
        </w:rPr>
        <w:t>6.</w:t>
      </w:r>
      <w:r w:rsidR="00E40847">
        <w:rPr>
          <w:color w:val="auto"/>
          <w:lang w:val="hy-AM"/>
        </w:rPr>
        <w:t>3</w:t>
      </w:r>
      <w:r w:rsidRPr="000232DD">
        <w:rPr>
          <w:color w:val="auto"/>
          <w:lang w:val="hy-AM"/>
        </w:rPr>
        <w:t xml:space="preserve"> մլրդ դրամ՝ հաշվի առնելով գանձման համար պատաս</w:t>
      </w:r>
      <w:r w:rsidRPr="000232DD">
        <w:rPr>
          <w:color w:val="auto"/>
          <w:lang w:val="hy-AM"/>
        </w:rPr>
        <w:softHyphen/>
        <w:t>խա</w:t>
      </w:r>
      <w:r w:rsidRPr="000232DD">
        <w:rPr>
          <w:color w:val="auto"/>
          <w:lang w:val="hy-AM"/>
        </w:rPr>
        <w:softHyphen/>
        <w:t>նա</w:t>
      </w:r>
      <w:r w:rsidRPr="000232DD">
        <w:rPr>
          <w:color w:val="auto"/>
          <w:lang w:val="hy-AM"/>
        </w:rPr>
        <w:softHyphen/>
        <w:t>տու պետական կա</w:t>
      </w:r>
      <w:r w:rsidRPr="000232DD">
        <w:rPr>
          <w:color w:val="auto"/>
          <w:lang w:val="hy-AM"/>
        </w:rPr>
        <w:softHyphen/>
        <w:t>ռավարման մարմինների կողմից ՀՀ 2026 թվականի բյուջետային գործ</w:t>
      </w:r>
      <w:r w:rsidRPr="000232DD">
        <w:rPr>
          <w:color w:val="auto"/>
          <w:lang w:val="hy-AM"/>
        </w:rPr>
        <w:softHyphen/>
        <w:t>ըն</w:t>
      </w:r>
      <w:r w:rsidRPr="000232DD">
        <w:rPr>
          <w:color w:val="auto"/>
          <w:lang w:val="hy-AM"/>
        </w:rPr>
        <w:softHyphen/>
      </w:r>
      <w:r w:rsidRPr="000232DD">
        <w:rPr>
          <w:color w:val="auto"/>
          <w:lang w:val="hy-AM"/>
        </w:rPr>
        <w:softHyphen/>
        <w:t>թացի շրջա</w:t>
      </w:r>
      <w:r w:rsidRPr="000232DD">
        <w:rPr>
          <w:color w:val="auto"/>
          <w:lang w:val="hy-AM"/>
        </w:rPr>
        <w:softHyphen/>
      </w:r>
      <w:r w:rsidRPr="000232DD">
        <w:rPr>
          <w:color w:val="auto"/>
          <w:lang w:val="hy-AM"/>
        </w:rPr>
        <w:softHyphen/>
        <w:t>նակում հա</w:t>
      </w:r>
      <w:r w:rsidRPr="000232DD">
        <w:rPr>
          <w:color w:val="auto"/>
          <w:lang w:val="hy-AM"/>
        </w:rPr>
        <w:softHyphen/>
        <w:t>մա</w:t>
      </w:r>
      <w:r w:rsidRPr="000232DD">
        <w:rPr>
          <w:color w:val="auto"/>
          <w:lang w:val="hy-AM"/>
        </w:rPr>
        <w:softHyphen/>
        <w:t>պա</w:t>
      </w:r>
      <w:r w:rsidRPr="000232DD">
        <w:rPr>
          <w:color w:val="auto"/>
          <w:lang w:val="hy-AM"/>
        </w:rPr>
        <w:softHyphen/>
        <w:t>տաս</w:t>
      </w:r>
      <w:r w:rsidRPr="000232DD">
        <w:rPr>
          <w:color w:val="auto"/>
          <w:lang w:val="hy-AM"/>
        </w:rPr>
        <w:softHyphen/>
        <w:t>խան հայտերով ներկայացված կանխատեսումները, կատար</w:t>
      </w:r>
      <w:r w:rsidRPr="000232DD">
        <w:rPr>
          <w:color w:val="auto"/>
          <w:lang w:val="hy-AM"/>
        </w:rPr>
        <w:softHyphen/>
        <w:t>ված օրենս</w:t>
      </w:r>
      <w:r w:rsidRPr="000232DD">
        <w:rPr>
          <w:color w:val="auto"/>
          <w:lang w:val="hy-AM"/>
        </w:rPr>
        <w:softHyphen/>
        <w:t>դրա</w:t>
      </w:r>
      <w:r w:rsidRPr="000232DD">
        <w:rPr>
          <w:color w:val="auto"/>
          <w:lang w:val="hy-AM"/>
        </w:rPr>
        <w:softHyphen/>
        <w:t>կան փոփոխությունները, ինչ</w:t>
      </w:r>
      <w:r w:rsidRPr="000232DD">
        <w:rPr>
          <w:color w:val="auto"/>
          <w:lang w:val="hy-AM"/>
        </w:rPr>
        <w:softHyphen/>
        <w:t>պես նաև առանձին եկամտատեսակների գծով նա</w:t>
      </w:r>
      <w:r w:rsidRPr="000232DD">
        <w:rPr>
          <w:color w:val="auto"/>
          <w:lang w:val="hy-AM"/>
        </w:rPr>
        <w:softHyphen/>
        <w:t>խորդ տա</w:t>
      </w:r>
      <w:r w:rsidRPr="000232DD">
        <w:rPr>
          <w:color w:val="auto"/>
          <w:lang w:val="hy-AM"/>
        </w:rPr>
        <w:softHyphen/>
        <w:t>րի</w:t>
      </w:r>
      <w:r w:rsidRPr="000232DD">
        <w:rPr>
          <w:color w:val="auto"/>
          <w:lang w:val="hy-AM"/>
        </w:rPr>
        <w:softHyphen/>
        <w:t>նե</w:t>
      </w:r>
      <w:r w:rsidRPr="000232DD">
        <w:rPr>
          <w:color w:val="auto"/>
          <w:lang w:val="hy-AM"/>
        </w:rPr>
        <w:softHyphen/>
        <w:t>րին արձանագրված միտումները:</w:t>
      </w:r>
    </w:p>
    <w:p w14:paraId="3F5BE7B6" w14:textId="77777777" w:rsidR="00B43595" w:rsidRPr="000232DD" w:rsidRDefault="00B43595" w:rsidP="00082769">
      <w:pPr>
        <w:ind w:right="-22"/>
        <w:jc w:val="both"/>
        <w:rPr>
          <w:rFonts w:ascii="GHEA Grapalat" w:eastAsia="Times New Roman" w:hAnsi="GHEA Grapalat" w:cs="Times New Roman"/>
          <w:color w:val="auto"/>
          <w:szCs w:val="20"/>
          <w:lang w:val="af-ZA"/>
        </w:rPr>
      </w:pPr>
      <w:r w:rsidRPr="000232DD">
        <w:rPr>
          <w:rFonts w:ascii="GHEA Grapalat" w:eastAsia="Times New Roman" w:hAnsi="GHEA Grapalat" w:cs="Times New Roman"/>
          <w:color w:val="auto"/>
          <w:szCs w:val="20"/>
          <w:lang w:val="hy-AM"/>
        </w:rPr>
        <w:t>Այլ եկամուտների գծով կանխատեսումային ցուցանիշների ընդհանուր պատկերն ըստ եկամտի հիմնական աղբյուրների հետևյալն է</w:t>
      </w:r>
      <w:r w:rsidRPr="000232DD">
        <w:rPr>
          <w:rFonts w:ascii="GHEA Grapalat" w:eastAsia="Times New Roman" w:hAnsi="GHEA Grapalat" w:cs="Times New Roman"/>
          <w:color w:val="auto"/>
          <w:szCs w:val="20"/>
          <w:lang w:val="af-ZA"/>
        </w:rPr>
        <w:t>.</w:t>
      </w:r>
    </w:p>
    <w:p w14:paraId="43D518E5" w14:textId="14C4E5FB" w:rsidR="00B43595" w:rsidRPr="00E73A9A" w:rsidRDefault="00B43595" w:rsidP="00E73A9A">
      <w:pPr>
        <w:pStyle w:val="Charts"/>
        <w:ind w:right="-22"/>
        <w:rPr>
          <w:b w:val="0"/>
          <w:bCs/>
          <w:color w:val="auto"/>
          <w:sz w:val="20"/>
          <w:szCs w:val="18"/>
        </w:rPr>
      </w:pPr>
      <w:bookmarkStart w:id="376" w:name="_Toc178350618"/>
      <w:bookmarkStart w:id="377" w:name="_Toc178612143"/>
      <w:bookmarkStart w:id="378" w:name="_Toc184110769"/>
      <w:bookmarkStart w:id="379" w:name="_Toc241602020"/>
      <w:r w:rsidRPr="00E73A9A">
        <w:rPr>
          <w:b w:val="0"/>
          <w:bCs/>
          <w:color w:val="auto"/>
          <w:sz w:val="20"/>
          <w:szCs w:val="18"/>
        </w:rPr>
        <w:t xml:space="preserve">Աղյուսակ </w:t>
      </w:r>
      <w:r w:rsidRPr="00E73A9A">
        <w:rPr>
          <w:b w:val="0"/>
          <w:bCs/>
          <w:color w:val="auto"/>
          <w:sz w:val="20"/>
          <w:szCs w:val="18"/>
        </w:rPr>
        <w:fldChar w:fldCharType="begin"/>
      </w:r>
      <w:r w:rsidRPr="00E73A9A">
        <w:rPr>
          <w:b w:val="0"/>
          <w:bCs/>
          <w:color w:val="auto"/>
          <w:sz w:val="20"/>
          <w:szCs w:val="18"/>
        </w:rPr>
        <w:instrText xml:space="preserve"> SEQ Աղյուսակ \* ARABIC </w:instrText>
      </w:r>
      <w:r w:rsidRPr="00E73A9A">
        <w:rPr>
          <w:b w:val="0"/>
          <w:bCs/>
          <w:color w:val="auto"/>
          <w:sz w:val="20"/>
          <w:szCs w:val="18"/>
        </w:rPr>
        <w:fldChar w:fldCharType="separate"/>
      </w:r>
      <w:r w:rsidR="00E46048">
        <w:rPr>
          <w:b w:val="0"/>
          <w:bCs/>
          <w:noProof/>
          <w:color w:val="auto"/>
          <w:sz w:val="20"/>
          <w:szCs w:val="18"/>
        </w:rPr>
        <w:t>7</w:t>
      </w:r>
      <w:r w:rsidRPr="00E73A9A">
        <w:rPr>
          <w:b w:val="0"/>
          <w:bCs/>
          <w:color w:val="auto"/>
          <w:sz w:val="20"/>
          <w:szCs w:val="18"/>
        </w:rPr>
        <w:fldChar w:fldCharType="end"/>
      </w:r>
      <w:r w:rsidRPr="00E73A9A">
        <w:rPr>
          <w:b w:val="0"/>
          <w:bCs/>
          <w:color w:val="auto"/>
          <w:sz w:val="20"/>
          <w:szCs w:val="18"/>
        </w:rPr>
        <w:t>. Այլ եկամուտների կազմում հաշվառվող եկամտատեսակների գծով ՀՀ 202</w:t>
      </w:r>
      <w:r w:rsidR="00DE6A4A" w:rsidRPr="00E73A9A">
        <w:rPr>
          <w:b w:val="0"/>
          <w:bCs/>
          <w:color w:val="auto"/>
          <w:sz w:val="20"/>
          <w:szCs w:val="18"/>
        </w:rPr>
        <w:t>3</w:t>
      </w:r>
      <w:r w:rsidRPr="00E73A9A">
        <w:rPr>
          <w:b w:val="0"/>
          <w:bCs/>
          <w:color w:val="auto"/>
          <w:sz w:val="20"/>
          <w:szCs w:val="18"/>
        </w:rPr>
        <w:t>-202</w:t>
      </w:r>
      <w:r w:rsidR="00DE6A4A" w:rsidRPr="00E73A9A">
        <w:rPr>
          <w:b w:val="0"/>
          <w:bCs/>
          <w:color w:val="auto"/>
          <w:sz w:val="20"/>
          <w:szCs w:val="18"/>
        </w:rPr>
        <w:t>9</w:t>
      </w:r>
      <w:r w:rsidRPr="00E73A9A">
        <w:rPr>
          <w:b w:val="0"/>
          <w:bCs/>
          <w:color w:val="auto"/>
          <w:sz w:val="20"/>
          <w:szCs w:val="18"/>
        </w:rPr>
        <w:t>թթ. փաստացի/կանխատեսումային ցուցանիշները, մլրդ դրամ</w:t>
      </w:r>
      <w:bookmarkEnd w:id="376"/>
      <w:bookmarkEnd w:id="377"/>
      <w:bookmarkEnd w:id="378"/>
      <w:bookmarkEnd w:id="379"/>
    </w:p>
    <w:tbl>
      <w:tblPr>
        <w:tblW w:w="5169" w:type="pct"/>
        <w:tblBorders>
          <w:top w:val="single" w:sz="8" w:space="0" w:color="E1E1E3"/>
          <w:left w:val="single" w:sz="8" w:space="0" w:color="E1E1E3"/>
          <w:bottom w:val="single" w:sz="8" w:space="0" w:color="E1E1E3"/>
          <w:right w:val="single" w:sz="8" w:space="0" w:color="E1E1E3"/>
          <w:insideH w:val="single" w:sz="8" w:space="0" w:color="E1E1E3"/>
          <w:insideV w:val="single" w:sz="8" w:space="0" w:color="E1E1E3"/>
        </w:tblBorders>
        <w:tblLook w:val="04A0" w:firstRow="1" w:lastRow="0" w:firstColumn="1" w:lastColumn="0" w:noHBand="0" w:noVBand="1"/>
      </w:tblPr>
      <w:tblGrid>
        <w:gridCol w:w="3050"/>
        <w:gridCol w:w="904"/>
        <w:gridCol w:w="1055"/>
        <w:gridCol w:w="1053"/>
        <w:gridCol w:w="1204"/>
        <w:gridCol w:w="1204"/>
        <w:gridCol w:w="1157"/>
        <w:gridCol w:w="1048"/>
      </w:tblGrid>
      <w:tr w:rsidR="004C0C21" w:rsidRPr="000232DD" w14:paraId="06DE11D3" w14:textId="77777777" w:rsidTr="0052459E">
        <w:trPr>
          <w:trHeight w:val="300"/>
        </w:trPr>
        <w:tc>
          <w:tcPr>
            <w:tcW w:w="1428" w:type="pct"/>
            <w:vMerge w:val="restart"/>
            <w:shd w:val="clear" w:color="auto" w:fill="DAE9F7" w:themeFill="text2" w:themeFillTint="1A"/>
            <w:vAlign w:val="center"/>
          </w:tcPr>
          <w:p w14:paraId="6128E99F"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Այլ եկամուտներ</w:t>
            </w:r>
          </w:p>
        </w:tc>
        <w:tc>
          <w:tcPr>
            <w:tcW w:w="1410" w:type="pct"/>
            <w:gridSpan w:val="3"/>
            <w:shd w:val="clear" w:color="auto" w:fill="DAE9F7" w:themeFill="text2" w:themeFillTint="1A"/>
            <w:noWrap/>
            <w:vAlign w:val="center"/>
          </w:tcPr>
          <w:p w14:paraId="79977032"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Փաստ</w:t>
            </w:r>
          </w:p>
        </w:tc>
        <w:tc>
          <w:tcPr>
            <w:tcW w:w="564" w:type="pct"/>
            <w:shd w:val="clear" w:color="auto" w:fill="DAE9F7" w:themeFill="text2" w:themeFillTint="1A"/>
            <w:noWrap/>
            <w:vAlign w:val="center"/>
          </w:tcPr>
          <w:p w14:paraId="41B81C89"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Բյուջե</w:t>
            </w:r>
          </w:p>
        </w:tc>
        <w:tc>
          <w:tcPr>
            <w:tcW w:w="564" w:type="pct"/>
            <w:shd w:val="clear" w:color="auto" w:fill="DAE9F7" w:themeFill="text2" w:themeFillTint="1A"/>
            <w:noWrap/>
            <w:vAlign w:val="center"/>
          </w:tcPr>
          <w:p w14:paraId="4F2B7CAD"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Ծրագիր</w:t>
            </w:r>
          </w:p>
        </w:tc>
        <w:tc>
          <w:tcPr>
            <w:tcW w:w="542" w:type="pct"/>
            <w:shd w:val="clear" w:color="auto" w:fill="DAE9F7" w:themeFill="text2" w:themeFillTint="1A"/>
            <w:vAlign w:val="center"/>
          </w:tcPr>
          <w:p w14:paraId="525AC892"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Ծրագիր</w:t>
            </w:r>
          </w:p>
        </w:tc>
        <w:tc>
          <w:tcPr>
            <w:tcW w:w="491" w:type="pct"/>
            <w:shd w:val="clear" w:color="auto" w:fill="DAE9F7" w:themeFill="text2" w:themeFillTint="1A"/>
            <w:vAlign w:val="center"/>
          </w:tcPr>
          <w:p w14:paraId="7FCD6D11"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Ծրագիր</w:t>
            </w:r>
          </w:p>
        </w:tc>
      </w:tr>
      <w:tr w:rsidR="004C0C21" w:rsidRPr="000232DD" w14:paraId="4D55808D" w14:textId="77777777" w:rsidTr="0052459E">
        <w:trPr>
          <w:trHeight w:val="300"/>
        </w:trPr>
        <w:tc>
          <w:tcPr>
            <w:tcW w:w="1428" w:type="pct"/>
            <w:vMerge/>
            <w:shd w:val="clear" w:color="auto" w:fill="DAE9F7" w:themeFill="text2" w:themeFillTint="1A"/>
            <w:vAlign w:val="center"/>
          </w:tcPr>
          <w:p w14:paraId="105E8DD1" w14:textId="77777777" w:rsidR="00B43595" w:rsidRPr="000232DD" w:rsidRDefault="00B43595" w:rsidP="00082769">
            <w:pPr>
              <w:ind w:right="-22"/>
              <w:jc w:val="both"/>
              <w:rPr>
                <w:rFonts w:ascii="GHEA Grapalat" w:eastAsia="Times New Roman" w:hAnsi="GHEA Grapalat" w:cs="Times New Roman"/>
                <w:color w:val="auto"/>
                <w:sz w:val="16"/>
                <w:szCs w:val="16"/>
              </w:rPr>
            </w:pPr>
          </w:p>
        </w:tc>
        <w:tc>
          <w:tcPr>
            <w:tcW w:w="423" w:type="pct"/>
            <w:shd w:val="clear" w:color="auto" w:fill="DAE9F7" w:themeFill="text2" w:themeFillTint="1A"/>
            <w:noWrap/>
            <w:vAlign w:val="center"/>
          </w:tcPr>
          <w:p w14:paraId="16734D51"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2023</w:t>
            </w:r>
          </w:p>
        </w:tc>
        <w:tc>
          <w:tcPr>
            <w:tcW w:w="494" w:type="pct"/>
            <w:shd w:val="clear" w:color="auto" w:fill="DAE9F7" w:themeFill="text2" w:themeFillTint="1A"/>
            <w:noWrap/>
            <w:vAlign w:val="center"/>
          </w:tcPr>
          <w:p w14:paraId="6069CD5A"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2024</w:t>
            </w:r>
          </w:p>
        </w:tc>
        <w:tc>
          <w:tcPr>
            <w:tcW w:w="493" w:type="pct"/>
            <w:shd w:val="clear" w:color="auto" w:fill="DAE9F7" w:themeFill="text2" w:themeFillTint="1A"/>
            <w:noWrap/>
            <w:vAlign w:val="center"/>
          </w:tcPr>
          <w:p w14:paraId="55F7E6FC"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2025</w:t>
            </w:r>
          </w:p>
        </w:tc>
        <w:tc>
          <w:tcPr>
            <w:tcW w:w="564" w:type="pct"/>
            <w:shd w:val="clear" w:color="auto" w:fill="DAE9F7" w:themeFill="text2" w:themeFillTint="1A"/>
            <w:noWrap/>
            <w:vAlign w:val="center"/>
          </w:tcPr>
          <w:p w14:paraId="226543F7"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2026</w:t>
            </w:r>
          </w:p>
        </w:tc>
        <w:tc>
          <w:tcPr>
            <w:tcW w:w="564" w:type="pct"/>
            <w:shd w:val="clear" w:color="auto" w:fill="DAE9F7" w:themeFill="text2" w:themeFillTint="1A"/>
            <w:noWrap/>
            <w:vAlign w:val="center"/>
          </w:tcPr>
          <w:p w14:paraId="21ED1C38"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2027</w:t>
            </w:r>
          </w:p>
        </w:tc>
        <w:tc>
          <w:tcPr>
            <w:tcW w:w="542" w:type="pct"/>
            <w:shd w:val="clear" w:color="auto" w:fill="DAE9F7" w:themeFill="text2" w:themeFillTint="1A"/>
            <w:vAlign w:val="center"/>
          </w:tcPr>
          <w:p w14:paraId="206060BE"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2028</w:t>
            </w:r>
          </w:p>
        </w:tc>
        <w:tc>
          <w:tcPr>
            <w:tcW w:w="491" w:type="pct"/>
            <w:shd w:val="clear" w:color="auto" w:fill="DAE9F7" w:themeFill="text2" w:themeFillTint="1A"/>
            <w:vAlign w:val="center"/>
          </w:tcPr>
          <w:p w14:paraId="2C6C2F0B" w14:textId="77777777" w:rsidR="00B43595" w:rsidRPr="000232DD" w:rsidRDefault="00B43595" w:rsidP="00082769">
            <w:pPr>
              <w:ind w:right="-22"/>
              <w:jc w:val="center"/>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2029</w:t>
            </w:r>
          </w:p>
        </w:tc>
      </w:tr>
      <w:tr w:rsidR="004C0C21" w:rsidRPr="000232DD" w14:paraId="168F9D10" w14:textId="77777777" w:rsidTr="00B43595">
        <w:trPr>
          <w:trHeight w:val="300"/>
        </w:trPr>
        <w:tc>
          <w:tcPr>
            <w:tcW w:w="1428" w:type="pct"/>
            <w:shd w:val="clear" w:color="auto" w:fill="auto"/>
            <w:vAlign w:val="center"/>
            <w:hideMark/>
          </w:tcPr>
          <w:p w14:paraId="64318CF8" w14:textId="77777777" w:rsidR="00B43595" w:rsidRPr="000232DD" w:rsidRDefault="00B43595" w:rsidP="00082769">
            <w:pPr>
              <w:ind w:right="-22"/>
              <w:jc w:val="both"/>
              <w:rPr>
                <w:rFonts w:ascii="GHEA Grapalat" w:eastAsia="Times New Roman" w:hAnsi="GHEA Grapalat" w:cs="Times New Roman"/>
                <w:color w:val="auto"/>
                <w:sz w:val="16"/>
                <w:szCs w:val="16"/>
                <w:lang w:val="hy-AM"/>
              </w:rPr>
            </w:pPr>
            <w:r w:rsidRPr="000232DD">
              <w:rPr>
                <w:rFonts w:ascii="GHEA Grapalat" w:eastAsia="Times New Roman" w:hAnsi="GHEA Grapalat" w:cs="Times New Roman"/>
                <w:color w:val="auto"/>
                <w:sz w:val="16"/>
                <w:szCs w:val="16"/>
              </w:rPr>
              <w:t>Ընդամենը</w:t>
            </w:r>
            <w:r w:rsidRPr="000232DD">
              <w:rPr>
                <w:rFonts w:ascii="GHEA Grapalat" w:eastAsia="Times New Roman" w:hAnsi="GHEA Grapalat" w:cs="Times New Roman"/>
                <w:color w:val="auto"/>
                <w:sz w:val="16"/>
                <w:szCs w:val="16"/>
                <w:lang w:val="hy-AM"/>
              </w:rPr>
              <w:t>, այդ թվում՝</w:t>
            </w:r>
          </w:p>
        </w:tc>
        <w:tc>
          <w:tcPr>
            <w:tcW w:w="423" w:type="pct"/>
            <w:shd w:val="clear" w:color="auto" w:fill="auto"/>
            <w:noWrap/>
            <w:vAlign w:val="center"/>
            <w:hideMark/>
          </w:tcPr>
          <w:p w14:paraId="5BF9E793" w14:textId="77777777" w:rsidR="00B43595" w:rsidRPr="000232DD" w:rsidRDefault="00B43595" w:rsidP="00082769">
            <w:pPr>
              <w:ind w:right="-22"/>
              <w:jc w:val="center"/>
              <w:rPr>
                <w:rFonts w:ascii="GHEA Grapalat" w:eastAsia="Times New Roman" w:hAnsi="GHEA Grapalat" w:cs="Times New Roman"/>
                <w:color w:val="auto"/>
                <w:sz w:val="16"/>
                <w:szCs w:val="16"/>
              </w:rPr>
            </w:pPr>
            <w:r w:rsidRPr="000232DD">
              <w:rPr>
                <w:rFonts w:ascii="GHEA Grapalat" w:eastAsia="Times New Roman" w:hAnsi="GHEA Grapalat" w:cs="Calibri"/>
                <w:color w:val="auto"/>
                <w:sz w:val="16"/>
                <w:szCs w:val="16"/>
              </w:rPr>
              <w:t>123.7</w:t>
            </w:r>
          </w:p>
        </w:tc>
        <w:tc>
          <w:tcPr>
            <w:tcW w:w="494" w:type="pct"/>
            <w:shd w:val="clear" w:color="auto" w:fill="auto"/>
            <w:noWrap/>
            <w:vAlign w:val="center"/>
            <w:hideMark/>
          </w:tcPr>
          <w:p w14:paraId="1D35D84F" w14:textId="77777777" w:rsidR="00B43595" w:rsidRPr="000232DD" w:rsidRDefault="00B43595" w:rsidP="00082769">
            <w:pPr>
              <w:ind w:right="-22"/>
              <w:jc w:val="center"/>
              <w:rPr>
                <w:rFonts w:ascii="GHEA Grapalat" w:eastAsia="Times New Roman" w:hAnsi="GHEA Grapalat" w:cs="Times New Roman"/>
                <w:color w:val="auto"/>
                <w:sz w:val="16"/>
                <w:szCs w:val="16"/>
              </w:rPr>
            </w:pPr>
            <w:r w:rsidRPr="000232DD">
              <w:rPr>
                <w:rFonts w:ascii="GHEA Grapalat" w:eastAsia="Times New Roman" w:hAnsi="GHEA Grapalat" w:cs="Calibri"/>
                <w:color w:val="auto"/>
                <w:sz w:val="16"/>
                <w:szCs w:val="16"/>
              </w:rPr>
              <w:t>161.6</w:t>
            </w:r>
          </w:p>
        </w:tc>
        <w:tc>
          <w:tcPr>
            <w:tcW w:w="493" w:type="pct"/>
            <w:shd w:val="clear" w:color="auto" w:fill="auto"/>
            <w:noWrap/>
            <w:vAlign w:val="center"/>
          </w:tcPr>
          <w:p w14:paraId="35B80360" w14:textId="77777777" w:rsidR="00B43595" w:rsidRPr="000232DD" w:rsidRDefault="00B43595" w:rsidP="00082769">
            <w:pPr>
              <w:ind w:right="-22"/>
              <w:jc w:val="center"/>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150.6</w:t>
            </w:r>
          </w:p>
        </w:tc>
        <w:tc>
          <w:tcPr>
            <w:tcW w:w="564" w:type="pct"/>
            <w:shd w:val="clear" w:color="auto" w:fill="auto"/>
            <w:noWrap/>
            <w:vAlign w:val="center"/>
            <w:hideMark/>
          </w:tcPr>
          <w:p w14:paraId="6F6647F3" w14:textId="77777777" w:rsidR="00B43595" w:rsidRPr="000232DD" w:rsidRDefault="00B43595" w:rsidP="00082769">
            <w:pPr>
              <w:ind w:right="-22"/>
              <w:jc w:val="center"/>
              <w:rPr>
                <w:rFonts w:ascii="GHEA Grapalat" w:eastAsia="Times New Roman" w:hAnsi="GHEA Grapalat" w:cs="Times New Roman"/>
                <w:color w:val="auto"/>
                <w:sz w:val="16"/>
                <w:szCs w:val="16"/>
              </w:rPr>
            </w:pPr>
            <w:r w:rsidRPr="000232DD">
              <w:rPr>
                <w:rFonts w:ascii="GHEA Grapalat" w:eastAsia="Times New Roman" w:hAnsi="GHEA Grapalat" w:cs="Calibri"/>
                <w:color w:val="auto"/>
                <w:sz w:val="16"/>
                <w:szCs w:val="16"/>
              </w:rPr>
              <w:t>98.3</w:t>
            </w:r>
          </w:p>
        </w:tc>
        <w:tc>
          <w:tcPr>
            <w:tcW w:w="564" w:type="pct"/>
            <w:shd w:val="clear" w:color="auto" w:fill="auto"/>
            <w:noWrap/>
            <w:vAlign w:val="center"/>
            <w:hideMark/>
          </w:tcPr>
          <w:p w14:paraId="41E31975" w14:textId="6788F86B"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12</w:t>
            </w:r>
            <w:r w:rsidR="002F7FFC" w:rsidRPr="000232DD">
              <w:rPr>
                <w:rFonts w:ascii="GHEA Grapalat" w:eastAsia="Times New Roman" w:hAnsi="GHEA Grapalat" w:cs="Calibri"/>
                <w:color w:val="auto"/>
                <w:sz w:val="16"/>
                <w:szCs w:val="16"/>
              </w:rPr>
              <w:t>6</w:t>
            </w:r>
            <w:r w:rsidRPr="000232DD">
              <w:rPr>
                <w:rFonts w:ascii="GHEA Grapalat" w:eastAsia="Times New Roman" w:hAnsi="GHEA Grapalat" w:cs="Calibri"/>
                <w:color w:val="auto"/>
                <w:sz w:val="16"/>
                <w:szCs w:val="16"/>
              </w:rPr>
              <w:t>.</w:t>
            </w:r>
            <w:r w:rsidR="002F7FFC" w:rsidRPr="000232DD">
              <w:rPr>
                <w:rFonts w:ascii="GHEA Grapalat" w:eastAsia="Times New Roman" w:hAnsi="GHEA Grapalat" w:cs="Calibri"/>
                <w:color w:val="auto"/>
                <w:sz w:val="16"/>
                <w:szCs w:val="16"/>
              </w:rPr>
              <w:t>9</w:t>
            </w:r>
          </w:p>
        </w:tc>
        <w:tc>
          <w:tcPr>
            <w:tcW w:w="542" w:type="pct"/>
            <w:vAlign w:val="center"/>
          </w:tcPr>
          <w:p w14:paraId="405471CC" w14:textId="0CAF12C4"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12</w:t>
            </w:r>
            <w:r w:rsidR="002F7FFC" w:rsidRPr="000232DD">
              <w:rPr>
                <w:rFonts w:ascii="GHEA Grapalat" w:eastAsia="Times New Roman" w:hAnsi="GHEA Grapalat" w:cs="Calibri"/>
                <w:color w:val="auto"/>
                <w:sz w:val="16"/>
                <w:szCs w:val="16"/>
              </w:rPr>
              <w:t>3</w:t>
            </w:r>
            <w:r w:rsidRPr="000232DD">
              <w:rPr>
                <w:rFonts w:ascii="GHEA Grapalat" w:eastAsia="Times New Roman" w:hAnsi="GHEA Grapalat" w:cs="Calibri"/>
                <w:color w:val="auto"/>
                <w:sz w:val="16"/>
                <w:szCs w:val="16"/>
              </w:rPr>
              <w:t>.</w:t>
            </w:r>
            <w:r w:rsidR="002F7FFC" w:rsidRPr="000232DD">
              <w:rPr>
                <w:rFonts w:ascii="GHEA Grapalat" w:eastAsia="Times New Roman" w:hAnsi="GHEA Grapalat" w:cs="Calibri"/>
                <w:color w:val="auto"/>
                <w:sz w:val="16"/>
                <w:szCs w:val="16"/>
              </w:rPr>
              <w:t>8</w:t>
            </w:r>
          </w:p>
        </w:tc>
        <w:tc>
          <w:tcPr>
            <w:tcW w:w="491" w:type="pct"/>
            <w:vAlign w:val="center"/>
          </w:tcPr>
          <w:p w14:paraId="029E8637" w14:textId="1828E23F"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126.</w:t>
            </w:r>
            <w:r w:rsidR="002F7FFC" w:rsidRPr="000232DD">
              <w:rPr>
                <w:rFonts w:ascii="GHEA Grapalat" w:eastAsia="Times New Roman" w:hAnsi="GHEA Grapalat" w:cs="Calibri"/>
                <w:color w:val="auto"/>
                <w:sz w:val="16"/>
                <w:szCs w:val="16"/>
              </w:rPr>
              <w:t>3</w:t>
            </w:r>
          </w:p>
        </w:tc>
      </w:tr>
      <w:tr w:rsidR="004C0C21" w:rsidRPr="000232DD" w14:paraId="0D4827BA" w14:textId="77777777" w:rsidTr="00B43595">
        <w:trPr>
          <w:trHeight w:val="810"/>
        </w:trPr>
        <w:tc>
          <w:tcPr>
            <w:tcW w:w="1428" w:type="pct"/>
            <w:shd w:val="clear" w:color="auto" w:fill="auto"/>
            <w:vAlign w:val="center"/>
            <w:hideMark/>
          </w:tcPr>
          <w:p w14:paraId="1E892152" w14:textId="77777777" w:rsidR="00B43595" w:rsidRPr="000232DD" w:rsidRDefault="00B43595" w:rsidP="00082769">
            <w:pPr>
              <w:ind w:right="-22"/>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1.Պետական գույքի վարձակալությունից եկամուտներ</w:t>
            </w:r>
          </w:p>
        </w:tc>
        <w:tc>
          <w:tcPr>
            <w:tcW w:w="423" w:type="pct"/>
            <w:shd w:val="clear" w:color="auto" w:fill="auto"/>
            <w:noWrap/>
            <w:vAlign w:val="center"/>
            <w:hideMark/>
          </w:tcPr>
          <w:p w14:paraId="0DCFFB3E"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3.6</w:t>
            </w:r>
          </w:p>
        </w:tc>
        <w:tc>
          <w:tcPr>
            <w:tcW w:w="494" w:type="pct"/>
            <w:shd w:val="clear" w:color="auto" w:fill="auto"/>
            <w:noWrap/>
            <w:vAlign w:val="center"/>
            <w:hideMark/>
          </w:tcPr>
          <w:p w14:paraId="7EE632B1"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1.0</w:t>
            </w:r>
          </w:p>
        </w:tc>
        <w:tc>
          <w:tcPr>
            <w:tcW w:w="493" w:type="pct"/>
            <w:shd w:val="clear" w:color="auto" w:fill="auto"/>
            <w:noWrap/>
            <w:vAlign w:val="center"/>
          </w:tcPr>
          <w:p w14:paraId="6033A0D7" w14:textId="77777777" w:rsidR="00B43595" w:rsidRPr="0000232E" w:rsidRDefault="00B43595" w:rsidP="00082769">
            <w:pPr>
              <w:ind w:right="-22"/>
              <w:jc w:val="center"/>
              <w:rPr>
                <w:rFonts w:ascii="GHEA Grapalat" w:eastAsia="Times New Roman" w:hAnsi="GHEA Grapalat" w:cs="Calibri"/>
                <w:color w:val="auto"/>
                <w:sz w:val="16"/>
                <w:szCs w:val="16"/>
              </w:rPr>
            </w:pPr>
            <w:r w:rsidRPr="0000232E">
              <w:rPr>
                <w:rFonts w:ascii="GHEA Grapalat" w:eastAsia="Times New Roman" w:hAnsi="GHEA Grapalat" w:cs="Calibri"/>
                <w:color w:val="auto"/>
                <w:sz w:val="16"/>
                <w:szCs w:val="16"/>
              </w:rPr>
              <w:t>4.2</w:t>
            </w:r>
          </w:p>
        </w:tc>
        <w:tc>
          <w:tcPr>
            <w:tcW w:w="564" w:type="pct"/>
            <w:shd w:val="clear" w:color="auto" w:fill="auto"/>
            <w:noWrap/>
            <w:vAlign w:val="center"/>
            <w:hideMark/>
          </w:tcPr>
          <w:p w14:paraId="37AE51B7"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8.0</w:t>
            </w:r>
          </w:p>
        </w:tc>
        <w:tc>
          <w:tcPr>
            <w:tcW w:w="564" w:type="pct"/>
            <w:shd w:val="clear" w:color="auto" w:fill="auto"/>
            <w:noWrap/>
            <w:vAlign w:val="center"/>
            <w:hideMark/>
          </w:tcPr>
          <w:p w14:paraId="3581ABC1" w14:textId="77777777"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11.3</w:t>
            </w:r>
          </w:p>
        </w:tc>
        <w:tc>
          <w:tcPr>
            <w:tcW w:w="542" w:type="pct"/>
            <w:vAlign w:val="center"/>
          </w:tcPr>
          <w:p w14:paraId="4AA6CF86" w14:textId="77777777"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10.1</w:t>
            </w:r>
          </w:p>
        </w:tc>
        <w:tc>
          <w:tcPr>
            <w:tcW w:w="491" w:type="pct"/>
            <w:vAlign w:val="center"/>
          </w:tcPr>
          <w:p w14:paraId="7C741B4C" w14:textId="77777777"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10.8</w:t>
            </w:r>
          </w:p>
        </w:tc>
      </w:tr>
      <w:tr w:rsidR="004C0C21" w:rsidRPr="000232DD" w14:paraId="0411A3E2" w14:textId="77777777" w:rsidTr="00B43595">
        <w:trPr>
          <w:trHeight w:val="540"/>
        </w:trPr>
        <w:tc>
          <w:tcPr>
            <w:tcW w:w="1428" w:type="pct"/>
            <w:shd w:val="clear" w:color="auto" w:fill="auto"/>
            <w:vAlign w:val="center"/>
            <w:hideMark/>
          </w:tcPr>
          <w:p w14:paraId="2428BA74" w14:textId="77777777" w:rsidR="00B43595" w:rsidRPr="000232DD" w:rsidRDefault="00B43595" w:rsidP="00082769">
            <w:pPr>
              <w:ind w:right="-22"/>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2.</w:t>
            </w:r>
            <w:r w:rsidRPr="000232DD">
              <w:rPr>
                <w:rFonts w:ascii="GHEA Grapalat" w:eastAsia="Times New Roman" w:hAnsi="GHEA Grapalat" w:cs="Times New Roman"/>
                <w:color w:val="auto"/>
              </w:rPr>
              <w:t xml:space="preserve"> </w:t>
            </w:r>
            <w:r w:rsidRPr="000232DD">
              <w:rPr>
                <w:rFonts w:ascii="GHEA Grapalat" w:eastAsia="Times New Roman" w:hAnsi="GHEA Grapalat" w:cs="Times New Roman"/>
                <w:color w:val="auto"/>
                <w:sz w:val="16"/>
                <w:szCs w:val="16"/>
              </w:rPr>
              <w:t>Տոկոսավճարներից և շահաբաժիններից եկամուտներ</w:t>
            </w:r>
          </w:p>
        </w:tc>
        <w:tc>
          <w:tcPr>
            <w:tcW w:w="423" w:type="pct"/>
            <w:shd w:val="clear" w:color="auto" w:fill="auto"/>
            <w:noWrap/>
            <w:vAlign w:val="center"/>
            <w:hideMark/>
          </w:tcPr>
          <w:p w14:paraId="4985AA3D"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52.3</w:t>
            </w:r>
          </w:p>
        </w:tc>
        <w:tc>
          <w:tcPr>
            <w:tcW w:w="494" w:type="pct"/>
            <w:shd w:val="clear" w:color="auto" w:fill="auto"/>
            <w:noWrap/>
            <w:vAlign w:val="center"/>
            <w:hideMark/>
          </w:tcPr>
          <w:p w14:paraId="27E0C58C"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76.6</w:t>
            </w:r>
          </w:p>
        </w:tc>
        <w:tc>
          <w:tcPr>
            <w:tcW w:w="493" w:type="pct"/>
            <w:shd w:val="clear" w:color="auto" w:fill="auto"/>
            <w:noWrap/>
            <w:vAlign w:val="center"/>
          </w:tcPr>
          <w:p w14:paraId="75074819" w14:textId="77777777" w:rsidR="00B43595" w:rsidRPr="0000232E" w:rsidRDefault="00B43595" w:rsidP="00082769">
            <w:pPr>
              <w:ind w:right="-22"/>
              <w:jc w:val="center"/>
              <w:rPr>
                <w:rFonts w:ascii="GHEA Grapalat" w:eastAsia="Times New Roman" w:hAnsi="GHEA Grapalat" w:cs="Calibri"/>
                <w:color w:val="auto"/>
                <w:sz w:val="16"/>
                <w:szCs w:val="16"/>
              </w:rPr>
            </w:pPr>
            <w:r w:rsidRPr="0000232E">
              <w:rPr>
                <w:rFonts w:ascii="GHEA Grapalat" w:eastAsia="Times New Roman" w:hAnsi="GHEA Grapalat" w:cs="Calibri"/>
                <w:color w:val="auto"/>
                <w:sz w:val="16"/>
                <w:szCs w:val="16"/>
              </w:rPr>
              <w:t>60.8</w:t>
            </w:r>
          </w:p>
        </w:tc>
        <w:tc>
          <w:tcPr>
            <w:tcW w:w="564" w:type="pct"/>
            <w:shd w:val="clear" w:color="auto" w:fill="auto"/>
            <w:noWrap/>
            <w:vAlign w:val="center"/>
            <w:hideMark/>
          </w:tcPr>
          <w:p w14:paraId="3365E8C9" w14:textId="77777777" w:rsidR="00B43595" w:rsidRPr="00CE7AA0" w:rsidRDefault="00B43595" w:rsidP="00082769">
            <w:pPr>
              <w:ind w:right="-22"/>
              <w:jc w:val="center"/>
              <w:rPr>
                <w:rFonts w:ascii="GHEA Grapalat" w:eastAsia="Times New Roman" w:hAnsi="GHEA Grapalat" w:cs="Calibri"/>
                <w:color w:val="auto"/>
                <w:sz w:val="16"/>
                <w:szCs w:val="16"/>
              </w:rPr>
            </w:pPr>
            <w:r w:rsidRPr="00CE7AA0">
              <w:rPr>
                <w:rFonts w:ascii="GHEA Grapalat" w:eastAsia="Times New Roman" w:hAnsi="GHEA Grapalat" w:cs="Calibri"/>
                <w:color w:val="auto"/>
                <w:sz w:val="16"/>
                <w:szCs w:val="16"/>
              </w:rPr>
              <w:t>29.9</w:t>
            </w:r>
          </w:p>
        </w:tc>
        <w:tc>
          <w:tcPr>
            <w:tcW w:w="564" w:type="pct"/>
            <w:shd w:val="clear" w:color="auto" w:fill="auto"/>
            <w:noWrap/>
            <w:vAlign w:val="center"/>
            <w:hideMark/>
          </w:tcPr>
          <w:p w14:paraId="67A02AAD" w14:textId="41E6028A" w:rsidR="00B43595" w:rsidRPr="00CE7AA0" w:rsidRDefault="0000232E" w:rsidP="00082769">
            <w:pPr>
              <w:ind w:right="-22"/>
              <w:jc w:val="center"/>
              <w:rPr>
                <w:rFonts w:ascii="GHEA Grapalat" w:eastAsia="Times New Roman" w:hAnsi="GHEA Grapalat" w:cs="Calibri"/>
                <w:color w:val="auto"/>
                <w:sz w:val="16"/>
                <w:szCs w:val="16"/>
              </w:rPr>
            </w:pPr>
            <w:r w:rsidRPr="00CE7AA0">
              <w:rPr>
                <w:rFonts w:ascii="GHEA Grapalat" w:eastAsia="Times New Roman" w:hAnsi="GHEA Grapalat" w:cs="Calibri"/>
                <w:color w:val="auto"/>
                <w:sz w:val="16"/>
                <w:szCs w:val="16"/>
              </w:rPr>
              <w:t>53.1</w:t>
            </w:r>
          </w:p>
        </w:tc>
        <w:tc>
          <w:tcPr>
            <w:tcW w:w="542" w:type="pct"/>
            <w:vAlign w:val="center"/>
          </w:tcPr>
          <w:p w14:paraId="06922FE1" w14:textId="06C87ABF" w:rsidR="00B43595" w:rsidRPr="00CE7AA0" w:rsidRDefault="0000232E" w:rsidP="00082769">
            <w:pPr>
              <w:ind w:right="-22"/>
              <w:jc w:val="center"/>
              <w:rPr>
                <w:rFonts w:ascii="GHEA Grapalat" w:eastAsia="Times New Roman" w:hAnsi="GHEA Grapalat" w:cs="Calibri"/>
                <w:color w:val="auto"/>
                <w:sz w:val="16"/>
                <w:szCs w:val="16"/>
              </w:rPr>
            </w:pPr>
            <w:r w:rsidRPr="00CE7AA0">
              <w:rPr>
                <w:rFonts w:ascii="GHEA Grapalat" w:eastAsia="Times New Roman" w:hAnsi="GHEA Grapalat" w:cs="Calibri"/>
                <w:color w:val="auto"/>
                <w:sz w:val="16"/>
                <w:szCs w:val="16"/>
              </w:rPr>
              <w:t>52.0</w:t>
            </w:r>
          </w:p>
        </w:tc>
        <w:tc>
          <w:tcPr>
            <w:tcW w:w="491" w:type="pct"/>
            <w:vAlign w:val="center"/>
          </w:tcPr>
          <w:p w14:paraId="314375F9" w14:textId="77777777" w:rsidR="00B43595" w:rsidRPr="00CE7AA0" w:rsidRDefault="00B43595" w:rsidP="00082769">
            <w:pPr>
              <w:ind w:right="-22"/>
              <w:jc w:val="center"/>
              <w:rPr>
                <w:rFonts w:ascii="GHEA Grapalat" w:eastAsia="Times New Roman" w:hAnsi="GHEA Grapalat" w:cs="Calibri"/>
                <w:color w:val="auto"/>
                <w:sz w:val="16"/>
                <w:szCs w:val="16"/>
              </w:rPr>
            </w:pPr>
            <w:r w:rsidRPr="00CE7AA0">
              <w:rPr>
                <w:rFonts w:ascii="GHEA Grapalat" w:eastAsia="Times New Roman" w:hAnsi="GHEA Grapalat" w:cs="Calibri"/>
                <w:color w:val="auto"/>
                <w:sz w:val="16"/>
                <w:szCs w:val="16"/>
              </w:rPr>
              <w:t>53.3</w:t>
            </w:r>
          </w:p>
        </w:tc>
      </w:tr>
      <w:tr w:rsidR="004C0C21" w:rsidRPr="000232DD" w14:paraId="0BB805B9" w14:textId="77777777" w:rsidTr="00B43595">
        <w:trPr>
          <w:trHeight w:val="1080"/>
        </w:trPr>
        <w:tc>
          <w:tcPr>
            <w:tcW w:w="1428" w:type="pct"/>
            <w:shd w:val="clear" w:color="auto" w:fill="auto"/>
            <w:vAlign w:val="center"/>
            <w:hideMark/>
          </w:tcPr>
          <w:p w14:paraId="33C8C116" w14:textId="77777777" w:rsidR="00B43595" w:rsidRPr="000232DD" w:rsidRDefault="00B43595" w:rsidP="00082769">
            <w:pPr>
              <w:ind w:right="-22"/>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3.Պետության տված վարկերի օգտագործման դիմաց վճարներ</w:t>
            </w:r>
          </w:p>
        </w:tc>
        <w:tc>
          <w:tcPr>
            <w:tcW w:w="423" w:type="pct"/>
            <w:shd w:val="clear" w:color="auto" w:fill="auto"/>
            <w:noWrap/>
            <w:vAlign w:val="center"/>
            <w:hideMark/>
          </w:tcPr>
          <w:p w14:paraId="37A4345F"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12.4</w:t>
            </w:r>
          </w:p>
        </w:tc>
        <w:tc>
          <w:tcPr>
            <w:tcW w:w="494" w:type="pct"/>
            <w:shd w:val="clear" w:color="auto" w:fill="auto"/>
            <w:noWrap/>
            <w:vAlign w:val="center"/>
            <w:hideMark/>
          </w:tcPr>
          <w:p w14:paraId="3179F003"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11.7</w:t>
            </w:r>
          </w:p>
        </w:tc>
        <w:tc>
          <w:tcPr>
            <w:tcW w:w="493" w:type="pct"/>
            <w:shd w:val="clear" w:color="auto" w:fill="auto"/>
            <w:noWrap/>
            <w:vAlign w:val="center"/>
          </w:tcPr>
          <w:p w14:paraId="2DF97237" w14:textId="77777777" w:rsidR="00B43595" w:rsidRPr="0000232E" w:rsidRDefault="00B43595" w:rsidP="00082769">
            <w:pPr>
              <w:ind w:right="-22"/>
              <w:jc w:val="center"/>
              <w:rPr>
                <w:rFonts w:ascii="GHEA Grapalat" w:eastAsia="Times New Roman" w:hAnsi="GHEA Grapalat" w:cs="Calibri"/>
                <w:color w:val="auto"/>
                <w:sz w:val="16"/>
                <w:szCs w:val="16"/>
              </w:rPr>
            </w:pPr>
            <w:r w:rsidRPr="0000232E">
              <w:rPr>
                <w:rFonts w:ascii="GHEA Grapalat" w:eastAsia="Times New Roman" w:hAnsi="GHEA Grapalat" w:cs="Calibri"/>
                <w:color w:val="auto"/>
                <w:sz w:val="16"/>
                <w:szCs w:val="16"/>
              </w:rPr>
              <w:t>11.9</w:t>
            </w:r>
          </w:p>
        </w:tc>
        <w:tc>
          <w:tcPr>
            <w:tcW w:w="564" w:type="pct"/>
            <w:shd w:val="clear" w:color="auto" w:fill="auto"/>
            <w:noWrap/>
            <w:vAlign w:val="center"/>
            <w:hideMark/>
          </w:tcPr>
          <w:p w14:paraId="559F7AA0"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10.3</w:t>
            </w:r>
          </w:p>
        </w:tc>
        <w:tc>
          <w:tcPr>
            <w:tcW w:w="564" w:type="pct"/>
            <w:shd w:val="clear" w:color="auto" w:fill="auto"/>
            <w:noWrap/>
            <w:vAlign w:val="center"/>
            <w:hideMark/>
          </w:tcPr>
          <w:p w14:paraId="62303360" w14:textId="77777777"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9.7</w:t>
            </w:r>
          </w:p>
        </w:tc>
        <w:tc>
          <w:tcPr>
            <w:tcW w:w="542" w:type="pct"/>
            <w:vAlign w:val="center"/>
          </w:tcPr>
          <w:p w14:paraId="6E2FCF40" w14:textId="77777777"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7.7</w:t>
            </w:r>
          </w:p>
        </w:tc>
        <w:tc>
          <w:tcPr>
            <w:tcW w:w="491" w:type="pct"/>
            <w:vAlign w:val="center"/>
          </w:tcPr>
          <w:p w14:paraId="3B2EC13D" w14:textId="77777777"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6.7</w:t>
            </w:r>
          </w:p>
        </w:tc>
      </w:tr>
      <w:tr w:rsidR="004C0C21" w:rsidRPr="000232DD" w14:paraId="3B6257CF" w14:textId="77777777" w:rsidTr="00B43595">
        <w:trPr>
          <w:trHeight w:val="810"/>
        </w:trPr>
        <w:tc>
          <w:tcPr>
            <w:tcW w:w="1428" w:type="pct"/>
            <w:shd w:val="clear" w:color="auto" w:fill="auto"/>
            <w:vAlign w:val="center"/>
            <w:hideMark/>
          </w:tcPr>
          <w:p w14:paraId="2DC04567" w14:textId="77777777" w:rsidR="00B43595" w:rsidRPr="000232DD" w:rsidRDefault="00B43595" w:rsidP="00082769">
            <w:pPr>
              <w:ind w:right="-22"/>
              <w:rPr>
                <w:rFonts w:ascii="GHEA Grapalat" w:eastAsia="Times New Roman" w:hAnsi="GHEA Grapalat" w:cs="Times New Roman"/>
                <w:color w:val="auto"/>
                <w:sz w:val="16"/>
                <w:szCs w:val="16"/>
                <w:lang w:eastAsia="ru-RU"/>
              </w:rPr>
            </w:pPr>
            <w:r w:rsidRPr="000232DD">
              <w:rPr>
                <w:rFonts w:ascii="GHEA Grapalat" w:eastAsia="Times New Roman" w:hAnsi="GHEA Grapalat" w:cs="Times New Roman"/>
                <w:color w:val="auto"/>
                <w:sz w:val="16"/>
                <w:szCs w:val="16"/>
              </w:rPr>
              <w:t>4</w:t>
            </w:r>
            <w:r w:rsidRPr="000232DD">
              <w:rPr>
                <w:rFonts w:ascii="Cambria Math" w:eastAsia="Times New Roman" w:hAnsi="Cambria Math" w:cs="Cambria Math"/>
                <w:color w:val="auto"/>
                <w:sz w:val="16"/>
                <w:szCs w:val="16"/>
              </w:rPr>
              <w:t>․</w:t>
            </w:r>
            <w:r w:rsidRPr="000232DD">
              <w:rPr>
                <w:rFonts w:ascii="GHEA Grapalat" w:eastAsia="Times New Roman" w:hAnsi="GHEA Grapalat" w:cs="Times New Roman"/>
                <w:color w:val="auto"/>
                <w:sz w:val="16"/>
                <w:szCs w:val="16"/>
              </w:rPr>
              <w:t xml:space="preserve"> Իրավախախտումների համար կիրառվող պատժամիջոցներից մուտքեր</w:t>
            </w:r>
          </w:p>
        </w:tc>
        <w:tc>
          <w:tcPr>
            <w:tcW w:w="423" w:type="pct"/>
            <w:shd w:val="clear" w:color="auto" w:fill="auto"/>
            <w:noWrap/>
            <w:vAlign w:val="center"/>
            <w:hideMark/>
          </w:tcPr>
          <w:p w14:paraId="443346ED"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25.1</w:t>
            </w:r>
          </w:p>
        </w:tc>
        <w:tc>
          <w:tcPr>
            <w:tcW w:w="494" w:type="pct"/>
            <w:shd w:val="clear" w:color="auto" w:fill="auto"/>
            <w:noWrap/>
            <w:vAlign w:val="center"/>
            <w:hideMark/>
          </w:tcPr>
          <w:p w14:paraId="7E34C903"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27.1</w:t>
            </w:r>
          </w:p>
        </w:tc>
        <w:tc>
          <w:tcPr>
            <w:tcW w:w="493" w:type="pct"/>
            <w:shd w:val="clear" w:color="auto" w:fill="auto"/>
            <w:noWrap/>
            <w:vAlign w:val="center"/>
          </w:tcPr>
          <w:p w14:paraId="4A106CE7" w14:textId="77777777" w:rsidR="00B43595" w:rsidRPr="0000232E" w:rsidRDefault="00B43595" w:rsidP="00082769">
            <w:pPr>
              <w:ind w:right="-22"/>
              <w:jc w:val="center"/>
              <w:rPr>
                <w:rFonts w:ascii="GHEA Grapalat" w:eastAsia="Times New Roman" w:hAnsi="GHEA Grapalat" w:cs="Calibri"/>
                <w:color w:val="auto"/>
                <w:sz w:val="16"/>
                <w:szCs w:val="16"/>
              </w:rPr>
            </w:pPr>
            <w:r w:rsidRPr="0000232E">
              <w:rPr>
                <w:rFonts w:ascii="GHEA Grapalat" w:eastAsia="Times New Roman" w:hAnsi="GHEA Grapalat" w:cs="Calibri"/>
                <w:color w:val="auto"/>
                <w:sz w:val="16"/>
                <w:szCs w:val="16"/>
              </w:rPr>
              <w:t>28.9</w:t>
            </w:r>
          </w:p>
        </w:tc>
        <w:tc>
          <w:tcPr>
            <w:tcW w:w="564" w:type="pct"/>
            <w:shd w:val="clear" w:color="auto" w:fill="auto"/>
            <w:noWrap/>
            <w:vAlign w:val="center"/>
            <w:hideMark/>
          </w:tcPr>
          <w:p w14:paraId="732EBAA6"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24.4</w:t>
            </w:r>
          </w:p>
        </w:tc>
        <w:tc>
          <w:tcPr>
            <w:tcW w:w="564" w:type="pct"/>
            <w:shd w:val="clear" w:color="auto" w:fill="auto"/>
            <w:noWrap/>
            <w:vAlign w:val="center"/>
            <w:hideMark/>
          </w:tcPr>
          <w:p w14:paraId="62BB5F40" w14:textId="77777777"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27.2</w:t>
            </w:r>
          </w:p>
        </w:tc>
        <w:tc>
          <w:tcPr>
            <w:tcW w:w="542" w:type="pct"/>
            <w:vAlign w:val="center"/>
          </w:tcPr>
          <w:p w14:paraId="4941F849" w14:textId="77777777"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27.4</w:t>
            </w:r>
          </w:p>
        </w:tc>
        <w:tc>
          <w:tcPr>
            <w:tcW w:w="491" w:type="pct"/>
            <w:vAlign w:val="center"/>
          </w:tcPr>
          <w:p w14:paraId="02DEE0CA" w14:textId="77777777"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27.6</w:t>
            </w:r>
          </w:p>
        </w:tc>
      </w:tr>
      <w:tr w:rsidR="004C0C21" w:rsidRPr="000232DD" w14:paraId="122188D6" w14:textId="77777777" w:rsidTr="00B43595">
        <w:trPr>
          <w:trHeight w:val="810"/>
        </w:trPr>
        <w:tc>
          <w:tcPr>
            <w:tcW w:w="1428" w:type="pct"/>
            <w:shd w:val="clear" w:color="auto" w:fill="auto"/>
            <w:vAlign w:val="center"/>
            <w:hideMark/>
          </w:tcPr>
          <w:p w14:paraId="46CF8368" w14:textId="77777777" w:rsidR="00B43595" w:rsidRPr="000232DD" w:rsidRDefault="00B43595" w:rsidP="00082769">
            <w:pPr>
              <w:ind w:right="-22"/>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5.Ապրանքների մատակարարումից և ծառայությունների մատուցումից եկամուտներ</w:t>
            </w:r>
          </w:p>
        </w:tc>
        <w:tc>
          <w:tcPr>
            <w:tcW w:w="423" w:type="pct"/>
            <w:shd w:val="clear" w:color="auto" w:fill="auto"/>
            <w:noWrap/>
            <w:vAlign w:val="center"/>
            <w:hideMark/>
          </w:tcPr>
          <w:p w14:paraId="21F10A25"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24.3</w:t>
            </w:r>
          </w:p>
        </w:tc>
        <w:tc>
          <w:tcPr>
            <w:tcW w:w="494" w:type="pct"/>
            <w:shd w:val="clear" w:color="auto" w:fill="auto"/>
            <w:noWrap/>
            <w:vAlign w:val="center"/>
            <w:hideMark/>
          </w:tcPr>
          <w:p w14:paraId="371EED5B"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23.4</w:t>
            </w:r>
          </w:p>
        </w:tc>
        <w:tc>
          <w:tcPr>
            <w:tcW w:w="493" w:type="pct"/>
            <w:shd w:val="clear" w:color="auto" w:fill="auto"/>
            <w:noWrap/>
            <w:vAlign w:val="center"/>
          </w:tcPr>
          <w:p w14:paraId="38849393" w14:textId="77777777" w:rsidR="00B43595" w:rsidRPr="0000232E" w:rsidRDefault="00B43595" w:rsidP="00082769">
            <w:pPr>
              <w:ind w:right="-22"/>
              <w:jc w:val="center"/>
              <w:rPr>
                <w:rFonts w:ascii="GHEA Grapalat" w:eastAsia="Times New Roman" w:hAnsi="GHEA Grapalat" w:cs="Calibri"/>
                <w:color w:val="auto"/>
                <w:sz w:val="16"/>
                <w:szCs w:val="16"/>
              </w:rPr>
            </w:pPr>
            <w:r w:rsidRPr="0000232E">
              <w:rPr>
                <w:rFonts w:ascii="GHEA Grapalat" w:eastAsia="Times New Roman" w:hAnsi="GHEA Grapalat" w:cs="Calibri"/>
                <w:color w:val="auto"/>
                <w:sz w:val="16"/>
                <w:szCs w:val="16"/>
              </w:rPr>
              <w:t>23.2</w:t>
            </w:r>
          </w:p>
        </w:tc>
        <w:tc>
          <w:tcPr>
            <w:tcW w:w="564" w:type="pct"/>
            <w:shd w:val="clear" w:color="auto" w:fill="auto"/>
            <w:noWrap/>
            <w:vAlign w:val="center"/>
            <w:hideMark/>
          </w:tcPr>
          <w:p w14:paraId="511E4E3C"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23.2</w:t>
            </w:r>
          </w:p>
        </w:tc>
        <w:tc>
          <w:tcPr>
            <w:tcW w:w="564" w:type="pct"/>
            <w:shd w:val="clear" w:color="auto" w:fill="auto"/>
            <w:noWrap/>
            <w:vAlign w:val="center"/>
            <w:hideMark/>
          </w:tcPr>
          <w:p w14:paraId="12AC39DA" w14:textId="77777777"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23.1</w:t>
            </w:r>
          </w:p>
        </w:tc>
        <w:tc>
          <w:tcPr>
            <w:tcW w:w="542" w:type="pct"/>
            <w:vAlign w:val="center"/>
          </w:tcPr>
          <w:p w14:paraId="743422CE" w14:textId="77777777"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23.2</w:t>
            </w:r>
          </w:p>
        </w:tc>
        <w:tc>
          <w:tcPr>
            <w:tcW w:w="491" w:type="pct"/>
            <w:vAlign w:val="center"/>
          </w:tcPr>
          <w:p w14:paraId="0F282509" w14:textId="77777777"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23.3</w:t>
            </w:r>
          </w:p>
        </w:tc>
      </w:tr>
      <w:tr w:rsidR="00B43595" w:rsidRPr="000232DD" w14:paraId="63A9594C" w14:textId="77777777" w:rsidTr="00B43595">
        <w:trPr>
          <w:trHeight w:val="810"/>
        </w:trPr>
        <w:tc>
          <w:tcPr>
            <w:tcW w:w="1428" w:type="pct"/>
            <w:shd w:val="clear" w:color="auto" w:fill="auto"/>
            <w:vAlign w:val="center"/>
            <w:hideMark/>
          </w:tcPr>
          <w:p w14:paraId="2B8B46EB" w14:textId="77777777" w:rsidR="00B43595" w:rsidRPr="000232DD" w:rsidRDefault="00B43595" w:rsidP="00082769">
            <w:pPr>
              <w:ind w:right="-22"/>
              <w:rPr>
                <w:rFonts w:ascii="GHEA Grapalat" w:eastAsia="Times New Roman" w:hAnsi="GHEA Grapalat" w:cs="Times New Roman"/>
                <w:color w:val="auto"/>
                <w:sz w:val="16"/>
                <w:szCs w:val="16"/>
              </w:rPr>
            </w:pPr>
            <w:r w:rsidRPr="000232DD">
              <w:rPr>
                <w:rFonts w:ascii="GHEA Grapalat" w:eastAsia="Times New Roman" w:hAnsi="GHEA Grapalat" w:cs="Times New Roman"/>
                <w:color w:val="auto"/>
                <w:sz w:val="16"/>
                <w:szCs w:val="16"/>
              </w:rPr>
              <w:t>6.</w:t>
            </w:r>
            <w:r w:rsidRPr="000232DD">
              <w:rPr>
                <w:rFonts w:ascii="GHEA Grapalat" w:eastAsia="Times New Roman" w:hAnsi="GHEA Grapalat" w:cs="Times New Roman"/>
                <w:color w:val="auto"/>
              </w:rPr>
              <w:t xml:space="preserve"> </w:t>
            </w:r>
            <w:r w:rsidRPr="000232DD">
              <w:rPr>
                <w:rFonts w:ascii="GHEA Grapalat" w:eastAsia="Times New Roman" w:hAnsi="GHEA Grapalat" w:cs="Times New Roman"/>
                <w:color w:val="auto"/>
                <w:sz w:val="16"/>
                <w:szCs w:val="16"/>
              </w:rPr>
              <w:t>Օրենքով և այլ իրավական ակտերով սահմանված այլ եկամուտներ</w:t>
            </w:r>
          </w:p>
        </w:tc>
        <w:tc>
          <w:tcPr>
            <w:tcW w:w="423" w:type="pct"/>
            <w:shd w:val="clear" w:color="auto" w:fill="auto"/>
            <w:noWrap/>
            <w:vAlign w:val="center"/>
            <w:hideMark/>
          </w:tcPr>
          <w:p w14:paraId="192C82A9"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6.0</w:t>
            </w:r>
          </w:p>
        </w:tc>
        <w:tc>
          <w:tcPr>
            <w:tcW w:w="494" w:type="pct"/>
            <w:shd w:val="clear" w:color="auto" w:fill="auto"/>
            <w:noWrap/>
            <w:vAlign w:val="center"/>
            <w:hideMark/>
          </w:tcPr>
          <w:p w14:paraId="5B9D4657"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21.7</w:t>
            </w:r>
          </w:p>
        </w:tc>
        <w:tc>
          <w:tcPr>
            <w:tcW w:w="493" w:type="pct"/>
            <w:shd w:val="clear" w:color="auto" w:fill="auto"/>
            <w:noWrap/>
            <w:vAlign w:val="center"/>
          </w:tcPr>
          <w:p w14:paraId="3BA0533E" w14:textId="77777777" w:rsidR="00B43595" w:rsidRPr="0000232E" w:rsidRDefault="00B43595" w:rsidP="00082769">
            <w:pPr>
              <w:ind w:right="-22"/>
              <w:jc w:val="center"/>
              <w:rPr>
                <w:rFonts w:ascii="GHEA Grapalat" w:eastAsia="Times New Roman" w:hAnsi="GHEA Grapalat" w:cs="Calibri"/>
                <w:color w:val="auto"/>
                <w:sz w:val="16"/>
                <w:szCs w:val="16"/>
              </w:rPr>
            </w:pPr>
            <w:r w:rsidRPr="0000232E">
              <w:rPr>
                <w:rFonts w:ascii="GHEA Grapalat" w:eastAsia="Times New Roman" w:hAnsi="GHEA Grapalat" w:cs="Calibri"/>
                <w:color w:val="auto"/>
                <w:sz w:val="16"/>
                <w:szCs w:val="16"/>
              </w:rPr>
              <w:t>21.5</w:t>
            </w:r>
          </w:p>
        </w:tc>
        <w:tc>
          <w:tcPr>
            <w:tcW w:w="564" w:type="pct"/>
            <w:shd w:val="clear" w:color="auto" w:fill="auto"/>
            <w:noWrap/>
            <w:vAlign w:val="center"/>
            <w:hideMark/>
          </w:tcPr>
          <w:p w14:paraId="10A650FC" w14:textId="77777777" w:rsidR="00B43595" w:rsidRPr="0000232E"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2.4</w:t>
            </w:r>
          </w:p>
        </w:tc>
        <w:tc>
          <w:tcPr>
            <w:tcW w:w="564" w:type="pct"/>
            <w:shd w:val="clear" w:color="auto" w:fill="auto"/>
            <w:noWrap/>
            <w:vAlign w:val="center"/>
            <w:hideMark/>
          </w:tcPr>
          <w:p w14:paraId="577D96C2" w14:textId="7F5CFA31"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2.</w:t>
            </w:r>
            <w:r w:rsidR="002F7FFC" w:rsidRPr="000232DD">
              <w:rPr>
                <w:rFonts w:ascii="GHEA Grapalat" w:eastAsia="Times New Roman" w:hAnsi="GHEA Grapalat" w:cs="Calibri"/>
                <w:color w:val="auto"/>
                <w:sz w:val="16"/>
                <w:szCs w:val="16"/>
              </w:rPr>
              <w:t>5</w:t>
            </w:r>
          </w:p>
        </w:tc>
        <w:tc>
          <w:tcPr>
            <w:tcW w:w="542" w:type="pct"/>
            <w:vAlign w:val="center"/>
          </w:tcPr>
          <w:p w14:paraId="080D67B2" w14:textId="5501FDB9" w:rsidR="00B43595" w:rsidRPr="000232DD" w:rsidRDefault="002F7FFC"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3</w:t>
            </w:r>
            <w:r w:rsidR="00B43595" w:rsidRPr="000232DD">
              <w:rPr>
                <w:rFonts w:ascii="GHEA Grapalat" w:eastAsia="Times New Roman" w:hAnsi="GHEA Grapalat" w:cs="Calibri"/>
                <w:color w:val="auto"/>
                <w:sz w:val="16"/>
                <w:szCs w:val="16"/>
              </w:rPr>
              <w:t>.</w:t>
            </w:r>
            <w:r w:rsidRPr="000232DD">
              <w:rPr>
                <w:rFonts w:ascii="GHEA Grapalat" w:eastAsia="Times New Roman" w:hAnsi="GHEA Grapalat" w:cs="Calibri"/>
                <w:color w:val="auto"/>
                <w:sz w:val="16"/>
                <w:szCs w:val="16"/>
              </w:rPr>
              <w:t>4</w:t>
            </w:r>
          </w:p>
        </w:tc>
        <w:tc>
          <w:tcPr>
            <w:tcW w:w="491" w:type="pct"/>
            <w:vAlign w:val="center"/>
          </w:tcPr>
          <w:p w14:paraId="054FDBA1" w14:textId="7C9D12D9" w:rsidR="00B43595" w:rsidRPr="000232DD" w:rsidRDefault="00B43595" w:rsidP="00082769">
            <w:pPr>
              <w:ind w:right="-22"/>
              <w:jc w:val="center"/>
              <w:rPr>
                <w:rFonts w:ascii="GHEA Grapalat" w:eastAsia="Times New Roman" w:hAnsi="GHEA Grapalat" w:cs="Calibri"/>
                <w:color w:val="auto"/>
                <w:sz w:val="16"/>
                <w:szCs w:val="16"/>
              </w:rPr>
            </w:pPr>
            <w:r w:rsidRPr="000232DD">
              <w:rPr>
                <w:rFonts w:ascii="GHEA Grapalat" w:eastAsia="Times New Roman" w:hAnsi="GHEA Grapalat" w:cs="Calibri"/>
                <w:color w:val="auto"/>
                <w:sz w:val="16"/>
                <w:szCs w:val="16"/>
              </w:rPr>
              <w:t>4.</w:t>
            </w:r>
            <w:r w:rsidR="002F7FFC" w:rsidRPr="000232DD">
              <w:rPr>
                <w:rFonts w:ascii="GHEA Grapalat" w:eastAsia="Times New Roman" w:hAnsi="GHEA Grapalat" w:cs="Calibri"/>
                <w:color w:val="auto"/>
                <w:sz w:val="16"/>
                <w:szCs w:val="16"/>
              </w:rPr>
              <w:t>6</w:t>
            </w:r>
          </w:p>
        </w:tc>
      </w:tr>
    </w:tbl>
    <w:p w14:paraId="72D3A015" w14:textId="77777777" w:rsidR="00B43595" w:rsidRPr="000232DD" w:rsidRDefault="00B43595" w:rsidP="00082769">
      <w:pPr>
        <w:ind w:right="-22"/>
        <w:jc w:val="both"/>
        <w:rPr>
          <w:rFonts w:ascii="GHEA Grapalat" w:eastAsia="Times New Roman" w:hAnsi="GHEA Grapalat" w:cs="Times New Roman"/>
          <w:color w:val="auto"/>
          <w:szCs w:val="20"/>
        </w:rPr>
      </w:pPr>
    </w:p>
    <w:p w14:paraId="3BB13FEA" w14:textId="77777777" w:rsidR="00B43595" w:rsidRPr="000232DD" w:rsidRDefault="00B43595" w:rsidP="00082769">
      <w:pPr>
        <w:ind w:right="-22"/>
        <w:jc w:val="both"/>
        <w:rPr>
          <w:rFonts w:ascii="GHEA Grapalat" w:eastAsia="Times New Roman" w:hAnsi="GHEA Grapalat" w:cs="Times New Roman"/>
          <w:color w:val="auto"/>
          <w:szCs w:val="20"/>
          <w:lang w:val="af-ZA" w:eastAsia="en-GB"/>
        </w:rPr>
      </w:pPr>
      <w:r w:rsidRPr="000232DD">
        <w:rPr>
          <w:rFonts w:ascii="GHEA Grapalat" w:eastAsia="Times New Roman" w:hAnsi="GHEA Grapalat" w:cs="Times New Roman"/>
          <w:color w:val="auto"/>
          <w:szCs w:val="20"/>
        </w:rPr>
        <w:t>Ստորև ներկայացվում են այլ եկամուտների գծով կան</w:t>
      </w:r>
      <w:r w:rsidRPr="000232DD">
        <w:rPr>
          <w:rFonts w:ascii="GHEA Grapalat" w:eastAsia="Times New Roman" w:hAnsi="GHEA Grapalat" w:cs="Times New Roman"/>
          <w:color w:val="auto"/>
          <w:szCs w:val="20"/>
        </w:rPr>
        <w:softHyphen/>
        <w:t>խատես</w:t>
      </w:r>
      <w:r w:rsidRPr="000232DD">
        <w:rPr>
          <w:rFonts w:ascii="GHEA Grapalat" w:eastAsia="Times New Roman" w:hAnsi="GHEA Grapalat" w:cs="Times New Roman"/>
          <w:color w:val="auto"/>
          <w:szCs w:val="20"/>
        </w:rPr>
        <w:softHyphen/>
        <w:t>վող մուտ</w:t>
      </w:r>
      <w:r w:rsidRPr="000232DD">
        <w:rPr>
          <w:rFonts w:ascii="GHEA Grapalat" w:eastAsia="Times New Roman" w:hAnsi="GHEA Grapalat" w:cs="Times New Roman"/>
          <w:color w:val="auto"/>
          <w:szCs w:val="20"/>
        </w:rPr>
        <w:softHyphen/>
        <w:t>քե</w:t>
      </w:r>
      <w:r w:rsidRPr="000232DD">
        <w:rPr>
          <w:rFonts w:ascii="GHEA Grapalat" w:eastAsia="Times New Roman" w:hAnsi="GHEA Grapalat" w:cs="Times New Roman"/>
          <w:color w:val="auto"/>
          <w:szCs w:val="20"/>
        </w:rPr>
        <w:softHyphen/>
        <w:t>րի հաշ</w:t>
      </w:r>
      <w:r w:rsidRPr="000232DD">
        <w:rPr>
          <w:rFonts w:ascii="GHEA Grapalat" w:eastAsia="Times New Roman" w:hAnsi="GHEA Grapalat" w:cs="Times New Roman"/>
          <w:color w:val="auto"/>
          <w:szCs w:val="20"/>
        </w:rPr>
        <w:softHyphen/>
        <w:t>վարկ</w:t>
      </w:r>
      <w:r w:rsidRPr="000232DD">
        <w:rPr>
          <w:rFonts w:ascii="GHEA Grapalat" w:eastAsia="Times New Roman" w:hAnsi="GHEA Grapalat" w:cs="Times New Roman"/>
          <w:color w:val="auto"/>
          <w:szCs w:val="20"/>
        </w:rPr>
        <w:softHyphen/>
        <w:t>նե</w:t>
      </w:r>
      <w:r w:rsidRPr="000232DD">
        <w:rPr>
          <w:rFonts w:ascii="GHEA Grapalat" w:eastAsia="Times New Roman" w:hAnsi="GHEA Grapalat" w:cs="Times New Roman"/>
          <w:color w:val="auto"/>
          <w:szCs w:val="20"/>
        </w:rPr>
        <w:softHyphen/>
        <w:t>րում կի</w:t>
      </w:r>
      <w:r w:rsidRPr="000232DD">
        <w:rPr>
          <w:rFonts w:ascii="GHEA Grapalat" w:eastAsia="Times New Roman" w:hAnsi="GHEA Grapalat" w:cs="Times New Roman"/>
          <w:color w:val="auto"/>
          <w:szCs w:val="20"/>
        </w:rPr>
        <w:softHyphen/>
        <w:t>րառ</w:t>
      </w:r>
      <w:r w:rsidRPr="000232DD">
        <w:rPr>
          <w:rFonts w:ascii="GHEA Grapalat" w:eastAsia="Times New Roman" w:hAnsi="GHEA Grapalat" w:cs="Times New Roman"/>
          <w:color w:val="auto"/>
          <w:szCs w:val="20"/>
        </w:rPr>
        <w:softHyphen/>
        <w:t>ված մեթոդաբանության համա</w:t>
      </w:r>
      <w:r w:rsidRPr="000232DD">
        <w:rPr>
          <w:rFonts w:ascii="GHEA Grapalat" w:eastAsia="Times New Roman" w:hAnsi="GHEA Grapalat" w:cs="Times New Roman"/>
          <w:color w:val="auto"/>
          <w:szCs w:val="20"/>
        </w:rPr>
        <w:softHyphen/>
        <w:t>ռոտ նկարա</w:t>
      </w:r>
      <w:r w:rsidRPr="000232DD">
        <w:rPr>
          <w:rFonts w:ascii="GHEA Grapalat" w:eastAsia="Times New Roman" w:hAnsi="GHEA Grapalat" w:cs="Times New Roman"/>
          <w:color w:val="auto"/>
          <w:szCs w:val="20"/>
        </w:rPr>
        <w:softHyphen/>
        <w:t>գրու</w:t>
      </w:r>
      <w:r w:rsidRPr="000232DD">
        <w:rPr>
          <w:rFonts w:ascii="GHEA Grapalat" w:eastAsia="Times New Roman" w:hAnsi="GHEA Grapalat" w:cs="Times New Roman"/>
          <w:color w:val="auto"/>
          <w:szCs w:val="20"/>
        </w:rPr>
        <w:softHyphen/>
        <w:t>թյունը:</w:t>
      </w:r>
    </w:p>
    <w:p w14:paraId="19EDB845" w14:textId="77777777" w:rsidR="00B43595" w:rsidRPr="000232DD" w:rsidRDefault="00B43595" w:rsidP="00082769">
      <w:pPr>
        <w:ind w:right="-22"/>
        <w:jc w:val="both"/>
        <w:rPr>
          <w:rFonts w:ascii="GHEA Grapalat" w:eastAsia="Times New Roman" w:hAnsi="GHEA Grapalat" w:cs="Times New Roman"/>
          <w:color w:val="auto"/>
          <w:szCs w:val="20"/>
          <w:lang w:val="af-ZA"/>
        </w:rPr>
      </w:pPr>
      <w:r w:rsidRPr="000232DD">
        <w:rPr>
          <w:rFonts w:ascii="GHEA Grapalat" w:eastAsia="Times New Roman" w:hAnsi="GHEA Grapalat" w:cs="Times New Roman"/>
          <w:color w:val="auto"/>
          <w:szCs w:val="20"/>
        </w:rPr>
        <w:t>Պետական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հիմնարկների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հաշվեկշիռներում</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հաշվառվող</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գույքի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բացառությամբ</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հողի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վար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ձակալության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և</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օգ</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տա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գործ</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դիմաց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գանձվող</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վարձավճարները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կան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խա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տե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սում</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նե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րում</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հիմք</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են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ընդունվել</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պետական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կա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ռա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վար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մար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մին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կող</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մից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ներ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կա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յաց</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ված</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տե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ղե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կու</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թյուն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նե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վարձակալական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պայ</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մա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նա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գրերի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հա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մա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ձայն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վճար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վե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լիք</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վար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ձա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վճար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վե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րա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բեր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յալ</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ինչ</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պես</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նաև</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հա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մա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պա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տաս</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խան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բյու</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ջե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տա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յին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փաստացի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մուտ</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քերի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գծով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գան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ձա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պե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տա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տվյալները</w:t>
      </w:r>
      <w:r w:rsidRPr="000232DD">
        <w:rPr>
          <w:rFonts w:ascii="GHEA Grapalat" w:eastAsia="Times New Roman" w:hAnsi="GHEA Grapalat" w:cs="Times New Roman"/>
          <w:color w:val="auto"/>
          <w:szCs w:val="20"/>
          <w:lang w:val="af-ZA"/>
        </w:rPr>
        <w:t>:</w:t>
      </w:r>
    </w:p>
    <w:p w14:paraId="4FC2F4C0" w14:textId="1F2EE92E" w:rsidR="00B43595" w:rsidRPr="0007258B" w:rsidRDefault="00B43595" w:rsidP="00082769">
      <w:pPr>
        <w:ind w:right="-22"/>
        <w:jc w:val="both"/>
        <w:rPr>
          <w:rFonts w:ascii="GHEA Grapalat" w:eastAsia="Times New Roman" w:hAnsi="GHEA Grapalat" w:cs="Times New Roman"/>
          <w:color w:val="auto"/>
          <w:szCs w:val="20"/>
          <w:lang w:val="af-ZA"/>
        </w:rPr>
      </w:pPr>
      <w:r w:rsidRPr="0007258B">
        <w:rPr>
          <w:rFonts w:ascii="GHEA Grapalat" w:eastAsia="Times New Roman" w:hAnsi="GHEA Grapalat" w:cs="Times New Roman"/>
          <w:color w:val="auto"/>
          <w:szCs w:val="20"/>
        </w:rPr>
        <w:t>Բանկերում</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և</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ֆինանսավարկային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հաստատություններում</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գանձապետական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միաս</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նա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կան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հաշ</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վի</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ժա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մա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նա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կավոր</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ազատ</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միջոցների</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տեղաբաշխումից</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և</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դեպոզիտներից</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ստաց</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վող</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տո</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կո</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սա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վճար</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նե</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րից</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իրավաբանական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անձանց</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կապիտալում</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կատարված</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ներ</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դրում</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նե</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րից</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ստաց</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վող</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շա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հա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բա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ժիններից</w:t>
      </w:r>
      <w:r w:rsidRPr="0007258B">
        <w:rPr>
          <w:rFonts w:ascii="GHEA Grapalat" w:eastAsia="Times New Roman" w:hAnsi="GHEA Grapalat" w:cs="Times New Roman"/>
          <w:color w:val="auto"/>
          <w:szCs w:val="20"/>
          <w:lang w:val="af-ZA"/>
        </w:rPr>
        <w:t xml:space="preserve"> 2027 </w:t>
      </w:r>
      <w:r w:rsidRPr="0007258B">
        <w:rPr>
          <w:rFonts w:ascii="GHEA Grapalat" w:eastAsia="Times New Roman" w:hAnsi="GHEA Grapalat" w:cs="Times New Roman"/>
          <w:color w:val="auto"/>
          <w:szCs w:val="20"/>
        </w:rPr>
        <w:t>թվականին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ակնկալվում</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են</w:t>
      </w:r>
      <w:r w:rsidRPr="0007258B">
        <w:rPr>
          <w:rFonts w:ascii="GHEA Grapalat" w:eastAsia="Times New Roman" w:hAnsi="GHEA Grapalat" w:cs="Times New Roman"/>
          <w:color w:val="auto"/>
          <w:szCs w:val="20"/>
          <w:lang w:val="af-ZA"/>
        </w:rPr>
        <w:t xml:space="preserve"> </w:t>
      </w:r>
      <w:r w:rsidR="0007258B" w:rsidRPr="0007258B">
        <w:rPr>
          <w:rFonts w:ascii="GHEA Grapalat" w:eastAsia="Times New Roman" w:hAnsi="GHEA Grapalat" w:cs="Times New Roman"/>
          <w:color w:val="auto"/>
          <w:szCs w:val="20"/>
          <w:lang w:val="af-ZA"/>
        </w:rPr>
        <w:t>53</w:t>
      </w:r>
      <w:r w:rsidRPr="0007258B">
        <w:rPr>
          <w:rFonts w:ascii="GHEA Grapalat" w:eastAsia="Times New Roman" w:hAnsi="GHEA Grapalat" w:cs="Times New Roman"/>
          <w:color w:val="auto"/>
          <w:szCs w:val="20"/>
          <w:lang w:val="af-ZA"/>
        </w:rPr>
        <w:t>,</w:t>
      </w:r>
      <w:r w:rsidR="0007258B" w:rsidRPr="0007258B">
        <w:rPr>
          <w:rFonts w:ascii="GHEA Grapalat" w:eastAsia="Times New Roman" w:hAnsi="GHEA Grapalat" w:cs="Times New Roman"/>
          <w:color w:val="auto"/>
          <w:szCs w:val="20"/>
          <w:lang w:val="af-ZA"/>
        </w:rPr>
        <w:t>086</w:t>
      </w:r>
      <w:r w:rsidRPr="0007258B">
        <w:rPr>
          <w:rFonts w:ascii="GHEA Grapalat" w:eastAsia="Times New Roman" w:hAnsi="GHEA Grapalat" w:cs="Times New Roman"/>
          <w:color w:val="auto"/>
          <w:szCs w:val="20"/>
          <w:lang w:val="af-ZA"/>
        </w:rPr>
        <w:t>.</w:t>
      </w:r>
      <w:r w:rsidR="0007258B" w:rsidRPr="0007258B">
        <w:rPr>
          <w:rFonts w:ascii="GHEA Grapalat" w:eastAsia="Times New Roman" w:hAnsi="GHEA Grapalat" w:cs="Times New Roman"/>
          <w:color w:val="auto"/>
          <w:szCs w:val="20"/>
          <w:lang w:val="af-ZA"/>
        </w:rPr>
        <w:t>8</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մլն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դրամի</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չափով</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մուտ</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քեր</w:t>
      </w:r>
      <w:r w:rsidRPr="0007258B">
        <w:rPr>
          <w:rFonts w:ascii="GHEA Grapalat" w:eastAsia="Times New Roman" w:hAnsi="GHEA Grapalat" w:cs="Times New Roman"/>
          <w:color w:val="auto"/>
          <w:szCs w:val="20"/>
          <w:lang w:val="hy-AM"/>
        </w:rPr>
        <w:t xml:space="preserve">, 2028 թվականին՝ </w:t>
      </w:r>
      <w:r w:rsidR="0007258B" w:rsidRPr="0007258B">
        <w:rPr>
          <w:rFonts w:ascii="GHEA Grapalat" w:eastAsia="Times New Roman" w:hAnsi="GHEA Grapalat" w:cs="Times New Roman"/>
          <w:color w:val="auto"/>
          <w:szCs w:val="20"/>
          <w:lang w:val="hy-AM"/>
        </w:rPr>
        <w:t>51</w:t>
      </w:r>
      <w:r w:rsidRPr="0007258B">
        <w:rPr>
          <w:rFonts w:ascii="GHEA Grapalat" w:eastAsia="Times New Roman" w:hAnsi="GHEA Grapalat" w:cs="Times New Roman"/>
          <w:color w:val="auto"/>
          <w:szCs w:val="20"/>
          <w:lang w:val="hy-AM"/>
        </w:rPr>
        <w:t>,</w:t>
      </w:r>
      <w:r w:rsidR="0007258B" w:rsidRPr="0007258B">
        <w:rPr>
          <w:rFonts w:ascii="GHEA Grapalat" w:eastAsia="Times New Roman" w:hAnsi="GHEA Grapalat" w:cs="Times New Roman"/>
          <w:color w:val="auto"/>
          <w:szCs w:val="20"/>
          <w:lang w:val="hy-AM"/>
        </w:rPr>
        <w:t>961</w:t>
      </w:r>
      <w:r w:rsidRPr="0007258B">
        <w:rPr>
          <w:rFonts w:ascii="GHEA Grapalat" w:eastAsia="Times New Roman" w:hAnsi="GHEA Grapalat" w:cs="Times New Roman"/>
          <w:color w:val="auto"/>
          <w:szCs w:val="20"/>
          <w:lang w:val="hy-AM"/>
        </w:rPr>
        <w:t>.</w:t>
      </w:r>
      <w:r w:rsidR="0007258B" w:rsidRPr="0007258B">
        <w:rPr>
          <w:rFonts w:ascii="GHEA Grapalat" w:eastAsia="Times New Roman" w:hAnsi="GHEA Grapalat" w:cs="Times New Roman"/>
          <w:color w:val="auto"/>
          <w:szCs w:val="20"/>
          <w:lang w:val="hy-AM"/>
        </w:rPr>
        <w:t>2</w:t>
      </w:r>
      <w:r w:rsidRPr="0007258B">
        <w:rPr>
          <w:rFonts w:ascii="GHEA Grapalat" w:eastAsia="Times New Roman" w:hAnsi="GHEA Grapalat" w:cs="Times New Roman"/>
          <w:color w:val="auto"/>
          <w:szCs w:val="20"/>
          <w:lang w:val="hy-AM"/>
        </w:rPr>
        <w:t xml:space="preserve"> մլն դրամ</w:t>
      </w:r>
      <w:r w:rsidRPr="0007258B">
        <w:rPr>
          <w:rFonts w:ascii="GHEA Grapalat" w:eastAsia="Times New Roman" w:hAnsi="GHEA Grapalat" w:cs="Times New Roman"/>
          <w:color w:val="auto"/>
          <w:szCs w:val="20"/>
          <w:lang w:val="af-ZA"/>
        </w:rPr>
        <w:t xml:space="preserve">, 2029 </w:t>
      </w:r>
      <w:r w:rsidRPr="0007258B">
        <w:rPr>
          <w:rFonts w:ascii="GHEA Grapalat" w:eastAsia="Times New Roman" w:hAnsi="GHEA Grapalat" w:cs="Times New Roman"/>
          <w:color w:val="auto"/>
          <w:szCs w:val="20"/>
          <w:lang w:val="hy-AM"/>
        </w:rPr>
        <w:t xml:space="preserve">թվականին՝ </w:t>
      </w:r>
      <w:r w:rsidR="0007258B" w:rsidRPr="0007258B">
        <w:rPr>
          <w:rFonts w:ascii="GHEA Grapalat" w:eastAsia="Times New Roman" w:hAnsi="GHEA Grapalat" w:cs="Times New Roman"/>
          <w:color w:val="auto"/>
          <w:szCs w:val="20"/>
          <w:lang w:val="hy-AM"/>
        </w:rPr>
        <w:t>53</w:t>
      </w:r>
      <w:r w:rsidRPr="0007258B">
        <w:rPr>
          <w:rFonts w:ascii="GHEA Grapalat" w:eastAsia="Times New Roman" w:hAnsi="GHEA Grapalat" w:cs="Times New Roman"/>
          <w:color w:val="auto"/>
          <w:szCs w:val="20"/>
          <w:lang w:val="hy-AM"/>
        </w:rPr>
        <w:t>,</w:t>
      </w:r>
      <w:r w:rsidR="0007258B" w:rsidRPr="0007258B">
        <w:rPr>
          <w:rFonts w:ascii="GHEA Grapalat" w:eastAsia="Times New Roman" w:hAnsi="GHEA Grapalat" w:cs="Times New Roman"/>
          <w:color w:val="auto"/>
          <w:szCs w:val="20"/>
          <w:lang w:val="hy-AM"/>
        </w:rPr>
        <w:t>288</w:t>
      </w:r>
      <w:r w:rsidRPr="0007258B">
        <w:rPr>
          <w:rFonts w:ascii="GHEA Grapalat" w:eastAsia="Times New Roman" w:hAnsi="GHEA Grapalat" w:cs="Times New Roman"/>
          <w:color w:val="auto"/>
          <w:szCs w:val="20"/>
          <w:lang w:val="af-ZA"/>
        </w:rPr>
        <w:t>.</w:t>
      </w:r>
      <w:r w:rsidR="0007258B" w:rsidRPr="0007258B">
        <w:rPr>
          <w:rFonts w:ascii="GHEA Grapalat" w:eastAsia="Times New Roman" w:hAnsi="GHEA Grapalat" w:cs="Times New Roman"/>
          <w:color w:val="auto"/>
          <w:szCs w:val="20"/>
          <w:lang w:val="hy-AM"/>
        </w:rPr>
        <w:t>8</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lang w:val="hy-AM"/>
        </w:rPr>
        <w:t>մլն դրամ</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Մաս</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նա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վո</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րա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պես</w:t>
      </w:r>
      <w:r w:rsidRPr="0007258B">
        <w:rPr>
          <w:rFonts w:ascii="GHEA Grapalat" w:eastAsia="Times New Roman" w:hAnsi="GHEA Grapalat" w:cs="Times New Roman"/>
          <w:color w:val="auto"/>
          <w:szCs w:val="20"/>
          <w:lang w:val="af-ZA"/>
        </w:rPr>
        <w:t>.</w:t>
      </w:r>
    </w:p>
    <w:p w14:paraId="053440BF" w14:textId="77777777" w:rsidR="00B43595" w:rsidRPr="000232DD" w:rsidRDefault="00B43595" w:rsidP="00082769">
      <w:pPr>
        <w:ind w:right="-22"/>
        <w:jc w:val="both"/>
        <w:rPr>
          <w:rFonts w:ascii="GHEA Grapalat" w:eastAsia="Times New Roman" w:hAnsi="GHEA Grapalat" w:cs="Times New Roman"/>
          <w:color w:val="auto"/>
          <w:szCs w:val="20"/>
          <w:lang w:val="af-ZA"/>
        </w:rPr>
      </w:pPr>
      <w:r w:rsidRPr="0007258B">
        <w:rPr>
          <w:rFonts w:ascii="GHEA Grapalat" w:eastAsia="Times New Roman" w:hAnsi="GHEA Grapalat" w:cs="Times New Roman"/>
          <w:color w:val="auto"/>
          <w:szCs w:val="20"/>
        </w:rPr>
        <w:t>Բանկերում</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և</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ֆինանսավարկային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հաստատություններում</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պետական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բյուջեի</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ժամանակավոր</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ազատ</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միջոցների</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տեղաբաշխումից</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և</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դեպոզիտներից</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ստաց</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վող</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տո</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կո</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սա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վճար</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նե</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րի</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գծով</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մուտ</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քերը</w:t>
      </w:r>
      <w:r w:rsidRPr="0007258B">
        <w:rPr>
          <w:rFonts w:ascii="GHEA Grapalat" w:eastAsia="Times New Roman" w:hAnsi="GHEA Grapalat" w:cs="Times New Roman"/>
          <w:color w:val="auto"/>
          <w:szCs w:val="20"/>
          <w:lang w:val="af-ZA"/>
        </w:rPr>
        <w:t xml:space="preserve"> 2027 </w:t>
      </w:r>
      <w:r w:rsidRPr="0007258B">
        <w:rPr>
          <w:rFonts w:ascii="GHEA Grapalat" w:eastAsia="Times New Roman" w:hAnsi="GHEA Grapalat" w:cs="Times New Roman"/>
          <w:color w:val="auto"/>
          <w:szCs w:val="20"/>
        </w:rPr>
        <w:t>թվականի</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համար</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ծրագրվել</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են</w:t>
      </w:r>
      <w:r w:rsidRPr="0007258B">
        <w:rPr>
          <w:rFonts w:ascii="GHEA Grapalat" w:eastAsia="Times New Roman" w:hAnsi="GHEA Grapalat" w:cs="Times New Roman"/>
          <w:color w:val="auto"/>
          <w:szCs w:val="20"/>
          <w:lang w:val="af-ZA"/>
        </w:rPr>
        <w:t xml:space="preserve"> 26,175.0 </w:t>
      </w:r>
      <w:r w:rsidRPr="0007258B">
        <w:rPr>
          <w:rFonts w:ascii="GHEA Grapalat" w:eastAsia="Times New Roman" w:hAnsi="GHEA Grapalat" w:cs="Times New Roman"/>
          <w:color w:val="auto"/>
          <w:szCs w:val="20"/>
        </w:rPr>
        <w:t>մլն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դրամ</w:t>
      </w:r>
      <w:r w:rsidRPr="0007258B">
        <w:rPr>
          <w:rFonts w:ascii="GHEA Grapalat" w:eastAsia="Times New Roman" w:hAnsi="GHEA Grapalat" w:cs="Times New Roman"/>
          <w:color w:val="auto"/>
          <w:szCs w:val="20"/>
          <w:lang w:val="hy-AM"/>
        </w:rPr>
        <w:t xml:space="preserve">, 2028 թվականին՝ </w:t>
      </w:r>
      <w:r w:rsidRPr="0007258B">
        <w:rPr>
          <w:rFonts w:ascii="GHEA Grapalat" w:eastAsia="Times New Roman" w:hAnsi="GHEA Grapalat" w:cs="Times New Roman"/>
          <w:color w:val="auto"/>
          <w:szCs w:val="20"/>
          <w:lang w:val="af-ZA"/>
        </w:rPr>
        <w:t>27,</w:t>
      </w:r>
      <w:r w:rsidRPr="0007258B">
        <w:rPr>
          <w:rFonts w:ascii="GHEA Grapalat" w:eastAsia="Times New Roman" w:hAnsi="GHEA Grapalat" w:cs="Times New Roman"/>
          <w:color w:val="auto"/>
          <w:szCs w:val="20"/>
          <w:lang w:val="hy-AM"/>
        </w:rPr>
        <w:t>887</w:t>
      </w:r>
      <w:r w:rsidRPr="0007258B">
        <w:rPr>
          <w:rFonts w:ascii="GHEA Grapalat" w:eastAsia="Times New Roman" w:hAnsi="GHEA Grapalat" w:cs="Times New Roman"/>
          <w:color w:val="auto"/>
          <w:szCs w:val="20"/>
          <w:lang w:val="af-ZA"/>
        </w:rPr>
        <w:t>.0</w:t>
      </w:r>
      <w:r w:rsidRPr="0007258B">
        <w:rPr>
          <w:rFonts w:ascii="GHEA Grapalat" w:eastAsia="Times New Roman" w:hAnsi="GHEA Grapalat" w:cs="Times New Roman"/>
          <w:color w:val="auto"/>
          <w:szCs w:val="20"/>
          <w:lang w:val="hy-AM"/>
        </w:rPr>
        <w:t xml:space="preserve"> մլն դրամ</w:t>
      </w:r>
      <w:r w:rsidRPr="0007258B">
        <w:rPr>
          <w:rFonts w:ascii="GHEA Grapalat" w:eastAsia="Times New Roman" w:hAnsi="GHEA Grapalat" w:cs="Times New Roman"/>
          <w:color w:val="auto"/>
          <w:szCs w:val="20"/>
          <w:lang w:val="af-ZA"/>
        </w:rPr>
        <w:t xml:space="preserve">, 2029 </w:t>
      </w:r>
      <w:r w:rsidRPr="0007258B">
        <w:rPr>
          <w:rFonts w:ascii="GHEA Grapalat" w:eastAsia="Times New Roman" w:hAnsi="GHEA Grapalat" w:cs="Times New Roman"/>
          <w:color w:val="auto"/>
          <w:szCs w:val="20"/>
          <w:lang w:val="hy-AM"/>
        </w:rPr>
        <w:t xml:space="preserve">թվականին՝ </w:t>
      </w:r>
      <w:r w:rsidRPr="0007258B">
        <w:rPr>
          <w:rFonts w:ascii="GHEA Grapalat" w:eastAsia="Times New Roman" w:hAnsi="GHEA Grapalat" w:cs="Times New Roman"/>
          <w:color w:val="auto"/>
          <w:szCs w:val="20"/>
          <w:lang w:val="af-ZA"/>
        </w:rPr>
        <w:t>28,</w:t>
      </w:r>
      <w:r w:rsidRPr="0007258B">
        <w:rPr>
          <w:rFonts w:ascii="GHEA Grapalat" w:eastAsia="Times New Roman" w:hAnsi="GHEA Grapalat" w:cs="Times New Roman"/>
          <w:color w:val="auto"/>
          <w:szCs w:val="20"/>
          <w:lang w:val="hy-AM"/>
        </w:rPr>
        <w:t>012</w:t>
      </w:r>
      <w:r w:rsidRPr="0007258B">
        <w:rPr>
          <w:rFonts w:ascii="GHEA Grapalat" w:eastAsia="Times New Roman" w:hAnsi="GHEA Grapalat" w:cs="Times New Roman"/>
          <w:color w:val="auto"/>
          <w:szCs w:val="20"/>
          <w:lang w:val="af-ZA"/>
        </w:rPr>
        <w:t>.</w:t>
      </w:r>
      <w:r w:rsidRPr="0007258B">
        <w:rPr>
          <w:rFonts w:ascii="GHEA Grapalat" w:eastAsia="Times New Roman" w:hAnsi="GHEA Grapalat" w:cs="Times New Roman"/>
          <w:color w:val="auto"/>
          <w:szCs w:val="20"/>
          <w:lang w:val="hy-AM"/>
        </w:rPr>
        <w:t>5</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lang w:val="hy-AM"/>
        </w:rPr>
        <w:t>մլն դրամ</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lang w:val="hy-AM"/>
        </w:rPr>
        <w:t>Մ</w:t>
      </w:r>
      <w:r w:rsidRPr="0007258B">
        <w:rPr>
          <w:rFonts w:ascii="GHEA Grapalat" w:eastAsia="Times New Roman" w:hAnsi="GHEA Grapalat" w:cs="Times New Roman"/>
          <w:color w:val="auto"/>
          <w:szCs w:val="20"/>
        </w:rPr>
        <w:t>ուտքերն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պա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հովվելու</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են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հիմնականում</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ի</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հա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շիվ</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ժա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մա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նա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կա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վորապես</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ազատ</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բյուջետային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մի</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ջոցները</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ՀՀ</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ԿԲ</w:t>
      </w:r>
      <w:r w:rsidRPr="0007258B">
        <w:rPr>
          <w:rFonts w:ascii="GHEA Grapalat" w:eastAsia="Times New Roman" w:hAnsi="GHEA Grapalat" w:cs="Times New Roman"/>
          <w:color w:val="auto"/>
          <w:szCs w:val="20"/>
          <w:lang w:val="af-ZA"/>
        </w:rPr>
        <w:t>-</w:t>
      </w:r>
      <w:r w:rsidRPr="0007258B">
        <w:rPr>
          <w:rFonts w:ascii="GHEA Grapalat" w:eastAsia="Times New Roman" w:hAnsi="GHEA Grapalat" w:cs="Times New Roman"/>
          <w:color w:val="auto"/>
          <w:szCs w:val="20"/>
        </w:rPr>
        <w:t>ում</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ավան</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դա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դնե</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լու</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դիմաց</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ՀՀ</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ԿԲ</w:t>
      </w:r>
      <w:r w:rsidRPr="0007258B">
        <w:rPr>
          <w:rFonts w:ascii="GHEA Grapalat" w:eastAsia="Times New Roman" w:hAnsi="GHEA Grapalat" w:cs="Times New Roman"/>
          <w:color w:val="auto"/>
          <w:szCs w:val="20"/>
          <w:lang w:val="af-ZA"/>
        </w:rPr>
        <w:t>-</w:t>
      </w:r>
      <w:r w:rsidRPr="0007258B">
        <w:rPr>
          <w:rFonts w:ascii="GHEA Grapalat" w:eastAsia="Times New Roman" w:hAnsi="GHEA Grapalat" w:cs="Times New Roman"/>
          <w:color w:val="auto"/>
          <w:szCs w:val="20"/>
        </w:rPr>
        <w:t>ի</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և</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ՀՀ</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ՖՆ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միջև</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կնք</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ված</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Հաշվի</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սպա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սարկման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մա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սին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պայ</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մանագրի</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հիման</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վրա</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վճար</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վե</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լիք</w:t>
      </w:r>
      <w:r w:rsidRPr="0007258B">
        <w:rPr>
          <w:rFonts w:ascii="GHEA Grapalat" w:eastAsia="Times New Roman" w:hAnsi="GHEA Grapalat" w:cs="Times New Roman"/>
          <w:color w:val="auto"/>
          <w:szCs w:val="20"/>
          <w:lang w:val="af-ZA"/>
        </w:rPr>
        <w:t xml:space="preserve"> </w:t>
      </w:r>
      <w:r w:rsidRPr="0007258B">
        <w:rPr>
          <w:rFonts w:ascii="GHEA Grapalat" w:eastAsia="Times New Roman" w:hAnsi="GHEA Grapalat" w:cs="Times New Roman"/>
          <w:color w:val="auto"/>
          <w:szCs w:val="20"/>
        </w:rPr>
        <w:t>տո</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կո</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սա</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վճար</w:t>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lang w:val="af-ZA"/>
        </w:rPr>
        <w:softHyphen/>
      </w:r>
      <w:r w:rsidRPr="0007258B">
        <w:rPr>
          <w:rFonts w:ascii="GHEA Grapalat" w:eastAsia="Times New Roman" w:hAnsi="GHEA Grapalat" w:cs="Times New Roman"/>
          <w:color w:val="auto"/>
          <w:szCs w:val="20"/>
        </w:rPr>
        <w:t>ների</w:t>
      </w:r>
      <w:r w:rsidRPr="0007258B">
        <w:rPr>
          <w:rFonts w:ascii="GHEA Grapalat" w:eastAsia="Times New Roman" w:hAnsi="GHEA Grapalat" w:cs="Times New Roman"/>
          <w:color w:val="auto"/>
          <w:szCs w:val="20"/>
          <w:lang w:val="af-ZA"/>
        </w:rPr>
        <w:t>:</w:t>
      </w:r>
    </w:p>
    <w:p w14:paraId="40A48E71" w14:textId="38310996" w:rsidR="00B43595" w:rsidRPr="000232DD" w:rsidRDefault="00B43595" w:rsidP="00082769">
      <w:pPr>
        <w:ind w:right="-22"/>
        <w:jc w:val="both"/>
        <w:rPr>
          <w:rFonts w:ascii="GHEA Grapalat" w:eastAsia="Times New Roman" w:hAnsi="GHEA Grapalat" w:cs="Times New Roman"/>
          <w:color w:val="auto"/>
          <w:szCs w:val="20"/>
          <w:lang w:val="af-ZA"/>
        </w:rPr>
      </w:pPr>
      <w:r w:rsidRPr="000232DD">
        <w:rPr>
          <w:rFonts w:ascii="GHEA Grapalat" w:eastAsia="Times New Roman" w:hAnsi="GHEA Grapalat" w:cs="Times New Roman"/>
          <w:color w:val="auto"/>
          <w:szCs w:val="20"/>
        </w:rPr>
        <w:t>Իրավաբանական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անձանց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կապիտալում</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կատարված</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ներդրումներից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ստացվող</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շա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հա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բա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ժին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ներից</w:t>
      </w:r>
      <w:r w:rsidRPr="000232DD">
        <w:rPr>
          <w:rFonts w:ascii="GHEA Grapalat" w:eastAsia="Times New Roman" w:hAnsi="GHEA Grapalat" w:cs="Times New Roman"/>
          <w:color w:val="auto"/>
          <w:szCs w:val="20"/>
          <w:lang w:val="af-ZA"/>
        </w:rPr>
        <w:t xml:space="preserve"> 2027 </w:t>
      </w:r>
      <w:r w:rsidRPr="000232DD">
        <w:rPr>
          <w:rFonts w:ascii="GHEA Grapalat" w:eastAsia="Times New Roman" w:hAnsi="GHEA Grapalat" w:cs="Times New Roman"/>
          <w:color w:val="auto"/>
          <w:szCs w:val="20"/>
        </w:rPr>
        <w:t>թվականին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ակնկալվում</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են</w:t>
      </w:r>
      <w:r w:rsidRPr="000232DD">
        <w:rPr>
          <w:rFonts w:ascii="GHEA Grapalat" w:eastAsia="Times New Roman" w:hAnsi="GHEA Grapalat" w:cs="Times New Roman"/>
          <w:color w:val="auto"/>
          <w:szCs w:val="20"/>
          <w:lang w:val="af-ZA"/>
        </w:rPr>
        <w:t xml:space="preserve"> </w:t>
      </w:r>
      <w:r w:rsidR="0007258B">
        <w:rPr>
          <w:rFonts w:ascii="GHEA Grapalat" w:eastAsia="Times New Roman" w:hAnsi="GHEA Grapalat" w:cs="Times New Roman"/>
          <w:color w:val="auto"/>
          <w:szCs w:val="20"/>
          <w:lang w:val="af-ZA"/>
        </w:rPr>
        <w:t>26</w:t>
      </w:r>
      <w:r w:rsidRPr="000232DD">
        <w:rPr>
          <w:rFonts w:ascii="GHEA Grapalat" w:eastAsia="Times New Roman" w:hAnsi="GHEA Grapalat" w:cs="Times New Roman"/>
          <w:color w:val="auto"/>
          <w:szCs w:val="20"/>
          <w:lang w:val="af-ZA"/>
        </w:rPr>
        <w:t>,</w:t>
      </w:r>
      <w:r w:rsidR="0007258B">
        <w:rPr>
          <w:rFonts w:ascii="GHEA Grapalat" w:eastAsia="Times New Roman" w:hAnsi="GHEA Grapalat" w:cs="Times New Roman"/>
          <w:color w:val="auto"/>
          <w:szCs w:val="20"/>
          <w:lang w:val="af-ZA"/>
        </w:rPr>
        <w:t>911</w:t>
      </w:r>
      <w:r w:rsidRPr="000232DD">
        <w:rPr>
          <w:rFonts w:ascii="GHEA Grapalat" w:eastAsia="Times New Roman" w:hAnsi="GHEA Grapalat" w:cs="Times New Roman"/>
          <w:color w:val="auto"/>
          <w:szCs w:val="20"/>
          <w:lang w:val="af-ZA"/>
        </w:rPr>
        <w:t>.</w:t>
      </w:r>
      <w:r w:rsidR="0007258B">
        <w:rPr>
          <w:rFonts w:ascii="GHEA Grapalat" w:eastAsia="Times New Roman" w:hAnsi="GHEA Grapalat" w:cs="Times New Roman"/>
          <w:color w:val="auto"/>
          <w:szCs w:val="20"/>
          <w:lang w:val="af-ZA"/>
        </w:rPr>
        <w:t>8</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մլն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դրամի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մուտքեր</w:t>
      </w:r>
      <w:r w:rsidRPr="000232DD">
        <w:rPr>
          <w:rFonts w:ascii="GHEA Grapalat" w:eastAsia="Times New Roman" w:hAnsi="GHEA Grapalat" w:cs="Times New Roman"/>
          <w:color w:val="auto"/>
          <w:szCs w:val="20"/>
          <w:lang w:val="hy-AM"/>
        </w:rPr>
        <w:t xml:space="preserve">, 2028 թվականին՝ </w:t>
      </w:r>
      <w:r w:rsidR="0007258B">
        <w:rPr>
          <w:rFonts w:ascii="GHEA Grapalat" w:eastAsia="Times New Roman" w:hAnsi="GHEA Grapalat" w:cs="Times New Roman"/>
          <w:color w:val="auto"/>
          <w:szCs w:val="20"/>
          <w:lang w:val="hy-AM"/>
        </w:rPr>
        <w:t>2</w:t>
      </w:r>
      <w:r w:rsidRPr="000232DD">
        <w:rPr>
          <w:rFonts w:ascii="GHEA Grapalat" w:eastAsia="Times New Roman" w:hAnsi="GHEA Grapalat" w:cs="Times New Roman"/>
          <w:color w:val="auto"/>
          <w:szCs w:val="20"/>
          <w:lang w:val="af-ZA"/>
        </w:rPr>
        <w:t>4,</w:t>
      </w:r>
      <w:r w:rsidR="0007258B">
        <w:rPr>
          <w:rFonts w:ascii="GHEA Grapalat" w:eastAsia="Times New Roman" w:hAnsi="GHEA Grapalat" w:cs="Times New Roman"/>
          <w:color w:val="auto"/>
          <w:szCs w:val="20"/>
          <w:lang w:val="hy-AM"/>
        </w:rPr>
        <w:t>074</w:t>
      </w:r>
      <w:r w:rsidRPr="000232DD">
        <w:rPr>
          <w:rFonts w:ascii="GHEA Grapalat" w:eastAsia="Times New Roman" w:hAnsi="GHEA Grapalat" w:cs="Times New Roman"/>
          <w:color w:val="auto"/>
          <w:szCs w:val="20"/>
          <w:lang w:val="af-ZA"/>
        </w:rPr>
        <w:t>.</w:t>
      </w:r>
      <w:r w:rsidR="0007258B">
        <w:rPr>
          <w:rFonts w:ascii="GHEA Grapalat" w:eastAsia="Times New Roman" w:hAnsi="GHEA Grapalat" w:cs="Times New Roman"/>
          <w:color w:val="auto"/>
          <w:szCs w:val="20"/>
          <w:lang w:val="af-ZA"/>
        </w:rPr>
        <w:t>2</w:t>
      </w:r>
      <w:r w:rsidRPr="000232DD">
        <w:rPr>
          <w:rFonts w:ascii="GHEA Grapalat" w:eastAsia="Times New Roman" w:hAnsi="GHEA Grapalat" w:cs="Times New Roman"/>
          <w:color w:val="auto"/>
          <w:szCs w:val="20"/>
          <w:lang w:val="hy-AM"/>
        </w:rPr>
        <w:t xml:space="preserve"> մլն դրամի</w:t>
      </w:r>
      <w:r w:rsidRPr="000232DD">
        <w:rPr>
          <w:rFonts w:ascii="GHEA Grapalat" w:eastAsia="Times New Roman" w:hAnsi="GHEA Grapalat" w:cs="Times New Roman"/>
          <w:color w:val="auto"/>
          <w:szCs w:val="20"/>
          <w:lang w:val="af-ZA"/>
        </w:rPr>
        <w:t>,</w:t>
      </w:r>
      <w:r w:rsidRPr="000232DD">
        <w:rPr>
          <w:rFonts w:ascii="GHEA Grapalat" w:eastAsia="Times New Roman" w:hAnsi="GHEA Grapalat" w:cs="Times New Roman"/>
          <w:color w:val="auto"/>
          <w:szCs w:val="20"/>
          <w:lang w:val="hy-AM"/>
        </w:rPr>
        <w:t xml:space="preserve"> իսկ</w:t>
      </w:r>
      <w:r w:rsidRPr="000232DD">
        <w:rPr>
          <w:rFonts w:ascii="GHEA Grapalat" w:eastAsia="Times New Roman" w:hAnsi="GHEA Grapalat" w:cs="Times New Roman"/>
          <w:color w:val="auto"/>
          <w:szCs w:val="20"/>
          <w:lang w:val="af-ZA"/>
        </w:rPr>
        <w:t xml:space="preserve"> 2029 </w:t>
      </w:r>
      <w:r w:rsidRPr="000232DD">
        <w:rPr>
          <w:rFonts w:ascii="GHEA Grapalat" w:eastAsia="Times New Roman" w:hAnsi="GHEA Grapalat" w:cs="Times New Roman"/>
          <w:color w:val="auto"/>
          <w:szCs w:val="20"/>
          <w:lang w:val="hy-AM"/>
        </w:rPr>
        <w:t xml:space="preserve">թվականին՝ </w:t>
      </w:r>
      <w:r w:rsidR="0007258B">
        <w:rPr>
          <w:rFonts w:ascii="GHEA Grapalat" w:eastAsia="Times New Roman" w:hAnsi="GHEA Grapalat" w:cs="Times New Roman"/>
          <w:color w:val="auto"/>
          <w:szCs w:val="20"/>
          <w:lang w:val="hy-AM"/>
        </w:rPr>
        <w:t>2</w:t>
      </w:r>
      <w:r w:rsidRPr="000232DD">
        <w:rPr>
          <w:rFonts w:ascii="GHEA Grapalat" w:eastAsia="Times New Roman" w:hAnsi="GHEA Grapalat" w:cs="Times New Roman"/>
          <w:color w:val="auto"/>
          <w:szCs w:val="20"/>
          <w:lang w:val="hy-AM"/>
        </w:rPr>
        <w:t>5</w:t>
      </w:r>
      <w:r w:rsidRPr="000232DD">
        <w:rPr>
          <w:rFonts w:ascii="GHEA Grapalat" w:eastAsia="Times New Roman" w:hAnsi="GHEA Grapalat" w:cs="Times New Roman"/>
          <w:color w:val="auto"/>
          <w:szCs w:val="20"/>
          <w:lang w:val="af-ZA"/>
        </w:rPr>
        <w:t>,</w:t>
      </w:r>
      <w:r w:rsidR="0007258B">
        <w:rPr>
          <w:rFonts w:ascii="GHEA Grapalat" w:eastAsia="Times New Roman" w:hAnsi="GHEA Grapalat" w:cs="Times New Roman"/>
          <w:color w:val="auto"/>
          <w:szCs w:val="20"/>
          <w:lang w:val="hy-AM"/>
        </w:rPr>
        <w:t>276</w:t>
      </w:r>
      <w:r w:rsidRPr="000232DD">
        <w:rPr>
          <w:rFonts w:ascii="GHEA Grapalat" w:eastAsia="Times New Roman" w:hAnsi="GHEA Grapalat" w:cs="Times New Roman"/>
          <w:color w:val="auto"/>
          <w:szCs w:val="20"/>
          <w:lang w:val="af-ZA"/>
        </w:rPr>
        <w:t>.</w:t>
      </w:r>
      <w:r w:rsidR="0007258B">
        <w:rPr>
          <w:rFonts w:ascii="GHEA Grapalat" w:eastAsia="Times New Roman" w:hAnsi="GHEA Grapalat" w:cs="Times New Roman"/>
          <w:color w:val="auto"/>
          <w:szCs w:val="20"/>
          <w:lang w:val="hy-AM"/>
        </w:rPr>
        <w:t>3</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մլն դրամի չափով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Շահաբաժինների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գծով</w:t>
      </w:r>
      <w:r w:rsidRPr="000232DD">
        <w:rPr>
          <w:rFonts w:ascii="GHEA Grapalat" w:eastAsia="Times New Roman" w:hAnsi="GHEA Grapalat" w:cs="Times New Roman"/>
          <w:color w:val="auto"/>
          <w:szCs w:val="20"/>
          <w:lang w:val="af-ZA"/>
        </w:rPr>
        <w:t xml:space="preserve"> 2027 </w:t>
      </w:r>
      <w:r w:rsidRPr="000232DD">
        <w:rPr>
          <w:rFonts w:ascii="GHEA Grapalat" w:eastAsia="Times New Roman" w:hAnsi="GHEA Grapalat" w:cs="Times New Roman"/>
          <w:color w:val="auto"/>
          <w:szCs w:val="20"/>
        </w:rPr>
        <w:t>թվա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կանի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կանխատեսվող</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մուտքերը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ծրագ</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րե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լիս</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հաշվի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է</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առնվել</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ՀՀ</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կառավարության</w:t>
      </w:r>
      <w:r w:rsidRPr="000232DD">
        <w:rPr>
          <w:rFonts w:ascii="GHEA Grapalat" w:eastAsia="Times New Roman" w:hAnsi="GHEA Grapalat" w:cs="Times New Roman"/>
          <w:color w:val="auto"/>
          <w:szCs w:val="20"/>
          <w:lang w:val="af-ZA"/>
        </w:rPr>
        <w:t xml:space="preserve"> 2011 </w:t>
      </w:r>
      <w:r w:rsidRPr="000232DD">
        <w:rPr>
          <w:rFonts w:ascii="GHEA Grapalat" w:eastAsia="Times New Roman" w:hAnsi="GHEA Grapalat" w:cs="Times New Roman"/>
          <w:color w:val="auto"/>
          <w:szCs w:val="20"/>
        </w:rPr>
        <w:t>թվա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կանի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մարտի</w:t>
      </w:r>
      <w:r w:rsidRPr="000232DD">
        <w:rPr>
          <w:rFonts w:ascii="GHEA Grapalat" w:eastAsia="Times New Roman" w:hAnsi="GHEA Grapalat" w:cs="Times New Roman"/>
          <w:color w:val="auto"/>
          <w:szCs w:val="20"/>
          <w:lang w:val="af-ZA"/>
        </w:rPr>
        <w:t xml:space="preserve"> 3-</w:t>
      </w:r>
      <w:r w:rsidRPr="000232DD">
        <w:rPr>
          <w:rFonts w:ascii="GHEA Grapalat" w:eastAsia="Times New Roman" w:hAnsi="GHEA Grapalat" w:cs="Times New Roman"/>
          <w:color w:val="auto"/>
          <w:szCs w:val="20"/>
        </w:rPr>
        <w:t>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Պետության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սե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փա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նու</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թյուն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դի</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սա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ցող</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բաժնեմաս</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ունեցող</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առևտրային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կազմակերպությունների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շահույթի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բաշխման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շա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հու</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թա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բա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ժին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նե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հաշ</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վարկ</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և</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Հայաստանի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րա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պե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տու</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թյան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պետական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բյուջե</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վճար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գը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հաս</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տա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տելու</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և</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յաստանի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րա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պե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տու</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թյան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կառավարության</w:t>
      </w:r>
      <w:r w:rsidRPr="000232DD">
        <w:rPr>
          <w:rFonts w:ascii="GHEA Grapalat" w:eastAsia="Times New Roman" w:hAnsi="GHEA Grapalat" w:cs="Times New Roman"/>
          <w:color w:val="auto"/>
          <w:szCs w:val="20"/>
          <w:lang w:val="af-ZA"/>
        </w:rPr>
        <w:t xml:space="preserve"> 2001 </w:t>
      </w:r>
      <w:r w:rsidRPr="000232DD">
        <w:rPr>
          <w:rFonts w:ascii="GHEA Grapalat" w:eastAsia="Times New Roman" w:hAnsi="GHEA Grapalat" w:cs="Times New Roman"/>
          <w:color w:val="auto"/>
          <w:szCs w:val="20"/>
        </w:rPr>
        <w:t>թվա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նի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դեկ</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տեմ</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բերի</w:t>
      </w:r>
      <w:r w:rsidRPr="000232DD">
        <w:rPr>
          <w:rFonts w:ascii="GHEA Grapalat" w:eastAsia="Times New Roman" w:hAnsi="GHEA Grapalat" w:cs="Times New Roman"/>
          <w:color w:val="auto"/>
          <w:szCs w:val="20"/>
          <w:lang w:val="af-ZA"/>
        </w:rPr>
        <w:t xml:space="preserve"> 5-</w:t>
      </w:r>
      <w:r w:rsidRPr="000232DD">
        <w:rPr>
          <w:rFonts w:ascii="GHEA Grapalat" w:eastAsia="Times New Roman" w:hAnsi="GHEA Grapalat" w:cs="Times New Roman"/>
          <w:color w:val="auto"/>
          <w:szCs w:val="20"/>
        </w:rPr>
        <w:t>ի</w:t>
      </w:r>
      <w:r w:rsidRPr="000232DD">
        <w:rPr>
          <w:rFonts w:ascii="GHEA Grapalat" w:eastAsia="Times New Roman" w:hAnsi="GHEA Grapalat" w:cs="Times New Roman"/>
          <w:color w:val="auto"/>
          <w:szCs w:val="20"/>
          <w:lang w:val="af-ZA"/>
        </w:rPr>
        <w:t xml:space="preserve"> N 1194 </w:t>
      </w:r>
      <w:r w:rsidRPr="000232DD">
        <w:rPr>
          <w:rFonts w:ascii="GHEA Grapalat" w:eastAsia="Times New Roman" w:hAnsi="GHEA Grapalat" w:cs="Times New Roman"/>
          <w:color w:val="auto"/>
          <w:szCs w:val="20"/>
        </w:rPr>
        <w:t>որոշ</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մեջ</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փոփոխություն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կատարելու</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մասին</w:t>
      </w:r>
      <w:r w:rsidRPr="000232DD">
        <w:rPr>
          <w:rFonts w:ascii="GHEA Grapalat" w:eastAsia="Times New Roman" w:hAnsi="GHEA Grapalat" w:cs="Times New Roman"/>
          <w:color w:val="auto"/>
          <w:szCs w:val="20"/>
          <w:lang w:val="af-ZA"/>
        </w:rPr>
        <w:t>» N 202-</w:t>
      </w:r>
      <w:r w:rsidRPr="000232DD">
        <w:rPr>
          <w:rFonts w:ascii="GHEA Grapalat" w:eastAsia="Times New Roman" w:hAnsi="GHEA Grapalat" w:cs="Times New Roman"/>
          <w:color w:val="auto"/>
          <w:szCs w:val="20"/>
        </w:rPr>
        <w:t>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որոշ</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մամբ</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հաս</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տատ</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ված</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գի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համաձայն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պե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տա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մաս</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նակ</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ցու</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թյան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դիմաց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պե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տա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բյու</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ջե</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վճարման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են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թա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տա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րե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շահութաբաժինների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հաշվարկման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բազայի</w:t>
      </w:r>
      <w:r w:rsidRPr="000232DD">
        <w:rPr>
          <w:rFonts w:ascii="GHEA Grapalat" w:eastAsia="Times New Roman" w:hAnsi="GHEA Grapalat" w:cs="Times New Roman"/>
          <w:color w:val="auto"/>
          <w:szCs w:val="20"/>
          <w:lang w:val="af-ZA"/>
        </w:rPr>
        <w:t xml:space="preserve"> 50%</w:t>
      </w:r>
      <w:r w:rsidRPr="000232DD">
        <w:rPr>
          <w:rFonts w:ascii="GHEA Grapalat" w:eastAsia="Times New Roman" w:hAnsi="GHEA Grapalat" w:cs="Times New Roman"/>
          <w:color w:val="auto"/>
          <w:szCs w:val="20"/>
          <w:lang w:val="af-ZA"/>
        </w:rPr>
        <w:noBreakHyphen/>
      </w:r>
      <w:r w:rsidRPr="000232DD">
        <w:rPr>
          <w:rFonts w:ascii="GHEA Grapalat" w:eastAsia="Times New Roman" w:hAnsi="GHEA Grapalat" w:cs="Times New Roman"/>
          <w:color w:val="auto"/>
          <w:szCs w:val="20"/>
        </w:rPr>
        <w:t>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չա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փով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պետական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բյուջե</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տար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վե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լիք</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մաս</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հանումների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սահմանումը</w:t>
      </w:r>
      <w:r w:rsidRPr="000232DD">
        <w:rPr>
          <w:rFonts w:ascii="GHEA Grapalat" w:eastAsia="Times New Roman" w:hAnsi="GHEA Grapalat" w:cs="Times New Roman"/>
          <w:color w:val="auto"/>
          <w:szCs w:val="20"/>
          <w:lang w:val="af-ZA"/>
        </w:rPr>
        <w:t>:</w:t>
      </w:r>
    </w:p>
    <w:p w14:paraId="03F96197" w14:textId="77777777" w:rsidR="00B43595" w:rsidRPr="000232DD" w:rsidRDefault="00B43595"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rPr>
        <w:t>Պետության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կողմից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ՀՀ ռեզիդենտներին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տրված</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վարկերի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օգտագործման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դիմաց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տոկոսավճարները</w:t>
      </w:r>
      <w:r w:rsidRPr="000232DD">
        <w:rPr>
          <w:rFonts w:ascii="GHEA Grapalat" w:eastAsia="Times New Roman" w:hAnsi="GHEA Grapalat" w:cs="Times New Roman"/>
          <w:color w:val="auto"/>
          <w:szCs w:val="20"/>
          <w:lang w:val="af-ZA"/>
        </w:rPr>
        <w:t xml:space="preserve"> 2027 </w:t>
      </w:r>
      <w:r w:rsidRPr="000232DD">
        <w:rPr>
          <w:rFonts w:ascii="GHEA Grapalat" w:eastAsia="Times New Roman" w:hAnsi="GHEA Grapalat" w:cs="Times New Roman"/>
          <w:color w:val="auto"/>
          <w:szCs w:val="20"/>
        </w:rPr>
        <w:t>թվա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կանին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կանխատեսվում</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են</w:t>
      </w:r>
      <w:r w:rsidRPr="000232DD">
        <w:rPr>
          <w:rFonts w:ascii="GHEA Grapalat" w:eastAsia="Times New Roman" w:hAnsi="GHEA Grapalat" w:cs="Times New Roman"/>
          <w:color w:val="auto"/>
          <w:szCs w:val="20"/>
          <w:lang w:val="af-ZA"/>
        </w:rPr>
        <w:t xml:space="preserve"> 9,655.6 </w:t>
      </w:r>
      <w:r w:rsidRPr="000232DD">
        <w:rPr>
          <w:rFonts w:ascii="GHEA Grapalat" w:eastAsia="Times New Roman" w:hAnsi="GHEA Grapalat" w:cs="Times New Roman"/>
          <w:color w:val="auto"/>
          <w:szCs w:val="20"/>
        </w:rPr>
        <w:t>մլն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դրամ</w:t>
      </w:r>
      <w:r w:rsidRPr="000232DD">
        <w:rPr>
          <w:rFonts w:ascii="GHEA Grapalat" w:eastAsia="Times New Roman" w:hAnsi="GHEA Grapalat" w:cs="Times New Roman"/>
          <w:color w:val="auto"/>
          <w:szCs w:val="20"/>
          <w:lang w:val="hy-AM"/>
        </w:rPr>
        <w:t>, 2028 թվականին</w:t>
      </w:r>
      <w:r w:rsidRPr="000232DD">
        <w:rPr>
          <w:rFonts w:ascii="GHEA Grapalat" w:eastAsia="Times New Roman" w:hAnsi="GHEA Grapalat" w:cs="Times New Roman"/>
          <w:color w:val="auto"/>
          <w:szCs w:val="20"/>
          <w:lang w:val="af-ZA"/>
        </w:rPr>
        <w:t>`</w:t>
      </w:r>
      <w:r w:rsidRPr="000232DD">
        <w:rPr>
          <w:rFonts w:ascii="GHEA Grapalat" w:eastAsia="Times New Roman" w:hAnsi="GHEA Grapalat" w:cs="Times New Roman"/>
          <w:color w:val="auto"/>
          <w:szCs w:val="20"/>
          <w:lang w:val="hy-AM"/>
        </w:rPr>
        <w:t xml:space="preserve"> 7,735</w:t>
      </w:r>
      <w:r w:rsidRPr="000232DD">
        <w:rPr>
          <w:rFonts w:ascii="GHEA Grapalat" w:eastAsia="Times New Roman" w:hAnsi="GHEA Grapalat" w:cs="Times New Roman"/>
          <w:color w:val="auto"/>
          <w:szCs w:val="20"/>
          <w:lang w:val="af-ZA"/>
        </w:rPr>
        <w:t>.</w:t>
      </w:r>
      <w:r w:rsidRPr="000232DD">
        <w:rPr>
          <w:rFonts w:ascii="GHEA Grapalat" w:eastAsia="Times New Roman" w:hAnsi="GHEA Grapalat" w:cs="Times New Roman"/>
          <w:color w:val="auto"/>
          <w:szCs w:val="20"/>
          <w:lang w:val="hy-AM"/>
        </w:rPr>
        <w:t>4</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մլն դրամ</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իսկ</w:t>
      </w:r>
      <w:r w:rsidRPr="000232DD">
        <w:rPr>
          <w:rFonts w:ascii="GHEA Grapalat" w:eastAsia="Times New Roman" w:hAnsi="GHEA Grapalat" w:cs="Times New Roman"/>
          <w:color w:val="auto"/>
          <w:szCs w:val="20"/>
          <w:lang w:val="af-ZA"/>
        </w:rPr>
        <w:t xml:space="preserve"> 2029</w:t>
      </w:r>
      <w:r w:rsidRPr="000232DD">
        <w:rPr>
          <w:rFonts w:ascii="GHEA Grapalat" w:eastAsia="Times New Roman" w:hAnsi="GHEA Grapalat" w:cs="Times New Roman"/>
          <w:color w:val="auto"/>
          <w:szCs w:val="20"/>
          <w:lang w:val="hy-AM"/>
        </w:rPr>
        <w:t xml:space="preserve"> թվականին՝ 6,670</w:t>
      </w:r>
      <w:r w:rsidRPr="000232DD">
        <w:rPr>
          <w:rFonts w:ascii="GHEA Grapalat" w:eastAsia="Times New Roman" w:hAnsi="GHEA Grapalat" w:cs="Times New Roman"/>
          <w:color w:val="auto"/>
          <w:szCs w:val="20"/>
          <w:lang w:val="af-ZA"/>
        </w:rPr>
        <w:t>.7</w:t>
      </w:r>
      <w:r w:rsidRPr="000232DD">
        <w:rPr>
          <w:rFonts w:ascii="GHEA Grapalat" w:eastAsia="Times New Roman" w:hAnsi="GHEA Grapalat" w:cs="Times New Roman"/>
          <w:color w:val="auto"/>
          <w:szCs w:val="20"/>
          <w:lang w:val="hy-AM"/>
        </w:rPr>
        <w:t xml:space="preserve"> մլն դրամ՝</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հաշվի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առնելով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հա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մա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պա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տաս</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խան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պայ</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մա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նա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գրերով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նախատեսված</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դրույթները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Մաս</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նա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վո</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րա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պես</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տոկոսավճարների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գծով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մուտ</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քերն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ապահովվելու</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են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հա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շիվ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Բարձրավոլտ</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էլեկ</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տրա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ցան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ցեր</w:t>
      </w:r>
      <w:r w:rsidRPr="000232DD">
        <w:rPr>
          <w:rFonts w:ascii="GHEA Grapalat" w:eastAsia="Times New Roman" w:hAnsi="GHEA Grapalat" w:cs="Times New Roman"/>
          <w:color w:val="auto"/>
          <w:szCs w:val="20"/>
          <w:lang w:val="af-ZA"/>
        </w:rPr>
        <w:t>», «</w:t>
      </w:r>
      <w:r w:rsidRPr="000232DD">
        <w:rPr>
          <w:rFonts w:ascii="GHEA Grapalat" w:eastAsia="Times New Roman" w:hAnsi="GHEA Grapalat" w:cs="Times New Roman"/>
          <w:color w:val="auto"/>
          <w:szCs w:val="20"/>
          <w:lang w:val="hy-AM"/>
        </w:rPr>
        <w:t>Հայկական ատոմակայան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ՓԲԸ</w:t>
      </w:r>
      <w:r w:rsidRPr="000232DD">
        <w:rPr>
          <w:rFonts w:ascii="GHEA Grapalat" w:eastAsia="Times New Roman" w:hAnsi="GHEA Grapalat" w:cs="Times New Roman"/>
          <w:color w:val="auto"/>
          <w:szCs w:val="20"/>
          <w:lang w:val="af-ZA"/>
        </w:rPr>
        <w:t>-</w:t>
      </w:r>
      <w:r w:rsidRPr="000232DD">
        <w:rPr>
          <w:rFonts w:ascii="GHEA Grapalat" w:eastAsia="Times New Roman" w:hAnsi="GHEA Grapalat" w:cs="Times New Roman"/>
          <w:color w:val="auto"/>
          <w:szCs w:val="20"/>
          <w:lang w:val="hy-AM"/>
        </w:rPr>
        <w:t>ներին</w:t>
      </w:r>
      <w:r w:rsidRPr="000232DD">
        <w:rPr>
          <w:rFonts w:ascii="GHEA Grapalat" w:eastAsia="Times New Roman" w:hAnsi="GHEA Grapalat" w:cs="Times New Roman"/>
          <w:color w:val="auto"/>
          <w:szCs w:val="20"/>
          <w:lang w:val="af-ZA"/>
        </w:rPr>
        <w:t>, «</w:t>
      </w:r>
      <w:r w:rsidRPr="000232DD">
        <w:rPr>
          <w:rFonts w:ascii="GHEA Grapalat" w:eastAsia="Times New Roman" w:hAnsi="GHEA Grapalat" w:cs="Times New Roman"/>
          <w:color w:val="auto"/>
          <w:szCs w:val="20"/>
          <w:lang w:val="hy-AM"/>
        </w:rPr>
        <w:t>Երևանի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Ջերմաէլեկտրակենտրոն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ՓԲԸ</w:t>
      </w:r>
      <w:r w:rsidRPr="000232DD">
        <w:rPr>
          <w:rFonts w:ascii="GHEA Grapalat" w:eastAsia="Times New Roman" w:hAnsi="GHEA Grapalat" w:cs="Times New Roman"/>
          <w:color w:val="auto"/>
          <w:szCs w:val="20"/>
          <w:lang w:val="af-ZA"/>
        </w:rPr>
        <w:t>-</w:t>
      </w:r>
      <w:r w:rsidRPr="000232DD">
        <w:rPr>
          <w:rFonts w:ascii="GHEA Grapalat" w:eastAsia="Times New Roman" w:hAnsi="GHEA Grapalat" w:cs="Times New Roman"/>
          <w:color w:val="auto"/>
          <w:szCs w:val="20"/>
          <w:lang w:val="hy-AM"/>
        </w:rPr>
        <w:t>ին</w:t>
      </w:r>
      <w:r w:rsidRPr="000232DD">
        <w:rPr>
          <w:rFonts w:ascii="GHEA Grapalat" w:eastAsia="Times New Roman" w:hAnsi="GHEA Grapalat" w:cs="Times New Roman"/>
          <w:color w:val="auto"/>
          <w:szCs w:val="20"/>
          <w:lang w:val="af-ZA"/>
        </w:rPr>
        <w:t>,</w:t>
      </w:r>
      <w:r w:rsidRPr="000232DD">
        <w:rPr>
          <w:rFonts w:ascii="GHEA Grapalat" w:eastAsia="Times New Roman" w:hAnsi="GHEA Grapalat" w:cs="Times New Roman"/>
          <w:color w:val="auto"/>
          <w:szCs w:val="20"/>
          <w:lang w:val="hy-AM"/>
        </w:rPr>
        <w:t xml:space="preserve"> </w:t>
      </w:r>
      <w:r w:rsidRPr="000232DD">
        <w:rPr>
          <w:rFonts w:ascii="GHEA Grapalat" w:eastAsia="Times New Roman" w:hAnsi="GHEA Grapalat" w:cs="Times New Roman"/>
          <w:color w:val="auto"/>
          <w:szCs w:val="20"/>
          <w:lang w:val="af-ZA"/>
        </w:rPr>
        <w:t>«</w:t>
      </w:r>
      <w:r w:rsidRPr="000232DD">
        <w:rPr>
          <w:rFonts w:ascii="GHEA Grapalat" w:eastAsia="Times New Roman" w:hAnsi="GHEA Grapalat" w:cs="Times New Roman"/>
          <w:color w:val="auto"/>
          <w:szCs w:val="20"/>
          <w:lang w:val="hy-AM"/>
        </w:rPr>
        <w:t>Դի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ընդ</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Էյջ</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Գրուպ</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ՍՊԸ</w:t>
      </w:r>
      <w:r w:rsidRPr="000232DD">
        <w:rPr>
          <w:rFonts w:ascii="GHEA Grapalat" w:eastAsia="Times New Roman" w:hAnsi="GHEA Grapalat" w:cs="Times New Roman"/>
          <w:color w:val="auto"/>
          <w:szCs w:val="20"/>
          <w:lang w:val="af-ZA"/>
        </w:rPr>
        <w:t>-</w:t>
      </w:r>
      <w:r w:rsidRPr="000232DD">
        <w:rPr>
          <w:rFonts w:ascii="GHEA Grapalat" w:eastAsia="Times New Roman" w:hAnsi="GHEA Grapalat" w:cs="Times New Roman"/>
          <w:color w:val="auto"/>
          <w:szCs w:val="20"/>
          <w:lang w:val="hy-AM"/>
        </w:rPr>
        <w:t xml:space="preserve">ին </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և</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այլ</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կազ</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մա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կեր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պու</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թյուններին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տրա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մադրված</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վարկերի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դիմաց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հաշ</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վարկված</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տո</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կո</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սա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վճարների</w:t>
      </w:r>
      <w:r w:rsidRPr="000232DD">
        <w:rPr>
          <w:rFonts w:ascii="GHEA Grapalat" w:eastAsia="Times New Roman" w:hAnsi="GHEA Grapalat" w:cs="Times New Roman"/>
          <w:color w:val="auto"/>
          <w:szCs w:val="20"/>
          <w:lang w:val="af-ZA"/>
        </w:rPr>
        <w:t>:</w:t>
      </w:r>
    </w:p>
    <w:p w14:paraId="11219DD9" w14:textId="77777777" w:rsidR="00B43595" w:rsidRPr="000232DD" w:rsidRDefault="00B43595" w:rsidP="00082769">
      <w:pPr>
        <w:ind w:right="-22"/>
        <w:jc w:val="both"/>
        <w:rPr>
          <w:rFonts w:ascii="GHEA Grapalat" w:eastAsia="Times New Roman" w:hAnsi="GHEA Grapalat" w:cs="Times New Roman"/>
          <w:color w:val="auto"/>
          <w:szCs w:val="20"/>
          <w:lang w:val="af-ZA"/>
        </w:rPr>
      </w:pPr>
      <w:r w:rsidRPr="000232DD">
        <w:rPr>
          <w:rFonts w:ascii="GHEA Grapalat" w:eastAsia="Times New Roman" w:hAnsi="GHEA Grapalat" w:cs="Times New Roman"/>
          <w:color w:val="auto"/>
          <w:szCs w:val="20"/>
          <w:lang w:val="hy-AM"/>
        </w:rPr>
        <w:t>Իրավախախտումների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համար</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գործադիր</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դատական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մարմինների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կողմից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կի</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րառ</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վող</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պատ</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ժա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մի</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hy-AM"/>
        </w:rPr>
        <w:t>ջոցներից</w:t>
      </w:r>
      <w:r w:rsidRPr="000232DD">
        <w:rPr>
          <w:rFonts w:ascii="GHEA Grapalat" w:eastAsia="Times New Roman" w:hAnsi="GHEA Grapalat" w:cs="Times New Roman"/>
          <w:color w:val="auto"/>
          <w:szCs w:val="20"/>
          <w:lang w:val="af-ZA"/>
        </w:rPr>
        <w:t xml:space="preserve"> 2027 </w:t>
      </w:r>
      <w:r w:rsidRPr="000232DD">
        <w:rPr>
          <w:rFonts w:ascii="GHEA Grapalat" w:eastAsia="Times New Roman" w:hAnsi="GHEA Grapalat" w:cs="Times New Roman"/>
          <w:color w:val="auto"/>
          <w:szCs w:val="20"/>
          <w:lang w:val="hy-AM"/>
        </w:rPr>
        <w:t>թվականի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մուտքերը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գնահատվել</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են</w:t>
      </w:r>
      <w:r w:rsidRPr="000232DD">
        <w:rPr>
          <w:rFonts w:ascii="GHEA Grapalat" w:eastAsia="Times New Roman" w:hAnsi="GHEA Grapalat" w:cs="Times New Roman"/>
          <w:color w:val="auto"/>
          <w:szCs w:val="20"/>
          <w:lang w:val="af-ZA"/>
        </w:rPr>
        <w:t xml:space="preserve"> 27,175.1 </w:t>
      </w:r>
      <w:r w:rsidRPr="000232DD">
        <w:rPr>
          <w:rFonts w:ascii="GHEA Grapalat" w:eastAsia="Times New Roman" w:hAnsi="GHEA Grapalat" w:cs="Times New Roman"/>
          <w:color w:val="auto"/>
          <w:szCs w:val="20"/>
          <w:lang w:val="hy-AM"/>
        </w:rPr>
        <w:t>մլն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դրամ, 2028 թվականին՝ 27,366.3 մլն դրամ, իսկ 2029 թվականին՝ 27,591.2 մլն դրամ։</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Կանխատեսումները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տար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ված</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են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ըստ</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մա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պա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տաս</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խան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իրա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վա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հիմքով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վարչական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պատժամիջոց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կի</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րա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ռող</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պե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տա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ռա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վար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մար</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մին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հաշ</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վի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առ</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նե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լով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պատ</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ժա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մի</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ջոց</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գծով</w:t>
      </w:r>
      <w:r w:rsidRPr="000232DD">
        <w:rPr>
          <w:rFonts w:ascii="GHEA Grapalat" w:eastAsia="Times New Roman" w:hAnsi="GHEA Grapalat" w:cs="Times New Roman"/>
          <w:color w:val="auto"/>
          <w:szCs w:val="20"/>
          <w:lang w:val="af-ZA"/>
        </w:rPr>
        <w:t xml:space="preserve"> 2021-2026 </w:t>
      </w:r>
      <w:r w:rsidRPr="000232DD">
        <w:rPr>
          <w:rFonts w:ascii="GHEA Grapalat" w:eastAsia="Times New Roman" w:hAnsi="GHEA Grapalat" w:cs="Times New Roman"/>
          <w:color w:val="auto"/>
          <w:szCs w:val="20"/>
        </w:rPr>
        <w:t>թվա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նե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մուտ</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քերի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վաքագրման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միտումները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ինչպես</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նաև</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այս</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բնա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գա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վա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ռում</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իրա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նաց</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ված</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օրենս</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դրա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փո</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փո</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խու</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թյունները</w:t>
      </w:r>
      <w:r w:rsidRPr="000232DD">
        <w:rPr>
          <w:rFonts w:ascii="GHEA Grapalat" w:eastAsia="Times New Roman" w:hAnsi="GHEA Grapalat" w:cs="Times New Roman"/>
          <w:color w:val="auto"/>
          <w:szCs w:val="20"/>
          <w:lang w:val="af-ZA"/>
        </w:rPr>
        <w:t>:</w:t>
      </w:r>
    </w:p>
    <w:p w14:paraId="51B145F4" w14:textId="77777777" w:rsidR="00B43595" w:rsidRPr="000232DD" w:rsidRDefault="00B43595" w:rsidP="00082769">
      <w:pPr>
        <w:ind w:right="-22"/>
        <w:jc w:val="both"/>
        <w:rPr>
          <w:rFonts w:ascii="GHEA Grapalat" w:eastAsia="Times New Roman" w:hAnsi="GHEA Grapalat" w:cs="Times New Roman"/>
          <w:color w:val="auto"/>
          <w:szCs w:val="20"/>
          <w:lang w:val="af-ZA"/>
        </w:rPr>
      </w:pPr>
      <w:r w:rsidRPr="000232DD">
        <w:rPr>
          <w:rFonts w:ascii="GHEA Grapalat" w:eastAsia="Times New Roman" w:hAnsi="GHEA Grapalat" w:cs="Times New Roman"/>
          <w:color w:val="auto"/>
          <w:szCs w:val="20"/>
        </w:rPr>
        <w:t>Ապրանքների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մատակարարումից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և</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ծառայությունների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մատուցումից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եկամուտների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գծով</w:t>
      </w:r>
      <w:r w:rsidRPr="000232DD">
        <w:rPr>
          <w:rFonts w:ascii="GHEA Grapalat" w:eastAsia="Times New Roman" w:hAnsi="GHEA Grapalat" w:cs="Times New Roman"/>
          <w:color w:val="auto"/>
          <w:szCs w:val="20"/>
          <w:lang w:val="af-ZA"/>
        </w:rPr>
        <w:t xml:space="preserve"> 2027 </w:t>
      </w:r>
      <w:r w:rsidRPr="000232DD">
        <w:rPr>
          <w:rFonts w:ascii="GHEA Grapalat" w:eastAsia="Times New Roman" w:hAnsi="GHEA Grapalat" w:cs="Times New Roman"/>
          <w:color w:val="auto"/>
          <w:szCs w:val="20"/>
        </w:rPr>
        <w:t>թվականի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պետական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բյուջեի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մուտքերը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գնահատվել</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են</w:t>
      </w:r>
      <w:r w:rsidRPr="000232DD">
        <w:rPr>
          <w:rFonts w:ascii="GHEA Grapalat" w:eastAsia="Times New Roman" w:hAnsi="GHEA Grapalat" w:cs="Times New Roman"/>
          <w:color w:val="auto"/>
          <w:szCs w:val="20"/>
          <w:lang w:val="af-ZA"/>
        </w:rPr>
        <w:t xml:space="preserve"> 23,143.9 </w:t>
      </w:r>
      <w:r w:rsidRPr="000232DD">
        <w:rPr>
          <w:rFonts w:ascii="GHEA Grapalat" w:eastAsia="Times New Roman" w:hAnsi="GHEA Grapalat" w:cs="Times New Roman"/>
          <w:color w:val="auto"/>
          <w:szCs w:val="20"/>
        </w:rPr>
        <w:t>մլն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դրամ</w:t>
      </w:r>
      <w:r w:rsidRPr="000232DD">
        <w:rPr>
          <w:rFonts w:ascii="GHEA Grapalat" w:eastAsia="Times New Roman" w:hAnsi="GHEA Grapalat" w:cs="Times New Roman"/>
          <w:color w:val="auto"/>
          <w:szCs w:val="20"/>
          <w:lang w:val="af-ZA"/>
        </w:rPr>
        <w:t>,</w:t>
      </w:r>
      <w:r w:rsidRPr="000232DD">
        <w:rPr>
          <w:rFonts w:ascii="GHEA Grapalat" w:eastAsia="Times New Roman" w:hAnsi="GHEA Grapalat" w:cs="Times New Roman"/>
          <w:color w:val="auto"/>
          <w:szCs w:val="20"/>
          <w:lang w:val="hy-AM"/>
        </w:rPr>
        <w:t xml:space="preserve"> 2028 թվականին՝ 23,247.6 մլն դրամ, իսկ 2029 թվականին՝ 23,343.7 մլն դրամ</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Կանխատեսումները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կատարվել</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են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պետական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կառավարման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մարմիններից</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ստացված</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հայտերի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և</w:t>
      </w:r>
      <w:r w:rsidRPr="000232DD">
        <w:rPr>
          <w:rFonts w:ascii="GHEA Grapalat" w:eastAsia="Times New Roman" w:hAnsi="GHEA Grapalat" w:cs="Times New Roman"/>
          <w:color w:val="auto"/>
          <w:szCs w:val="20"/>
          <w:lang w:val="af-ZA"/>
        </w:rPr>
        <w:t xml:space="preserve"> 2021-2026 </w:t>
      </w:r>
      <w:r w:rsidRPr="000232DD">
        <w:rPr>
          <w:rFonts w:ascii="GHEA Grapalat" w:eastAsia="Times New Roman" w:hAnsi="GHEA Grapalat" w:cs="Times New Roman"/>
          <w:color w:val="auto"/>
          <w:szCs w:val="20"/>
        </w:rPr>
        <w:t>թվա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կան</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նե</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մուտ</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քերի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վաքագրման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միտումների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հիման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վրա</w:t>
      </w:r>
      <w:r w:rsidRPr="000232DD">
        <w:rPr>
          <w:rFonts w:ascii="GHEA Grapalat" w:eastAsia="Times New Roman" w:hAnsi="GHEA Grapalat" w:cs="Times New Roman"/>
          <w:color w:val="auto"/>
          <w:szCs w:val="20"/>
          <w:lang w:val="af-ZA"/>
        </w:rPr>
        <w:t>:</w:t>
      </w:r>
    </w:p>
    <w:p w14:paraId="18D57D5B" w14:textId="348E89AD" w:rsidR="00B43595" w:rsidRPr="000232DD" w:rsidRDefault="00B43595" w:rsidP="00082769">
      <w:pPr>
        <w:ind w:right="-22"/>
        <w:jc w:val="both"/>
        <w:rPr>
          <w:rFonts w:ascii="GHEA Grapalat" w:eastAsia="Times New Roman" w:hAnsi="GHEA Grapalat" w:cs="Times New Roman"/>
          <w:color w:val="auto"/>
          <w:szCs w:val="20"/>
          <w:lang w:val="af-ZA"/>
        </w:rPr>
      </w:pPr>
      <w:r w:rsidRPr="000232DD">
        <w:rPr>
          <w:rFonts w:ascii="GHEA Grapalat" w:eastAsia="Times New Roman" w:hAnsi="GHEA Grapalat" w:cs="Times New Roman"/>
          <w:color w:val="auto"/>
          <w:szCs w:val="20"/>
        </w:rPr>
        <w:t>Օրենքով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և</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իրավական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այլ</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ակտերով</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սահմանված</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պետական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բյուջե</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մուտքագրվող</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այլ</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եկամուտ</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գծով</w:t>
      </w:r>
      <w:r w:rsidRPr="000232DD">
        <w:rPr>
          <w:rFonts w:ascii="GHEA Grapalat" w:eastAsia="Times New Roman" w:hAnsi="GHEA Grapalat" w:cs="Times New Roman"/>
          <w:color w:val="auto"/>
          <w:szCs w:val="20"/>
          <w:lang w:val="af-ZA"/>
        </w:rPr>
        <w:t xml:space="preserve"> 2027 </w:t>
      </w:r>
      <w:r w:rsidRPr="000232DD">
        <w:rPr>
          <w:rFonts w:ascii="GHEA Grapalat" w:eastAsia="Times New Roman" w:hAnsi="GHEA Grapalat" w:cs="Times New Roman"/>
          <w:color w:val="auto"/>
          <w:szCs w:val="20"/>
        </w:rPr>
        <w:t>թվականի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պետական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բյուջեի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մուտքերը</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գնահատվել</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են</w:t>
      </w:r>
      <w:r w:rsidRPr="000232DD">
        <w:rPr>
          <w:rFonts w:ascii="GHEA Grapalat" w:eastAsia="Times New Roman" w:hAnsi="GHEA Grapalat" w:cs="Times New Roman"/>
          <w:color w:val="auto"/>
          <w:szCs w:val="20"/>
          <w:lang w:val="af-ZA"/>
        </w:rPr>
        <w:t xml:space="preserve"> 2,</w:t>
      </w:r>
      <w:r w:rsidR="00D75267" w:rsidRPr="000232DD">
        <w:rPr>
          <w:rFonts w:ascii="GHEA Grapalat" w:eastAsia="Times New Roman" w:hAnsi="GHEA Grapalat" w:cs="Times New Roman"/>
          <w:color w:val="auto"/>
          <w:szCs w:val="20"/>
          <w:lang w:val="af-ZA"/>
        </w:rPr>
        <w:t>5</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մլն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դրա</w:t>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lang w:val="af-ZA"/>
        </w:rPr>
        <w:softHyphen/>
      </w:r>
      <w:r w:rsidRPr="000232DD">
        <w:rPr>
          <w:rFonts w:ascii="GHEA Grapalat" w:eastAsia="Times New Roman" w:hAnsi="GHEA Grapalat" w:cs="Times New Roman"/>
          <w:color w:val="auto"/>
          <w:szCs w:val="20"/>
        </w:rPr>
        <w:t>մ</w:t>
      </w:r>
      <w:r w:rsidRPr="000232DD">
        <w:rPr>
          <w:rFonts w:ascii="GHEA Grapalat" w:eastAsia="Times New Roman" w:hAnsi="GHEA Grapalat" w:cs="Times New Roman"/>
          <w:color w:val="auto"/>
          <w:szCs w:val="20"/>
          <w:lang w:val="af-ZA"/>
        </w:rPr>
        <w:t>,</w:t>
      </w:r>
      <w:r w:rsidRPr="000232DD">
        <w:rPr>
          <w:rFonts w:ascii="GHEA Grapalat" w:eastAsia="Times New Roman" w:hAnsi="GHEA Grapalat" w:cs="Times New Roman"/>
          <w:color w:val="auto"/>
          <w:szCs w:val="20"/>
          <w:lang w:val="hy-AM"/>
        </w:rPr>
        <w:t xml:space="preserve"> 2028 թվականին՝ </w:t>
      </w:r>
      <w:r w:rsidR="00D75267" w:rsidRPr="000232DD">
        <w:rPr>
          <w:rFonts w:ascii="GHEA Grapalat" w:eastAsia="Times New Roman" w:hAnsi="GHEA Grapalat" w:cs="Times New Roman"/>
          <w:color w:val="auto"/>
          <w:szCs w:val="20"/>
          <w:lang w:val="hy-AM"/>
        </w:rPr>
        <w:t>3,4</w:t>
      </w:r>
      <w:r w:rsidRPr="000232DD">
        <w:rPr>
          <w:rFonts w:ascii="GHEA Grapalat" w:eastAsia="Times New Roman" w:hAnsi="GHEA Grapalat" w:cs="Times New Roman"/>
          <w:color w:val="auto"/>
          <w:szCs w:val="20"/>
          <w:lang w:val="hy-AM"/>
        </w:rPr>
        <w:t xml:space="preserve"> մլն դրամ, իսկ 2029 թվականին՝ 4,6 մլն դրամ</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lang w:val="hy-AM"/>
        </w:rPr>
        <w:t>Կ</w:t>
      </w:r>
      <w:r w:rsidRPr="000232DD">
        <w:rPr>
          <w:rFonts w:ascii="GHEA Grapalat" w:eastAsia="Times New Roman" w:hAnsi="GHEA Grapalat" w:cs="Times New Roman"/>
          <w:color w:val="auto"/>
          <w:szCs w:val="20"/>
        </w:rPr>
        <w:t>անխատեսումն</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իրականացվել</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է</w:t>
      </w:r>
      <w:r w:rsidRPr="000232DD">
        <w:rPr>
          <w:rFonts w:ascii="GHEA Grapalat" w:eastAsia="Times New Roman" w:hAnsi="GHEA Grapalat" w:cs="Times New Roman"/>
          <w:color w:val="auto"/>
          <w:szCs w:val="20"/>
          <w:lang w:val="af-ZA"/>
        </w:rPr>
        <w:t xml:space="preserve"> ելնելով </w:t>
      </w:r>
      <w:r w:rsidRPr="000232DD">
        <w:rPr>
          <w:rFonts w:ascii="GHEA Grapalat" w:eastAsia="Times New Roman" w:hAnsi="GHEA Grapalat" w:cs="Times New Roman"/>
          <w:color w:val="auto"/>
          <w:szCs w:val="20"/>
        </w:rPr>
        <w:t>նախորդ</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տարիների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փաստացի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մուտքերի</w:t>
      </w:r>
      <w:r w:rsidRPr="000232DD">
        <w:rPr>
          <w:rFonts w:ascii="GHEA Grapalat" w:eastAsia="Times New Roman" w:hAnsi="GHEA Grapalat" w:cs="Times New Roman"/>
          <w:color w:val="auto"/>
          <w:szCs w:val="20"/>
          <w:lang w:val="af-ZA"/>
        </w:rPr>
        <w:t xml:space="preserve"> </w:t>
      </w:r>
      <w:r w:rsidRPr="000232DD">
        <w:rPr>
          <w:rFonts w:ascii="GHEA Grapalat" w:eastAsia="Times New Roman" w:hAnsi="GHEA Grapalat" w:cs="Times New Roman"/>
          <w:color w:val="auto"/>
          <w:szCs w:val="20"/>
        </w:rPr>
        <w:t>միտումներից</w:t>
      </w:r>
      <w:r w:rsidRPr="000232DD">
        <w:rPr>
          <w:rFonts w:ascii="GHEA Grapalat" w:eastAsia="Times New Roman" w:hAnsi="GHEA Grapalat" w:cs="Times New Roman"/>
          <w:color w:val="auto"/>
          <w:szCs w:val="20"/>
          <w:lang w:val="af-ZA"/>
        </w:rPr>
        <w:t>:</w:t>
      </w:r>
    </w:p>
    <w:p w14:paraId="760A0472" w14:textId="77777777" w:rsidR="00DD59A1" w:rsidRPr="000232DD" w:rsidRDefault="00DD59A1" w:rsidP="00082769">
      <w:pPr>
        <w:ind w:right="-22"/>
        <w:jc w:val="both"/>
        <w:rPr>
          <w:rFonts w:ascii="GHEA Grapalat" w:eastAsia="Times New Roman" w:hAnsi="GHEA Grapalat" w:cs="Times New Roman"/>
          <w:color w:val="auto"/>
          <w:szCs w:val="20"/>
          <w:lang w:val="af-ZA"/>
        </w:rPr>
      </w:pPr>
    </w:p>
    <w:p w14:paraId="681C9C48" w14:textId="77777777" w:rsidR="00DD59A1" w:rsidRPr="000232DD" w:rsidRDefault="00DD59A1" w:rsidP="00082769">
      <w:pPr>
        <w:ind w:right="-22"/>
        <w:outlineLvl w:val="0"/>
        <w:rPr>
          <w:rFonts w:ascii="GHEA Grapalat" w:eastAsia="Times New Roman" w:hAnsi="GHEA Grapalat" w:cs="Times New Roman"/>
          <w:b/>
          <w:color w:val="auto"/>
          <w:sz w:val="30"/>
          <w:szCs w:val="20"/>
          <w:lang w:val="hy-AM"/>
        </w:rPr>
      </w:pPr>
      <w:bookmarkStart w:id="380" w:name="_Toc241687677"/>
      <w:r w:rsidRPr="000232DD">
        <w:rPr>
          <w:rFonts w:ascii="GHEA Grapalat" w:eastAsia="Times New Roman" w:hAnsi="GHEA Grapalat" w:cs="Times New Roman"/>
          <w:b/>
          <w:color w:val="auto"/>
          <w:sz w:val="30"/>
          <w:szCs w:val="20"/>
          <w:lang w:val="hy-AM"/>
        </w:rPr>
        <w:t>ՄԱՍ II–Գ. ԾԱԽՍԵՐԻ ԿԱՆԽԱՏԵՍՈՒՄ</w:t>
      </w:r>
      <w:bookmarkEnd w:id="380"/>
    </w:p>
    <w:p w14:paraId="6B1448AD" w14:textId="3B915634" w:rsidR="00FA08BF" w:rsidRPr="002A5C86" w:rsidRDefault="00FA08BF" w:rsidP="00082769">
      <w:pPr>
        <w:pStyle w:val="Heading2"/>
        <w:spacing w:before="120" w:after="120"/>
        <w:ind w:right="-22"/>
        <w:jc w:val="both"/>
        <w:rPr>
          <w:rFonts w:ascii="GHEA Grapalat" w:hAnsi="GHEA Grapalat"/>
          <w:color w:val="ADADAD" w:themeColor="background2" w:themeShade="BF"/>
          <w:sz w:val="28"/>
          <w:szCs w:val="20"/>
          <w:lang w:val="hy-AM"/>
        </w:rPr>
      </w:pPr>
      <w:bookmarkStart w:id="381" w:name="_Toc241687678"/>
      <w:r w:rsidRPr="002A5C86">
        <w:rPr>
          <w:rFonts w:ascii="GHEA Grapalat" w:hAnsi="GHEA Grapalat"/>
          <w:color w:val="ADADAD" w:themeColor="background2" w:themeShade="BF"/>
          <w:sz w:val="28"/>
          <w:szCs w:val="20"/>
          <w:lang w:val="hy-AM"/>
        </w:rPr>
        <w:t>ԾԱԽՍԵՐՆ ԸՍՏ ՏՆՏԵՍԱԳԻՏԱԿԱՆ ԴԱՍԱԿԱՐԳՄԱՆ</w:t>
      </w:r>
      <w:bookmarkEnd w:id="381"/>
    </w:p>
    <w:p w14:paraId="5335517B" w14:textId="17A7F600" w:rsidR="00FA08BF" w:rsidRPr="000232DD" w:rsidRDefault="00FA08BF" w:rsidP="00082769">
      <w:pPr>
        <w:pStyle w:val="BodyText1"/>
        <w:ind w:left="0" w:right="-22"/>
        <w:rPr>
          <w:color w:val="auto"/>
          <w:lang w:val="hy-AM"/>
        </w:rPr>
      </w:pPr>
      <w:bookmarkStart w:id="382" w:name="_Toc178350619"/>
      <w:bookmarkStart w:id="383" w:name="_Toc178612144"/>
      <w:bookmarkStart w:id="384" w:name="_Toc184110770"/>
      <w:r w:rsidRPr="000232DD">
        <w:rPr>
          <w:color w:val="auto"/>
          <w:lang w:val="hy-AM"/>
        </w:rPr>
        <w:t>2027-2029 թվականների պետական բյուջեի ընթացիկ ծախսերի հարաբերակցությունը ՀՆԱ-ի նկատմամբ կազմում է համապատասխանաբար 24.3%, 23.6% և 22.5%, իսկ ոչ ֆինանսական ակտիվների գծով զուտ ծախսերի հարաբերակցությունը ՀՆԱ-ի նկատմամբ՝ համապատասխանաբար 5.6%, 5</w:t>
      </w:r>
      <w:r w:rsidRPr="00B76ED9">
        <w:rPr>
          <w:color w:val="auto"/>
          <w:lang w:val="hy-AM"/>
        </w:rPr>
        <w:t>.</w:t>
      </w:r>
      <w:r w:rsidR="00A10888" w:rsidRPr="00B76ED9">
        <w:rPr>
          <w:color w:val="auto"/>
          <w:lang w:val="hy-AM"/>
        </w:rPr>
        <w:t>8</w:t>
      </w:r>
      <w:r w:rsidRPr="000232DD">
        <w:rPr>
          <w:color w:val="auto"/>
          <w:lang w:val="hy-AM"/>
        </w:rPr>
        <w:t>% և 5.9%։</w:t>
      </w:r>
    </w:p>
    <w:p w14:paraId="3F83C8DB" w14:textId="77777777" w:rsidR="00FA08BF" w:rsidRPr="00E73A9A" w:rsidRDefault="00FA08BF" w:rsidP="00E73A9A">
      <w:pPr>
        <w:pStyle w:val="Charts"/>
        <w:ind w:right="-22"/>
        <w:rPr>
          <w:b w:val="0"/>
          <w:bCs/>
          <w:color w:val="auto"/>
          <w:sz w:val="20"/>
          <w:szCs w:val="18"/>
        </w:rPr>
      </w:pPr>
      <w:r w:rsidRPr="00E73A9A">
        <w:rPr>
          <w:b w:val="0"/>
          <w:bCs/>
          <w:color w:val="auto"/>
          <w:sz w:val="20"/>
          <w:szCs w:val="18"/>
        </w:rPr>
        <w:t>Աղյուսակ 10</w:t>
      </w:r>
      <w:r w:rsidRPr="00E73A9A">
        <w:rPr>
          <w:rFonts w:ascii="Cambria Math" w:hAnsi="Cambria Math" w:cs="Cambria Math"/>
          <w:b w:val="0"/>
          <w:bCs/>
          <w:color w:val="auto"/>
          <w:sz w:val="20"/>
          <w:szCs w:val="18"/>
        </w:rPr>
        <w:t>․</w:t>
      </w:r>
      <w:r w:rsidRPr="00E73A9A">
        <w:rPr>
          <w:b w:val="0"/>
          <w:bCs/>
          <w:color w:val="auto"/>
          <w:sz w:val="20"/>
          <w:szCs w:val="18"/>
        </w:rPr>
        <w:t xml:space="preserve"> 2023-2029թթ ընթացիկ և ոչ ֆինանսական ակտիվների գծով ծախսերի փոփոխության և հարաբերակցության միտումները, մլրդ դրամ</w:t>
      </w:r>
      <w:bookmarkEnd w:id="382"/>
      <w:bookmarkEnd w:id="383"/>
      <w:bookmarkEnd w:id="384"/>
      <w:r w:rsidRPr="00E73A9A">
        <w:rPr>
          <w:b w:val="0"/>
          <w:bCs/>
          <w:color w:val="auto"/>
          <w:sz w:val="20"/>
          <w:szCs w:val="18"/>
        </w:rPr>
        <w:t xml:space="preserve">   </w:t>
      </w:r>
    </w:p>
    <w:tbl>
      <w:tblPr>
        <w:tblW w:w="4961" w:type="pct"/>
        <w:tblBorders>
          <w:top w:val="single" w:sz="8" w:space="0" w:color="C1F0C7" w:themeColor="accent3" w:themeTint="33"/>
          <w:left w:val="single" w:sz="8" w:space="0" w:color="C1F0C7" w:themeColor="accent3" w:themeTint="33"/>
          <w:bottom w:val="single" w:sz="8" w:space="0" w:color="C1F0C7" w:themeColor="accent3" w:themeTint="33"/>
          <w:right w:val="single" w:sz="8" w:space="0" w:color="C1F0C7" w:themeColor="accent3" w:themeTint="33"/>
          <w:insideH w:val="single" w:sz="8" w:space="0" w:color="C1F0C7" w:themeColor="accent3" w:themeTint="33"/>
          <w:insideV w:val="single" w:sz="8" w:space="0" w:color="C1F0C7" w:themeColor="accent3" w:themeTint="33"/>
        </w:tblBorders>
        <w:tblLook w:val="04A0" w:firstRow="1" w:lastRow="0" w:firstColumn="1" w:lastColumn="0" w:noHBand="0" w:noVBand="1"/>
      </w:tblPr>
      <w:tblGrid>
        <w:gridCol w:w="3185"/>
        <w:gridCol w:w="917"/>
        <w:gridCol w:w="1023"/>
        <w:gridCol w:w="991"/>
        <w:gridCol w:w="991"/>
        <w:gridCol w:w="900"/>
        <w:gridCol w:w="1169"/>
        <w:gridCol w:w="1079"/>
      </w:tblGrid>
      <w:tr w:rsidR="004C0C21" w:rsidRPr="006D29A8" w14:paraId="41BCD7EC" w14:textId="77777777" w:rsidTr="00DE6A4A">
        <w:trPr>
          <w:trHeight w:val="457"/>
        </w:trPr>
        <w:tc>
          <w:tcPr>
            <w:tcW w:w="1553" w:type="pct"/>
            <w:vMerge w:val="restar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DAE9F7" w:themeFill="text2" w:themeFillTint="1A"/>
            <w:vAlign w:val="center"/>
            <w:hideMark/>
          </w:tcPr>
          <w:p w14:paraId="3DBD45FC" w14:textId="7227C052" w:rsidR="00FA08BF" w:rsidRPr="006D29A8" w:rsidRDefault="00FA08BF" w:rsidP="00082769">
            <w:pPr>
              <w:spacing w:before="0" w:after="0" w:line="240" w:lineRule="auto"/>
              <w:ind w:right="-22"/>
              <w:jc w:val="both"/>
              <w:rPr>
                <w:rFonts w:ascii="GHEA Grapalat" w:hAnsi="GHEA Grapalat"/>
                <w:b/>
                <w:color w:val="auto"/>
                <w:sz w:val="18"/>
                <w:szCs w:val="18"/>
                <w:lang w:val="ru-RU"/>
              </w:rPr>
            </w:pPr>
            <w:r w:rsidRPr="006D29A8">
              <w:rPr>
                <w:rFonts w:ascii="GHEA Grapalat" w:hAnsi="GHEA Grapalat" w:cs="Sylfaen"/>
                <w:b/>
                <w:color w:val="auto"/>
                <w:sz w:val="18"/>
                <w:szCs w:val="18"/>
              </w:rPr>
              <w:t>Ցուցանիշներ</w:t>
            </w:r>
          </w:p>
        </w:tc>
        <w:tc>
          <w:tcPr>
            <w:tcW w:w="1429" w:type="pct"/>
            <w:gridSpan w:val="3"/>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DAE9F7" w:themeFill="text2" w:themeFillTint="1A"/>
            <w:vAlign w:val="center"/>
            <w:hideMark/>
          </w:tcPr>
          <w:p w14:paraId="2132B8E1" w14:textId="77777777" w:rsidR="00FA08BF" w:rsidRPr="006D29A8" w:rsidRDefault="00FA08BF" w:rsidP="00082769">
            <w:pPr>
              <w:spacing w:before="0" w:after="0" w:line="240" w:lineRule="auto"/>
              <w:ind w:right="-22"/>
              <w:jc w:val="center"/>
              <w:rPr>
                <w:rFonts w:ascii="GHEA Grapalat" w:hAnsi="GHEA Grapalat"/>
                <w:b/>
                <w:color w:val="auto"/>
                <w:sz w:val="18"/>
                <w:szCs w:val="18"/>
              </w:rPr>
            </w:pPr>
            <w:r w:rsidRPr="006D29A8">
              <w:rPr>
                <w:rFonts w:ascii="GHEA Grapalat" w:hAnsi="GHEA Grapalat" w:cs="Sylfaen"/>
                <w:b/>
                <w:color w:val="auto"/>
                <w:sz w:val="18"/>
                <w:szCs w:val="18"/>
              </w:rPr>
              <w:t>Փաստ</w:t>
            </w:r>
          </w:p>
        </w:tc>
        <w:tc>
          <w:tcPr>
            <w:tcW w:w="48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DAE9F7" w:themeFill="text2" w:themeFillTint="1A"/>
            <w:vAlign w:val="center"/>
          </w:tcPr>
          <w:p w14:paraId="31EB4B88" w14:textId="77777777" w:rsidR="00FA08BF" w:rsidRPr="006D29A8" w:rsidRDefault="00FA08BF" w:rsidP="00082769">
            <w:pPr>
              <w:spacing w:before="0" w:after="0" w:line="240" w:lineRule="auto"/>
              <w:ind w:right="-22"/>
              <w:jc w:val="center"/>
              <w:rPr>
                <w:rFonts w:ascii="GHEA Grapalat" w:hAnsi="GHEA Grapalat"/>
                <w:b/>
                <w:color w:val="auto"/>
                <w:sz w:val="18"/>
                <w:szCs w:val="18"/>
              </w:rPr>
            </w:pPr>
            <w:r w:rsidRPr="006D29A8">
              <w:rPr>
                <w:rFonts w:ascii="GHEA Grapalat" w:hAnsi="GHEA Grapalat" w:cs="Sylfaen"/>
                <w:b/>
                <w:color w:val="auto"/>
                <w:sz w:val="18"/>
                <w:szCs w:val="18"/>
              </w:rPr>
              <w:t>Բյուջե</w:t>
            </w:r>
          </w:p>
        </w:tc>
        <w:tc>
          <w:tcPr>
            <w:tcW w:w="1535" w:type="pct"/>
            <w:gridSpan w:val="3"/>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DAE9F7" w:themeFill="text2" w:themeFillTint="1A"/>
            <w:vAlign w:val="center"/>
          </w:tcPr>
          <w:p w14:paraId="2ABD784C" w14:textId="77777777" w:rsidR="00FA08BF" w:rsidRPr="006D29A8" w:rsidRDefault="00FA08BF" w:rsidP="00082769">
            <w:pPr>
              <w:spacing w:before="0" w:after="0" w:line="240" w:lineRule="auto"/>
              <w:ind w:right="-22"/>
              <w:jc w:val="center"/>
              <w:rPr>
                <w:rFonts w:ascii="GHEA Grapalat" w:hAnsi="GHEA Grapalat"/>
                <w:b/>
                <w:color w:val="auto"/>
                <w:sz w:val="18"/>
                <w:szCs w:val="18"/>
              </w:rPr>
            </w:pPr>
            <w:r w:rsidRPr="006D29A8">
              <w:rPr>
                <w:rFonts w:ascii="GHEA Grapalat" w:hAnsi="GHEA Grapalat" w:cs="Sylfaen"/>
                <w:b/>
                <w:color w:val="auto"/>
                <w:sz w:val="18"/>
                <w:szCs w:val="18"/>
                <w:lang w:val="hy-AM"/>
              </w:rPr>
              <w:t>Ծ</w:t>
            </w:r>
            <w:r w:rsidRPr="006D29A8">
              <w:rPr>
                <w:rFonts w:ascii="GHEA Grapalat" w:hAnsi="GHEA Grapalat" w:cs="Sylfaen"/>
                <w:b/>
                <w:color w:val="auto"/>
                <w:sz w:val="18"/>
                <w:szCs w:val="18"/>
              </w:rPr>
              <w:t>րագիր</w:t>
            </w:r>
          </w:p>
        </w:tc>
      </w:tr>
      <w:tr w:rsidR="004C0C21" w:rsidRPr="006D29A8" w14:paraId="6607A9D0" w14:textId="77777777" w:rsidTr="00DE6A4A">
        <w:trPr>
          <w:trHeight w:val="360"/>
        </w:trPr>
        <w:tc>
          <w:tcPr>
            <w:tcW w:w="1553" w:type="pct"/>
            <w:vMerge/>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DAE9F7" w:themeFill="text2" w:themeFillTint="1A"/>
            <w:vAlign w:val="center"/>
            <w:hideMark/>
          </w:tcPr>
          <w:p w14:paraId="04B44A2F" w14:textId="77777777" w:rsidR="00FA08BF" w:rsidRPr="006D29A8" w:rsidRDefault="00FA08BF" w:rsidP="00082769">
            <w:pPr>
              <w:spacing w:before="0" w:after="0" w:line="240" w:lineRule="auto"/>
              <w:ind w:right="-22"/>
              <w:jc w:val="both"/>
              <w:rPr>
                <w:rFonts w:ascii="GHEA Grapalat" w:hAnsi="GHEA Grapalat"/>
                <w:b/>
                <w:color w:val="auto"/>
                <w:sz w:val="18"/>
                <w:szCs w:val="18"/>
                <w:lang w:val="ru-RU" w:eastAsia="ru-RU"/>
              </w:rPr>
            </w:pPr>
          </w:p>
        </w:tc>
        <w:tc>
          <w:tcPr>
            <w:tcW w:w="447"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DAE9F7" w:themeFill="text2" w:themeFillTint="1A"/>
            <w:vAlign w:val="center"/>
            <w:hideMark/>
          </w:tcPr>
          <w:p w14:paraId="138EB190" w14:textId="77777777" w:rsidR="00FA08BF" w:rsidRPr="006D29A8" w:rsidRDefault="00FA08BF" w:rsidP="00082769">
            <w:pPr>
              <w:spacing w:before="0" w:after="0" w:line="240" w:lineRule="auto"/>
              <w:ind w:right="-22"/>
              <w:jc w:val="center"/>
              <w:rPr>
                <w:rFonts w:ascii="GHEA Grapalat" w:hAnsi="GHEA Grapalat"/>
                <w:b/>
                <w:color w:val="auto"/>
                <w:sz w:val="18"/>
                <w:szCs w:val="18"/>
              </w:rPr>
            </w:pPr>
            <w:r w:rsidRPr="006D29A8">
              <w:rPr>
                <w:rFonts w:ascii="GHEA Grapalat" w:hAnsi="GHEA Grapalat"/>
                <w:b/>
                <w:color w:val="auto"/>
                <w:sz w:val="18"/>
                <w:szCs w:val="18"/>
              </w:rPr>
              <w:t>2023</w:t>
            </w:r>
          </w:p>
        </w:tc>
        <w:tc>
          <w:tcPr>
            <w:tcW w:w="499"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DAE9F7" w:themeFill="text2" w:themeFillTint="1A"/>
            <w:vAlign w:val="center"/>
            <w:hideMark/>
          </w:tcPr>
          <w:p w14:paraId="643E9589" w14:textId="77777777" w:rsidR="00FA08BF" w:rsidRPr="006D29A8" w:rsidRDefault="00FA08BF" w:rsidP="00082769">
            <w:pPr>
              <w:spacing w:before="0" w:after="0" w:line="240" w:lineRule="auto"/>
              <w:ind w:right="-22"/>
              <w:jc w:val="center"/>
              <w:rPr>
                <w:rFonts w:ascii="GHEA Grapalat" w:hAnsi="GHEA Grapalat"/>
                <w:b/>
                <w:color w:val="auto"/>
                <w:sz w:val="18"/>
                <w:szCs w:val="18"/>
              </w:rPr>
            </w:pPr>
            <w:r w:rsidRPr="006D29A8">
              <w:rPr>
                <w:rFonts w:ascii="GHEA Grapalat" w:hAnsi="GHEA Grapalat"/>
                <w:b/>
                <w:color w:val="auto"/>
                <w:sz w:val="18"/>
                <w:szCs w:val="18"/>
              </w:rPr>
              <w:t>2024</w:t>
            </w:r>
          </w:p>
        </w:tc>
        <w:tc>
          <w:tcPr>
            <w:tcW w:w="48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DAE9F7" w:themeFill="text2" w:themeFillTint="1A"/>
            <w:vAlign w:val="center"/>
            <w:hideMark/>
          </w:tcPr>
          <w:p w14:paraId="4FFB99C3" w14:textId="77777777" w:rsidR="00FA08BF" w:rsidRPr="006D29A8" w:rsidRDefault="00FA08BF" w:rsidP="00082769">
            <w:pPr>
              <w:spacing w:before="0" w:after="0" w:line="240" w:lineRule="auto"/>
              <w:ind w:right="-22"/>
              <w:jc w:val="center"/>
              <w:rPr>
                <w:rFonts w:ascii="GHEA Grapalat" w:hAnsi="GHEA Grapalat"/>
                <w:b/>
                <w:color w:val="auto"/>
                <w:sz w:val="18"/>
                <w:szCs w:val="18"/>
              </w:rPr>
            </w:pPr>
            <w:r w:rsidRPr="006D29A8">
              <w:rPr>
                <w:rFonts w:ascii="GHEA Grapalat" w:hAnsi="GHEA Grapalat"/>
                <w:b/>
                <w:color w:val="auto"/>
                <w:sz w:val="18"/>
                <w:szCs w:val="18"/>
              </w:rPr>
              <w:t>2025</w:t>
            </w:r>
          </w:p>
        </w:tc>
        <w:tc>
          <w:tcPr>
            <w:tcW w:w="48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DAE9F7" w:themeFill="text2" w:themeFillTint="1A"/>
            <w:vAlign w:val="center"/>
          </w:tcPr>
          <w:p w14:paraId="0246A463" w14:textId="77777777" w:rsidR="00FA08BF" w:rsidRPr="006D29A8" w:rsidRDefault="00FA08BF" w:rsidP="00082769">
            <w:pPr>
              <w:spacing w:before="0" w:after="0" w:line="240" w:lineRule="auto"/>
              <w:ind w:right="-22"/>
              <w:jc w:val="center"/>
              <w:rPr>
                <w:rFonts w:ascii="GHEA Grapalat" w:hAnsi="GHEA Grapalat"/>
                <w:b/>
                <w:color w:val="auto"/>
                <w:sz w:val="18"/>
                <w:szCs w:val="18"/>
              </w:rPr>
            </w:pPr>
            <w:r w:rsidRPr="006D29A8">
              <w:rPr>
                <w:rFonts w:ascii="GHEA Grapalat" w:hAnsi="GHEA Grapalat"/>
                <w:b/>
                <w:color w:val="auto"/>
                <w:sz w:val="18"/>
                <w:szCs w:val="18"/>
              </w:rPr>
              <w:t>2026</w:t>
            </w:r>
          </w:p>
        </w:tc>
        <w:tc>
          <w:tcPr>
            <w:tcW w:w="439"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DAE9F7" w:themeFill="text2" w:themeFillTint="1A"/>
            <w:vAlign w:val="center"/>
          </w:tcPr>
          <w:p w14:paraId="6B1D1592" w14:textId="1FAFF2F1" w:rsidR="00FA08BF" w:rsidRPr="006D29A8" w:rsidRDefault="00FA08BF" w:rsidP="00082769">
            <w:pPr>
              <w:spacing w:before="0" w:after="0" w:line="240" w:lineRule="auto"/>
              <w:ind w:right="-22"/>
              <w:jc w:val="center"/>
              <w:rPr>
                <w:rFonts w:ascii="GHEA Grapalat" w:hAnsi="GHEA Grapalat"/>
                <w:b/>
                <w:color w:val="auto"/>
                <w:sz w:val="18"/>
                <w:szCs w:val="18"/>
              </w:rPr>
            </w:pPr>
            <w:r w:rsidRPr="006D29A8">
              <w:rPr>
                <w:rFonts w:ascii="GHEA Grapalat" w:hAnsi="GHEA Grapalat"/>
                <w:b/>
                <w:color w:val="auto"/>
                <w:sz w:val="18"/>
                <w:szCs w:val="18"/>
              </w:rPr>
              <w:t>202</w:t>
            </w:r>
            <w:r w:rsidR="00A10888" w:rsidRPr="006D29A8">
              <w:rPr>
                <w:rFonts w:ascii="GHEA Grapalat" w:hAnsi="GHEA Grapalat"/>
                <w:b/>
                <w:color w:val="auto"/>
                <w:sz w:val="18"/>
                <w:szCs w:val="18"/>
              </w:rPr>
              <w:t>7</w:t>
            </w:r>
          </w:p>
        </w:tc>
        <w:tc>
          <w:tcPr>
            <w:tcW w:w="570"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DAE9F7" w:themeFill="text2" w:themeFillTint="1A"/>
            <w:vAlign w:val="center"/>
          </w:tcPr>
          <w:p w14:paraId="55D1774E" w14:textId="12F766AE" w:rsidR="00FA08BF" w:rsidRPr="006D29A8" w:rsidRDefault="00FA08BF" w:rsidP="00082769">
            <w:pPr>
              <w:spacing w:before="0" w:after="0" w:line="240" w:lineRule="auto"/>
              <w:ind w:right="-22"/>
              <w:jc w:val="center"/>
              <w:rPr>
                <w:rFonts w:ascii="GHEA Grapalat" w:hAnsi="GHEA Grapalat"/>
                <w:b/>
                <w:color w:val="auto"/>
                <w:sz w:val="18"/>
                <w:szCs w:val="18"/>
              </w:rPr>
            </w:pPr>
            <w:r w:rsidRPr="006D29A8">
              <w:rPr>
                <w:rFonts w:ascii="GHEA Grapalat" w:hAnsi="GHEA Grapalat"/>
                <w:b/>
                <w:color w:val="auto"/>
                <w:sz w:val="18"/>
                <w:szCs w:val="18"/>
              </w:rPr>
              <w:t>202</w:t>
            </w:r>
            <w:r w:rsidR="00A10888" w:rsidRPr="006D29A8">
              <w:rPr>
                <w:rFonts w:ascii="GHEA Grapalat" w:hAnsi="GHEA Grapalat"/>
                <w:b/>
                <w:color w:val="auto"/>
                <w:sz w:val="18"/>
                <w:szCs w:val="18"/>
              </w:rPr>
              <w:t>8</w:t>
            </w:r>
          </w:p>
        </w:tc>
        <w:tc>
          <w:tcPr>
            <w:tcW w:w="526"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DAE9F7" w:themeFill="text2" w:themeFillTint="1A"/>
            <w:vAlign w:val="center"/>
          </w:tcPr>
          <w:p w14:paraId="5FDAC014" w14:textId="5E0BB729" w:rsidR="00FA08BF" w:rsidRPr="006D29A8" w:rsidRDefault="00FA08BF" w:rsidP="00082769">
            <w:pPr>
              <w:spacing w:before="0" w:after="0" w:line="240" w:lineRule="auto"/>
              <w:ind w:right="-22"/>
              <w:jc w:val="center"/>
              <w:rPr>
                <w:rFonts w:ascii="GHEA Grapalat" w:hAnsi="GHEA Grapalat"/>
                <w:b/>
                <w:color w:val="auto"/>
                <w:sz w:val="18"/>
                <w:szCs w:val="18"/>
                <w:lang w:val="ru-RU"/>
              </w:rPr>
            </w:pPr>
            <w:r w:rsidRPr="006D29A8">
              <w:rPr>
                <w:rFonts w:ascii="GHEA Grapalat" w:hAnsi="GHEA Grapalat"/>
                <w:b/>
                <w:color w:val="auto"/>
                <w:sz w:val="18"/>
                <w:szCs w:val="18"/>
              </w:rPr>
              <w:t>202</w:t>
            </w:r>
            <w:r w:rsidR="00A10888" w:rsidRPr="006D29A8">
              <w:rPr>
                <w:rFonts w:ascii="GHEA Grapalat" w:hAnsi="GHEA Grapalat"/>
                <w:b/>
                <w:color w:val="auto"/>
                <w:sz w:val="18"/>
                <w:szCs w:val="18"/>
              </w:rPr>
              <w:t>9</w:t>
            </w:r>
          </w:p>
        </w:tc>
      </w:tr>
      <w:tr w:rsidR="00A10888" w:rsidRPr="006D29A8" w14:paraId="2DE88D15" w14:textId="77777777" w:rsidTr="00DE6A4A">
        <w:trPr>
          <w:trHeight w:val="360"/>
        </w:trPr>
        <w:tc>
          <w:tcPr>
            <w:tcW w:w="155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hideMark/>
          </w:tcPr>
          <w:p w14:paraId="4F0A75A4" w14:textId="77777777" w:rsidR="00A10888" w:rsidRPr="006D29A8" w:rsidRDefault="00A10888" w:rsidP="00082769">
            <w:pPr>
              <w:spacing w:before="0" w:after="0" w:line="240" w:lineRule="auto"/>
              <w:ind w:right="-22"/>
              <w:jc w:val="both"/>
              <w:rPr>
                <w:rFonts w:ascii="GHEA Grapalat" w:hAnsi="GHEA Grapalat"/>
                <w:b/>
                <w:color w:val="auto"/>
                <w:sz w:val="18"/>
                <w:szCs w:val="18"/>
              </w:rPr>
            </w:pPr>
            <w:r w:rsidRPr="006D29A8">
              <w:rPr>
                <w:rFonts w:ascii="GHEA Grapalat" w:hAnsi="GHEA Grapalat" w:cs="Sylfaen"/>
                <w:b/>
                <w:color w:val="auto"/>
                <w:sz w:val="18"/>
                <w:szCs w:val="18"/>
              </w:rPr>
              <w:t>Ընդամենը</w:t>
            </w:r>
            <w:r w:rsidRPr="006D29A8">
              <w:rPr>
                <w:rFonts w:ascii="GHEA Grapalat" w:hAnsi="GHEA Grapalat"/>
                <w:b/>
                <w:color w:val="auto"/>
                <w:sz w:val="18"/>
                <w:szCs w:val="18"/>
              </w:rPr>
              <w:t xml:space="preserve"> </w:t>
            </w:r>
            <w:r w:rsidRPr="006D29A8">
              <w:rPr>
                <w:rFonts w:ascii="GHEA Grapalat" w:hAnsi="GHEA Grapalat" w:cs="Sylfaen"/>
                <w:b/>
                <w:color w:val="auto"/>
                <w:sz w:val="18"/>
                <w:szCs w:val="18"/>
              </w:rPr>
              <w:t>ծախսեր</w:t>
            </w:r>
          </w:p>
        </w:tc>
        <w:tc>
          <w:tcPr>
            <w:tcW w:w="447"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5F4FEFB0" w14:textId="77777777" w:rsidR="00A10888" w:rsidRPr="006D29A8" w:rsidRDefault="00A10888" w:rsidP="00082769">
            <w:pPr>
              <w:spacing w:before="0" w:after="0" w:line="240" w:lineRule="auto"/>
              <w:ind w:right="-22"/>
              <w:jc w:val="center"/>
              <w:rPr>
                <w:rFonts w:ascii="GHEA Grapalat" w:hAnsi="GHEA Grapalat"/>
                <w:b/>
                <w:color w:val="auto"/>
                <w:sz w:val="18"/>
                <w:szCs w:val="18"/>
              </w:rPr>
            </w:pPr>
            <w:r w:rsidRPr="006D29A8">
              <w:rPr>
                <w:rFonts w:ascii="GHEA Grapalat" w:hAnsi="GHEA Grapalat" w:cs="Calibri"/>
                <w:color w:val="auto"/>
                <w:sz w:val="18"/>
                <w:szCs w:val="18"/>
              </w:rPr>
              <w:t>2</w:t>
            </w:r>
            <w:r w:rsidRPr="006D29A8">
              <w:rPr>
                <w:rFonts w:ascii="GHEA Grapalat" w:hAnsi="GHEA Grapalat" w:cs="Calibri"/>
                <w:color w:val="auto"/>
                <w:sz w:val="18"/>
                <w:szCs w:val="18"/>
                <w:lang w:val="hy-AM"/>
              </w:rPr>
              <w:t>,</w:t>
            </w:r>
            <w:r w:rsidRPr="006D29A8">
              <w:rPr>
                <w:rFonts w:ascii="GHEA Grapalat" w:hAnsi="GHEA Grapalat" w:cs="Calibri"/>
                <w:color w:val="auto"/>
                <w:sz w:val="18"/>
                <w:szCs w:val="18"/>
              </w:rPr>
              <w:t>547.6</w:t>
            </w:r>
          </w:p>
        </w:tc>
        <w:tc>
          <w:tcPr>
            <w:tcW w:w="499"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18AB2E59" w14:textId="77777777" w:rsidR="00A10888" w:rsidRPr="006D29A8" w:rsidRDefault="00A10888" w:rsidP="00082769">
            <w:pPr>
              <w:spacing w:before="0" w:after="0" w:line="240" w:lineRule="auto"/>
              <w:ind w:right="-22"/>
              <w:jc w:val="center"/>
              <w:rPr>
                <w:rFonts w:ascii="GHEA Grapalat" w:hAnsi="GHEA Grapalat"/>
                <w:b/>
                <w:color w:val="auto"/>
                <w:sz w:val="18"/>
                <w:szCs w:val="18"/>
              </w:rPr>
            </w:pPr>
            <w:r w:rsidRPr="006D29A8">
              <w:rPr>
                <w:rFonts w:ascii="GHEA Grapalat" w:hAnsi="GHEA Grapalat" w:cs="Calibri"/>
                <w:color w:val="auto"/>
                <w:sz w:val="18"/>
                <w:szCs w:val="18"/>
              </w:rPr>
              <w:t>2</w:t>
            </w:r>
            <w:r w:rsidRPr="006D29A8">
              <w:rPr>
                <w:rFonts w:ascii="GHEA Grapalat" w:hAnsi="GHEA Grapalat" w:cs="Calibri"/>
                <w:color w:val="auto"/>
                <w:sz w:val="18"/>
                <w:szCs w:val="18"/>
                <w:lang w:val="hy-AM"/>
              </w:rPr>
              <w:t>,</w:t>
            </w:r>
            <w:r w:rsidRPr="006D29A8">
              <w:rPr>
                <w:rFonts w:ascii="GHEA Grapalat" w:hAnsi="GHEA Grapalat" w:cs="Calibri"/>
                <w:color w:val="auto"/>
                <w:sz w:val="18"/>
                <w:szCs w:val="18"/>
              </w:rPr>
              <w:t>955.3</w:t>
            </w:r>
          </w:p>
        </w:tc>
        <w:tc>
          <w:tcPr>
            <w:tcW w:w="48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7A1DC606" w14:textId="77777777" w:rsidR="00A10888" w:rsidRPr="006D29A8" w:rsidRDefault="00A10888" w:rsidP="00082769">
            <w:pPr>
              <w:spacing w:before="0" w:after="0" w:line="240" w:lineRule="auto"/>
              <w:ind w:right="-22"/>
              <w:jc w:val="center"/>
              <w:rPr>
                <w:rFonts w:ascii="GHEA Grapalat" w:hAnsi="GHEA Grapalat"/>
                <w:b/>
                <w:color w:val="auto"/>
                <w:sz w:val="18"/>
                <w:szCs w:val="18"/>
              </w:rPr>
            </w:pPr>
            <w:r w:rsidRPr="006D29A8">
              <w:rPr>
                <w:rFonts w:ascii="GHEA Grapalat" w:hAnsi="GHEA Grapalat" w:cs="Calibri"/>
                <w:color w:val="auto"/>
                <w:sz w:val="18"/>
                <w:szCs w:val="18"/>
                <w:lang w:val="hy-AM"/>
              </w:rPr>
              <w:t>3,305</w:t>
            </w:r>
            <w:r w:rsidRPr="006D29A8">
              <w:rPr>
                <w:rFonts w:ascii="GHEA Grapalat" w:hAnsi="GHEA Grapalat" w:cs="Calibri"/>
                <w:color w:val="auto"/>
                <w:sz w:val="18"/>
                <w:szCs w:val="18"/>
              </w:rPr>
              <w:t>.3</w:t>
            </w:r>
          </w:p>
        </w:tc>
        <w:tc>
          <w:tcPr>
            <w:tcW w:w="48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6342CF23" w14:textId="77777777" w:rsidR="00A10888" w:rsidRPr="006D29A8" w:rsidRDefault="00A10888" w:rsidP="00082769">
            <w:pPr>
              <w:spacing w:before="0" w:after="0" w:line="240" w:lineRule="auto"/>
              <w:ind w:right="-22"/>
              <w:jc w:val="center"/>
              <w:rPr>
                <w:rFonts w:ascii="GHEA Grapalat" w:hAnsi="GHEA Grapalat" w:cs="Calibri"/>
                <w:color w:val="auto"/>
                <w:sz w:val="18"/>
                <w:szCs w:val="18"/>
              </w:rPr>
            </w:pPr>
            <w:r w:rsidRPr="006D29A8">
              <w:rPr>
                <w:rFonts w:ascii="GHEA Grapalat" w:hAnsi="GHEA Grapalat" w:cs="Calibri"/>
                <w:color w:val="auto"/>
                <w:sz w:val="18"/>
                <w:szCs w:val="18"/>
                <w:lang w:val="hy-AM"/>
              </w:rPr>
              <w:t>3,627.6</w:t>
            </w:r>
          </w:p>
        </w:tc>
        <w:tc>
          <w:tcPr>
            <w:tcW w:w="439"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15114E67" w14:textId="4D7A14BA" w:rsidR="00A10888" w:rsidRPr="006D29A8" w:rsidRDefault="00A10888" w:rsidP="00082769">
            <w:pPr>
              <w:spacing w:before="0" w:after="0" w:line="240" w:lineRule="auto"/>
              <w:ind w:right="-22"/>
              <w:jc w:val="center"/>
              <w:rPr>
                <w:rFonts w:ascii="GHEA Grapalat" w:hAnsi="GHEA Grapalat" w:cs="Calibri"/>
                <w:color w:val="auto"/>
                <w:sz w:val="18"/>
                <w:szCs w:val="18"/>
                <w:lang w:val="hy-AM"/>
              </w:rPr>
            </w:pPr>
            <w:r w:rsidRPr="006D29A8">
              <w:rPr>
                <w:rFonts w:ascii="GHEA Grapalat" w:hAnsi="GHEA Grapalat"/>
                <w:sz w:val="18"/>
                <w:szCs w:val="18"/>
                <w:lang w:val="hy-AM"/>
              </w:rPr>
              <w:t>4,072.0</w:t>
            </w:r>
          </w:p>
        </w:tc>
        <w:tc>
          <w:tcPr>
            <w:tcW w:w="570"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53F99358" w14:textId="6415ACAC" w:rsidR="00A10888" w:rsidRPr="006D29A8" w:rsidRDefault="00A10888" w:rsidP="00082769">
            <w:pPr>
              <w:spacing w:before="0" w:after="0" w:line="240" w:lineRule="auto"/>
              <w:ind w:right="-22"/>
              <w:jc w:val="center"/>
              <w:rPr>
                <w:rFonts w:ascii="GHEA Grapalat" w:hAnsi="GHEA Grapalat"/>
                <w:b/>
                <w:color w:val="auto"/>
                <w:sz w:val="18"/>
                <w:szCs w:val="18"/>
                <w:lang w:val="hy-AM"/>
              </w:rPr>
            </w:pPr>
            <w:r w:rsidRPr="006D29A8">
              <w:rPr>
                <w:rFonts w:ascii="GHEA Grapalat" w:hAnsi="GHEA Grapalat" w:cs="Calibri"/>
                <w:sz w:val="18"/>
                <w:szCs w:val="18"/>
              </w:rPr>
              <w:t>4,364.3</w:t>
            </w:r>
          </w:p>
        </w:tc>
        <w:tc>
          <w:tcPr>
            <w:tcW w:w="526"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28966D37" w14:textId="1DB34463" w:rsidR="00A10888" w:rsidRPr="006D29A8" w:rsidRDefault="00A10888" w:rsidP="00082769">
            <w:pPr>
              <w:spacing w:before="0" w:after="0" w:line="240" w:lineRule="auto"/>
              <w:ind w:right="-22"/>
              <w:jc w:val="center"/>
              <w:rPr>
                <w:rFonts w:ascii="GHEA Grapalat" w:hAnsi="GHEA Grapalat"/>
                <w:b/>
                <w:color w:val="auto"/>
                <w:sz w:val="18"/>
                <w:szCs w:val="18"/>
                <w:lang w:val="hy-AM"/>
              </w:rPr>
            </w:pPr>
            <w:r w:rsidRPr="006D29A8">
              <w:rPr>
                <w:rFonts w:ascii="GHEA Grapalat" w:hAnsi="GHEA Grapalat" w:cs="Calibri"/>
                <w:sz w:val="18"/>
                <w:szCs w:val="18"/>
              </w:rPr>
              <w:t>4,602.7</w:t>
            </w:r>
          </w:p>
        </w:tc>
      </w:tr>
      <w:tr w:rsidR="00A10888" w:rsidRPr="006D29A8" w14:paraId="69B35C71" w14:textId="77777777" w:rsidTr="00DE6A4A">
        <w:trPr>
          <w:trHeight w:val="360"/>
        </w:trPr>
        <w:tc>
          <w:tcPr>
            <w:tcW w:w="155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hideMark/>
          </w:tcPr>
          <w:p w14:paraId="4D7917A6" w14:textId="77777777" w:rsidR="00A10888" w:rsidRPr="006D29A8" w:rsidRDefault="00A10888" w:rsidP="00082769">
            <w:pPr>
              <w:spacing w:before="0" w:after="0" w:line="240" w:lineRule="auto"/>
              <w:ind w:right="-22"/>
              <w:jc w:val="both"/>
              <w:rPr>
                <w:rFonts w:ascii="GHEA Grapalat" w:hAnsi="GHEA Grapalat"/>
                <w:color w:val="auto"/>
                <w:sz w:val="18"/>
                <w:szCs w:val="18"/>
              </w:rPr>
            </w:pPr>
            <w:r w:rsidRPr="006D29A8">
              <w:rPr>
                <w:rFonts w:ascii="GHEA Grapalat" w:hAnsi="GHEA Grapalat" w:cs="Sylfaen"/>
                <w:color w:val="auto"/>
                <w:sz w:val="18"/>
                <w:szCs w:val="18"/>
              </w:rPr>
              <w:t>Ընթացիկ</w:t>
            </w:r>
            <w:r w:rsidRPr="006D29A8">
              <w:rPr>
                <w:rFonts w:ascii="GHEA Grapalat" w:hAnsi="GHEA Grapalat"/>
                <w:color w:val="auto"/>
                <w:sz w:val="18"/>
                <w:szCs w:val="18"/>
              </w:rPr>
              <w:t xml:space="preserve"> </w:t>
            </w:r>
            <w:r w:rsidRPr="006D29A8">
              <w:rPr>
                <w:rFonts w:ascii="GHEA Grapalat" w:hAnsi="GHEA Grapalat" w:cs="Sylfaen"/>
                <w:color w:val="auto"/>
                <w:sz w:val="18"/>
                <w:szCs w:val="18"/>
              </w:rPr>
              <w:t>ծախսեր</w:t>
            </w:r>
          </w:p>
        </w:tc>
        <w:tc>
          <w:tcPr>
            <w:tcW w:w="447"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398D1DE9" w14:textId="77777777"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color w:val="auto"/>
                <w:sz w:val="18"/>
                <w:szCs w:val="18"/>
              </w:rPr>
              <w:t>2</w:t>
            </w:r>
            <w:r w:rsidRPr="006D29A8">
              <w:rPr>
                <w:rFonts w:ascii="GHEA Grapalat" w:hAnsi="GHEA Grapalat" w:cs="Calibri"/>
                <w:color w:val="auto"/>
                <w:sz w:val="18"/>
                <w:szCs w:val="18"/>
                <w:lang w:val="hy-AM"/>
              </w:rPr>
              <w:t>,</w:t>
            </w:r>
            <w:r w:rsidRPr="006D29A8">
              <w:rPr>
                <w:rFonts w:ascii="GHEA Grapalat" w:hAnsi="GHEA Grapalat" w:cs="Calibri"/>
                <w:color w:val="auto"/>
                <w:sz w:val="18"/>
                <w:szCs w:val="18"/>
              </w:rPr>
              <w:t>075.1</w:t>
            </w:r>
          </w:p>
        </w:tc>
        <w:tc>
          <w:tcPr>
            <w:tcW w:w="499"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75C14EFB" w14:textId="77777777"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color w:val="auto"/>
                <w:sz w:val="18"/>
                <w:szCs w:val="18"/>
              </w:rPr>
              <w:t>2</w:t>
            </w:r>
            <w:r w:rsidRPr="006D29A8">
              <w:rPr>
                <w:rFonts w:ascii="GHEA Grapalat" w:hAnsi="GHEA Grapalat" w:cs="Calibri"/>
                <w:color w:val="auto"/>
                <w:sz w:val="18"/>
                <w:szCs w:val="18"/>
                <w:lang w:val="hy-AM"/>
              </w:rPr>
              <w:t>,</w:t>
            </w:r>
            <w:r w:rsidRPr="006D29A8">
              <w:rPr>
                <w:rFonts w:ascii="GHEA Grapalat" w:hAnsi="GHEA Grapalat" w:cs="Calibri"/>
                <w:color w:val="auto"/>
                <w:sz w:val="18"/>
                <w:szCs w:val="18"/>
              </w:rPr>
              <w:t>413.6</w:t>
            </w:r>
          </w:p>
        </w:tc>
        <w:tc>
          <w:tcPr>
            <w:tcW w:w="48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13FFDD23" w14:textId="77777777"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color w:val="auto"/>
                <w:sz w:val="18"/>
                <w:szCs w:val="18"/>
              </w:rPr>
              <w:t>2</w:t>
            </w:r>
            <w:r w:rsidRPr="006D29A8">
              <w:rPr>
                <w:rFonts w:ascii="GHEA Grapalat" w:hAnsi="GHEA Grapalat" w:cs="Calibri"/>
                <w:color w:val="auto"/>
                <w:sz w:val="18"/>
                <w:szCs w:val="18"/>
                <w:lang w:val="hy-AM"/>
              </w:rPr>
              <w:t>,612</w:t>
            </w:r>
            <w:r w:rsidRPr="006D29A8">
              <w:rPr>
                <w:rFonts w:ascii="GHEA Grapalat" w:hAnsi="GHEA Grapalat" w:cs="Calibri"/>
                <w:color w:val="auto"/>
                <w:sz w:val="18"/>
                <w:szCs w:val="18"/>
              </w:rPr>
              <w:t>.6</w:t>
            </w:r>
          </w:p>
        </w:tc>
        <w:tc>
          <w:tcPr>
            <w:tcW w:w="48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59D3350C" w14:textId="77777777" w:rsidR="00A10888" w:rsidRPr="006D29A8" w:rsidRDefault="00A10888" w:rsidP="00082769">
            <w:pPr>
              <w:spacing w:before="0" w:after="0" w:line="240" w:lineRule="auto"/>
              <w:ind w:right="-22"/>
              <w:jc w:val="center"/>
              <w:rPr>
                <w:rFonts w:ascii="GHEA Grapalat" w:hAnsi="GHEA Grapalat" w:cs="Calibri"/>
                <w:color w:val="auto"/>
                <w:sz w:val="18"/>
                <w:szCs w:val="18"/>
              </w:rPr>
            </w:pPr>
            <w:r w:rsidRPr="006D29A8">
              <w:rPr>
                <w:rFonts w:ascii="GHEA Grapalat" w:hAnsi="GHEA Grapalat" w:cs="Calibri"/>
                <w:color w:val="auto"/>
                <w:sz w:val="18"/>
                <w:szCs w:val="18"/>
              </w:rPr>
              <w:t>2</w:t>
            </w:r>
            <w:r w:rsidRPr="006D29A8">
              <w:rPr>
                <w:rFonts w:ascii="GHEA Grapalat" w:hAnsi="GHEA Grapalat" w:cs="Calibri"/>
                <w:color w:val="auto"/>
                <w:sz w:val="18"/>
                <w:szCs w:val="18"/>
                <w:lang w:val="hy-AM"/>
              </w:rPr>
              <w:t>,</w:t>
            </w:r>
            <w:r w:rsidRPr="006D29A8">
              <w:rPr>
                <w:rFonts w:ascii="GHEA Grapalat" w:hAnsi="GHEA Grapalat" w:cs="Calibri"/>
                <w:color w:val="auto"/>
                <w:sz w:val="18"/>
                <w:szCs w:val="18"/>
              </w:rPr>
              <w:t>92</w:t>
            </w:r>
            <w:r w:rsidRPr="006D29A8">
              <w:rPr>
                <w:rFonts w:ascii="GHEA Grapalat" w:hAnsi="GHEA Grapalat" w:cs="Calibri"/>
                <w:color w:val="auto"/>
                <w:sz w:val="18"/>
                <w:szCs w:val="18"/>
                <w:lang w:val="hy-AM"/>
              </w:rPr>
              <w:t>3</w:t>
            </w:r>
            <w:r w:rsidRPr="006D29A8">
              <w:rPr>
                <w:rFonts w:ascii="GHEA Grapalat" w:hAnsi="GHEA Grapalat" w:cs="Calibri"/>
                <w:color w:val="auto"/>
                <w:sz w:val="18"/>
                <w:szCs w:val="18"/>
              </w:rPr>
              <w:t>.5</w:t>
            </w:r>
          </w:p>
        </w:tc>
        <w:tc>
          <w:tcPr>
            <w:tcW w:w="439"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16A6E315" w14:textId="72408005" w:rsidR="00A10888" w:rsidRPr="006D29A8" w:rsidRDefault="00A10888" w:rsidP="00082769">
            <w:pPr>
              <w:spacing w:before="0" w:after="0" w:line="240" w:lineRule="auto"/>
              <w:ind w:right="-22"/>
              <w:jc w:val="center"/>
              <w:rPr>
                <w:rFonts w:ascii="GHEA Grapalat" w:hAnsi="GHEA Grapalat" w:cs="Calibri"/>
                <w:color w:val="auto"/>
                <w:sz w:val="18"/>
                <w:szCs w:val="18"/>
              </w:rPr>
            </w:pPr>
            <w:r w:rsidRPr="006D29A8">
              <w:rPr>
                <w:rFonts w:ascii="GHEA Grapalat" w:hAnsi="GHEA Grapalat" w:cs="Calibri"/>
                <w:sz w:val="18"/>
                <w:szCs w:val="18"/>
              </w:rPr>
              <w:t>3,310.6</w:t>
            </w:r>
          </w:p>
        </w:tc>
        <w:tc>
          <w:tcPr>
            <w:tcW w:w="570"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1B624851" w14:textId="4C4C418E" w:rsidR="00A10888" w:rsidRPr="006D29A8" w:rsidRDefault="00A10888" w:rsidP="00082769">
            <w:pPr>
              <w:spacing w:before="0" w:after="0" w:line="240" w:lineRule="auto"/>
              <w:ind w:right="-22"/>
              <w:jc w:val="center"/>
              <w:rPr>
                <w:rFonts w:ascii="GHEA Grapalat" w:hAnsi="GHEA Grapalat"/>
                <w:color w:val="auto"/>
                <w:sz w:val="18"/>
                <w:szCs w:val="18"/>
                <w:lang w:val="hy-AM"/>
              </w:rPr>
            </w:pPr>
            <w:r w:rsidRPr="006D29A8">
              <w:rPr>
                <w:rFonts w:ascii="GHEA Grapalat" w:hAnsi="GHEA Grapalat" w:cs="Calibri"/>
                <w:sz w:val="18"/>
                <w:szCs w:val="18"/>
              </w:rPr>
              <w:t>3,504.9</w:t>
            </w:r>
          </w:p>
        </w:tc>
        <w:tc>
          <w:tcPr>
            <w:tcW w:w="526"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247CFAEF" w14:textId="38AA1FC4" w:rsidR="00A10888" w:rsidRPr="006D29A8" w:rsidRDefault="00A10888" w:rsidP="00082769">
            <w:pPr>
              <w:spacing w:before="0" w:after="0" w:line="240" w:lineRule="auto"/>
              <w:ind w:right="-22"/>
              <w:jc w:val="center"/>
              <w:rPr>
                <w:rFonts w:ascii="GHEA Grapalat" w:hAnsi="GHEA Grapalat"/>
                <w:color w:val="auto"/>
                <w:sz w:val="18"/>
                <w:szCs w:val="18"/>
                <w:lang w:val="hy-AM"/>
              </w:rPr>
            </w:pPr>
            <w:r w:rsidRPr="006D29A8">
              <w:rPr>
                <w:rFonts w:ascii="GHEA Grapalat" w:hAnsi="GHEA Grapalat" w:cs="Calibri"/>
                <w:sz w:val="18"/>
                <w:szCs w:val="18"/>
              </w:rPr>
              <w:t>3,646.1</w:t>
            </w:r>
          </w:p>
        </w:tc>
      </w:tr>
      <w:tr w:rsidR="00A10888" w:rsidRPr="006D29A8" w14:paraId="5663AF42" w14:textId="77777777" w:rsidTr="00DE6A4A">
        <w:trPr>
          <w:trHeight w:val="360"/>
        </w:trPr>
        <w:tc>
          <w:tcPr>
            <w:tcW w:w="155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hideMark/>
          </w:tcPr>
          <w:p w14:paraId="20EE4F0B" w14:textId="77777777" w:rsidR="00A10888" w:rsidRPr="006D29A8" w:rsidRDefault="00A10888" w:rsidP="00082769">
            <w:pPr>
              <w:spacing w:before="0" w:after="0" w:line="240" w:lineRule="auto"/>
              <w:ind w:right="-22"/>
              <w:jc w:val="both"/>
              <w:rPr>
                <w:rFonts w:ascii="GHEA Grapalat" w:hAnsi="GHEA Grapalat"/>
                <w:color w:val="auto"/>
                <w:sz w:val="18"/>
                <w:szCs w:val="18"/>
              </w:rPr>
            </w:pPr>
            <w:r w:rsidRPr="006D29A8">
              <w:rPr>
                <w:rFonts w:ascii="GHEA Grapalat" w:hAnsi="GHEA Grapalat" w:cs="Sylfaen"/>
                <w:color w:val="auto"/>
                <w:sz w:val="18"/>
                <w:szCs w:val="18"/>
              </w:rPr>
              <w:t>ՀՆԱ</w:t>
            </w:r>
            <w:r w:rsidRPr="006D29A8">
              <w:rPr>
                <w:rFonts w:ascii="GHEA Grapalat" w:hAnsi="GHEA Grapalat"/>
                <w:color w:val="auto"/>
                <w:sz w:val="18"/>
                <w:szCs w:val="18"/>
              </w:rPr>
              <w:t>-</w:t>
            </w:r>
            <w:r w:rsidRPr="006D29A8">
              <w:rPr>
                <w:rFonts w:ascii="GHEA Grapalat" w:hAnsi="GHEA Grapalat" w:cs="Sylfaen"/>
                <w:color w:val="auto"/>
                <w:sz w:val="18"/>
                <w:szCs w:val="18"/>
              </w:rPr>
              <w:t>ի</w:t>
            </w:r>
            <w:r w:rsidRPr="006D29A8">
              <w:rPr>
                <w:rFonts w:ascii="GHEA Grapalat" w:hAnsi="GHEA Grapalat"/>
                <w:color w:val="auto"/>
                <w:sz w:val="18"/>
                <w:szCs w:val="18"/>
              </w:rPr>
              <w:t xml:space="preserve"> </w:t>
            </w:r>
            <w:r w:rsidRPr="006D29A8">
              <w:rPr>
                <w:rFonts w:ascii="GHEA Grapalat" w:hAnsi="GHEA Grapalat" w:cs="Sylfaen"/>
                <w:color w:val="auto"/>
                <w:sz w:val="18"/>
                <w:szCs w:val="18"/>
              </w:rPr>
              <w:t>նկատմամբ</w:t>
            </w:r>
            <w:r w:rsidRPr="006D29A8">
              <w:rPr>
                <w:rFonts w:ascii="GHEA Grapalat" w:hAnsi="GHEA Grapalat"/>
                <w:color w:val="auto"/>
                <w:sz w:val="18"/>
                <w:szCs w:val="18"/>
              </w:rPr>
              <w:t xml:space="preserve"> (%)</w:t>
            </w:r>
          </w:p>
        </w:tc>
        <w:tc>
          <w:tcPr>
            <w:tcW w:w="447"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715B135D" w14:textId="77777777"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color w:val="auto"/>
                <w:sz w:val="18"/>
                <w:szCs w:val="18"/>
              </w:rPr>
              <w:t>21.9%</w:t>
            </w:r>
          </w:p>
        </w:tc>
        <w:tc>
          <w:tcPr>
            <w:tcW w:w="499"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4E02C3BB" w14:textId="77777777"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color w:val="auto"/>
                <w:sz w:val="18"/>
                <w:szCs w:val="18"/>
              </w:rPr>
              <w:t>23.7%</w:t>
            </w:r>
          </w:p>
        </w:tc>
        <w:tc>
          <w:tcPr>
            <w:tcW w:w="48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5B1BBAD1" w14:textId="77777777"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color w:val="auto"/>
                <w:sz w:val="18"/>
                <w:szCs w:val="18"/>
              </w:rPr>
              <w:t>23.0%</w:t>
            </w:r>
          </w:p>
        </w:tc>
        <w:tc>
          <w:tcPr>
            <w:tcW w:w="48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51DAD49E" w14:textId="77777777" w:rsidR="00A10888" w:rsidRPr="006D29A8" w:rsidRDefault="00A10888" w:rsidP="00082769">
            <w:pPr>
              <w:spacing w:before="0" w:after="0" w:line="240" w:lineRule="auto"/>
              <w:ind w:right="-22"/>
              <w:jc w:val="center"/>
              <w:rPr>
                <w:rFonts w:ascii="GHEA Grapalat" w:hAnsi="GHEA Grapalat" w:cs="Calibri"/>
                <w:color w:val="auto"/>
                <w:sz w:val="18"/>
                <w:szCs w:val="18"/>
              </w:rPr>
            </w:pPr>
            <w:r w:rsidRPr="006D29A8">
              <w:rPr>
                <w:rFonts w:ascii="GHEA Grapalat" w:hAnsi="GHEA Grapalat" w:cs="Calibri"/>
                <w:color w:val="auto"/>
                <w:sz w:val="18"/>
                <w:szCs w:val="18"/>
              </w:rPr>
              <w:t>24.5%</w:t>
            </w:r>
          </w:p>
        </w:tc>
        <w:tc>
          <w:tcPr>
            <w:tcW w:w="439"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531B926E" w14:textId="71934EBB" w:rsidR="00A10888" w:rsidRPr="006D29A8" w:rsidRDefault="00A10888" w:rsidP="00082769">
            <w:pPr>
              <w:spacing w:before="0" w:after="0" w:line="240" w:lineRule="auto"/>
              <w:ind w:right="-22"/>
              <w:jc w:val="center"/>
              <w:rPr>
                <w:rFonts w:ascii="GHEA Grapalat" w:hAnsi="GHEA Grapalat" w:cs="Calibri"/>
                <w:color w:val="auto"/>
                <w:sz w:val="18"/>
                <w:szCs w:val="18"/>
              </w:rPr>
            </w:pPr>
            <w:r w:rsidRPr="006D29A8">
              <w:rPr>
                <w:rFonts w:ascii="GHEA Grapalat" w:hAnsi="GHEA Grapalat" w:cs="Calibri"/>
                <w:sz w:val="18"/>
                <w:szCs w:val="18"/>
              </w:rPr>
              <w:t>24.3%</w:t>
            </w:r>
          </w:p>
        </w:tc>
        <w:tc>
          <w:tcPr>
            <w:tcW w:w="570"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63CD686A" w14:textId="2DBCCC3E"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sz w:val="18"/>
                <w:szCs w:val="18"/>
              </w:rPr>
              <w:t>23.6%</w:t>
            </w:r>
          </w:p>
        </w:tc>
        <w:tc>
          <w:tcPr>
            <w:tcW w:w="526"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5A2B9E45" w14:textId="372B9170"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sz w:val="18"/>
                <w:szCs w:val="18"/>
              </w:rPr>
              <w:t>22.5%</w:t>
            </w:r>
          </w:p>
        </w:tc>
      </w:tr>
      <w:tr w:rsidR="00A10888" w:rsidRPr="006D29A8" w14:paraId="565B5A77" w14:textId="77777777" w:rsidTr="00DE6A4A">
        <w:trPr>
          <w:trHeight w:val="360"/>
        </w:trPr>
        <w:tc>
          <w:tcPr>
            <w:tcW w:w="155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hideMark/>
          </w:tcPr>
          <w:p w14:paraId="494749EC" w14:textId="77777777" w:rsidR="00A10888" w:rsidRPr="006D29A8" w:rsidRDefault="00A10888" w:rsidP="00082769">
            <w:pPr>
              <w:spacing w:before="0" w:after="0" w:line="240" w:lineRule="auto"/>
              <w:ind w:right="-22"/>
              <w:jc w:val="both"/>
              <w:rPr>
                <w:rFonts w:ascii="GHEA Grapalat" w:hAnsi="GHEA Grapalat"/>
                <w:color w:val="auto"/>
                <w:sz w:val="18"/>
                <w:szCs w:val="18"/>
              </w:rPr>
            </w:pPr>
            <w:r w:rsidRPr="006D29A8">
              <w:rPr>
                <w:rFonts w:ascii="GHEA Grapalat" w:hAnsi="GHEA Grapalat" w:cs="Sylfaen"/>
                <w:color w:val="auto"/>
                <w:sz w:val="18"/>
                <w:szCs w:val="18"/>
              </w:rPr>
              <w:t>Ոչ</w:t>
            </w:r>
            <w:r w:rsidRPr="006D29A8">
              <w:rPr>
                <w:rFonts w:ascii="GHEA Grapalat" w:hAnsi="GHEA Grapalat"/>
                <w:color w:val="auto"/>
                <w:sz w:val="18"/>
                <w:szCs w:val="18"/>
              </w:rPr>
              <w:t xml:space="preserve"> </w:t>
            </w:r>
            <w:r w:rsidRPr="006D29A8">
              <w:rPr>
                <w:rFonts w:ascii="GHEA Grapalat" w:hAnsi="GHEA Grapalat" w:cs="Sylfaen"/>
                <w:color w:val="auto"/>
                <w:sz w:val="18"/>
                <w:szCs w:val="18"/>
              </w:rPr>
              <w:t>ֆինանսական</w:t>
            </w:r>
            <w:r w:rsidRPr="006D29A8">
              <w:rPr>
                <w:rFonts w:ascii="GHEA Grapalat" w:hAnsi="GHEA Grapalat"/>
                <w:color w:val="auto"/>
                <w:sz w:val="18"/>
                <w:szCs w:val="18"/>
              </w:rPr>
              <w:t xml:space="preserve"> </w:t>
            </w:r>
            <w:r w:rsidRPr="006D29A8">
              <w:rPr>
                <w:rFonts w:ascii="GHEA Grapalat" w:hAnsi="GHEA Grapalat" w:cs="Sylfaen"/>
                <w:color w:val="auto"/>
                <w:sz w:val="18"/>
                <w:szCs w:val="18"/>
              </w:rPr>
              <w:t>ակտիվների</w:t>
            </w:r>
            <w:r w:rsidRPr="006D29A8">
              <w:rPr>
                <w:rFonts w:ascii="GHEA Grapalat" w:hAnsi="GHEA Grapalat"/>
                <w:color w:val="auto"/>
                <w:sz w:val="18"/>
                <w:szCs w:val="18"/>
              </w:rPr>
              <w:t xml:space="preserve"> </w:t>
            </w:r>
            <w:r w:rsidRPr="006D29A8">
              <w:rPr>
                <w:rFonts w:ascii="GHEA Grapalat" w:hAnsi="GHEA Grapalat" w:cs="Sylfaen"/>
                <w:color w:val="auto"/>
                <w:sz w:val="18"/>
                <w:szCs w:val="18"/>
              </w:rPr>
              <w:t>գծով</w:t>
            </w:r>
            <w:r w:rsidRPr="006D29A8">
              <w:rPr>
                <w:rFonts w:ascii="GHEA Grapalat" w:hAnsi="GHEA Grapalat"/>
                <w:color w:val="auto"/>
                <w:sz w:val="18"/>
                <w:szCs w:val="18"/>
              </w:rPr>
              <w:t xml:space="preserve">  </w:t>
            </w:r>
            <w:r w:rsidRPr="006D29A8">
              <w:rPr>
                <w:rFonts w:ascii="GHEA Grapalat" w:hAnsi="GHEA Grapalat" w:cs="Sylfaen"/>
                <w:color w:val="auto"/>
                <w:sz w:val="18"/>
                <w:szCs w:val="18"/>
              </w:rPr>
              <w:t>ծախսեր</w:t>
            </w:r>
            <w:r w:rsidRPr="006D29A8">
              <w:rPr>
                <w:rFonts w:ascii="GHEA Grapalat" w:hAnsi="GHEA Grapalat"/>
                <w:color w:val="auto"/>
                <w:sz w:val="18"/>
                <w:szCs w:val="18"/>
                <w:vertAlign w:val="superscript"/>
              </w:rPr>
              <w:footnoteReference w:id="24"/>
            </w:r>
          </w:p>
        </w:tc>
        <w:tc>
          <w:tcPr>
            <w:tcW w:w="447"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4EEBBF7F" w14:textId="77777777"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color w:val="auto"/>
                <w:sz w:val="18"/>
                <w:szCs w:val="18"/>
              </w:rPr>
              <w:t>472.5</w:t>
            </w:r>
          </w:p>
        </w:tc>
        <w:tc>
          <w:tcPr>
            <w:tcW w:w="499"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451E4008" w14:textId="77777777"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color w:val="auto"/>
                <w:sz w:val="18"/>
                <w:szCs w:val="18"/>
              </w:rPr>
              <w:t>541.7</w:t>
            </w:r>
          </w:p>
        </w:tc>
        <w:tc>
          <w:tcPr>
            <w:tcW w:w="48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348B4507" w14:textId="77777777"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color w:val="auto"/>
                <w:sz w:val="18"/>
                <w:szCs w:val="18"/>
              </w:rPr>
              <w:t>692.7</w:t>
            </w:r>
          </w:p>
        </w:tc>
        <w:tc>
          <w:tcPr>
            <w:tcW w:w="48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5DE3FA61" w14:textId="77777777" w:rsidR="00A10888" w:rsidRPr="006D29A8" w:rsidRDefault="00A10888" w:rsidP="00082769">
            <w:pPr>
              <w:spacing w:before="0" w:after="0" w:line="240" w:lineRule="auto"/>
              <w:ind w:right="-22"/>
              <w:jc w:val="center"/>
              <w:rPr>
                <w:rFonts w:ascii="GHEA Grapalat" w:hAnsi="GHEA Grapalat" w:cs="Calibri"/>
                <w:color w:val="auto"/>
                <w:sz w:val="18"/>
                <w:szCs w:val="18"/>
              </w:rPr>
            </w:pPr>
            <w:r w:rsidRPr="006D29A8">
              <w:rPr>
                <w:rFonts w:ascii="GHEA Grapalat" w:hAnsi="GHEA Grapalat" w:cs="Calibri"/>
                <w:color w:val="auto"/>
                <w:sz w:val="18"/>
                <w:szCs w:val="18"/>
                <w:lang w:val="hy-AM"/>
              </w:rPr>
              <w:t>704.1</w:t>
            </w:r>
          </w:p>
        </w:tc>
        <w:tc>
          <w:tcPr>
            <w:tcW w:w="439"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0E09371B" w14:textId="0449EA32" w:rsidR="00A10888" w:rsidRPr="006D29A8" w:rsidRDefault="00A10888" w:rsidP="00082769">
            <w:pPr>
              <w:spacing w:before="0" w:after="0" w:line="240" w:lineRule="auto"/>
              <w:ind w:right="-22"/>
              <w:jc w:val="center"/>
              <w:rPr>
                <w:rFonts w:ascii="GHEA Grapalat" w:hAnsi="GHEA Grapalat" w:cs="Calibri"/>
                <w:color w:val="auto"/>
                <w:sz w:val="18"/>
                <w:szCs w:val="18"/>
                <w:lang w:val="hy-AM"/>
              </w:rPr>
            </w:pPr>
            <w:r w:rsidRPr="006D29A8">
              <w:rPr>
                <w:rFonts w:ascii="GHEA Grapalat" w:hAnsi="GHEA Grapalat"/>
                <w:sz w:val="18"/>
                <w:szCs w:val="18"/>
              </w:rPr>
              <w:t>761.4</w:t>
            </w:r>
          </w:p>
        </w:tc>
        <w:tc>
          <w:tcPr>
            <w:tcW w:w="570"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1293AE73" w14:textId="74C2E0CF"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sz w:val="18"/>
                <w:szCs w:val="18"/>
              </w:rPr>
              <w:t>859.4</w:t>
            </w:r>
          </w:p>
        </w:tc>
        <w:tc>
          <w:tcPr>
            <w:tcW w:w="526"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469828A0" w14:textId="2F9E8DB7"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sz w:val="18"/>
                <w:szCs w:val="18"/>
              </w:rPr>
              <w:t>956.7</w:t>
            </w:r>
          </w:p>
        </w:tc>
      </w:tr>
      <w:tr w:rsidR="00A10888" w:rsidRPr="006D29A8" w14:paraId="1E1B340C" w14:textId="77777777" w:rsidTr="00DE6A4A">
        <w:trPr>
          <w:trHeight w:val="360"/>
        </w:trPr>
        <w:tc>
          <w:tcPr>
            <w:tcW w:w="155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hideMark/>
          </w:tcPr>
          <w:p w14:paraId="09AA66FE" w14:textId="77777777" w:rsidR="00A10888" w:rsidRPr="006D29A8" w:rsidRDefault="00A10888" w:rsidP="00082769">
            <w:pPr>
              <w:spacing w:before="0" w:after="0" w:line="240" w:lineRule="auto"/>
              <w:ind w:right="-22"/>
              <w:jc w:val="both"/>
              <w:rPr>
                <w:rFonts w:ascii="GHEA Grapalat" w:hAnsi="GHEA Grapalat"/>
                <w:color w:val="auto"/>
                <w:sz w:val="18"/>
                <w:szCs w:val="18"/>
              </w:rPr>
            </w:pPr>
            <w:r w:rsidRPr="006D29A8">
              <w:rPr>
                <w:rFonts w:ascii="GHEA Grapalat" w:hAnsi="GHEA Grapalat" w:cs="Sylfaen"/>
                <w:color w:val="auto"/>
                <w:sz w:val="18"/>
                <w:szCs w:val="18"/>
              </w:rPr>
              <w:t>ՀՆԱ</w:t>
            </w:r>
            <w:r w:rsidRPr="006D29A8">
              <w:rPr>
                <w:rFonts w:ascii="GHEA Grapalat" w:hAnsi="GHEA Grapalat"/>
                <w:color w:val="auto"/>
                <w:sz w:val="18"/>
                <w:szCs w:val="18"/>
              </w:rPr>
              <w:t>-</w:t>
            </w:r>
            <w:r w:rsidRPr="006D29A8">
              <w:rPr>
                <w:rFonts w:ascii="GHEA Grapalat" w:hAnsi="GHEA Grapalat" w:cs="Sylfaen"/>
                <w:color w:val="auto"/>
                <w:sz w:val="18"/>
                <w:szCs w:val="18"/>
              </w:rPr>
              <w:t>ի</w:t>
            </w:r>
            <w:r w:rsidRPr="006D29A8">
              <w:rPr>
                <w:rFonts w:ascii="GHEA Grapalat" w:hAnsi="GHEA Grapalat"/>
                <w:color w:val="auto"/>
                <w:sz w:val="18"/>
                <w:szCs w:val="18"/>
              </w:rPr>
              <w:t xml:space="preserve"> </w:t>
            </w:r>
            <w:r w:rsidRPr="006D29A8">
              <w:rPr>
                <w:rFonts w:ascii="GHEA Grapalat" w:hAnsi="GHEA Grapalat" w:cs="Sylfaen"/>
                <w:color w:val="auto"/>
                <w:sz w:val="18"/>
                <w:szCs w:val="18"/>
              </w:rPr>
              <w:t>նկատմամբ</w:t>
            </w:r>
            <w:r w:rsidRPr="006D29A8">
              <w:rPr>
                <w:rFonts w:ascii="GHEA Grapalat" w:hAnsi="GHEA Grapalat"/>
                <w:color w:val="auto"/>
                <w:sz w:val="18"/>
                <w:szCs w:val="18"/>
              </w:rPr>
              <w:t xml:space="preserve"> (%)</w:t>
            </w:r>
          </w:p>
        </w:tc>
        <w:tc>
          <w:tcPr>
            <w:tcW w:w="447"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693DD6FE" w14:textId="77777777"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color w:val="auto"/>
                <w:sz w:val="18"/>
                <w:szCs w:val="18"/>
              </w:rPr>
              <w:t>5.0%</w:t>
            </w:r>
          </w:p>
        </w:tc>
        <w:tc>
          <w:tcPr>
            <w:tcW w:w="499"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046DBB5F" w14:textId="77777777"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color w:val="auto"/>
                <w:sz w:val="18"/>
                <w:szCs w:val="18"/>
              </w:rPr>
              <w:t>5.3%</w:t>
            </w:r>
          </w:p>
        </w:tc>
        <w:tc>
          <w:tcPr>
            <w:tcW w:w="48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shd w:val="clear" w:color="auto" w:fill="auto"/>
            <w:vAlign w:val="center"/>
          </w:tcPr>
          <w:p w14:paraId="00B9F0F9" w14:textId="77777777"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color w:val="auto"/>
                <w:sz w:val="18"/>
                <w:szCs w:val="18"/>
              </w:rPr>
              <w:t>6.1%</w:t>
            </w:r>
          </w:p>
        </w:tc>
        <w:tc>
          <w:tcPr>
            <w:tcW w:w="483"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785E428A" w14:textId="77777777" w:rsidR="00A10888" w:rsidRPr="006D29A8" w:rsidRDefault="00A10888" w:rsidP="00082769">
            <w:pPr>
              <w:spacing w:before="0" w:after="0" w:line="240" w:lineRule="auto"/>
              <w:ind w:right="-22"/>
              <w:jc w:val="center"/>
              <w:rPr>
                <w:rFonts w:ascii="GHEA Grapalat" w:hAnsi="GHEA Grapalat" w:cs="Calibri"/>
                <w:color w:val="auto"/>
                <w:sz w:val="18"/>
                <w:szCs w:val="18"/>
              </w:rPr>
            </w:pPr>
            <w:r w:rsidRPr="006D29A8">
              <w:rPr>
                <w:rFonts w:ascii="GHEA Grapalat" w:hAnsi="GHEA Grapalat" w:cs="Calibri"/>
                <w:color w:val="auto"/>
                <w:sz w:val="18"/>
                <w:szCs w:val="18"/>
                <w:lang w:val="hy-AM"/>
              </w:rPr>
              <w:t>5.9</w:t>
            </w:r>
            <w:r w:rsidRPr="006D29A8">
              <w:rPr>
                <w:rFonts w:ascii="GHEA Grapalat" w:hAnsi="GHEA Grapalat" w:cs="Calibri"/>
                <w:color w:val="auto"/>
                <w:sz w:val="18"/>
                <w:szCs w:val="18"/>
              </w:rPr>
              <w:t>%</w:t>
            </w:r>
          </w:p>
        </w:tc>
        <w:tc>
          <w:tcPr>
            <w:tcW w:w="439"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532BB047" w14:textId="155E595D" w:rsidR="00A10888" w:rsidRPr="006D29A8" w:rsidRDefault="00A10888" w:rsidP="00082769">
            <w:pPr>
              <w:spacing w:before="0" w:after="0" w:line="240" w:lineRule="auto"/>
              <w:ind w:right="-22"/>
              <w:jc w:val="center"/>
              <w:rPr>
                <w:rFonts w:ascii="GHEA Grapalat" w:hAnsi="GHEA Grapalat" w:cs="Calibri"/>
                <w:color w:val="auto"/>
                <w:sz w:val="18"/>
                <w:szCs w:val="18"/>
              </w:rPr>
            </w:pPr>
            <w:r w:rsidRPr="006D29A8">
              <w:rPr>
                <w:rFonts w:ascii="GHEA Grapalat" w:hAnsi="GHEA Grapalat"/>
                <w:sz w:val="18"/>
                <w:szCs w:val="18"/>
                <w:lang w:val="hy-AM"/>
              </w:rPr>
              <w:t>5.6%</w:t>
            </w:r>
          </w:p>
        </w:tc>
        <w:tc>
          <w:tcPr>
            <w:tcW w:w="570"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4E167AAB" w14:textId="3FAD5DC5"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sz w:val="18"/>
                <w:szCs w:val="18"/>
              </w:rPr>
              <w:t>5.8%</w:t>
            </w:r>
          </w:p>
        </w:tc>
        <w:tc>
          <w:tcPr>
            <w:tcW w:w="526" w:type="pct"/>
            <w:tcBorders>
              <w:top w:val="single" w:sz="4" w:space="0" w:color="E8E8E8" w:themeColor="background2"/>
              <w:left w:val="single" w:sz="4" w:space="0" w:color="E8E8E8" w:themeColor="background2"/>
              <w:bottom w:val="single" w:sz="4" w:space="0" w:color="E8E8E8" w:themeColor="background2"/>
              <w:right w:val="single" w:sz="4" w:space="0" w:color="E8E8E8" w:themeColor="background2"/>
            </w:tcBorders>
            <w:vAlign w:val="center"/>
          </w:tcPr>
          <w:p w14:paraId="4F6CDB05" w14:textId="20934FC9" w:rsidR="00A10888" w:rsidRPr="006D29A8" w:rsidRDefault="00A10888" w:rsidP="00082769">
            <w:pPr>
              <w:spacing w:before="0" w:after="0" w:line="240" w:lineRule="auto"/>
              <w:ind w:right="-22"/>
              <w:jc w:val="center"/>
              <w:rPr>
                <w:rFonts w:ascii="GHEA Grapalat" w:hAnsi="GHEA Grapalat"/>
                <w:color w:val="auto"/>
                <w:sz w:val="18"/>
                <w:szCs w:val="18"/>
              </w:rPr>
            </w:pPr>
            <w:r w:rsidRPr="006D29A8">
              <w:rPr>
                <w:rFonts w:ascii="GHEA Grapalat" w:hAnsi="GHEA Grapalat" w:cs="Calibri"/>
                <w:sz w:val="18"/>
                <w:szCs w:val="18"/>
              </w:rPr>
              <w:t>5.9%</w:t>
            </w:r>
          </w:p>
        </w:tc>
      </w:tr>
    </w:tbl>
    <w:p w14:paraId="14A8730C" w14:textId="462CEEB9" w:rsidR="00FA08BF" w:rsidRPr="00E73A9A" w:rsidRDefault="00FA08BF" w:rsidP="00082769">
      <w:pPr>
        <w:pStyle w:val="Charts"/>
        <w:ind w:right="-22"/>
        <w:rPr>
          <w:b w:val="0"/>
          <w:bCs/>
          <w:color w:val="auto"/>
          <w:sz w:val="20"/>
          <w:szCs w:val="18"/>
        </w:rPr>
      </w:pPr>
      <w:bookmarkStart w:id="385" w:name="_Toc184110747"/>
      <w:bookmarkStart w:id="386" w:name="_Toc241608097"/>
      <w:r w:rsidRPr="00E73A9A">
        <w:rPr>
          <w:b w:val="0"/>
          <w:bCs/>
          <w:color w:val="auto"/>
          <w:sz w:val="20"/>
          <w:szCs w:val="18"/>
        </w:rPr>
        <w:t xml:space="preserve">Գծապատկեր </w:t>
      </w:r>
      <w:r w:rsidRPr="00E73A9A">
        <w:rPr>
          <w:b w:val="0"/>
          <w:bCs/>
          <w:color w:val="auto"/>
          <w:sz w:val="20"/>
          <w:szCs w:val="18"/>
        </w:rPr>
        <w:fldChar w:fldCharType="begin"/>
      </w:r>
      <w:r w:rsidRPr="00E73A9A">
        <w:rPr>
          <w:b w:val="0"/>
          <w:bCs/>
          <w:color w:val="auto"/>
          <w:sz w:val="20"/>
          <w:szCs w:val="18"/>
        </w:rPr>
        <w:instrText xml:space="preserve"> SEQ գծապատկեր \* ARABIC </w:instrText>
      </w:r>
      <w:r w:rsidRPr="00E73A9A">
        <w:rPr>
          <w:b w:val="0"/>
          <w:bCs/>
          <w:color w:val="auto"/>
          <w:sz w:val="20"/>
          <w:szCs w:val="18"/>
        </w:rPr>
        <w:fldChar w:fldCharType="separate"/>
      </w:r>
      <w:r w:rsidR="00E46048">
        <w:rPr>
          <w:b w:val="0"/>
          <w:bCs/>
          <w:noProof/>
          <w:color w:val="auto"/>
          <w:sz w:val="20"/>
          <w:szCs w:val="18"/>
        </w:rPr>
        <w:t>2</w:t>
      </w:r>
      <w:r w:rsidRPr="00E73A9A">
        <w:rPr>
          <w:b w:val="0"/>
          <w:bCs/>
          <w:color w:val="auto"/>
          <w:sz w:val="20"/>
          <w:szCs w:val="18"/>
        </w:rPr>
        <w:fldChar w:fldCharType="end"/>
      </w:r>
      <w:r w:rsidRPr="00E73A9A">
        <w:rPr>
          <w:b w:val="0"/>
          <w:bCs/>
          <w:color w:val="auto"/>
          <w:sz w:val="20"/>
          <w:szCs w:val="18"/>
        </w:rPr>
        <w:t>. 2023-2029թթ</w:t>
      </w:r>
      <w:r w:rsidRPr="00E73A9A">
        <w:rPr>
          <w:rFonts w:hint="eastAsia"/>
          <w:b w:val="0"/>
          <w:bCs/>
          <w:color w:val="auto"/>
          <w:sz w:val="20"/>
          <w:szCs w:val="18"/>
        </w:rPr>
        <w:t>․</w:t>
      </w:r>
      <w:r w:rsidRPr="00E73A9A">
        <w:rPr>
          <w:b w:val="0"/>
          <w:bCs/>
          <w:color w:val="auto"/>
          <w:sz w:val="20"/>
          <w:szCs w:val="18"/>
        </w:rPr>
        <w:t xml:space="preserve"> ընթացիկ և ոչ ֆինանսական ակտիվների գծով գործառնությունների փոփոխության և հարաբերակցության միտումները, մլրդ դրամ</w:t>
      </w:r>
      <w:bookmarkEnd w:id="385"/>
      <w:bookmarkEnd w:id="386"/>
    </w:p>
    <w:p w14:paraId="1D52602A" w14:textId="77777777" w:rsidR="00FA08BF" w:rsidRPr="000232DD" w:rsidRDefault="00FA08BF" w:rsidP="00082769">
      <w:pPr>
        <w:tabs>
          <w:tab w:val="left" w:pos="9630"/>
        </w:tabs>
        <w:ind w:right="-22"/>
        <w:jc w:val="both"/>
        <w:rPr>
          <w:color w:val="auto"/>
        </w:rPr>
      </w:pPr>
      <w:r w:rsidRPr="000232DD">
        <w:rPr>
          <w:noProof/>
          <w:color w:val="auto"/>
        </w:rPr>
        <w:drawing>
          <wp:inline distT="0" distB="0" distL="0" distR="0" wp14:anchorId="358760A2" wp14:editId="7EA02228">
            <wp:extent cx="6419850" cy="2162175"/>
            <wp:effectExtent l="0" t="0" r="0" b="9525"/>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7C3FE5B3" w14:textId="77777777" w:rsidR="00FA08BF" w:rsidRPr="000232DD" w:rsidRDefault="00FA08BF" w:rsidP="00082769">
      <w:pPr>
        <w:pStyle w:val="BodyText1"/>
        <w:ind w:left="0" w:right="-22"/>
        <w:rPr>
          <w:color w:val="auto"/>
          <w:lang w:val="hy-AM"/>
        </w:rPr>
      </w:pPr>
      <w:r w:rsidRPr="000232DD">
        <w:rPr>
          <w:color w:val="auto"/>
          <w:lang w:val="hy-AM"/>
        </w:rPr>
        <w:t>202</w:t>
      </w:r>
      <w:r w:rsidRPr="000232DD">
        <w:rPr>
          <w:color w:val="auto"/>
        </w:rPr>
        <w:t>7</w:t>
      </w:r>
      <w:r w:rsidRPr="000232DD">
        <w:rPr>
          <w:color w:val="auto"/>
          <w:lang w:val="hy-AM"/>
        </w:rPr>
        <w:t xml:space="preserve"> թվականի ծախսերի ընդհանուր ծավալի միջին տարեկանի շուրջ 81.3%-ը կկազմեն ընթացիկ ծախսերը</w:t>
      </w:r>
      <w:r w:rsidRPr="000232DD">
        <w:rPr>
          <w:color w:val="auto"/>
          <w:lang w:val="af-ZA"/>
        </w:rPr>
        <w:t xml:space="preserve">, 2028 թվականին՝ </w:t>
      </w:r>
      <w:r w:rsidRPr="000232DD">
        <w:rPr>
          <w:color w:val="auto"/>
          <w:lang w:val="hy-AM"/>
        </w:rPr>
        <w:t>80.3</w:t>
      </w:r>
      <w:r w:rsidRPr="000232DD">
        <w:rPr>
          <w:color w:val="auto"/>
        </w:rPr>
        <w:t>%-</w:t>
      </w:r>
      <w:r w:rsidRPr="000232DD">
        <w:rPr>
          <w:color w:val="auto"/>
          <w:lang w:val="hy-AM"/>
        </w:rPr>
        <w:t>ը, իսկ 2028 թվականին՝ 79.2</w:t>
      </w:r>
      <w:r w:rsidRPr="000232DD">
        <w:rPr>
          <w:color w:val="auto"/>
        </w:rPr>
        <w:t>%:</w:t>
      </w:r>
    </w:p>
    <w:p w14:paraId="3A5BF7F1" w14:textId="77777777" w:rsidR="00FA08BF" w:rsidRPr="000232DD" w:rsidRDefault="00FA08BF" w:rsidP="00082769">
      <w:pPr>
        <w:pStyle w:val="BodyText1"/>
        <w:ind w:left="0" w:right="-22"/>
        <w:rPr>
          <w:color w:val="auto"/>
          <w:lang w:val="hy-AM"/>
        </w:rPr>
      </w:pPr>
      <w:r w:rsidRPr="000232DD">
        <w:rPr>
          <w:color w:val="auto"/>
          <w:lang w:val="hy-AM"/>
        </w:rPr>
        <w:t>Դիտարկվող ժամանակահատվածում ընթացիկ ծախսերն ուղղված կլի</w:t>
      </w:r>
      <w:r w:rsidRPr="000232DD">
        <w:rPr>
          <w:color w:val="auto"/>
          <w:lang w:val="hy-AM"/>
        </w:rPr>
        <w:softHyphen/>
        <w:t xml:space="preserve">նի ծառայությունների մատուցման, տրանսֆերտների տրամադրման, ֆինանսավորման ծախսերի իրականացման և հանրության կողմից անմիջականորեն օգտագործվող ակտիվների հետ կապված միջոցառումներին: </w:t>
      </w:r>
    </w:p>
    <w:p w14:paraId="7543B263" w14:textId="77777777" w:rsidR="00FA08BF" w:rsidRPr="000232DD" w:rsidRDefault="00FA08BF" w:rsidP="00082769">
      <w:pPr>
        <w:pStyle w:val="BodyText1"/>
        <w:ind w:left="0" w:right="-22"/>
        <w:rPr>
          <w:color w:val="auto"/>
          <w:lang w:val="hy-AM"/>
        </w:rPr>
      </w:pPr>
      <w:r w:rsidRPr="000232DD">
        <w:rPr>
          <w:color w:val="auto"/>
          <w:lang w:val="hy-AM"/>
        </w:rPr>
        <w:t>2027-2029թթ. ընթացիկ ծախսերի ֆինանսավորման ըստ տնտեսագիտական դասակարգման կառուցվածքի ծախ</w:t>
      </w:r>
      <w:r w:rsidRPr="000232DD">
        <w:rPr>
          <w:color w:val="auto"/>
          <w:lang w:val="hy-AM"/>
        </w:rPr>
        <w:softHyphen/>
        <w:t>սերի հարա</w:t>
      </w:r>
      <w:r w:rsidRPr="000232DD">
        <w:rPr>
          <w:color w:val="auto"/>
          <w:lang w:val="hy-AM"/>
        </w:rPr>
        <w:softHyphen/>
        <w:t>բերակցությունը ՀՆԱ-ի նկատմամբ ներկայացված է ստորև:</w:t>
      </w:r>
    </w:p>
    <w:p w14:paraId="411F7800" w14:textId="7E690FBC" w:rsidR="00FA08BF" w:rsidRPr="00E73A9A" w:rsidRDefault="00FA08BF" w:rsidP="00082769">
      <w:pPr>
        <w:pStyle w:val="Charts"/>
        <w:ind w:right="-22"/>
        <w:rPr>
          <w:b w:val="0"/>
          <w:bCs/>
          <w:color w:val="auto"/>
          <w:sz w:val="20"/>
          <w:szCs w:val="18"/>
        </w:rPr>
      </w:pPr>
      <w:bookmarkStart w:id="387" w:name="_Toc178350584"/>
      <w:bookmarkStart w:id="388" w:name="_Toc178595161"/>
      <w:bookmarkStart w:id="389" w:name="_Toc184110748"/>
      <w:bookmarkStart w:id="390" w:name="_Toc241608098"/>
      <w:bookmarkStart w:id="391" w:name="_Toc57631789"/>
      <w:bookmarkStart w:id="392" w:name="_Toc52223578"/>
      <w:bookmarkStart w:id="393" w:name="_Toc115255404"/>
      <w:bookmarkStart w:id="394" w:name="_Toc83752684"/>
      <w:r w:rsidRPr="00E73A9A">
        <w:rPr>
          <w:b w:val="0"/>
          <w:bCs/>
          <w:color w:val="auto"/>
          <w:sz w:val="20"/>
          <w:szCs w:val="18"/>
        </w:rPr>
        <w:t xml:space="preserve">Գծապատկեր </w:t>
      </w:r>
      <w:r w:rsidRPr="00E73A9A">
        <w:rPr>
          <w:b w:val="0"/>
          <w:bCs/>
          <w:color w:val="auto"/>
          <w:sz w:val="20"/>
          <w:szCs w:val="18"/>
        </w:rPr>
        <w:fldChar w:fldCharType="begin"/>
      </w:r>
      <w:r w:rsidRPr="00E73A9A">
        <w:rPr>
          <w:b w:val="0"/>
          <w:bCs/>
          <w:color w:val="auto"/>
          <w:sz w:val="20"/>
          <w:szCs w:val="18"/>
        </w:rPr>
        <w:instrText xml:space="preserve"> SEQ գծապատկեր \* ARABIC </w:instrText>
      </w:r>
      <w:r w:rsidRPr="00E73A9A">
        <w:rPr>
          <w:b w:val="0"/>
          <w:bCs/>
          <w:color w:val="auto"/>
          <w:sz w:val="20"/>
          <w:szCs w:val="18"/>
        </w:rPr>
        <w:fldChar w:fldCharType="separate"/>
      </w:r>
      <w:r w:rsidR="00E46048">
        <w:rPr>
          <w:b w:val="0"/>
          <w:bCs/>
          <w:noProof/>
          <w:color w:val="auto"/>
          <w:sz w:val="20"/>
          <w:szCs w:val="18"/>
        </w:rPr>
        <w:t>3</w:t>
      </w:r>
      <w:r w:rsidRPr="00E73A9A">
        <w:rPr>
          <w:b w:val="0"/>
          <w:bCs/>
          <w:color w:val="auto"/>
          <w:sz w:val="20"/>
          <w:szCs w:val="18"/>
        </w:rPr>
        <w:fldChar w:fldCharType="end"/>
      </w:r>
      <w:r w:rsidRPr="00E73A9A">
        <w:rPr>
          <w:b w:val="0"/>
          <w:bCs/>
          <w:color w:val="auto"/>
          <w:sz w:val="20"/>
          <w:szCs w:val="18"/>
        </w:rPr>
        <w:t>. 2023-2029թթ</w:t>
      </w:r>
      <w:r w:rsidRPr="00E73A9A">
        <w:rPr>
          <w:rFonts w:hint="eastAsia"/>
          <w:b w:val="0"/>
          <w:bCs/>
          <w:color w:val="auto"/>
          <w:sz w:val="20"/>
          <w:szCs w:val="18"/>
        </w:rPr>
        <w:t>․</w:t>
      </w:r>
      <w:r w:rsidRPr="00E73A9A">
        <w:rPr>
          <w:b w:val="0"/>
          <w:bCs/>
          <w:color w:val="auto"/>
          <w:sz w:val="20"/>
          <w:szCs w:val="18"/>
        </w:rPr>
        <w:t xml:space="preserve"> ընթացիկ ծախսերի ֆինանսավորման ըստ տնտեսագիտական դասակարգման կառուցվածքի ծախ</w:t>
      </w:r>
      <w:r w:rsidRPr="00E73A9A">
        <w:rPr>
          <w:b w:val="0"/>
          <w:bCs/>
          <w:color w:val="auto"/>
          <w:sz w:val="20"/>
          <w:szCs w:val="18"/>
        </w:rPr>
        <w:softHyphen/>
        <w:t>սերի հարա</w:t>
      </w:r>
      <w:r w:rsidRPr="00E73A9A">
        <w:rPr>
          <w:b w:val="0"/>
          <w:bCs/>
          <w:color w:val="auto"/>
          <w:sz w:val="20"/>
          <w:szCs w:val="18"/>
        </w:rPr>
        <w:softHyphen/>
        <w:t>բերակցությունը ՀՆԱ-ի նկատմամբ, %</w:t>
      </w:r>
      <w:bookmarkEnd w:id="387"/>
      <w:bookmarkEnd w:id="388"/>
      <w:bookmarkEnd w:id="389"/>
      <w:bookmarkEnd w:id="390"/>
      <w:r w:rsidRPr="00E73A9A">
        <w:rPr>
          <w:b w:val="0"/>
          <w:bCs/>
          <w:color w:val="auto"/>
          <w:sz w:val="20"/>
          <w:szCs w:val="18"/>
        </w:rPr>
        <w:t xml:space="preserve"> </w:t>
      </w:r>
      <w:bookmarkEnd w:id="391"/>
      <w:bookmarkEnd w:id="392"/>
      <w:bookmarkEnd w:id="393"/>
      <w:bookmarkEnd w:id="394"/>
    </w:p>
    <w:p w14:paraId="6F4B7163" w14:textId="77777777" w:rsidR="00FA08BF" w:rsidRPr="000232DD" w:rsidRDefault="00FA08BF" w:rsidP="00082769">
      <w:pPr>
        <w:pStyle w:val="Charts"/>
        <w:ind w:right="-22"/>
        <w:rPr>
          <w:b w:val="0"/>
          <w:color w:val="auto"/>
        </w:rPr>
      </w:pPr>
      <w:r w:rsidRPr="000232DD">
        <w:rPr>
          <w:noProof/>
          <w:color w:val="auto"/>
          <w:lang w:val="en-US"/>
        </w:rPr>
        <w:drawing>
          <wp:inline distT="0" distB="0" distL="0" distR="0" wp14:anchorId="13325C1D" wp14:editId="3D863726">
            <wp:extent cx="6210300" cy="2952750"/>
            <wp:effectExtent l="0" t="0" r="0"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3C49D78E" w14:textId="77777777" w:rsidR="00FA08BF" w:rsidRPr="000232DD" w:rsidRDefault="00FA08BF" w:rsidP="00082769">
      <w:pPr>
        <w:pStyle w:val="BodyText1"/>
        <w:ind w:left="0" w:right="-22"/>
        <w:rPr>
          <w:color w:val="auto"/>
          <w:lang w:val="hy-AM"/>
        </w:rPr>
      </w:pPr>
    </w:p>
    <w:p w14:paraId="77DF2E56" w14:textId="77777777" w:rsidR="00FA08BF" w:rsidRPr="000232DD" w:rsidRDefault="00FA08BF" w:rsidP="00082769">
      <w:pPr>
        <w:pStyle w:val="BodyText1"/>
        <w:ind w:left="0" w:right="-22"/>
        <w:rPr>
          <w:color w:val="auto"/>
          <w:lang w:val="hy-AM"/>
        </w:rPr>
      </w:pPr>
      <w:r w:rsidRPr="000232DD">
        <w:rPr>
          <w:color w:val="auto"/>
          <w:lang w:val="hy-AM"/>
        </w:rPr>
        <w:t>2027թ. պետական բյուջեից աշխատավարձերին ուղղվող ծախսերը կկազմի ավելի քան 318.4 մլրդ դրամ կամ 2026թ. հաստատված բյուջեից ավել 18.6 տոկոսով կամ 50.0 մլրդ դրամով: 2028 թվականին աշխատավարձերին ուղղվող ծախսերը նախատեսվում է սահմանել 329.2 մլրդ դրամ կամ 2027թ. պլանավորված ցուցանիշից ավել 10.8 մլրդ դրամով կամ 3.4 տոկոսով, 2029 թվականին՝ 331.7 մլրդ դրամ կամ 2028 թվականի պլանավորված ցուցանիշից ավել 2.5 մլրդ դրամով կամ 0.8 տոկոսով:</w:t>
      </w:r>
    </w:p>
    <w:p w14:paraId="48018B95" w14:textId="77777777" w:rsidR="00FA08BF" w:rsidRPr="000232DD" w:rsidRDefault="00FA08BF" w:rsidP="00082769">
      <w:pPr>
        <w:pStyle w:val="BodyText1"/>
        <w:ind w:left="0" w:right="-22"/>
        <w:rPr>
          <w:color w:val="auto"/>
          <w:lang w:val="hy-AM"/>
        </w:rPr>
      </w:pPr>
      <w:r w:rsidRPr="000232DD">
        <w:rPr>
          <w:color w:val="auto"/>
          <w:lang w:val="hy-AM"/>
        </w:rPr>
        <w:t xml:space="preserve"> 2027թ. տոկոսավճարների գծով ծախսը կազմում է 416.8 մլրդ դրամ: 2028 թվականին տոկոսավճարներին ուղղվող ծախսերը նախատեսվում է սահմանել 451.4 մլրդ դրամ կամ 2027թ. պլանավորված ցուցանիշից ավել 34.6 մլրդ դրամով կամ 8.3 տոկոսով, 2029 թվականին՝ 490.2 մլրդ դրամ կամ 2028 թվականի պլանավորված ցուցանիշից ավել 38.7 մլրդ դրամով կամ 8.6 տոկոսով:</w:t>
      </w:r>
    </w:p>
    <w:p w14:paraId="7E54B402" w14:textId="799246C9" w:rsidR="00FA08BF" w:rsidRPr="000232DD" w:rsidRDefault="00FA08BF" w:rsidP="00082769">
      <w:pPr>
        <w:pStyle w:val="BodyText1"/>
        <w:ind w:left="0" w:right="-22"/>
        <w:rPr>
          <w:color w:val="auto"/>
          <w:lang w:val="hy-AM"/>
        </w:rPr>
      </w:pPr>
      <w:r w:rsidRPr="000232DD">
        <w:rPr>
          <w:color w:val="auto"/>
          <w:lang w:val="hy-AM"/>
        </w:rPr>
        <w:t xml:space="preserve">2027թ. պետական բյուջեից կազմակերպություններին նախատեսվում է տրամադրել 248.9 մլրդ դրամի սուբսիդիաներ, որը 2026 թվականի հաստատված բյուջեի համեմատ սուբսիդիաների գծով ծախսն ավել է կանխատեսվել 17.3 տոկոսով կամ </w:t>
      </w:r>
      <w:r w:rsidRPr="00B76ED9">
        <w:rPr>
          <w:color w:val="auto"/>
          <w:lang w:val="hy-AM"/>
        </w:rPr>
        <w:t>36.</w:t>
      </w:r>
      <w:r w:rsidR="005A5DFE" w:rsidRPr="00B76ED9">
        <w:rPr>
          <w:color w:val="auto"/>
          <w:lang w:val="hy-AM"/>
        </w:rPr>
        <w:t>8</w:t>
      </w:r>
      <w:r w:rsidRPr="000232DD">
        <w:rPr>
          <w:color w:val="auto"/>
          <w:lang w:val="hy-AM"/>
        </w:rPr>
        <w:t xml:space="preserve"> մլրդ դրամով: 2028 սուբսիդիաներին ուղղվող ծախսերը նախատեսվում է սահմանել 241.1 մլրդ դրամ կամ 2027թ. պլանավորված ցուցանիշից պակաս 7.8 մլրդ դրամով կամ 3.1 տոկոսով, 2029 թվականին՝ 231.1 մլրդ դրամ կամ 2028 թվականի պլանավորված ցուցանիշից պակաս 9.8 մլրդ դրամով կամ 4.1 տոկոսով:</w:t>
      </w:r>
    </w:p>
    <w:p w14:paraId="128AAB9D" w14:textId="77777777" w:rsidR="00FA08BF" w:rsidRPr="000232DD" w:rsidRDefault="00FA08BF" w:rsidP="00082769">
      <w:pPr>
        <w:pStyle w:val="BodyText1"/>
        <w:ind w:left="0" w:right="-22"/>
        <w:rPr>
          <w:color w:val="auto"/>
          <w:lang w:val="hy-AM"/>
        </w:rPr>
      </w:pPr>
      <w:r w:rsidRPr="000232DD">
        <w:rPr>
          <w:color w:val="auto"/>
          <w:lang w:val="hy-AM"/>
        </w:rPr>
        <w:t>2027թ. ընթացիկ ծախսերի աճը մեծապես ապահովվելու է սոցիալական նպաստների և կենսաթոշակների վճարների գծով պետական բյուջեի ծախսերի (1,547.3 մլրդ դրամ) ավելացման հաշվին, որոնք 2026 թվականի հաստատված բյուջեի նկատմամբ ավելացել է 20.4 տոկոսով կամ 262.2 մլրդ դրամով: 2028 թվականին սոցիալական նպաստներին և կենսաթոշակներին ուղղվող ծախսերը նախատեսվում է սահմանել 1,623.7 մլրդ դրամ կամ 2027թ. պլանավորված ցուցանիշից ավել 76.4 մլրդ դրամով կամ 4.9 տոկոսով, 2029 թվականին՝ 1,680.5 մլրդ դրամ կամ 2028 թվականի պլանավորված ցուցանիշից ավել 56.9 մլրդ դրամով կամ 3.5 տոկոսով:</w:t>
      </w:r>
    </w:p>
    <w:p w14:paraId="6CE65550" w14:textId="77777777" w:rsidR="00FA08BF" w:rsidRPr="000232DD" w:rsidRDefault="00FA08BF" w:rsidP="00082769">
      <w:pPr>
        <w:ind w:right="-22"/>
        <w:jc w:val="both"/>
        <w:rPr>
          <w:rFonts w:ascii="GHEA Grapalat" w:hAnsi="GHEA Grapalat"/>
          <w:color w:val="auto"/>
          <w:szCs w:val="20"/>
          <w:lang w:val="hy-AM"/>
        </w:rPr>
      </w:pPr>
      <w:r w:rsidRPr="000232DD">
        <w:rPr>
          <w:rFonts w:ascii="GHEA Grapalat" w:hAnsi="GHEA Grapalat"/>
          <w:color w:val="auto"/>
          <w:szCs w:val="20"/>
          <w:lang w:val="hy-AM"/>
        </w:rPr>
        <w:t xml:space="preserve">2027թ պետական բյուջեից նախատեսվում է տրամադրել դրամաշնորհներ՝ 311.6 մլրդ դրամ 2026 թվականի հաստատված բյուջեի նկատմամբ համապատասխանաբար 0.8 տոկոսով կամ 2.6 մլրդ դրամով պակաս: </w:t>
      </w:r>
      <w:r w:rsidRPr="00B76ED9">
        <w:rPr>
          <w:rFonts w:ascii="GHEA Grapalat" w:hAnsi="GHEA Grapalat"/>
          <w:color w:val="auto"/>
          <w:szCs w:val="20"/>
          <w:lang w:val="hy-AM"/>
        </w:rPr>
        <w:t>2028 թվականին դրամաշնորհներին ուղղվող ծախսերը նախատեսվում է սահմանել 336.9 մլրդ դրամ կամ 2027թ. պլանավորված ցուցանիշից ավել 25.3 մլրդ դրամով կամ 8.1 տոկոսով, 2029 թվականին՝ 376.1 մլրդ դրամ կամ 2028 թվականի պլանավորված ցուցանիշից ավել 39.1 մլրդ դրամով կամ 11.6 տոկոսով:</w:t>
      </w:r>
    </w:p>
    <w:p w14:paraId="5B63CF81" w14:textId="77777777" w:rsidR="00FA08BF" w:rsidRPr="000232DD" w:rsidRDefault="00FA08BF" w:rsidP="00082769">
      <w:pPr>
        <w:ind w:right="-22"/>
        <w:jc w:val="both"/>
        <w:rPr>
          <w:rFonts w:ascii="GHEA Grapalat" w:hAnsi="GHEA Grapalat"/>
          <w:color w:val="auto"/>
          <w:szCs w:val="20"/>
          <w:lang w:val="hy-AM"/>
        </w:rPr>
      </w:pPr>
      <w:r w:rsidRPr="000232DD">
        <w:rPr>
          <w:rFonts w:ascii="GHEA Grapalat" w:hAnsi="GHEA Grapalat"/>
          <w:color w:val="auto"/>
          <w:szCs w:val="20"/>
          <w:lang w:val="hy-AM"/>
        </w:rPr>
        <w:t>2027թ պետական բյուջեից նախատեսվում է տրամադրել ծառայությունների, ապրանքների ձեռքբերման և այլ ծախսերի գծով 467.5 մլրդ դրամ, որը 2026 թվականի հաստատված բյուջեի նկատմամբ համապատասխանաբար 10.4 տոկոսով կամ 43.9 մլրդ դրամով ավել է:</w:t>
      </w:r>
      <w:r w:rsidRPr="00B76ED9">
        <w:rPr>
          <w:rFonts w:ascii="GHEA Grapalat" w:hAnsi="GHEA Grapalat"/>
          <w:color w:val="auto"/>
          <w:szCs w:val="20"/>
          <w:lang w:val="hy-AM"/>
        </w:rPr>
        <w:t xml:space="preserve"> 2028 թվականին վերոնշյալ ցուցանիշին ուղղվող ծախսերը նախատեսվում է սահմանել 522.5 մլրդ դրամ կամ 2027թ. պլանավորված ցուցանիշից ավել 55.1 մլրդ դրամով կամ 11.8 տոկոսով, 2029 թվականին՝ 536.2 մլրդ դրամ կամ 2028 թվականի պլանավորված ցուցանիշից ավել 13.7 մլրդ դրամով կամ 2.6 տոկոսով:</w:t>
      </w:r>
    </w:p>
    <w:p w14:paraId="08F066D5" w14:textId="77777777" w:rsidR="00FF207A" w:rsidRDefault="00FF207A">
      <w:pPr>
        <w:spacing w:before="0" w:after="160" w:line="278" w:lineRule="auto"/>
        <w:rPr>
          <w:rFonts w:ascii="GHEA Grapalat" w:hAnsi="GHEA Grapalat"/>
          <w:bCs/>
          <w:color w:val="auto"/>
          <w:sz w:val="20"/>
          <w:szCs w:val="18"/>
          <w:lang w:val="hy-AM"/>
        </w:rPr>
      </w:pPr>
      <w:bookmarkStart w:id="395" w:name="_Toc115255381"/>
      <w:bookmarkStart w:id="396" w:name="_Toc83928947"/>
      <w:bookmarkStart w:id="397" w:name="_Toc83752675"/>
      <w:bookmarkStart w:id="398" w:name="_Toc57631762"/>
      <w:bookmarkStart w:id="399" w:name="_Toc178350620"/>
      <w:bookmarkStart w:id="400" w:name="_Toc178612145"/>
      <w:bookmarkStart w:id="401" w:name="_Toc184110771"/>
      <w:bookmarkStart w:id="402" w:name="_Toc241602021"/>
      <w:r w:rsidRPr="004F203B">
        <w:rPr>
          <w:b/>
          <w:bCs/>
          <w:color w:val="auto"/>
          <w:sz w:val="20"/>
          <w:szCs w:val="18"/>
          <w:lang w:val="hy-AM"/>
        </w:rPr>
        <w:br w:type="page"/>
      </w:r>
    </w:p>
    <w:p w14:paraId="1F1C61DB" w14:textId="122DFA84" w:rsidR="00FA08BF" w:rsidRPr="00E73A9A" w:rsidRDefault="00FA08BF" w:rsidP="00E73A9A">
      <w:pPr>
        <w:pStyle w:val="Charts"/>
        <w:ind w:right="-22"/>
        <w:rPr>
          <w:b w:val="0"/>
          <w:bCs/>
          <w:color w:val="auto"/>
          <w:sz w:val="20"/>
          <w:szCs w:val="18"/>
        </w:rPr>
      </w:pPr>
      <w:r w:rsidRPr="00E73A9A">
        <w:rPr>
          <w:b w:val="0"/>
          <w:bCs/>
          <w:color w:val="auto"/>
          <w:sz w:val="20"/>
          <w:szCs w:val="18"/>
        </w:rPr>
        <w:t xml:space="preserve">Աղյուսակ </w:t>
      </w:r>
      <w:r w:rsidRPr="00E73A9A">
        <w:rPr>
          <w:b w:val="0"/>
          <w:bCs/>
          <w:color w:val="auto"/>
          <w:sz w:val="20"/>
          <w:szCs w:val="18"/>
        </w:rPr>
        <w:fldChar w:fldCharType="begin"/>
      </w:r>
      <w:r w:rsidRPr="00E73A9A">
        <w:rPr>
          <w:b w:val="0"/>
          <w:bCs/>
          <w:color w:val="auto"/>
          <w:sz w:val="20"/>
          <w:szCs w:val="18"/>
        </w:rPr>
        <w:instrText xml:space="preserve"> SEQ Աղյուսակ \* ARABIC </w:instrText>
      </w:r>
      <w:r w:rsidRPr="00E73A9A">
        <w:rPr>
          <w:b w:val="0"/>
          <w:bCs/>
          <w:color w:val="auto"/>
          <w:sz w:val="20"/>
          <w:szCs w:val="18"/>
        </w:rPr>
        <w:fldChar w:fldCharType="separate"/>
      </w:r>
      <w:r w:rsidR="00E46048">
        <w:rPr>
          <w:b w:val="0"/>
          <w:bCs/>
          <w:noProof/>
          <w:color w:val="auto"/>
          <w:sz w:val="20"/>
          <w:szCs w:val="18"/>
        </w:rPr>
        <w:t>8</w:t>
      </w:r>
      <w:r w:rsidRPr="00E73A9A">
        <w:rPr>
          <w:b w:val="0"/>
          <w:bCs/>
          <w:color w:val="auto"/>
          <w:sz w:val="20"/>
          <w:szCs w:val="18"/>
        </w:rPr>
        <w:fldChar w:fldCharType="end"/>
      </w:r>
      <w:r w:rsidRPr="00E73A9A">
        <w:rPr>
          <w:rFonts w:ascii="Cambria Math" w:hAnsi="Cambria Math" w:cs="Cambria Math"/>
          <w:b w:val="0"/>
          <w:bCs/>
          <w:color w:val="auto"/>
          <w:sz w:val="20"/>
          <w:szCs w:val="18"/>
        </w:rPr>
        <w:t>․</w:t>
      </w:r>
      <w:r w:rsidRPr="00E73A9A">
        <w:rPr>
          <w:b w:val="0"/>
          <w:bCs/>
          <w:color w:val="auto"/>
          <w:sz w:val="20"/>
          <w:szCs w:val="18"/>
        </w:rPr>
        <w:t xml:space="preserve"> 2023-2029թթ ընթացիկ ծախսերի ֆինանսավորման կառուցվածը ըստ տնտեսագիտական դասակարգման</w:t>
      </w:r>
      <w:bookmarkEnd w:id="395"/>
      <w:bookmarkEnd w:id="396"/>
      <w:bookmarkEnd w:id="397"/>
      <w:bookmarkEnd w:id="398"/>
      <w:r w:rsidRPr="00E73A9A">
        <w:rPr>
          <w:b w:val="0"/>
          <w:bCs/>
          <w:color w:val="auto"/>
          <w:sz w:val="20"/>
          <w:szCs w:val="18"/>
        </w:rPr>
        <w:t>, մլրդ դրամ</w:t>
      </w:r>
      <w:bookmarkEnd w:id="399"/>
      <w:bookmarkEnd w:id="400"/>
      <w:bookmarkEnd w:id="401"/>
      <w:bookmarkEnd w:id="402"/>
    </w:p>
    <w:tbl>
      <w:tblPr>
        <w:tblW w:w="9844" w:type="dxa"/>
        <w:jc w:val="center"/>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ook w:val="04A0" w:firstRow="1" w:lastRow="0" w:firstColumn="1" w:lastColumn="0" w:noHBand="0" w:noVBand="1"/>
      </w:tblPr>
      <w:tblGrid>
        <w:gridCol w:w="3092"/>
        <w:gridCol w:w="952"/>
        <w:gridCol w:w="950"/>
        <w:gridCol w:w="954"/>
        <w:gridCol w:w="1093"/>
        <w:gridCol w:w="837"/>
        <w:gridCol w:w="860"/>
        <w:gridCol w:w="1106"/>
      </w:tblGrid>
      <w:tr w:rsidR="004C0C21" w:rsidRPr="000232DD" w14:paraId="2F871E76" w14:textId="77777777" w:rsidTr="00CB300F">
        <w:trPr>
          <w:trHeight w:val="413"/>
          <w:jc w:val="center"/>
        </w:trPr>
        <w:tc>
          <w:tcPr>
            <w:tcW w:w="3092" w:type="dxa"/>
            <w:vMerge w:val="restart"/>
            <w:shd w:val="clear" w:color="auto" w:fill="DAE9F7" w:themeFill="text2" w:themeFillTint="1A"/>
            <w:vAlign w:val="center"/>
          </w:tcPr>
          <w:p w14:paraId="1EE2C7CE" w14:textId="77777777" w:rsidR="00FA08BF" w:rsidRPr="000232DD" w:rsidRDefault="00FA08BF" w:rsidP="00082769">
            <w:pPr>
              <w:spacing w:before="0" w:after="0" w:line="240" w:lineRule="auto"/>
              <w:ind w:right="-22"/>
              <w:rPr>
                <w:rFonts w:ascii="GHEA Grapalat" w:hAnsi="GHEA Grapalat"/>
                <w:b/>
                <w:color w:val="auto"/>
                <w:sz w:val="18"/>
                <w:szCs w:val="18"/>
              </w:rPr>
            </w:pPr>
            <w:r w:rsidRPr="000232DD">
              <w:rPr>
                <w:rFonts w:ascii="GHEA Grapalat" w:hAnsi="GHEA Grapalat" w:cs="Sylfaen"/>
                <w:b/>
                <w:color w:val="auto"/>
                <w:sz w:val="18"/>
                <w:szCs w:val="18"/>
              </w:rPr>
              <w:t>Ցուցանիշներ</w:t>
            </w:r>
          </w:p>
        </w:tc>
        <w:tc>
          <w:tcPr>
            <w:tcW w:w="2856" w:type="dxa"/>
            <w:gridSpan w:val="3"/>
            <w:shd w:val="clear" w:color="auto" w:fill="DAE9F7" w:themeFill="text2" w:themeFillTint="1A"/>
            <w:vAlign w:val="center"/>
          </w:tcPr>
          <w:p w14:paraId="7D17FAFB" w14:textId="77777777" w:rsidR="00FA08BF" w:rsidRPr="000232DD" w:rsidRDefault="00FA08BF" w:rsidP="00082769">
            <w:pPr>
              <w:spacing w:before="0" w:after="0" w:line="240" w:lineRule="auto"/>
              <w:ind w:right="-22"/>
              <w:jc w:val="center"/>
              <w:rPr>
                <w:rFonts w:ascii="GHEA Grapalat" w:hAnsi="GHEA Grapalat"/>
                <w:b/>
                <w:color w:val="auto"/>
                <w:sz w:val="18"/>
                <w:szCs w:val="18"/>
              </w:rPr>
            </w:pPr>
            <w:r w:rsidRPr="000232DD">
              <w:rPr>
                <w:rFonts w:ascii="GHEA Grapalat" w:hAnsi="GHEA Grapalat" w:cs="Sylfaen"/>
                <w:b/>
                <w:color w:val="auto"/>
                <w:sz w:val="18"/>
                <w:szCs w:val="18"/>
              </w:rPr>
              <w:t>Փաստ</w:t>
            </w:r>
          </w:p>
        </w:tc>
        <w:tc>
          <w:tcPr>
            <w:tcW w:w="1093" w:type="dxa"/>
            <w:shd w:val="clear" w:color="auto" w:fill="DAE9F7" w:themeFill="text2" w:themeFillTint="1A"/>
            <w:vAlign w:val="center"/>
          </w:tcPr>
          <w:p w14:paraId="1C046486" w14:textId="77777777" w:rsidR="00FA08BF" w:rsidRPr="000232DD" w:rsidRDefault="00FA08BF" w:rsidP="00082769">
            <w:pPr>
              <w:spacing w:before="0" w:after="0" w:line="240" w:lineRule="auto"/>
              <w:ind w:right="-22"/>
              <w:jc w:val="center"/>
              <w:rPr>
                <w:rFonts w:ascii="GHEA Grapalat" w:hAnsi="GHEA Grapalat"/>
                <w:b/>
                <w:color w:val="auto"/>
                <w:sz w:val="18"/>
                <w:szCs w:val="18"/>
              </w:rPr>
            </w:pPr>
            <w:r w:rsidRPr="000232DD">
              <w:rPr>
                <w:rFonts w:ascii="GHEA Grapalat" w:hAnsi="GHEA Grapalat" w:cs="Sylfaen"/>
                <w:b/>
                <w:color w:val="auto"/>
                <w:sz w:val="18"/>
                <w:szCs w:val="18"/>
              </w:rPr>
              <w:t>Բյուջե</w:t>
            </w:r>
          </w:p>
        </w:tc>
        <w:tc>
          <w:tcPr>
            <w:tcW w:w="2803" w:type="dxa"/>
            <w:gridSpan w:val="3"/>
            <w:shd w:val="clear" w:color="auto" w:fill="DAE9F7" w:themeFill="text2" w:themeFillTint="1A"/>
            <w:vAlign w:val="center"/>
          </w:tcPr>
          <w:p w14:paraId="6F912D63" w14:textId="77777777" w:rsidR="00FA08BF" w:rsidRPr="000232DD" w:rsidRDefault="00FA08BF" w:rsidP="00082769">
            <w:pPr>
              <w:spacing w:before="0" w:after="0" w:line="240" w:lineRule="auto"/>
              <w:ind w:right="-22"/>
              <w:jc w:val="center"/>
              <w:rPr>
                <w:rFonts w:ascii="GHEA Grapalat" w:hAnsi="GHEA Grapalat"/>
                <w:b/>
                <w:color w:val="auto"/>
                <w:sz w:val="18"/>
                <w:szCs w:val="18"/>
              </w:rPr>
            </w:pPr>
            <w:r w:rsidRPr="000232DD">
              <w:rPr>
                <w:rFonts w:ascii="GHEA Grapalat" w:hAnsi="GHEA Grapalat" w:cs="Sylfaen"/>
                <w:b/>
                <w:color w:val="auto"/>
                <w:sz w:val="18"/>
                <w:szCs w:val="18"/>
                <w:lang w:val="hy-AM"/>
              </w:rPr>
              <w:t>Ծ</w:t>
            </w:r>
            <w:r w:rsidRPr="000232DD">
              <w:rPr>
                <w:rFonts w:ascii="GHEA Grapalat" w:hAnsi="GHEA Grapalat" w:cs="Sylfaen"/>
                <w:b/>
                <w:color w:val="auto"/>
                <w:sz w:val="18"/>
                <w:szCs w:val="18"/>
              </w:rPr>
              <w:t>րագիր</w:t>
            </w:r>
          </w:p>
        </w:tc>
      </w:tr>
      <w:tr w:rsidR="004C0C21" w:rsidRPr="000232DD" w14:paraId="2D2A0990" w14:textId="77777777" w:rsidTr="00CB300F">
        <w:trPr>
          <w:trHeight w:val="413"/>
          <w:jc w:val="center"/>
        </w:trPr>
        <w:tc>
          <w:tcPr>
            <w:tcW w:w="3092" w:type="dxa"/>
            <w:vMerge/>
            <w:shd w:val="clear" w:color="auto" w:fill="DAE9F7" w:themeFill="text2" w:themeFillTint="1A"/>
            <w:vAlign w:val="center"/>
            <w:hideMark/>
          </w:tcPr>
          <w:p w14:paraId="6DA85321" w14:textId="77777777" w:rsidR="00FA08BF" w:rsidRPr="000232DD" w:rsidRDefault="00FA08BF" w:rsidP="00082769">
            <w:pPr>
              <w:spacing w:before="0" w:after="0" w:line="240" w:lineRule="auto"/>
              <w:ind w:right="-22"/>
              <w:rPr>
                <w:rFonts w:ascii="GHEA Grapalat" w:hAnsi="GHEA Grapalat"/>
                <w:b/>
                <w:color w:val="auto"/>
                <w:sz w:val="18"/>
                <w:szCs w:val="18"/>
              </w:rPr>
            </w:pPr>
          </w:p>
        </w:tc>
        <w:tc>
          <w:tcPr>
            <w:tcW w:w="952" w:type="dxa"/>
            <w:shd w:val="clear" w:color="auto" w:fill="DAE9F7" w:themeFill="text2" w:themeFillTint="1A"/>
            <w:vAlign w:val="center"/>
            <w:hideMark/>
          </w:tcPr>
          <w:p w14:paraId="6D8A1704" w14:textId="77777777" w:rsidR="00FA08BF" w:rsidRPr="000232DD" w:rsidRDefault="00FA08BF" w:rsidP="00082769">
            <w:pPr>
              <w:spacing w:before="0" w:after="0" w:line="240" w:lineRule="auto"/>
              <w:ind w:right="-22"/>
              <w:jc w:val="center"/>
              <w:rPr>
                <w:rFonts w:ascii="GHEA Grapalat" w:hAnsi="GHEA Grapalat"/>
                <w:b/>
                <w:color w:val="auto"/>
                <w:sz w:val="18"/>
                <w:szCs w:val="18"/>
              </w:rPr>
            </w:pPr>
            <w:r w:rsidRPr="000232DD">
              <w:rPr>
                <w:rFonts w:ascii="GHEA Grapalat" w:hAnsi="GHEA Grapalat"/>
                <w:b/>
                <w:color w:val="auto"/>
                <w:sz w:val="18"/>
                <w:szCs w:val="18"/>
              </w:rPr>
              <w:t>2023</w:t>
            </w:r>
          </w:p>
        </w:tc>
        <w:tc>
          <w:tcPr>
            <w:tcW w:w="950" w:type="dxa"/>
            <w:shd w:val="clear" w:color="auto" w:fill="DAE9F7" w:themeFill="text2" w:themeFillTint="1A"/>
            <w:vAlign w:val="center"/>
            <w:hideMark/>
          </w:tcPr>
          <w:p w14:paraId="65A1E239" w14:textId="77777777" w:rsidR="00FA08BF" w:rsidRPr="000232DD" w:rsidRDefault="00FA08BF" w:rsidP="00082769">
            <w:pPr>
              <w:spacing w:before="0" w:after="0" w:line="240" w:lineRule="auto"/>
              <w:ind w:right="-22"/>
              <w:jc w:val="center"/>
              <w:rPr>
                <w:rFonts w:ascii="GHEA Grapalat" w:hAnsi="GHEA Grapalat"/>
                <w:b/>
                <w:color w:val="auto"/>
                <w:sz w:val="18"/>
                <w:szCs w:val="18"/>
              </w:rPr>
            </w:pPr>
            <w:r w:rsidRPr="000232DD">
              <w:rPr>
                <w:rFonts w:ascii="GHEA Grapalat" w:hAnsi="GHEA Grapalat"/>
                <w:b/>
                <w:color w:val="auto"/>
                <w:sz w:val="18"/>
                <w:szCs w:val="18"/>
              </w:rPr>
              <w:t>2024</w:t>
            </w:r>
          </w:p>
        </w:tc>
        <w:tc>
          <w:tcPr>
            <w:tcW w:w="954" w:type="dxa"/>
            <w:shd w:val="clear" w:color="auto" w:fill="DAE9F7" w:themeFill="text2" w:themeFillTint="1A"/>
            <w:vAlign w:val="center"/>
            <w:hideMark/>
          </w:tcPr>
          <w:p w14:paraId="0E708298" w14:textId="77777777" w:rsidR="00FA08BF" w:rsidRPr="000232DD" w:rsidRDefault="00FA08BF" w:rsidP="00082769">
            <w:pPr>
              <w:spacing w:before="0" w:after="0" w:line="240" w:lineRule="auto"/>
              <w:ind w:right="-22"/>
              <w:jc w:val="center"/>
              <w:rPr>
                <w:rFonts w:ascii="GHEA Grapalat" w:hAnsi="GHEA Grapalat"/>
                <w:b/>
                <w:color w:val="auto"/>
                <w:sz w:val="18"/>
                <w:szCs w:val="18"/>
              </w:rPr>
            </w:pPr>
            <w:r w:rsidRPr="000232DD">
              <w:rPr>
                <w:rFonts w:ascii="GHEA Grapalat" w:hAnsi="GHEA Grapalat"/>
                <w:b/>
                <w:color w:val="auto"/>
                <w:sz w:val="18"/>
                <w:szCs w:val="18"/>
              </w:rPr>
              <w:t>2025</w:t>
            </w:r>
          </w:p>
        </w:tc>
        <w:tc>
          <w:tcPr>
            <w:tcW w:w="1093" w:type="dxa"/>
            <w:shd w:val="clear" w:color="auto" w:fill="DAE9F7" w:themeFill="text2" w:themeFillTint="1A"/>
            <w:vAlign w:val="center"/>
            <w:hideMark/>
          </w:tcPr>
          <w:p w14:paraId="0D4ECB8D" w14:textId="77777777" w:rsidR="00FA08BF" w:rsidRPr="000232DD" w:rsidRDefault="00FA08BF" w:rsidP="00082769">
            <w:pPr>
              <w:spacing w:before="0" w:after="0" w:line="240" w:lineRule="auto"/>
              <w:ind w:right="-22"/>
              <w:jc w:val="center"/>
              <w:rPr>
                <w:rFonts w:ascii="GHEA Grapalat" w:hAnsi="GHEA Grapalat"/>
                <w:b/>
                <w:color w:val="auto"/>
                <w:sz w:val="18"/>
                <w:szCs w:val="18"/>
              </w:rPr>
            </w:pPr>
            <w:r w:rsidRPr="000232DD">
              <w:rPr>
                <w:rFonts w:ascii="GHEA Grapalat" w:hAnsi="GHEA Grapalat"/>
                <w:b/>
                <w:color w:val="auto"/>
                <w:sz w:val="18"/>
                <w:szCs w:val="18"/>
              </w:rPr>
              <w:t>2026</w:t>
            </w:r>
          </w:p>
        </w:tc>
        <w:tc>
          <w:tcPr>
            <w:tcW w:w="837" w:type="dxa"/>
            <w:shd w:val="clear" w:color="auto" w:fill="DAE9F7" w:themeFill="text2" w:themeFillTint="1A"/>
            <w:vAlign w:val="center"/>
          </w:tcPr>
          <w:p w14:paraId="22E39AE5" w14:textId="77777777" w:rsidR="00FA08BF" w:rsidRPr="000232DD" w:rsidRDefault="00FA08BF" w:rsidP="00082769">
            <w:pPr>
              <w:spacing w:before="0" w:after="0" w:line="240" w:lineRule="auto"/>
              <w:ind w:right="-22"/>
              <w:jc w:val="center"/>
              <w:rPr>
                <w:rFonts w:ascii="GHEA Grapalat" w:hAnsi="GHEA Grapalat"/>
                <w:b/>
                <w:color w:val="auto"/>
                <w:sz w:val="18"/>
                <w:szCs w:val="18"/>
              </w:rPr>
            </w:pPr>
            <w:r w:rsidRPr="000232DD">
              <w:rPr>
                <w:rFonts w:ascii="GHEA Grapalat" w:hAnsi="GHEA Grapalat"/>
                <w:b/>
                <w:color w:val="auto"/>
                <w:sz w:val="18"/>
                <w:szCs w:val="18"/>
              </w:rPr>
              <w:t>2027</w:t>
            </w:r>
          </w:p>
        </w:tc>
        <w:tc>
          <w:tcPr>
            <w:tcW w:w="860" w:type="dxa"/>
            <w:shd w:val="clear" w:color="auto" w:fill="DAE9F7" w:themeFill="text2" w:themeFillTint="1A"/>
            <w:vAlign w:val="center"/>
          </w:tcPr>
          <w:p w14:paraId="10B9FF4A" w14:textId="77777777" w:rsidR="00FA08BF" w:rsidRPr="000232DD" w:rsidRDefault="00FA08BF" w:rsidP="00082769">
            <w:pPr>
              <w:spacing w:before="0" w:after="0" w:line="240" w:lineRule="auto"/>
              <w:ind w:right="-22"/>
              <w:jc w:val="center"/>
              <w:rPr>
                <w:rFonts w:ascii="GHEA Grapalat" w:hAnsi="GHEA Grapalat"/>
                <w:b/>
                <w:color w:val="auto"/>
                <w:sz w:val="18"/>
                <w:szCs w:val="18"/>
              </w:rPr>
            </w:pPr>
            <w:r w:rsidRPr="000232DD">
              <w:rPr>
                <w:rFonts w:ascii="GHEA Grapalat" w:hAnsi="GHEA Grapalat"/>
                <w:b/>
                <w:color w:val="auto"/>
                <w:sz w:val="18"/>
                <w:szCs w:val="18"/>
              </w:rPr>
              <w:t>2028</w:t>
            </w:r>
          </w:p>
        </w:tc>
        <w:tc>
          <w:tcPr>
            <w:tcW w:w="1106" w:type="dxa"/>
            <w:shd w:val="clear" w:color="auto" w:fill="DAE9F7" w:themeFill="text2" w:themeFillTint="1A"/>
            <w:vAlign w:val="center"/>
            <w:hideMark/>
          </w:tcPr>
          <w:p w14:paraId="4A8360EC" w14:textId="77777777" w:rsidR="00FA08BF" w:rsidRPr="000232DD" w:rsidRDefault="00FA08BF" w:rsidP="00082769">
            <w:pPr>
              <w:spacing w:before="0" w:after="0" w:line="240" w:lineRule="auto"/>
              <w:ind w:right="-22"/>
              <w:jc w:val="center"/>
              <w:rPr>
                <w:rFonts w:ascii="GHEA Grapalat" w:hAnsi="GHEA Grapalat"/>
                <w:b/>
                <w:color w:val="auto"/>
                <w:sz w:val="18"/>
                <w:szCs w:val="18"/>
                <w:lang w:val="hy-AM"/>
              </w:rPr>
            </w:pPr>
            <w:r w:rsidRPr="000232DD">
              <w:rPr>
                <w:rFonts w:ascii="GHEA Grapalat" w:hAnsi="GHEA Grapalat"/>
                <w:b/>
                <w:color w:val="auto"/>
                <w:sz w:val="18"/>
                <w:szCs w:val="18"/>
              </w:rPr>
              <w:t>2029</w:t>
            </w:r>
          </w:p>
        </w:tc>
      </w:tr>
      <w:tr w:rsidR="004C0C21" w:rsidRPr="000232DD" w14:paraId="74ADC28C" w14:textId="77777777" w:rsidTr="00CB300F">
        <w:trPr>
          <w:trHeight w:val="413"/>
          <w:jc w:val="center"/>
        </w:trPr>
        <w:tc>
          <w:tcPr>
            <w:tcW w:w="3092" w:type="dxa"/>
            <w:shd w:val="clear" w:color="auto" w:fill="auto"/>
            <w:vAlign w:val="center"/>
            <w:hideMark/>
          </w:tcPr>
          <w:p w14:paraId="40BDAC42" w14:textId="77777777" w:rsidR="00FA08BF" w:rsidRPr="000232DD" w:rsidRDefault="00FA08BF" w:rsidP="00082769">
            <w:pPr>
              <w:spacing w:before="0" w:after="0" w:line="240" w:lineRule="auto"/>
              <w:ind w:right="-22"/>
              <w:rPr>
                <w:rFonts w:ascii="GHEA Grapalat" w:hAnsi="GHEA Grapalat"/>
                <w:color w:val="auto"/>
                <w:sz w:val="18"/>
                <w:szCs w:val="18"/>
              </w:rPr>
            </w:pPr>
            <w:r w:rsidRPr="000232DD">
              <w:rPr>
                <w:rFonts w:ascii="GHEA Grapalat" w:hAnsi="GHEA Grapalat" w:cs="Sylfaen"/>
                <w:color w:val="auto"/>
                <w:sz w:val="18"/>
                <w:szCs w:val="18"/>
              </w:rPr>
              <w:t>Ընթացիկ</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ծախսեր</w:t>
            </w:r>
          </w:p>
        </w:tc>
        <w:tc>
          <w:tcPr>
            <w:tcW w:w="952" w:type="dxa"/>
            <w:shd w:val="clear" w:color="auto" w:fill="auto"/>
            <w:vAlign w:val="center"/>
          </w:tcPr>
          <w:p w14:paraId="47863CBD"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2,075.1</w:t>
            </w:r>
          </w:p>
        </w:tc>
        <w:tc>
          <w:tcPr>
            <w:tcW w:w="950" w:type="dxa"/>
            <w:shd w:val="clear" w:color="auto" w:fill="auto"/>
            <w:vAlign w:val="center"/>
          </w:tcPr>
          <w:p w14:paraId="03D4F38F"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2,413.6</w:t>
            </w:r>
          </w:p>
        </w:tc>
        <w:tc>
          <w:tcPr>
            <w:tcW w:w="954" w:type="dxa"/>
            <w:shd w:val="clear" w:color="auto" w:fill="auto"/>
            <w:vAlign w:val="center"/>
          </w:tcPr>
          <w:p w14:paraId="1B9060B6" w14:textId="77777777" w:rsidR="00FA08BF" w:rsidRPr="006D29A8" w:rsidRDefault="00FA08BF" w:rsidP="00082769">
            <w:pPr>
              <w:spacing w:before="0" w:after="0" w:line="240" w:lineRule="auto"/>
              <w:ind w:right="-22"/>
              <w:jc w:val="center"/>
              <w:rPr>
                <w:rFonts w:ascii="GHEA Grapalat" w:hAnsi="GHEA Grapalat" w:cs="Calibri"/>
                <w:color w:val="auto"/>
                <w:sz w:val="18"/>
                <w:szCs w:val="18"/>
              </w:rPr>
            </w:pPr>
            <w:r w:rsidRPr="006D29A8">
              <w:rPr>
                <w:rFonts w:ascii="GHEA Grapalat" w:hAnsi="GHEA Grapalat"/>
                <w:color w:val="auto"/>
                <w:sz w:val="18"/>
                <w:szCs w:val="18"/>
              </w:rPr>
              <w:t>2,612.6</w:t>
            </w:r>
          </w:p>
        </w:tc>
        <w:tc>
          <w:tcPr>
            <w:tcW w:w="1093" w:type="dxa"/>
            <w:shd w:val="clear" w:color="auto" w:fill="auto"/>
            <w:noWrap/>
            <w:vAlign w:val="center"/>
          </w:tcPr>
          <w:p w14:paraId="0CDADC98"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2,92</w:t>
            </w:r>
            <w:r w:rsidRPr="000232DD">
              <w:rPr>
                <w:rFonts w:ascii="GHEA Grapalat" w:hAnsi="GHEA Grapalat" w:cs="Calibri"/>
                <w:color w:val="auto"/>
                <w:sz w:val="18"/>
                <w:szCs w:val="18"/>
                <w:lang w:val="hy-AM"/>
              </w:rPr>
              <w:t>3</w:t>
            </w:r>
            <w:r w:rsidRPr="000232DD">
              <w:rPr>
                <w:rFonts w:ascii="GHEA Grapalat" w:hAnsi="GHEA Grapalat" w:cs="Calibri"/>
                <w:color w:val="auto"/>
                <w:sz w:val="18"/>
                <w:szCs w:val="18"/>
              </w:rPr>
              <w:t>.5</w:t>
            </w:r>
          </w:p>
        </w:tc>
        <w:tc>
          <w:tcPr>
            <w:tcW w:w="837" w:type="dxa"/>
            <w:vAlign w:val="center"/>
          </w:tcPr>
          <w:p w14:paraId="434D68B8"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3,310.6</w:t>
            </w:r>
          </w:p>
        </w:tc>
        <w:tc>
          <w:tcPr>
            <w:tcW w:w="860" w:type="dxa"/>
            <w:vAlign w:val="center"/>
          </w:tcPr>
          <w:p w14:paraId="0BB728D9"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rPr>
              <w:t>3,504.</w:t>
            </w:r>
            <w:r w:rsidRPr="000232DD">
              <w:rPr>
                <w:rFonts w:ascii="GHEA Grapalat" w:hAnsi="GHEA Grapalat" w:cs="Calibri"/>
                <w:color w:val="auto"/>
                <w:sz w:val="18"/>
                <w:szCs w:val="18"/>
                <w:lang w:val="hy-AM"/>
              </w:rPr>
              <w:t>9</w:t>
            </w:r>
          </w:p>
        </w:tc>
        <w:tc>
          <w:tcPr>
            <w:tcW w:w="1106" w:type="dxa"/>
            <w:shd w:val="clear" w:color="auto" w:fill="auto"/>
            <w:noWrap/>
            <w:vAlign w:val="center"/>
          </w:tcPr>
          <w:p w14:paraId="0CA6C3AF"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rPr>
              <w:t>3,646.1</w:t>
            </w:r>
          </w:p>
        </w:tc>
      </w:tr>
      <w:tr w:rsidR="004C0C21" w:rsidRPr="000232DD" w14:paraId="6181CD83" w14:textId="77777777" w:rsidTr="00CB300F">
        <w:trPr>
          <w:trHeight w:val="413"/>
          <w:jc w:val="center"/>
        </w:trPr>
        <w:tc>
          <w:tcPr>
            <w:tcW w:w="3092" w:type="dxa"/>
            <w:shd w:val="clear" w:color="auto" w:fill="auto"/>
            <w:vAlign w:val="center"/>
            <w:hideMark/>
          </w:tcPr>
          <w:p w14:paraId="490D7AFB" w14:textId="77777777" w:rsidR="00FA08BF" w:rsidRPr="000232DD" w:rsidRDefault="00FA08BF" w:rsidP="00082769">
            <w:pPr>
              <w:spacing w:before="0" w:after="0" w:line="240" w:lineRule="auto"/>
              <w:ind w:right="-22"/>
              <w:rPr>
                <w:rFonts w:ascii="GHEA Grapalat" w:hAnsi="GHEA Grapalat"/>
                <w:color w:val="auto"/>
                <w:sz w:val="18"/>
                <w:szCs w:val="18"/>
              </w:rPr>
            </w:pPr>
            <w:r w:rsidRPr="000232DD">
              <w:rPr>
                <w:rFonts w:ascii="GHEA Grapalat" w:hAnsi="GHEA Grapalat"/>
                <w:color w:val="auto"/>
                <w:sz w:val="18"/>
                <w:szCs w:val="18"/>
              </w:rPr>
              <w:t xml:space="preserve">1. </w:t>
            </w:r>
            <w:r w:rsidRPr="000232DD">
              <w:rPr>
                <w:rFonts w:ascii="GHEA Grapalat" w:hAnsi="GHEA Grapalat" w:cs="Sylfaen"/>
                <w:color w:val="auto"/>
                <w:sz w:val="18"/>
                <w:szCs w:val="18"/>
              </w:rPr>
              <w:t>Աշխատանքի</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վարձատրություն</w:t>
            </w:r>
          </w:p>
        </w:tc>
        <w:tc>
          <w:tcPr>
            <w:tcW w:w="952" w:type="dxa"/>
            <w:shd w:val="clear" w:color="auto" w:fill="auto"/>
            <w:vAlign w:val="center"/>
          </w:tcPr>
          <w:p w14:paraId="2533CE45"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218.0</w:t>
            </w:r>
          </w:p>
        </w:tc>
        <w:tc>
          <w:tcPr>
            <w:tcW w:w="950" w:type="dxa"/>
            <w:shd w:val="clear" w:color="auto" w:fill="auto"/>
            <w:vAlign w:val="center"/>
          </w:tcPr>
          <w:p w14:paraId="4F7CF3CC"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242.7</w:t>
            </w:r>
          </w:p>
        </w:tc>
        <w:tc>
          <w:tcPr>
            <w:tcW w:w="954" w:type="dxa"/>
            <w:shd w:val="clear" w:color="auto" w:fill="auto"/>
            <w:vAlign w:val="center"/>
          </w:tcPr>
          <w:p w14:paraId="07A1C4EF"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olor w:val="auto"/>
                <w:sz w:val="18"/>
                <w:szCs w:val="18"/>
              </w:rPr>
              <w:t>258.1</w:t>
            </w:r>
          </w:p>
        </w:tc>
        <w:tc>
          <w:tcPr>
            <w:tcW w:w="1093" w:type="dxa"/>
            <w:shd w:val="clear" w:color="auto" w:fill="auto"/>
            <w:noWrap/>
            <w:vAlign w:val="center"/>
          </w:tcPr>
          <w:p w14:paraId="640CC6E9"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lang w:val="hy-AM"/>
              </w:rPr>
              <w:t>268.4</w:t>
            </w:r>
          </w:p>
        </w:tc>
        <w:tc>
          <w:tcPr>
            <w:tcW w:w="837" w:type="dxa"/>
            <w:vAlign w:val="center"/>
          </w:tcPr>
          <w:p w14:paraId="5937BA6D"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lang w:val="hy-AM"/>
              </w:rPr>
              <w:t>318.4</w:t>
            </w:r>
          </w:p>
        </w:tc>
        <w:tc>
          <w:tcPr>
            <w:tcW w:w="860" w:type="dxa"/>
            <w:vAlign w:val="center"/>
          </w:tcPr>
          <w:p w14:paraId="49F7C303"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329.2</w:t>
            </w:r>
          </w:p>
        </w:tc>
        <w:tc>
          <w:tcPr>
            <w:tcW w:w="1106" w:type="dxa"/>
            <w:shd w:val="clear" w:color="auto" w:fill="auto"/>
            <w:noWrap/>
            <w:vAlign w:val="center"/>
          </w:tcPr>
          <w:p w14:paraId="410114A5"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lang w:val="hy-AM"/>
              </w:rPr>
              <w:t>331</w:t>
            </w:r>
            <w:r w:rsidRPr="000232DD">
              <w:rPr>
                <w:rFonts w:ascii="GHEA Grapalat" w:hAnsi="GHEA Grapalat" w:cs="Calibri"/>
                <w:color w:val="auto"/>
                <w:sz w:val="18"/>
                <w:szCs w:val="18"/>
              </w:rPr>
              <w:t>.7</w:t>
            </w:r>
          </w:p>
        </w:tc>
      </w:tr>
      <w:tr w:rsidR="004C0C21" w:rsidRPr="000232DD" w14:paraId="559B0433" w14:textId="77777777" w:rsidTr="00CB300F">
        <w:trPr>
          <w:trHeight w:val="413"/>
          <w:jc w:val="center"/>
        </w:trPr>
        <w:tc>
          <w:tcPr>
            <w:tcW w:w="3092" w:type="dxa"/>
            <w:shd w:val="clear" w:color="auto" w:fill="auto"/>
            <w:vAlign w:val="center"/>
            <w:hideMark/>
          </w:tcPr>
          <w:p w14:paraId="4BB6170C" w14:textId="77777777" w:rsidR="00FA08BF" w:rsidRPr="000232DD" w:rsidRDefault="00FA08BF" w:rsidP="00082769">
            <w:pPr>
              <w:spacing w:before="0" w:after="0" w:line="240" w:lineRule="auto"/>
              <w:ind w:right="-22"/>
              <w:rPr>
                <w:rFonts w:ascii="GHEA Grapalat" w:hAnsi="GHEA Grapalat"/>
                <w:color w:val="auto"/>
                <w:sz w:val="18"/>
                <w:szCs w:val="18"/>
              </w:rPr>
            </w:pPr>
            <w:r w:rsidRPr="000232DD">
              <w:rPr>
                <w:rFonts w:ascii="GHEA Grapalat" w:hAnsi="GHEA Grapalat"/>
                <w:color w:val="auto"/>
                <w:sz w:val="18"/>
                <w:szCs w:val="18"/>
              </w:rPr>
              <w:t xml:space="preserve">2. </w:t>
            </w:r>
            <w:r w:rsidRPr="000232DD">
              <w:rPr>
                <w:rFonts w:ascii="GHEA Grapalat" w:hAnsi="GHEA Grapalat" w:cs="Sylfaen"/>
                <w:color w:val="auto"/>
                <w:sz w:val="18"/>
                <w:szCs w:val="18"/>
              </w:rPr>
              <w:t>Ծառայությունների</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և</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ապրանքների</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ձեռքբերում</w:t>
            </w:r>
          </w:p>
        </w:tc>
        <w:tc>
          <w:tcPr>
            <w:tcW w:w="952" w:type="dxa"/>
            <w:shd w:val="clear" w:color="auto" w:fill="auto"/>
            <w:vAlign w:val="center"/>
          </w:tcPr>
          <w:p w14:paraId="239EF5E3"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191.1</w:t>
            </w:r>
          </w:p>
        </w:tc>
        <w:tc>
          <w:tcPr>
            <w:tcW w:w="950" w:type="dxa"/>
            <w:shd w:val="clear" w:color="auto" w:fill="auto"/>
            <w:vAlign w:val="center"/>
          </w:tcPr>
          <w:p w14:paraId="244BC6BB"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108.7</w:t>
            </w:r>
          </w:p>
        </w:tc>
        <w:tc>
          <w:tcPr>
            <w:tcW w:w="954" w:type="dxa"/>
            <w:shd w:val="clear" w:color="auto" w:fill="auto"/>
            <w:vAlign w:val="center"/>
          </w:tcPr>
          <w:p w14:paraId="0A13AF6E"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olor w:val="auto"/>
                <w:sz w:val="18"/>
                <w:szCs w:val="18"/>
              </w:rPr>
              <w:t>105.1</w:t>
            </w:r>
          </w:p>
        </w:tc>
        <w:tc>
          <w:tcPr>
            <w:tcW w:w="1093" w:type="dxa"/>
            <w:shd w:val="clear" w:color="auto" w:fill="auto"/>
            <w:noWrap/>
            <w:vAlign w:val="center"/>
          </w:tcPr>
          <w:p w14:paraId="303DCAFB"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9</w:t>
            </w:r>
            <w:r w:rsidRPr="000232DD">
              <w:rPr>
                <w:rFonts w:ascii="GHEA Grapalat" w:hAnsi="GHEA Grapalat" w:cs="Calibri"/>
                <w:color w:val="auto"/>
                <w:sz w:val="18"/>
                <w:szCs w:val="18"/>
                <w:lang w:val="hy-AM"/>
              </w:rPr>
              <w:t>2</w:t>
            </w:r>
            <w:r w:rsidRPr="000232DD">
              <w:rPr>
                <w:rFonts w:ascii="GHEA Grapalat" w:hAnsi="GHEA Grapalat" w:cs="Calibri"/>
                <w:color w:val="auto"/>
                <w:sz w:val="18"/>
                <w:szCs w:val="18"/>
              </w:rPr>
              <w:t>.</w:t>
            </w:r>
            <w:r w:rsidRPr="000232DD">
              <w:rPr>
                <w:rFonts w:ascii="GHEA Grapalat" w:hAnsi="GHEA Grapalat" w:cs="Calibri"/>
                <w:color w:val="auto"/>
                <w:sz w:val="18"/>
                <w:szCs w:val="18"/>
                <w:lang w:val="hy-AM"/>
              </w:rPr>
              <w:t>1</w:t>
            </w:r>
          </w:p>
        </w:tc>
        <w:tc>
          <w:tcPr>
            <w:tcW w:w="837" w:type="dxa"/>
            <w:vAlign w:val="center"/>
          </w:tcPr>
          <w:p w14:paraId="4DA0C59E"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rPr>
              <w:t>99.5</w:t>
            </w:r>
          </w:p>
        </w:tc>
        <w:tc>
          <w:tcPr>
            <w:tcW w:w="860" w:type="dxa"/>
            <w:vAlign w:val="center"/>
          </w:tcPr>
          <w:p w14:paraId="2BCA0E59"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lang w:val="hy-AM"/>
              </w:rPr>
              <w:t>96.6</w:t>
            </w:r>
          </w:p>
        </w:tc>
        <w:tc>
          <w:tcPr>
            <w:tcW w:w="1106" w:type="dxa"/>
            <w:shd w:val="clear" w:color="auto" w:fill="auto"/>
            <w:noWrap/>
            <w:vAlign w:val="center"/>
          </w:tcPr>
          <w:p w14:paraId="01953EE8"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lang w:val="hy-AM"/>
              </w:rPr>
              <w:t>97.9</w:t>
            </w:r>
          </w:p>
        </w:tc>
      </w:tr>
      <w:tr w:rsidR="004C0C21" w:rsidRPr="000232DD" w14:paraId="54827686" w14:textId="77777777" w:rsidTr="00CB300F">
        <w:trPr>
          <w:trHeight w:val="413"/>
          <w:jc w:val="center"/>
        </w:trPr>
        <w:tc>
          <w:tcPr>
            <w:tcW w:w="3092" w:type="dxa"/>
            <w:shd w:val="clear" w:color="auto" w:fill="auto"/>
            <w:vAlign w:val="center"/>
            <w:hideMark/>
          </w:tcPr>
          <w:p w14:paraId="36FD0207" w14:textId="77777777" w:rsidR="00FA08BF" w:rsidRPr="000232DD" w:rsidRDefault="00FA08BF" w:rsidP="00082769">
            <w:pPr>
              <w:spacing w:before="0" w:after="0" w:line="240" w:lineRule="auto"/>
              <w:ind w:right="-22"/>
              <w:rPr>
                <w:rFonts w:ascii="GHEA Grapalat" w:hAnsi="GHEA Grapalat"/>
                <w:color w:val="auto"/>
                <w:sz w:val="18"/>
                <w:szCs w:val="18"/>
              </w:rPr>
            </w:pPr>
            <w:r w:rsidRPr="000232DD">
              <w:rPr>
                <w:rFonts w:ascii="GHEA Grapalat" w:hAnsi="GHEA Grapalat"/>
                <w:color w:val="auto"/>
                <w:sz w:val="18"/>
                <w:szCs w:val="18"/>
              </w:rPr>
              <w:t xml:space="preserve">3. </w:t>
            </w:r>
            <w:r w:rsidRPr="000232DD">
              <w:rPr>
                <w:rFonts w:ascii="GHEA Grapalat" w:hAnsi="GHEA Grapalat" w:cs="Sylfaen"/>
                <w:color w:val="auto"/>
                <w:sz w:val="18"/>
                <w:szCs w:val="18"/>
              </w:rPr>
              <w:t>Տոկոսավճարներ</w:t>
            </w:r>
          </w:p>
        </w:tc>
        <w:tc>
          <w:tcPr>
            <w:tcW w:w="952" w:type="dxa"/>
            <w:shd w:val="clear" w:color="auto" w:fill="auto"/>
            <w:vAlign w:val="center"/>
          </w:tcPr>
          <w:p w14:paraId="2343A242"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253.4</w:t>
            </w:r>
          </w:p>
        </w:tc>
        <w:tc>
          <w:tcPr>
            <w:tcW w:w="950" w:type="dxa"/>
            <w:shd w:val="clear" w:color="auto" w:fill="auto"/>
            <w:vAlign w:val="center"/>
          </w:tcPr>
          <w:p w14:paraId="74B47E0A"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313.6</w:t>
            </w:r>
          </w:p>
        </w:tc>
        <w:tc>
          <w:tcPr>
            <w:tcW w:w="954" w:type="dxa"/>
            <w:shd w:val="clear" w:color="auto" w:fill="auto"/>
            <w:vAlign w:val="center"/>
          </w:tcPr>
          <w:p w14:paraId="4B542B16"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olor w:val="auto"/>
                <w:sz w:val="18"/>
                <w:szCs w:val="18"/>
              </w:rPr>
              <w:t>349.1</w:t>
            </w:r>
          </w:p>
        </w:tc>
        <w:tc>
          <w:tcPr>
            <w:tcW w:w="1093" w:type="dxa"/>
            <w:shd w:val="clear" w:color="auto" w:fill="auto"/>
            <w:noWrap/>
            <w:vAlign w:val="center"/>
          </w:tcPr>
          <w:p w14:paraId="7705C295"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lang w:val="hy-AM"/>
              </w:rPr>
              <w:t>419.9</w:t>
            </w:r>
          </w:p>
        </w:tc>
        <w:tc>
          <w:tcPr>
            <w:tcW w:w="837" w:type="dxa"/>
            <w:vAlign w:val="center"/>
          </w:tcPr>
          <w:p w14:paraId="3306B4EE"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lang w:val="hy-AM"/>
              </w:rPr>
              <w:t>416.8</w:t>
            </w:r>
          </w:p>
        </w:tc>
        <w:tc>
          <w:tcPr>
            <w:tcW w:w="860" w:type="dxa"/>
            <w:vAlign w:val="center"/>
          </w:tcPr>
          <w:p w14:paraId="2357F065"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lang w:val="hy-AM"/>
              </w:rPr>
              <w:t>451.4</w:t>
            </w:r>
          </w:p>
        </w:tc>
        <w:tc>
          <w:tcPr>
            <w:tcW w:w="1106" w:type="dxa"/>
            <w:shd w:val="clear" w:color="auto" w:fill="auto"/>
            <w:noWrap/>
            <w:vAlign w:val="center"/>
          </w:tcPr>
          <w:p w14:paraId="7FAE15AC"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lang w:val="hy-AM"/>
              </w:rPr>
              <w:t>490.2</w:t>
            </w:r>
          </w:p>
        </w:tc>
      </w:tr>
      <w:tr w:rsidR="004C0C21" w:rsidRPr="000232DD" w14:paraId="1C4B616A" w14:textId="77777777" w:rsidTr="00CB300F">
        <w:trPr>
          <w:trHeight w:val="413"/>
          <w:jc w:val="center"/>
        </w:trPr>
        <w:tc>
          <w:tcPr>
            <w:tcW w:w="3092" w:type="dxa"/>
            <w:shd w:val="clear" w:color="auto" w:fill="auto"/>
            <w:vAlign w:val="center"/>
            <w:hideMark/>
          </w:tcPr>
          <w:p w14:paraId="2C09C314" w14:textId="77777777" w:rsidR="00FA08BF" w:rsidRPr="000232DD" w:rsidRDefault="00FA08BF" w:rsidP="00082769">
            <w:pPr>
              <w:spacing w:before="0" w:after="0" w:line="240" w:lineRule="auto"/>
              <w:ind w:right="-22"/>
              <w:rPr>
                <w:rFonts w:ascii="GHEA Grapalat" w:hAnsi="GHEA Grapalat"/>
                <w:color w:val="auto"/>
                <w:sz w:val="18"/>
                <w:szCs w:val="18"/>
              </w:rPr>
            </w:pPr>
            <w:r w:rsidRPr="000232DD">
              <w:rPr>
                <w:rFonts w:ascii="GHEA Grapalat" w:hAnsi="GHEA Grapalat"/>
                <w:color w:val="auto"/>
                <w:sz w:val="18"/>
                <w:szCs w:val="18"/>
              </w:rPr>
              <w:t xml:space="preserve">4. </w:t>
            </w:r>
            <w:r w:rsidRPr="000232DD">
              <w:rPr>
                <w:rFonts w:ascii="GHEA Grapalat" w:hAnsi="GHEA Grapalat" w:cs="Sylfaen"/>
                <w:color w:val="auto"/>
                <w:sz w:val="18"/>
                <w:szCs w:val="18"/>
              </w:rPr>
              <w:t>Սուբսիդիաներ</w:t>
            </w:r>
          </w:p>
        </w:tc>
        <w:tc>
          <w:tcPr>
            <w:tcW w:w="952" w:type="dxa"/>
            <w:shd w:val="clear" w:color="auto" w:fill="auto"/>
            <w:vAlign w:val="center"/>
          </w:tcPr>
          <w:p w14:paraId="0D8DAC49"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164.0</w:t>
            </w:r>
          </w:p>
        </w:tc>
        <w:tc>
          <w:tcPr>
            <w:tcW w:w="950" w:type="dxa"/>
            <w:shd w:val="clear" w:color="auto" w:fill="auto"/>
            <w:vAlign w:val="center"/>
          </w:tcPr>
          <w:p w14:paraId="0F173414"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187.7</w:t>
            </w:r>
          </w:p>
        </w:tc>
        <w:tc>
          <w:tcPr>
            <w:tcW w:w="954" w:type="dxa"/>
            <w:shd w:val="clear" w:color="auto" w:fill="auto"/>
            <w:vAlign w:val="center"/>
          </w:tcPr>
          <w:p w14:paraId="0835A8A7"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olor w:val="auto"/>
                <w:sz w:val="18"/>
                <w:szCs w:val="18"/>
              </w:rPr>
              <w:t>210.7</w:t>
            </w:r>
          </w:p>
        </w:tc>
        <w:tc>
          <w:tcPr>
            <w:tcW w:w="1093" w:type="dxa"/>
            <w:shd w:val="clear" w:color="auto" w:fill="auto"/>
            <w:noWrap/>
            <w:vAlign w:val="center"/>
          </w:tcPr>
          <w:p w14:paraId="0D93C9CA"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212.</w:t>
            </w:r>
            <w:r w:rsidRPr="000232DD">
              <w:rPr>
                <w:rFonts w:ascii="GHEA Grapalat" w:hAnsi="GHEA Grapalat" w:cs="Calibri"/>
                <w:color w:val="auto"/>
                <w:sz w:val="18"/>
                <w:szCs w:val="18"/>
                <w:lang w:val="hy-AM"/>
              </w:rPr>
              <w:t>2</w:t>
            </w:r>
          </w:p>
        </w:tc>
        <w:tc>
          <w:tcPr>
            <w:tcW w:w="837" w:type="dxa"/>
            <w:vAlign w:val="center"/>
          </w:tcPr>
          <w:p w14:paraId="79B109EB"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rPr>
              <w:t>248.9</w:t>
            </w:r>
          </w:p>
        </w:tc>
        <w:tc>
          <w:tcPr>
            <w:tcW w:w="860" w:type="dxa"/>
            <w:vAlign w:val="center"/>
          </w:tcPr>
          <w:p w14:paraId="17D67DC6"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241.1</w:t>
            </w:r>
          </w:p>
        </w:tc>
        <w:tc>
          <w:tcPr>
            <w:tcW w:w="1106" w:type="dxa"/>
            <w:shd w:val="clear" w:color="auto" w:fill="auto"/>
            <w:noWrap/>
            <w:vAlign w:val="center"/>
          </w:tcPr>
          <w:p w14:paraId="1AA3E315"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231.3</w:t>
            </w:r>
          </w:p>
        </w:tc>
      </w:tr>
      <w:tr w:rsidR="004C0C21" w:rsidRPr="000232DD" w14:paraId="693A15F4" w14:textId="77777777" w:rsidTr="00CB300F">
        <w:trPr>
          <w:trHeight w:val="413"/>
          <w:jc w:val="center"/>
        </w:trPr>
        <w:tc>
          <w:tcPr>
            <w:tcW w:w="3092" w:type="dxa"/>
            <w:shd w:val="clear" w:color="auto" w:fill="auto"/>
            <w:vAlign w:val="center"/>
            <w:hideMark/>
          </w:tcPr>
          <w:p w14:paraId="12E4EF9C" w14:textId="77777777" w:rsidR="00FA08BF" w:rsidRPr="000232DD" w:rsidRDefault="00FA08BF" w:rsidP="00082769">
            <w:pPr>
              <w:spacing w:before="0" w:after="0" w:line="240" w:lineRule="auto"/>
              <w:ind w:right="-22"/>
              <w:rPr>
                <w:rFonts w:ascii="GHEA Grapalat" w:hAnsi="GHEA Grapalat"/>
                <w:color w:val="auto"/>
                <w:sz w:val="18"/>
                <w:szCs w:val="18"/>
              </w:rPr>
            </w:pPr>
            <w:r w:rsidRPr="000232DD">
              <w:rPr>
                <w:rFonts w:ascii="GHEA Grapalat" w:hAnsi="GHEA Grapalat"/>
                <w:color w:val="auto"/>
                <w:sz w:val="18"/>
                <w:szCs w:val="18"/>
              </w:rPr>
              <w:t xml:space="preserve">5. </w:t>
            </w:r>
            <w:r w:rsidRPr="000232DD">
              <w:rPr>
                <w:rFonts w:ascii="GHEA Grapalat" w:hAnsi="GHEA Grapalat" w:cs="Sylfaen"/>
                <w:color w:val="auto"/>
                <w:sz w:val="18"/>
                <w:szCs w:val="18"/>
              </w:rPr>
              <w:t>Դրամաշնորհներ</w:t>
            </w:r>
          </w:p>
        </w:tc>
        <w:tc>
          <w:tcPr>
            <w:tcW w:w="952" w:type="dxa"/>
            <w:shd w:val="clear" w:color="auto" w:fill="auto"/>
            <w:vAlign w:val="center"/>
          </w:tcPr>
          <w:p w14:paraId="73C8EDD0"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281.0</w:t>
            </w:r>
          </w:p>
        </w:tc>
        <w:tc>
          <w:tcPr>
            <w:tcW w:w="950" w:type="dxa"/>
            <w:shd w:val="clear" w:color="auto" w:fill="auto"/>
            <w:vAlign w:val="center"/>
          </w:tcPr>
          <w:p w14:paraId="7E5842F7"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303.4</w:t>
            </w:r>
          </w:p>
        </w:tc>
        <w:tc>
          <w:tcPr>
            <w:tcW w:w="954" w:type="dxa"/>
            <w:shd w:val="clear" w:color="auto" w:fill="auto"/>
            <w:vAlign w:val="center"/>
          </w:tcPr>
          <w:p w14:paraId="1B0DE80E"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olor w:val="auto"/>
                <w:sz w:val="18"/>
                <w:szCs w:val="18"/>
              </w:rPr>
              <w:t>318.2</w:t>
            </w:r>
          </w:p>
        </w:tc>
        <w:tc>
          <w:tcPr>
            <w:tcW w:w="1093" w:type="dxa"/>
            <w:shd w:val="clear" w:color="auto" w:fill="auto"/>
            <w:noWrap/>
            <w:vAlign w:val="center"/>
          </w:tcPr>
          <w:p w14:paraId="7F8C3155"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lang w:val="hy-AM"/>
              </w:rPr>
              <w:t>314.3</w:t>
            </w:r>
          </w:p>
        </w:tc>
        <w:tc>
          <w:tcPr>
            <w:tcW w:w="837" w:type="dxa"/>
            <w:vAlign w:val="center"/>
          </w:tcPr>
          <w:p w14:paraId="404D7853"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lang w:val="hy-AM"/>
              </w:rPr>
              <w:t>311.6</w:t>
            </w:r>
          </w:p>
        </w:tc>
        <w:tc>
          <w:tcPr>
            <w:tcW w:w="860" w:type="dxa"/>
            <w:vAlign w:val="center"/>
          </w:tcPr>
          <w:p w14:paraId="770DD7F3"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lang w:val="hy-AM"/>
              </w:rPr>
              <w:t>336.9</w:t>
            </w:r>
          </w:p>
        </w:tc>
        <w:tc>
          <w:tcPr>
            <w:tcW w:w="1106" w:type="dxa"/>
            <w:shd w:val="clear" w:color="auto" w:fill="auto"/>
            <w:noWrap/>
            <w:vAlign w:val="center"/>
          </w:tcPr>
          <w:p w14:paraId="69227046"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376.1</w:t>
            </w:r>
          </w:p>
        </w:tc>
      </w:tr>
      <w:tr w:rsidR="004C0C21" w:rsidRPr="000232DD" w14:paraId="662C912E" w14:textId="77777777" w:rsidTr="00CB300F">
        <w:trPr>
          <w:trHeight w:val="413"/>
          <w:jc w:val="center"/>
        </w:trPr>
        <w:tc>
          <w:tcPr>
            <w:tcW w:w="3092" w:type="dxa"/>
            <w:shd w:val="clear" w:color="auto" w:fill="auto"/>
            <w:vAlign w:val="center"/>
            <w:hideMark/>
          </w:tcPr>
          <w:p w14:paraId="74691A63" w14:textId="77777777" w:rsidR="00FA08BF" w:rsidRPr="000232DD" w:rsidRDefault="00FA08BF" w:rsidP="00082769">
            <w:pPr>
              <w:spacing w:before="0" w:after="0" w:line="240" w:lineRule="auto"/>
              <w:ind w:right="-22"/>
              <w:rPr>
                <w:rFonts w:ascii="GHEA Grapalat" w:hAnsi="GHEA Grapalat"/>
                <w:color w:val="auto"/>
                <w:sz w:val="18"/>
                <w:szCs w:val="18"/>
              </w:rPr>
            </w:pPr>
            <w:r w:rsidRPr="000232DD">
              <w:rPr>
                <w:rFonts w:ascii="GHEA Grapalat" w:hAnsi="GHEA Grapalat"/>
                <w:color w:val="auto"/>
                <w:sz w:val="18"/>
                <w:szCs w:val="18"/>
              </w:rPr>
              <w:t xml:space="preserve">6. </w:t>
            </w:r>
            <w:r w:rsidRPr="000232DD">
              <w:rPr>
                <w:rFonts w:ascii="GHEA Grapalat" w:hAnsi="GHEA Grapalat" w:cs="Sylfaen"/>
                <w:color w:val="auto"/>
                <w:sz w:val="18"/>
                <w:szCs w:val="18"/>
              </w:rPr>
              <w:t>Սոցիալական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նպաստներ</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և</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կենսաթոշակներ</w:t>
            </w:r>
          </w:p>
        </w:tc>
        <w:tc>
          <w:tcPr>
            <w:tcW w:w="952" w:type="dxa"/>
            <w:shd w:val="clear" w:color="auto" w:fill="auto"/>
            <w:vAlign w:val="center"/>
          </w:tcPr>
          <w:p w14:paraId="7F26459E"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710.2</w:t>
            </w:r>
          </w:p>
        </w:tc>
        <w:tc>
          <w:tcPr>
            <w:tcW w:w="950" w:type="dxa"/>
            <w:shd w:val="clear" w:color="auto" w:fill="auto"/>
            <w:vAlign w:val="center"/>
          </w:tcPr>
          <w:p w14:paraId="7A49AFC3"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1,026.2</w:t>
            </w:r>
          </w:p>
        </w:tc>
        <w:tc>
          <w:tcPr>
            <w:tcW w:w="954" w:type="dxa"/>
            <w:shd w:val="clear" w:color="auto" w:fill="auto"/>
            <w:vAlign w:val="center"/>
          </w:tcPr>
          <w:p w14:paraId="77E8C54C"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olor w:val="auto"/>
                <w:sz w:val="18"/>
                <w:szCs w:val="18"/>
              </w:rPr>
              <w:t>1,092.8</w:t>
            </w:r>
          </w:p>
        </w:tc>
        <w:tc>
          <w:tcPr>
            <w:tcW w:w="1093" w:type="dxa"/>
            <w:shd w:val="clear" w:color="auto" w:fill="auto"/>
            <w:noWrap/>
            <w:vAlign w:val="center"/>
          </w:tcPr>
          <w:p w14:paraId="37E5DF62"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1,28</w:t>
            </w:r>
            <w:r w:rsidRPr="000232DD">
              <w:rPr>
                <w:rFonts w:ascii="GHEA Grapalat" w:hAnsi="GHEA Grapalat" w:cs="Calibri"/>
                <w:color w:val="auto"/>
                <w:sz w:val="18"/>
                <w:szCs w:val="18"/>
                <w:lang w:val="hy-AM"/>
              </w:rPr>
              <w:t>5</w:t>
            </w:r>
            <w:r w:rsidRPr="000232DD">
              <w:rPr>
                <w:rFonts w:ascii="GHEA Grapalat" w:hAnsi="GHEA Grapalat" w:cs="Calibri"/>
                <w:color w:val="auto"/>
                <w:sz w:val="18"/>
                <w:szCs w:val="18"/>
              </w:rPr>
              <w:t>.</w:t>
            </w:r>
            <w:r w:rsidRPr="000232DD">
              <w:rPr>
                <w:rFonts w:ascii="GHEA Grapalat" w:hAnsi="GHEA Grapalat" w:cs="Calibri"/>
                <w:color w:val="auto"/>
                <w:sz w:val="18"/>
                <w:szCs w:val="18"/>
                <w:lang w:val="hy-AM"/>
              </w:rPr>
              <w:t>1</w:t>
            </w:r>
          </w:p>
        </w:tc>
        <w:tc>
          <w:tcPr>
            <w:tcW w:w="837" w:type="dxa"/>
            <w:vAlign w:val="center"/>
          </w:tcPr>
          <w:p w14:paraId="08B7864D"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rPr>
              <w:t>1,547.3</w:t>
            </w:r>
          </w:p>
        </w:tc>
        <w:tc>
          <w:tcPr>
            <w:tcW w:w="860" w:type="dxa"/>
            <w:vAlign w:val="center"/>
          </w:tcPr>
          <w:p w14:paraId="03A7E755"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1,623.7</w:t>
            </w:r>
          </w:p>
        </w:tc>
        <w:tc>
          <w:tcPr>
            <w:tcW w:w="1106" w:type="dxa"/>
            <w:shd w:val="clear" w:color="auto" w:fill="auto"/>
            <w:noWrap/>
            <w:vAlign w:val="center"/>
          </w:tcPr>
          <w:p w14:paraId="5B625390"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1,680.5</w:t>
            </w:r>
          </w:p>
        </w:tc>
      </w:tr>
      <w:tr w:rsidR="004C0C21" w:rsidRPr="000232DD" w14:paraId="0473957D" w14:textId="77777777" w:rsidTr="00CB300F">
        <w:trPr>
          <w:trHeight w:val="413"/>
          <w:jc w:val="center"/>
        </w:trPr>
        <w:tc>
          <w:tcPr>
            <w:tcW w:w="3092" w:type="dxa"/>
            <w:shd w:val="clear" w:color="auto" w:fill="auto"/>
            <w:vAlign w:val="center"/>
            <w:hideMark/>
          </w:tcPr>
          <w:p w14:paraId="56CA71B1" w14:textId="77777777" w:rsidR="00FA08BF" w:rsidRPr="000232DD" w:rsidRDefault="00FA08BF" w:rsidP="00082769">
            <w:pPr>
              <w:spacing w:before="0" w:after="0" w:line="240" w:lineRule="auto"/>
              <w:ind w:right="-22"/>
              <w:rPr>
                <w:rFonts w:ascii="GHEA Grapalat" w:hAnsi="GHEA Grapalat"/>
                <w:color w:val="auto"/>
                <w:sz w:val="18"/>
                <w:szCs w:val="18"/>
              </w:rPr>
            </w:pPr>
            <w:r w:rsidRPr="000232DD">
              <w:rPr>
                <w:rFonts w:ascii="GHEA Grapalat" w:hAnsi="GHEA Grapalat"/>
                <w:color w:val="auto"/>
                <w:sz w:val="18"/>
                <w:szCs w:val="18"/>
              </w:rPr>
              <w:t xml:space="preserve">7. </w:t>
            </w:r>
            <w:r w:rsidRPr="000232DD">
              <w:rPr>
                <w:rFonts w:ascii="GHEA Grapalat" w:hAnsi="GHEA Grapalat" w:cs="Sylfaen"/>
                <w:color w:val="auto"/>
                <w:sz w:val="18"/>
                <w:szCs w:val="18"/>
              </w:rPr>
              <w:t>Այլ</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ծախսեր</w:t>
            </w:r>
          </w:p>
        </w:tc>
        <w:tc>
          <w:tcPr>
            <w:tcW w:w="952" w:type="dxa"/>
            <w:shd w:val="clear" w:color="auto" w:fill="auto"/>
            <w:vAlign w:val="center"/>
          </w:tcPr>
          <w:p w14:paraId="2F78874B"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257.2</w:t>
            </w:r>
          </w:p>
        </w:tc>
        <w:tc>
          <w:tcPr>
            <w:tcW w:w="950" w:type="dxa"/>
            <w:shd w:val="clear" w:color="auto" w:fill="auto"/>
            <w:vAlign w:val="center"/>
          </w:tcPr>
          <w:p w14:paraId="3DEB029E"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231.3</w:t>
            </w:r>
          </w:p>
        </w:tc>
        <w:tc>
          <w:tcPr>
            <w:tcW w:w="954" w:type="dxa"/>
            <w:shd w:val="clear" w:color="auto" w:fill="auto"/>
            <w:vAlign w:val="center"/>
          </w:tcPr>
          <w:p w14:paraId="7BD02DFA"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olor w:val="auto"/>
                <w:sz w:val="18"/>
                <w:szCs w:val="18"/>
              </w:rPr>
              <w:t>278.5</w:t>
            </w:r>
          </w:p>
        </w:tc>
        <w:tc>
          <w:tcPr>
            <w:tcW w:w="1093" w:type="dxa"/>
            <w:shd w:val="clear" w:color="auto" w:fill="auto"/>
            <w:noWrap/>
            <w:vAlign w:val="center"/>
          </w:tcPr>
          <w:p w14:paraId="7C80D411"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33</w:t>
            </w:r>
            <w:r w:rsidRPr="000232DD">
              <w:rPr>
                <w:rFonts w:ascii="GHEA Grapalat" w:hAnsi="GHEA Grapalat" w:cs="Calibri"/>
                <w:color w:val="auto"/>
                <w:sz w:val="18"/>
                <w:szCs w:val="18"/>
                <w:lang w:val="hy-AM"/>
              </w:rPr>
              <w:t>1</w:t>
            </w:r>
            <w:r w:rsidRPr="000232DD">
              <w:rPr>
                <w:rFonts w:ascii="GHEA Grapalat" w:hAnsi="GHEA Grapalat" w:cs="Calibri"/>
                <w:color w:val="auto"/>
                <w:sz w:val="18"/>
                <w:szCs w:val="18"/>
              </w:rPr>
              <w:t>.</w:t>
            </w:r>
            <w:r w:rsidRPr="000232DD">
              <w:rPr>
                <w:rFonts w:ascii="GHEA Grapalat" w:hAnsi="GHEA Grapalat" w:cs="Calibri"/>
                <w:color w:val="auto"/>
                <w:sz w:val="18"/>
                <w:szCs w:val="18"/>
                <w:lang w:val="hy-AM"/>
              </w:rPr>
              <w:t>5</w:t>
            </w:r>
          </w:p>
        </w:tc>
        <w:tc>
          <w:tcPr>
            <w:tcW w:w="837" w:type="dxa"/>
            <w:vAlign w:val="center"/>
          </w:tcPr>
          <w:p w14:paraId="755480F1"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rPr>
              <w:t>368.0</w:t>
            </w:r>
          </w:p>
        </w:tc>
        <w:tc>
          <w:tcPr>
            <w:tcW w:w="860" w:type="dxa"/>
            <w:vAlign w:val="center"/>
          </w:tcPr>
          <w:p w14:paraId="45E385A0" w14:textId="77777777" w:rsidR="00FA08BF" w:rsidRPr="000232DD" w:rsidRDefault="00FA08BF" w:rsidP="00082769">
            <w:pPr>
              <w:spacing w:before="0" w:after="0" w:line="240" w:lineRule="auto"/>
              <w:ind w:right="-22"/>
              <w:jc w:val="center"/>
              <w:rPr>
                <w:rFonts w:ascii="GHEA Grapalat" w:hAnsi="GHEA Grapalat" w:cs="Calibri"/>
                <w:color w:val="auto"/>
                <w:sz w:val="18"/>
                <w:szCs w:val="18"/>
              </w:rPr>
            </w:pPr>
            <w:r w:rsidRPr="000232DD">
              <w:rPr>
                <w:rFonts w:ascii="GHEA Grapalat" w:hAnsi="GHEA Grapalat" w:cs="Calibri"/>
                <w:color w:val="auto"/>
                <w:sz w:val="18"/>
                <w:szCs w:val="18"/>
              </w:rPr>
              <w:t>425.9</w:t>
            </w:r>
          </w:p>
        </w:tc>
        <w:tc>
          <w:tcPr>
            <w:tcW w:w="1106" w:type="dxa"/>
            <w:shd w:val="clear" w:color="auto" w:fill="auto"/>
            <w:noWrap/>
            <w:vAlign w:val="center"/>
          </w:tcPr>
          <w:p w14:paraId="448A3081" w14:textId="77777777" w:rsidR="00FA08BF" w:rsidRPr="000232DD" w:rsidRDefault="00FA08BF" w:rsidP="00082769">
            <w:pPr>
              <w:spacing w:before="0" w:after="0" w:line="240" w:lineRule="auto"/>
              <w:ind w:right="-22"/>
              <w:jc w:val="center"/>
              <w:rPr>
                <w:rFonts w:ascii="GHEA Grapalat" w:hAnsi="GHEA Grapalat" w:cs="Calibri"/>
                <w:color w:val="auto"/>
                <w:sz w:val="18"/>
                <w:szCs w:val="18"/>
                <w:lang w:val="hy-AM"/>
              </w:rPr>
            </w:pPr>
            <w:r w:rsidRPr="000232DD">
              <w:rPr>
                <w:rFonts w:ascii="GHEA Grapalat" w:hAnsi="GHEA Grapalat" w:cs="Calibri"/>
                <w:color w:val="auto"/>
                <w:sz w:val="18"/>
                <w:szCs w:val="18"/>
              </w:rPr>
              <w:t>438.3</w:t>
            </w:r>
          </w:p>
        </w:tc>
      </w:tr>
    </w:tbl>
    <w:p w14:paraId="613AA0F8" w14:textId="0E0C4687" w:rsidR="00FA08BF" w:rsidRPr="000232DD" w:rsidRDefault="00FA08BF" w:rsidP="00082769">
      <w:pPr>
        <w:spacing w:before="240"/>
        <w:ind w:right="-22"/>
        <w:jc w:val="both"/>
        <w:rPr>
          <w:rFonts w:ascii="GHEA Grapalat" w:hAnsi="GHEA Grapalat"/>
          <w:color w:val="auto"/>
          <w:szCs w:val="20"/>
        </w:rPr>
      </w:pPr>
      <w:r w:rsidRPr="000232DD">
        <w:rPr>
          <w:rFonts w:ascii="GHEA Grapalat" w:hAnsi="GHEA Grapalat"/>
          <w:color w:val="auto"/>
          <w:szCs w:val="20"/>
          <w:lang w:val="af-ZA"/>
        </w:rPr>
        <w:t xml:space="preserve">2027 </w:t>
      </w:r>
      <w:r w:rsidRPr="000232DD">
        <w:rPr>
          <w:rFonts w:ascii="GHEA Grapalat" w:hAnsi="GHEA Grapalat"/>
          <w:color w:val="auto"/>
          <w:szCs w:val="20"/>
        </w:rPr>
        <w:t>թվականի</w:t>
      </w:r>
      <w:r w:rsidRPr="000232DD">
        <w:rPr>
          <w:rFonts w:ascii="GHEA Grapalat" w:hAnsi="GHEA Grapalat"/>
          <w:color w:val="auto"/>
          <w:szCs w:val="20"/>
          <w:lang w:val="af-ZA"/>
        </w:rPr>
        <w:t xml:space="preserve"> </w:t>
      </w:r>
      <w:r w:rsidRPr="000232DD">
        <w:rPr>
          <w:rFonts w:ascii="GHEA Grapalat" w:hAnsi="GHEA Grapalat"/>
          <w:color w:val="auto"/>
          <w:szCs w:val="20"/>
        </w:rPr>
        <w:t>ծախսերի</w:t>
      </w:r>
      <w:r w:rsidRPr="000232DD">
        <w:rPr>
          <w:rFonts w:ascii="GHEA Grapalat" w:hAnsi="GHEA Grapalat"/>
          <w:color w:val="auto"/>
          <w:szCs w:val="20"/>
          <w:lang w:val="af-ZA"/>
        </w:rPr>
        <w:t xml:space="preserve"> </w:t>
      </w:r>
      <w:r w:rsidRPr="000232DD">
        <w:rPr>
          <w:rFonts w:ascii="GHEA Grapalat" w:hAnsi="GHEA Grapalat"/>
          <w:color w:val="auto"/>
          <w:szCs w:val="20"/>
        </w:rPr>
        <w:t>ընդհանուր</w:t>
      </w:r>
      <w:r w:rsidRPr="000232DD">
        <w:rPr>
          <w:rFonts w:ascii="GHEA Grapalat" w:hAnsi="GHEA Grapalat"/>
          <w:color w:val="auto"/>
          <w:szCs w:val="20"/>
          <w:lang w:val="af-ZA"/>
        </w:rPr>
        <w:t xml:space="preserve"> </w:t>
      </w:r>
      <w:r w:rsidRPr="000232DD">
        <w:rPr>
          <w:rFonts w:ascii="GHEA Grapalat" w:hAnsi="GHEA Grapalat"/>
          <w:color w:val="auto"/>
          <w:szCs w:val="20"/>
        </w:rPr>
        <w:t>ծավալի</w:t>
      </w:r>
      <w:r w:rsidRPr="000232DD">
        <w:rPr>
          <w:rFonts w:ascii="GHEA Grapalat" w:hAnsi="GHEA Grapalat"/>
          <w:color w:val="auto"/>
          <w:szCs w:val="20"/>
          <w:lang w:val="af-ZA"/>
        </w:rPr>
        <w:t xml:space="preserve"> 18.</w:t>
      </w:r>
      <w:r w:rsidRPr="000232DD">
        <w:rPr>
          <w:rFonts w:ascii="GHEA Grapalat" w:hAnsi="GHEA Grapalat"/>
          <w:color w:val="auto"/>
          <w:szCs w:val="20"/>
          <w:lang w:val="hy-AM"/>
        </w:rPr>
        <w:t>7</w:t>
      </w:r>
      <w:r w:rsidRPr="000232DD">
        <w:rPr>
          <w:rFonts w:ascii="GHEA Grapalat" w:hAnsi="GHEA Grapalat"/>
          <w:color w:val="auto"/>
          <w:szCs w:val="20"/>
          <w:lang w:val="af-ZA"/>
        </w:rPr>
        <w:t>%-</w:t>
      </w:r>
      <w:r w:rsidRPr="000232DD">
        <w:rPr>
          <w:rFonts w:ascii="GHEA Grapalat" w:hAnsi="GHEA Grapalat"/>
          <w:color w:val="auto"/>
          <w:szCs w:val="20"/>
        </w:rPr>
        <w:t>ը</w:t>
      </w:r>
      <w:r w:rsidRPr="000232DD">
        <w:rPr>
          <w:rFonts w:ascii="GHEA Grapalat" w:hAnsi="GHEA Grapalat"/>
          <w:color w:val="auto"/>
          <w:szCs w:val="20"/>
          <w:lang w:val="af-ZA"/>
        </w:rPr>
        <w:t xml:space="preserve"> </w:t>
      </w:r>
      <w:r w:rsidRPr="000232DD">
        <w:rPr>
          <w:rFonts w:ascii="GHEA Grapalat" w:hAnsi="GHEA Grapalat"/>
          <w:color w:val="auto"/>
          <w:szCs w:val="20"/>
        </w:rPr>
        <w:t>կկազմեն</w:t>
      </w:r>
      <w:r w:rsidRPr="000232DD">
        <w:rPr>
          <w:rFonts w:ascii="GHEA Grapalat" w:hAnsi="GHEA Grapalat"/>
          <w:color w:val="auto"/>
          <w:szCs w:val="20"/>
          <w:lang w:val="af-ZA"/>
        </w:rPr>
        <w:t xml:space="preserve"> </w:t>
      </w:r>
      <w:r w:rsidRPr="000232DD">
        <w:rPr>
          <w:rFonts w:ascii="GHEA Grapalat" w:hAnsi="GHEA Grapalat"/>
          <w:color w:val="auto"/>
          <w:szCs w:val="20"/>
        </w:rPr>
        <w:t>ոչ</w:t>
      </w:r>
      <w:r w:rsidRPr="000232DD">
        <w:rPr>
          <w:rFonts w:ascii="GHEA Grapalat" w:hAnsi="GHEA Grapalat"/>
          <w:color w:val="auto"/>
          <w:szCs w:val="20"/>
          <w:lang w:val="af-ZA"/>
        </w:rPr>
        <w:t xml:space="preserve"> </w:t>
      </w:r>
      <w:r w:rsidRPr="000232DD">
        <w:rPr>
          <w:rFonts w:ascii="GHEA Grapalat" w:hAnsi="GHEA Grapalat"/>
          <w:color w:val="auto"/>
          <w:szCs w:val="20"/>
        </w:rPr>
        <w:t>ֆինանսական</w:t>
      </w:r>
      <w:r w:rsidRPr="000232DD">
        <w:rPr>
          <w:rFonts w:ascii="GHEA Grapalat" w:hAnsi="GHEA Grapalat"/>
          <w:color w:val="auto"/>
          <w:szCs w:val="20"/>
          <w:lang w:val="af-ZA"/>
        </w:rPr>
        <w:t xml:space="preserve"> </w:t>
      </w:r>
      <w:r w:rsidRPr="000232DD">
        <w:rPr>
          <w:rFonts w:ascii="GHEA Grapalat" w:hAnsi="GHEA Grapalat"/>
          <w:color w:val="auto"/>
          <w:szCs w:val="20"/>
        </w:rPr>
        <w:t>ակտիվ</w:t>
      </w:r>
      <w:r w:rsidRPr="000232DD">
        <w:rPr>
          <w:rFonts w:ascii="GHEA Grapalat" w:hAnsi="GHEA Grapalat"/>
          <w:color w:val="auto"/>
          <w:szCs w:val="20"/>
          <w:lang w:val="af-ZA"/>
        </w:rPr>
        <w:softHyphen/>
      </w:r>
      <w:r w:rsidRPr="000232DD">
        <w:rPr>
          <w:rFonts w:ascii="GHEA Grapalat" w:hAnsi="GHEA Grapalat"/>
          <w:color w:val="auto"/>
          <w:szCs w:val="20"/>
        </w:rPr>
        <w:t>ների</w:t>
      </w:r>
      <w:r w:rsidRPr="000232DD">
        <w:rPr>
          <w:rFonts w:ascii="GHEA Grapalat" w:hAnsi="GHEA Grapalat"/>
          <w:color w:val="auto"/>
          <w:szCs w:val="20"/>
          <w:lang w:val="af-ZA"/>
        </w:rPr>
        <w:t xml:space="preserve"> </w:t>
      </w:r>
      <w:r w:rsidRPr="000232DD">
        <w:rPr>
          <w:rFonts w:ascii="GHEA Grapalat" w:hAnsi="GHEA Grapalat"/>
          <w:color w:val="auto"/>
          <w:szCs w:val="20"/>
        </w:rPr>
        <w:t>գծով</w:t>
      </w:r>
      <w:r w:rsidRPr="000232DD">
        <w:rPr>
          <w:rFonts w:ascii="GHEA Grapalat" w:hAnsi="GHEA Grapalat"/>
          <w:color w:val="auto"/>
          <w:szCs w:val="20"/>
          <w:lang w:val="af-ZA"/>
        </w:rPr>
        <w:t xml:space="preserve"> </w:t>
      </w:r>
      <w:r w:rsidRPr="000232DD">
        <w:rPr>
          <w:rFonts w:ascii="GHEA Grapalat" w:hAnsi="GHEA Grapalat"/>
          <w:color w:val="auto"/>
          <w:szCs w:val="20"/>
        </w:rPr>
        <w:t>ծախսերը</w:t>
      </w:r>
      <w:r w:rsidRPr="000232DD">
        <w:rPr>
          <w:rFonts w:ascii="GHEA Grapalat" w:hAnsi="GHEA Grapalat"/>
          <w:color w:val="auto"/>
          <w:szCs w:val="20"/>
          <w:lang w:val="af-ZA"/>
        </w:rPr>
        <w:t xml:space="preserve">, (2026 </w:t>
      </w:r>
      <w:r w:rsidRPr="000232DD">
        <w:rPr>
          <w:rFonts w:ascii="GHEA Grapalat" w:hAnsi="GHEA Grapalat"/>
          <w:color w:val="auto"/>
          <w:szCs w:val="20"/>
        </w:rPr>
        <w:t>թվականին</w:t>
      </w:r>
      <w:r w:rsidRPr="000232DD">
        <w:rPr>
          <w:rFonts w:ascii="GHEA Grapalat" w:hAnsi="GHEA Grapalat"/>
          <w:color w:val="auto"/>
          <w:szCs w:val="20"/>
          <w:lang w:val="af-ZA"/>
        </w:rPr>
        <w:t xml:space="preserve"> </w:t>
      </w:r>
      <w:r w:rsidRPr="000232DD">
        <w:rPr>
          <w:rFonts w:ascii="GHEA Grapalat" w:hAnsi="GHEA Grapalat"/>
          <w:color w:val="auto"/>
          <w:szCs w:val="20"/>
        </w:rPr>
        <w:t>այդ</w:t>
      </w:r>
      <w:r w:rsidRPr="000232DD">
        <w:rPr>
          <w:rFonts w:ascii="GHEA Grapalat" w:hAnsi="GHEA Grapalat"/>
          <w:color w:val="auto"/>
          <w:szCs w:val="20"/>
          <w:lang w:val="af-ZA"/>
        </w:rPr>
        <w:t xml:space="preserve"> </w:t>
      </w:r>
      <w:r w:rsidRPr="000232DD">
        <w:rPr>
          <w:rFonts w:ascii="GHEA Grapalat" w:hAnsi="GHEA Grapalat"/>
          <w:color w:val="auto"/>
          <w:szCs w:val="20"/>
        </w:rPr>
        <w:t>ցուցանիշը</w:t>
      </w:r>
      <w:r w:rsidRPr="000232DD">
        <w:rPr>
          <w:rFonts w:ascii="GHEA Grapalat" w:hAnsi="GHEA Grapalat"/>
          <w:color w:val="auto"/>
          <w:szCs w:val="20"/>
          <w:lang w:val="af-ZA"/>
        </w:rPr>
        <w:t xml:space="preserve"> </w:t>
      </w:r>
      <w:r w:rsidRPr="000232DD">
        <w:rPr>
          <w:rFonts w:ascii="GHEA Grapalat" w:hAnsi="GHEA Grapalat"/>
          <w:color w:val="auto"/>
          <w:szCs w:val="20"/>
        </w:rPr>
        <w:t>ծրագրվել</w:t>
      </w:r>
      <w:r w:rsidRPr="000232DD">
        <w:rPr>
          <w:rFonts w:ascii="GHEA Grapalat" w:hAnsi="GHEA Grapalat"/>
          <w:color w:val="auto"/>
          <w:szCs w:val="20"/>
          <w:lang w:val="af-ZA"/>
        </w:rPr>
        <w:t xml:space="preserve"> </w:t>
      </w:r>
      <w:r w:rsidRPr="000232DD">
        <w:rPr>
          <w:rFonts w:ascii="GHEA Grapalat" w:hAnsi="GHEA Grapalat"/>
          <w:color w:val="auto"/>
          <w:szCs w:val="20"/>
        </w:rPr>
        <w:t>է</w:t>
      </w:r>
      <w:r w:rsidRPr="000232DD">
        <w:rPr>
          <w:rFonts w:ascii="GHEA Grapalat" w:hAnsi="GHEA Grapalat"/>
          <w:color w:val="auto"/>
          <w:szCs w:val="20"/>
          <w:lang w:val="af-ZA"/>
        </w:rPr>
        <w:t xml:space="preserve"> 19.</w:t>
      </w:r>
      <w:r w:rsidR="00984771">
        <w:rPr>
          <w:rFonts w:ascii="GHEA Grapalat" w:hAnsi="GHEA Grapalat"/>
          <w:color w:val="auto"/>
          <w:szCs w:val="20"/>
          <w:lang w:val="af-ZA"/>
        </w:rPr>
        <w:t>4</w:t>
      </w:r>
      <w:r w:rsidRPr="000232DD">
        <w:rPr>
          <w:rFonts w:ascii="GHEA Grapalat" w:hAnsi="GHEA Grapalat"/>
          <w:color w:val="auto"/>
          <w:szCs w:val="20"/>
          <w:lang w:val="af-ZA"/>
        </w:rPr>
        <w:t xml:space="preserve">%), 2028 թվականին՝ </w:t>
      </w:r>
      <w:r w:rsidRPr="000232DD">
        <w:rPr>
          <w:rFonts w:ascii="GHEA Grapalat" w:hAnsi="GHEA Grapalat"/>
          <w:color w:val="auto"/>
          <w:szCs w:val="20"/>
          <w:lang w:val="hy-AM"/>
        </w:rPr>
        <w:t>19.7</w:t>
      </w:r>
      <w:r w:rsidRPr="000232DD">
        <w:rPr>
          <w:rFonts w:ascii="GHEA Grapalat" w:hAnsi="GHEA Grapalat"/>
          <w:color w:val="auto"/>
          <w:szCs w:val="20"/>
        </w:rPr>
        <w:t>%-</w:t>
      </w:r>
      <w:r w:rsidRPr="000232DD">
        <w:rPr>
          <w:rFonts w:ascii="GHEA Grapalat" w:hAnsi="GHEA Grapalat"/>
          <w:color w:val="auto"/>
          <w:szCs w:val="20"/>
          <w:lang w:val="hy-AM"/>
        </w:rPr>
        <w:t>ը, իսկ 2028 թվականին՝ 20.</w:t>
      </w:r>
      <w:r w:rsidR="00984771">
        <w:rPr>
          <w:rFonts w:ascii="GHEA Grapalat" w:hAnsi="GHEA Grapalat"/>
          <w:color w:val="auto"/>
          <w:szCs w:val="20"/>
          <w:lang w:val="hy-AM"/>
        </w:rPr>
        <w:t>8</w:t>
      </w:r>
      <w:r w:rsidRPr="000232DD">
        <w:rPr>
          <w:rFonts w:ascii="GHEA Grapalat" w:hAnsi="GHEA Grapalat"/>
          <w:color w:val="auto"/>
          <w:szCs w:val="20"/>
        </w:rPr>
        <w:t>%:</w:t>
      </w:r>
    </w:p>
    <w:p w14:paraId="213E2BA7" w14:textId="4A3FE65E" w:rsidR="00FA08BF" w:rsidRPr="00E73A9A" w:rsidRDefault="00FA08BF" w:rsidP="00082769">
      <w:pPr>
        <w:pStyle w:val="Charts"/>
        <w:ind w:right="-22"/>
        <w:rPr>
          <w:b w:val="0"/>
          <w:bCs/>
          <w:color w:val="auto"/>
          <w:sz w:val="20"/>
          <w:szCs w:val="18"/>
        </w:rPr>
      </w:pPr>
      <w:bookmarkStart w:id="403" w:name="_Toc184110749"/>
      <w:bookmarkStart w:id="404" w:name="_Toc241608099"/>
      <w:r w:rsidRPr="00E73A9A">
        <w:rPr>
          <w:b w:val="0"/>
          <w:bCs/>
          <w:noProof/>
          <w:color w:val="auto"/>
          <w:sz w:val="20"/>
          <w:szCs w:val="18"/>
          <w:lang w:val="en-US"/>
        </w:rPr>
        <w:drawing>
          <wp:anchor distT="0" distB="0" distL="114300" distR="114300" simplePos="0" relativeHeight="251689984" behindDoc="0" locked="0" layoutInCell="1" allowOverlap="1" wp14:anchorId="5EEF8091" wp14:editId="4E7A2A46">
            <wp:simplePos x="0" y="0"/>
            <wp:positionH relativeFrom="column">
              <wp:posOffset>-143510</wp:posOffset>
            </wp:positionH>
            <wp:positionV relativeFrom="paragraph">
              <wp:posOffset>624840</wp:posOffset>
            </wp:positionV>
            <wp:extent cx="6200775" cy="2114550"/>
            <wp:effectExtent l="0" t="0" r="9525" b="0"/>
            <wp:wrapTopAndBottom/>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14:sizeRelH relativeFrom="margin">
              <wp14:pctWidth>0</wp14:pctWidth>
            </wp14:sizeRelH>
            <wp14:sizeRelV relativeFrom="margin">
              <wp14:pctHeight>0</wp14:pctHeight>
            </wp14:sizeRelV>
          </wp:anchor>
        </w:drawing>
      </w:r>
      <w:r w:rsidRPr="00E73A9A">
        <w:rPr>
          <w:b w:val="0"/>
          <w:bCs/>
          <w:color w:val="auto"/>
          <w:sz w:val="20"/>
          <w:szCs w:val="18"/>
        </w:rPr>
        <w:t xml:space="preserve">Գծապատկեր </w:t>
      </w:r>
      <w:r w:rsidRPr="00E73A9A">
        <w:rPr>
          <w:b w:val="0"/>
          <w:bCs/>
          <w:color w:val="auto"/>
          <w:sz w:val="20"/>
          <w:szCs w:val="18"/>
        </w:rPr>
        <w:fldChar w:fldCharType="begin"/>
      </w:r>
      <w:r w:rsidRPr="00E73A9A">
        <w:rPr>
          <w:b w:val="0"/>
          <w:bCs/>
          <w:color w:val="auto"/>
          <w:sz w:val="20"/>
          <w:szCs w:val="18"/>
        </w:rPr>
        <w:instrText xml:space="preserve"> SEQ գծապատկեր \* ARABIC </w:instrText>
      </w:r>
      <w:r w:rsidRPr="00E73A9A">
        <w:rPr>
          <w:b w:val="0"/>
          <w:bCs/>
          <w:color w:val="auto"/>
          <w:sz w:val="20"/>
          <w:szCs w:val="18"/>
        </w:rPr>
        <w:fldChar w:fldCharType="separate"/>
      </w:r>
      <w:r w:rsidR="00E46048">
        <w:rPr>
          <w:b w:val="0"/>
          <w:bCs/>
          <w:noProof/>
          <w:color w:val="auto"/>
          <w:sz w:val="20"/>
          <w:szCs w:val="18"/>
        </w:rPr>
        <w:t>4</w:t>
      </w:r>
      <w:r w:rsidRPr="00E73A9A">
        <w:rPr>
          <w:b w:val="0"/>
          <w:bCs/>
          <w:color w:val="auto"/>
          <w:sz w:val="20"/>
          <w:szCs w:val="18"/>
        </w:rPr>
        <w:fldChar w:fldCharType="end"/>
      </w:r>
      <w:r w:rsidRPr="00E73A9A">
        <w:rPr>
          <w:b w:val="0"/>
          <w:bCs/>
          <w:color w:val="auto"/>
          <w:sz w:val="20"/>
          <w:szCs w:val="18"/>
        </w:rPr>
        <w:t>. 2023-2029թթ</w:t>
      </w:r>
      <w:r w:rsidRPr="00E73A9A">
        <w:rPr>
          <w:rFonts w:hint="eastAsia"/>
          <w:b w:val="0"/>
          <w:bCs/>
          <w:color w:val="auto"/>
          <w:sz w:val="20"/>
          <w:szCs w:val="18"/>
        </w:rPr>
        <w:t>․</w:t>
      </w:r>
      <w:r w:rsidRPr="00E73A9A">
        <w:rPr>
          <w:b w:val="0"/>
          <w:bCs/>
          <w:color w:val="auto"/>
          <w:sz w:val="20"/>
          <w:szCs w:val="18"/>
        </w:rPr>
        <w:t xml:space="preserve"> ոչ ֆինանսական ակտիվ</w:t>
      </w:r>
      <w:r w:rsidRPr="00E73A9A">
        <w:rPr>
          <w:b w:val="0"/>
          <w:bCs/>
          <w:color w:val="auto"/>
          <w:sz w:val="20"/>
          <w:szCs w:val="18"/>
        </w:rPr>
        <w:softHyphen/>
        <w:t>ների գծով ծախսերի ֆինանսավորման կառուցվածքը</w:t>
      </w:r>
      <w:bookmarkEnd w:id="403"/>
      <w:bookmarkEnd w:id="404"/>
    </w:p>
    <w:p w14:paraId="691D6C2C" w14:textId="69A32CD5" w:rsidR="00FA08BF" w:rsidRPr="000232DD" w:rsidRDefault="00FA08BF" w:rsidP="00082769">
      <w:pPr>
        <w:pStyle w:val="BodyText1"/>
        <w:ind w:left="0" w:right="-22"/>
        <w:rPr>
          <w:color w:val="auto"/>
          <w:lang w:val="hy-AM"/>
        </w:rPr>
      </w:pPr>
      <w:r w:rsidRPr="000232DD">
        <w:rPr>
          <w:color w:val="auto"/>
          <w:lang w:val="hy-AM"/>
        </w:rPr>
        <w:t>202</w:t>
      </w:r>
      <w:r w:rsidR="0023597E" w:rsidRPr="000232DD">
        <w:rPr>
          <w:color w:val="auto"/>
          <w:lang w:val="hy-AM"/>
        </w:rPr>
        <w:t>7</w:t>
      </w:r>
      <w:r w:rsidRPr="000232DD">
        <w:rPr>
          <w:color w:val="auto"/>
          <w:lang w:val="hy-AM"/>
        </w:rPr>
        <w:t xml:space="preserve"> թվականի ընթացքում ոչ ֆինանսական ակտիվ</w:t>
      </w:r>
      <w:r w:rsidRPr="000232DD">
        <w:rPr>
          <w:color w:val="auto"/>
          <w:lang w:val="hy-AM"/>
        </w:rPr>
        <w:softHyphen/>
        <w:t xml:space="preserve">ների գծով ծախսերի ֆինանսավորման կառուցվածքում արձանագրվում է ներքին աղբյուրների ծավալի աճ, իսկ արտաքին աղբյուրների ծավալները նվազել են: </w:t>
      </w:r>
    </w:p>
    <w:p w14:paraId="28CBD144" w14:textId="77777777" w:rsidR="00FA08BF" w:rsidRPr="000232DD" w:rsidRDefault="00FA08BF" w:rsidP="00082769">
      <w:pPr>
        <w:pStyle w:val="BodyText1"/>
        <w:ind w:left="0" w:right="-22"/>
        <w:rPr>
          <w:color w:val="auto"/>
          <w:lang w:val="hy-AM"/>
        </w:rPr>
      </w:pPr>
      <w:r w:rsidRPr="000232DD">
        <w:rPr>
          <w:color w:val="auto"/>
          <w:lang w:val="hy-AM"/>
        </w:rPr>
        <w:t>Ոչ ֆինանսական ակտիվների գծով ծախսերի իրակա</w:t>
      </w:r>
      <w:r w:rsidRPr="000232DD">
        <w:rPr>
          <w:color w:val="auto"/>
          <w:lang w:val="hy-AM"/>
        </w:rPr>
        <w:softHyphen/>
        <w:t>նացման գե</w:t>
      </w:r>
      <w:r w:rsidRPr="000232DD">
        <w:rPr>
          <w:color w:val="auto"/>
          <w:lang w:val="hy-AM"/>
        </w:rPr>
        <w:softHyphen/>
        <w:t>րա</w:t>
      </w:r>
      <w:r w:rsidRPr="000232DD">
        <w:rPr>
          <w:color w:val="auto"/>
          <w:lang w:val="hy-AM"/>
        </w:rPr>
        <w:softHyphen/>
      </w:r>
      <w:r w:rsidRPr="000232DD">
        <w:rPr>
          <w:color w:val="auto"/>
          <w:lang w:val="hy-AM"/>
        </w:rPr>
        <w:softHyphen/>
        <w:t>կայու</w:t>
      </w:r>
      <w:r w:rsidRPr="000232DD">
        <w:rPr>
          <w:color w:val="auto"/>
          <w:lang w:val="hy-AM"/>
        </w:rPr>
        <w:softHyphen/>
        <w:t xml:space="preserve">թյունները հանդիսանալու են ինչպես ենթակառուցվածքային, այնպես էլ սոցիալական ոլորտներում ներդրումները: </w:t>
      </w:r>
    </w:p>
    <w:p w14:paraId="277E9CA7" w14:textId="77777777" w:rsidR="00DC7524" w:rsidRDefault="00DC7524">
      <w:pPr>
        <w:spacing w:before="0" w:after="160" w:line="278" w:lineRule="auto"/>
        <w:rPr>
          <w:rFonts w:ascii="GHEA Grapalat" w:hAnsi="GHEA Grapalat"/>
          <w:bCs/>
          <w:color w:val="auto"/>
          <w:sz w:val="20"/>
          <w:szCs w:val="18"/>
          <w:lang w:val="hy-AM"/>
        </w:rPr>
      </w:pPr>
      <w:bookmarkStart w:id="405" w:name="_Toc184110772"/>
      <w:r w:rsidRPr="004F203B">
        <w:rPr>
          <w:b/>
          <w:bCs/>
          <w:color w:val="auto"/>
          <w:sz w:val="20"/>
          <w:szCs w:val="18"/>
          <w:lang w:val="hy-AM"/>
        </w:rPr>
        <w:br w:type="page"/>
      </w:r>
    </w:p>
    <w:p w14:paraId="2E27EC28" w14:textId="2B06307B" w:rsidR="00FA08BF" w:rsidRPr="00E73A9A" w:rsidRDefault="00FA08BF" w:rsidP="00E73A9A">
      <w:pPr>
        <w:pStyle w:val="Charts"/>
        <w:ind w:right="-22"/>
        <w:rPr>
          <w:b w:val="0"/>
          <w:bCs/>
          <w:color w:val="auto"/>
          <w:sz w:val="20"/>
          <w:szCs w:val="18"/>
        </w:rPr>
      </w:pPr>
      <w:r w:rsidRPr="00E73A9A">
        <w:rPr>
          <w:b w:val="0"/>
          <w:bCs/>
          <w:color w:val="auto"/>
          <w:sz w:val="20"/>
          <w:szCs w:val="18"/>
        </w:rPr>
        <w:t>Աղյուսակ 10. 202</w:t>
      </w:r>
      <w:r w:rsidR="00787B5A" w:rsidRPr="00E73A9A">
        <w:rPr>
          <w:b w:val="0"/>
          <w:bCs/>
          <w:color w:val="auto"/>
          <w:sz w:val="20"/>
          <w:szCs w:val="18"/>
        </w:rPr>
        <w:t>3</w:t>
      </w:r>
      <w:r w:rsidRPr="00E73A9A">
        <w:rPr>
          <w:b w:val="0"/>
          <w:bCs/>
          <w:color w:val="auto"/>
          <w:sz w:val="20"/>
          <w:szCs w:val="18"/>
        </w:rPr>
        <w:t>-202</w:t>
      </w:r>
      <w:r w:rsidR="00787B5A" w:rsidRPr="00E73A9A">
        <w:rPr>
          <w:b w:val="0"/>
          <w:bCs/>
          <w:color w:val="auto"/>
          <w:sz w:val="20"/>
          <w:szCs w:val="18"/>
        </w:rPr>
        <w:t>9</w:t>
      </w:r>
      <w:r w:rsidRPr="00E73A9A">
        <w:rPr>
          <w:b w:val="0"/>
          <w:bCs/>
          <w:color w:val="auto"/>
          <w:sz w:val="20"/>
          <w:szCs w:val="18"/>
        </w:rPr>
        <w:t>թթ. ոչ ֆինանսական ակտիվ</w:t>
      </w:r>
      <w:r w:rsidRPr="00E73A9A">
        <w:rPr>
          <w:b w:val="0"/>
          <w:bCs/>
          <w:color w:val="auto"/>
          <w:sz w:val="20"/>
          <w:szCs w:val="18"/>
        </w:rPr>
        <w:softHyphen/>
        <w:t>ների գծով ծախսերի ֆինանսավորման կառուցվածը ըստ արտաքին և ներքին աղբյուրների, մլրդ դրամ</w:t>
      </w:r>
      <w:bookmarkEnd w:id="405"/>
    </w:p>
    <w:tbl>
      <w:tblPr>
        <w:tblW w:w="9567" w:type="dxa"/>
        <w:tblInd w:w="-10" w:type="dxa"/>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ook w:val="04A0" w:firstRow="1" w:lastRow="0" w:firstColumn="1" w:lastColumn="0" w:noHBand="0" w:noVBand="1"/>
      </w:tblPr>
      <w:tblGrid>
        <w:gridCol w:w="3481"/>
        <w:gridCol w:w="935"/>
        <w:gridCol w:w="940"/>
        <w:gridCol w:w="940"/>
        <w:gridCol w:w="940"/>
        <w:gridCol w:w="777"/>
        <w:gridCol w:w="777"/>
        <w:gridCol w:w="777"/>
      </w:tblGrid>
      <w:tr w:rsidR="004C0C21" w:rsidRPr="000232DD" w14:paraId="4A8264F3" w14:textId="77777777" w:rsidTr="00DE6A4A">
        <w:trPr>
          <w:trHeight w:val="288"/>
        </w:trPr>
        <w:tc>
          <w:tcPr>
            <w:tcW w:w="3481" w:type="dxa"/>
            <w:shd w:val="clear" w:color="auto" w:fill="DAE9F7" w:themeFill="text2" w:themeFillTint="1A"/>
            <w:vAlign w:val="center"/>
            <w:hideMark/>
          </w:tcPr>
          <w:p w14:paraId="4C9B74D3" w14:textId="77777777" w:rsidR="00CD68E3" w:rsidRPr="000232DD" w:rsidRDefault="00CD68E3" w:rsidP="00082769">
            <w:pPr>
              <w:spacing w:before="0" w:after="0" w:line="240" w:lineRule="auto"/>
              <w:ind w:right="-22"/>
              <w:jc w:val="both"/>
              <w:rPr>
                <w:rFonts w:ascii="GHEA Grapalat" w:hAnsi="GHEA Grapalat"/>
                <w:b/>
                <w:color w:val="auto"/>
                <w:sz w:val="18"/>
                <w:szCs w:val="18"/>
              </w:rPr>
            </w:pPr>
            <w:r w:rsidRPr="000232DD">
              <w:rPr>
                <w:rFonts w:ascii="GHEA Grapalat" w:hAnsi="GHEA Grapalat"/>
                <w:b/>
                <w:color w:val="auto"/>
                <w:sz w:val="18"/>
                <w:szCs w:val="18"/>
                <w:lang w:val="hy-AM"/>
              </w:rPr>
              <w:br w:type="page"/>
            </w:r>
            <w:r w:rsidRPr="000232DD">
              <w:rPr>
                <w:rFonts w:ascii="GHEA Grapalat" w:hAnsi="GHEA Grapalat" w:cs="Sylfaen"/>
                <w:b/>
                <w:color w:val="auto"/>
                <w:sz w:val="18"/>
                <w:szCs w:val="18"/>
              </w:rPr>
              <w:t>Ցուցանիշներ</w:t>
            </w:r>
          </w:p>
        </w:tc>
        <w:tc>
          <w:tcPr>
            <w:tcW w:w="935" w:type="dxa"/>
            <w:shd w:val="clear" w:color="auto" w:fill="DAE9F7" w:themeFill="text2" w:themeFillTint="1A"/>
            <w:vAlign w:val="center"/>
            <w:hideMark/>
          </w:tcPr>
          <w:p w14:paraId="02DDA8A2" w14:textId="5310AED9" w:rsidR="00CD68E3" w:rsidRPr="000232DD" w:rsidRDefault="00CD68E3" w:rsidP="00082769">
            <w:pPr>
              <w:spacing w:before="0" w:after="0" w:line="240" w:lineRule="auto"/>
              <w:ind w:right="-22"/>
              <w:jc w:val="center"/>
              <w:rPr>
                <w:rFonts w:ascii="GHEA Grapalat" w:hAnsi="GHEA Grapalat"/>
                <w:b/>
                <w:color w:val="auto"/>
                <w:sz w:val="18"/>
                <w:szCs w:val="18"/>
              </w:rPr>
            </w:pPr>
            <w:r w:rsidRPr="000232DD">
              <w:rPr>
                <w:rFonts w:ascii="GHEA Grapalat" w:hAnsi="GHEA Grapalat"/>
                <w:b/>
                <w:color w:val="auto"/>
                <w:sz w:val="18"/>
                <w:szCs w:val="18"/>
              </w:rPr>
              <w:t>2023</w:t>
            </w:r>
          </w:p>
        </w:tc>
        <w:tc>
          <w:tcPr>
            <w:tcW w:w="940" w:type="dxa"/>
            <w:shd w:val="clear" w:color="auto" w:fill="DAE9F7" w:themeFill="text2" w:themeFillTint="1A"/>
            <w:vAlign w:val="center"/>
            <w:hideMark/>
          </w:tcPr>
          <w:p w14:paraId="0C9B0A7F" w14:textId="1340C3D9" w:rsidR="00CD68E3" w:rsidRPr="000232DD" w:rsidRDefault="00CD68E3" w:rsidP="00082769">
            <w:pPr>
              <w:spacing w:before="0" w:after="0" w:line="240" w:lineRule="auto"/>
              <w:ind w:right="-22"/>
              <w:jc w:val="center"/>
              <w:rPr>
                <w:rFonts w:ascii="GHEA Grapalat" w:hAnsi="GHEA Grapalat"/>
                <w:b/>
                <w:color w:val="auto"/>
                <w:sz w:val="18"/>
                <w:szCs w:val="18"/>
              </w:rPr>
            </w:pPr>
            <w:r w:rsidRPr="000232DD">
              <w:rPr>
                <w:rFonts w:ascii="GHEA Grapalat" w:hAnsi="GHEA Grapalat"/>
                <w:b/>
                <w:color w:val="auto"/>
                <w:sz w:val="18"/>
                <w:szCs w:val="18"/>
              </w:rPr>
              <w:t>2024</w:t>
            </w:r>
          </w:p>
        </w:tc>
        <w:tc>
          <w:tcPr>
            <w:tcW w:w="940" w:type="dxa"/>
            <w:shd w:val="clear" w:color="auto" w:fill="DAE9F7" w:themeFill="text2" w:themeFillTint="1A"/>
            <w:vAlign w:val="center"/>
            <w:hideMark/>
          </w:tcPr>
          <w:p w14:paraId="32EE7418" w14:textId="1A756915" w:rsidR="00CD68E3" w:rsidRPr="000232DD" w:rsidRDefault="00CD68E3" w:rsidP="00082769">
            <w:pPr>
              <w:spacing w:before="0" w:after="0" w:line="240" w:lineRule="auto"/>
              <w:ind w:right="-22"/>
              <w:jc w:val="center"/>
              <w:rPr>
                <w:rFonts w:ascii="GHEA Grapalat" w:hAnsi="GHEA Grapalat"/>
                <w:b/>
                <w:color w:val="auto"/>
                <w:sz w:val="18"/>
                <w:szCs w:val="18"/>
              </w:rPr>
            </w:pPr>
            <w:r w:rsidRPr="000232DD">
              <w:rPr>
                <w:rFonts w:ascii="GHEA Grapalat" w:hAnsi="GHEA Grapalat"/>
                <w:b/>
                <w:color w:val="auto"/>
                <w:sz w:val="18"/>
                <w:szCs w:val="18"/>
              </w:rPr>
              <w:t>202</w:t>
            </w:r>
            <w:r w:rsidRPr="000232DD">
              <w:rPr>
                <w:rFonts w:ascii="GHEA Grapalat" w:hAnsi="GHEA Grapalat"/>
                <w:b/>
                <w:color w:val="auto"/>
                <w:sz w:val="18"/>
                <w:szCs w:val="18"/>
                <w:lang w:val="hy-AM"/>
              </w:rPr>
              <w:t>5</w:t>
            </w:r>
          </w:p>
        </w:tc>
        <w:tc>
          <w:tcPr>
            <w:tcW w:w="940" w:type="dxa"/>
            <w:shd w:val="clear" w:color="auto" w:fill="DAE9F7" w:themeFill="text2" w:themeFillTint="1A"/>
            <w:vAlign w:val="center"/>
            <w:hideMark/>
          </w:tcPr>
          <w:p w14:paraId="00E891E8" w14:textId="17E50AA7" w:rsidR="00CD68E3" w:rsidRPr="000232DD" w:rsidRDefault="00CD68E3" w:rsidP="00082769">
            <w:pPr>
              <w:spacing w:before="0" w:after="0" w:line="240" w:lineRule="auto"/>
              <w:ind w:right="-22"/>
              <w:jc w:val="center"/>
              <w:rPr>
                <w:rFonts w:ascii="GHEA Grapalat" w:hAnsi="GHEA Grapalat"/>
                <w:b/>
                <w:color w:val="auto"/>
                <w:sz w:val="18"/>
                <w:szCs w:val="18"/>
              </w:rPr>
            </w:pPr>
            <w:r w:rsidRPr="000232DD">
              <w:rPr>
                <w:rFonts w:ascii="GHEA Grapalat" w:hAnsi="GHEA Grapalat"/>
                <w:b/>
                <w:color w:val="auto"/>
                <w:sz w:val="18"/>
                <w:szCs w:val="18"/>
              </w:rPr>
              <w:t>2026</w:t>
            </w:r>
          </w:p>
        </w:tc>
        <w:tc>
          <w:tcPr>
            <w:tcW w:w="777" w:type="dxa"/>
            <w:shd w:val="clear" w:color="auto" w:fill="DAE9F7" w:themeFill="text2" w:themeFillTint="1A"/>
            <w:vAlign w:val="center"/>
          </w:tcPr>
          <w:p w14:paraId="753229A9" w14:textId="64B0710F" w:rsidR="00CD68E3" w:rsidRPr="000232DD" w:rsidRDefault="00CD68E3" w:rsidP="00082769">
            <w:pPr>
              <w:spacing w:before="0" w:after="0" w:line="240" w:lineRule="auto"/>
              <w:ind w:right="-22"/>
              <w:jc w:val="center"/>
              <w:rPr>
                <w:rFonts w:ascii="GHEA Grapalat" w:hAnsi="GHEA Grapalat"/>
                <w:b/>
                <w:color w:val="auto"/>
                <w:sz w:val="18"/>
                <w:szCs w:val="18"/>
              </w:rPr>
            </w:pPr>
            <w:r w:rsidRPr="000232DD">
              <w:rPr>
                <w:rFonts w:ascii="GHEA Grapalat" w:hAnsi="GHEA Grapalat"/>
                <w:b/>
                <w:color w:val="auto"/>
                <w:sz w:val="18"/>
                <w:szCs w:val="18"/>
                <w:lang w:val="hy-AM"/>
              </w:rPr>
              <w:t>2027</w:t>
            </w:r>
          </w:p>
        </w:tc>
        <w:tc>
          <w:tcPr>
            <w:tcW w:w="777" w:type="dxa"/>
            <w:shd w:val="clear" w:color="auto" w:fill="DAE9F7" w:themeFill="text2" w:themeFillTint="1A"/>
            <w:vAlign w:val="center"/>
          </w:tcPr>
          <w:p w14:paraId="20753FAE" w14:textId="4E4B3609" w:rsidR="00CD68E3" w:rsidRPr="000232DD" w:rsidRDefault="00CD68E3" w:rsidP="00082769">
            <w:pPr>
              <w:spacing w:before="0" w:after="0" w:line="240" w:lineRule="auto"/>
              <w:ind w:right="-22"/>
              <w:jc w:val="center"/>
              <w:rPr>
                <w:rFonts w:ascii="GHEA Grapalat" w:hAnsi="GHEA Grapalat"/>
                <w:b/>
                <w:color w:val="auto"/>
                <w:sz w:val="18"/>
                <w:szCs w:val="18"/>
                <w:lang w:val="hy-AM"/>
              </w:rPr>
            </w:pPr>
            <w:r w:rsidRPr="000232DD">
              <w:rPr>
                <w:rFonts w:ascii="GHEA Grapalat" w:hAnsi="GHEA Grapalat"/>
                <w:b/>
                <w:color w:val="auto"/>
                <w:sz w:val="18"/>
                <w:szCs w:val="18"/>
                <w:lang w:val="hy-AM"/>
              </w:rPr>
              <w:t>2028</w:t>
            </w:r>
          </w:p>
        </w:tc>
        <w:tc>
          <w:tcPr>
            <w:tcW w:w="777" w:type="dxa"/>
            <w:shd w:val="clear" w:color="auto" w:fill="DAE9F7" w:themeFill="text2" w:themeFillTint="1A"/>
            <w:vAlign w:val="center"/>
          </w:tcPr>
          <w:p w14:paraId="4D18C675" w14:textId="57ED0BDB" w:rsidR="00CD68E3" w:rsidRPr="000232DD" w:rsidRDefault="00CD68E3" w:rsidP="00082769">
            <w:pPr>
              <w:spacing w:before="0" w:after="0" w:line="240" w:lineRule="auto"/>
              <w:ind w:right="-22"/>
              <w:jc w:val="center"/>
              <w:rPr>
                <w:rFonts w:ascii="GHEA Grapalat" w:hAnsi="GHEA Grapalat"/>
                <w:b/>
                <w:color w:val="auto"/>
                <w:sz w:val="18"/>
                <w:szCs w:val="18"/>
                <w:lang w:val="hy-AM"/>
              </w:rPr>
            </w:pPr>
            <w:r w:rsidRPr="000232DD">
              <w:rPr>
                <w:rFonts w:ascii="GHEA Grapalat" w:hAnsi="GHEA Grapalat"/>
                <w:b/>
                <w:color w:val="auto"/>
                <w:sz w:val="18"/>
                <w:szCs w:val="18"/>
                <w:lang w:val="hy-AM"/>
              </w:rPr>
              <w:t>2029</w:t>
            </w:r>
          </w:p>
        </w:tc>
      </w:tr>
      <w:tr w:rsidR="004C0C21" w:rsidRPr="000232DD" w14:paraId="45A4C696" w14:textId="77777777" w:rsidTr="00CB300F">
        <w:trPr>
          <w:trHeight w:val="288"/>
        </w:trPr>
        <w:tc>
          <w:tcPr>
            <w:tcW w:w="3481" w:type="dxa"/>
            <w:vAlign w:val="center"/>
            <w:hideMark/>
          </w:tcPr>
          <w:p w14:paraId="07678E14"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Ընդամենը</w:t>
            </w:r>
            <w:r w:rsidRPr="000232DD">
              <w:rPr>
                <w:rFonts w:ascii="GHEA Grapalat" w:hAnsi="GHEA Grapalat"/>
                <w:color w:val="auto"/>
                <w:sz w:val="18"/>
                <w:szCs w:val="18"/>
              </w:rPr>
              <w:t xml:space="preserve"> </w:t>
            </w:r>
          </w:p>
        </w:tc>
        <w:tc>
          <w:tcPr>
            <w:tcW w:w="935" w:type="dxa"/>
            <w:vAlign w:val="center"/>
          </w:tcPr>
          <w:p w14:paraId="2AC259E7" w14:textId="79DAE194"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494.3</w:t>
            </w:r>
          </w:p>
        </w:tc>
        <w:tc>
          <w:tcPr>
            <w:tcW w:w="940" w:type="dxa"/>
            <w:vAlign w:val="center"/>
          </w:tcPr>
          <w:p w14:paraId="7CFFB514" w14:textId="535A00F2"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557.8</w:t>
            </w:r>
          </w:p>
        </w:tc>
        <w:tc>
          <w:tcPr>
            <w:tcW w:w="940" w:type="dxa"/>
            <w:vAlign w:val="center"/>
          </w:tcPr>
          <w:p w14:paraId="78D2A903" w14:textId="28867778"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749.8</w:t>
            </w:r>
          </w:p>
        </w:tc>
        <w:tc>
          <w:tcPr>
            <w:tcW w:w="940" w:type="dxa"/>
            <w:vAlign w:val="center"/>
          </w:tcPr>
          <w:p w14:paraId="44AAD5BF" w14:textId="687A2E36"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714.1</w:t>
            </w:r>
          </w:p>
        </w:tc>
        <w:tc>
          <w:tcPr>
            <w:tcW w:w="777" w:type="dxa"/>
            <w:shd w:val="clear" w:color="auto" w:fill="auto"/>
            <w:vAlign w:val="center"/>
          </w:tcPr>
          <w:p w14:paraId="68D6CB63" w14:textId="1E1E85C1"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771.4</w:t>
            </w:r>
          </w:p>
        </w:tc>
        <w:tc>
          <w:tcPr>
            <w:tcW w:w="777" w:type="dxa"/>
            <w:shd w:val="clear" w:color="auto" w:fill="auto"/>
            <w:vAlign w:val="center"/>
          </w:tcPr>
          <w:p w14:paraId="13458E5A" w14:textId="0F5A0A29"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869.4</w:t>
            </w:r>
          </w:p>
        </w:tc>
        <w:tc>
          <w:tcPr>
            <w:tcW w:w="777" w:type="dxa"/>
            <w:shd w:val="clear" w:color="auto" w:fill="auto"/>
            <w:vAlign w:val="center"/>
          </w:tcPr>
          <w:p w14:paraId="6E72D00F" w14:textId="3BF76A96"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966.7</w:t>
            </w:r>
          </w:p>
        </w:tc>
      </w:tr>
      <w:tr w:rsidR="004C0C21" w:rsidRPr="000232DD" w14:paraId="706C3BB1" w14:textId="77777777" w:rsidTr="00CB300F">
        <w:trPr>
          <w:trHeight w:val="288"/>
        </w:trPr>
        <w:tc>
          <w:tcPr>
            <w:tcW w:w="3481" w:type="dxa"/>
            <w:vAlign w:val="center"/>
            <w:hideMark/>
          </w:tcPr>
          <w:p w14:paraId="5D633AFD"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արտաքին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42DAD53A" w14:textId="0A332952"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73.4</w:t>
            </w:r>
          </w:p>
        </w:tc>
        <w:tc>
          <w:tcPr>
            <w:tcW w:w="940" w:type="dxa"/>
            <w:vAlign w:val="center"/>
          </w:tcPr>
          <w:p w14:paraId="6032D953" w14:textId="08E6A855"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77.1</w:t>
            </w:r>
          </w:p>
        </w:tc>
        <w:tc>
          <w:tcPr>
            <w:tcW w:w="940" w:type="dxa"/>
            <w:vAlign w:val="center"/>
          </w:tcPr>
          <w:p w14:paraId="19C83B64" w14:textId="5B0B565B"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204.2</w:t>
            </w:r>
          </w:p>
        </w:tc>
        <w:tc>
          <w:tcPr>
            <w:tcW w:w="940" w:type="dxa"/>
            <w:vAlign w:val="center"/>
          </w:tcPr>
          <w:p w14:paraId="319B36EF" w14:textId="68EDE074"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120</w:t>
            </w:r>
          </w:p>
        </w:tc>
        <w:tc>
          <w:tcPr>
            <w:tcW w:w="777" w:type="dxa"/>
            <w:shd w:val="clear" w:color="auto" w:fill="auto"/>
            <w:vAlign w:val="center"/>
          </w:tcPr>
          <w:p w14:paraId="2A972CDE" w14:textId="17676C11"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118.1</w:t>
            </w:r>
          </w:p>
        </w:tc>
        <w:tc>
          <w:tcPr>
            <w:tcW w:w="777" w:type="dxa"/>
            <w:shd w:val="clear" w:color="auto" w:fill="auto"/>
            <w:vAlign w:val="center"/>
          </w:tcPr>
          <w:p w14:paraId="04A1036A" w14:textId="0599FD92"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137.0</w:t>
            </w:r>
          </w:p>
        </w:tc>
        <w:tc>
          <w:tcPr>
            <w:tcW w:w="777" w:type="dxa"/>
            <w:shd w:val="clear" w:color="auto" w:fill="auto"/>
            <w:vAlign w:val="center"/>
          </w:tcPr>
          <w:p w14:paraId="300CA6EA" w14:textId="73082F39"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122.0</w:t>
            </w:r>
          </w:p>
        </w:tc>
      </w:tr>
      <w:tr w:rsidR="004C0C21" w:rsidRPr="000232DD" w14:paraId="1A1D1A35" w14:textId="77777777" w:rsidTr="00CB300F">
        <w:trPr>
          <w:trHeight w:val="288"/>
        </w:trPr>
        <w:tc>
          <w:tcPr>
            <w:tcW w:w="3481" w:type="dxa"/>
            <w:vAlign w:val="center"/>
            <w:hideMark/>
          </w:tcPr>
          <w:p w14:paraId="033AE998"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ներքին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06201C1A" w14:textId="10E6CDAC"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420.9</w:t>
            </w:r>
          </w:p>
        </w:tc>
        <w:tc>
          <w:tcPr>
            <w:tcW w:w="940" w:type="dxa"/>
            <w:vAlign w:val="center"/>
          </w:tcPr>
          <w:p w14:paraId="18E2C78C" w14:textId="4BF3B610"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480.7</w:t>
            </w:r>
          </w:p>
        </w:tc>
        <w:tc>
          <w:tcPr>
            <w:tcW w:w="940" w:type="dxa"/>
            <w:vAlign w:val="center"/>
          </w:tcPr>
          <w:p w14:paraId="4F0E15E1" w14:textId="0FBB6A89"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545.6</w:t>
            </w:r>
          </w:p>
        </w:tc>
        <w:tc>
          <w:tcPr>
            <w:tcW w:w="940" w:type="dxa"/>
            <w:vAlign w:val="center"/>
          </w:tcPr>
          <w:p w14:paraId="6A6A2AA7" w14:textId="341ED6DE"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594.1</w:t>
            </w:r>
          </w:p>
        </w:tc>
        <w:tc>
          <w:tcPr>
            <w:tcW w:w="777" w:type="dxa"/>
            <w:shd w:val="clear" w:color="auto" w:fill="auto"/>
            <w:vAlign w:val="center"/>
          </w:tcPr>
          <w:p w14:paraId="05F32F19" w14:textId="2C634646"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653.4</w:t>
            </w:r>
          </w:p>
        </w:tc>
        <w:tc>
          <w:tcPr>
            <w:tcW w:w="777" w:type="dxa"/>
            <w:shd w:val="clear" w:color="auto" w:fill="auto"/>
            <w:vAlign w:val="center"/>
          </w:tcPr>
          <w:p w14:paraId="5D62912C" w14:textId="47CB3D5C"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732.4</w:t>
            </w:r>
          </w:p>
        </w:tc>
        <w:tc>
          <w:tcPr>
            <w:tcW w:w="777" w:type="dxa"/>
            <w:shd w:val="clear" w:color="auto" w:fill="auto"/>
            <w:vAlign w:val="center"/>
          </w:tcPr>
          <w:p w14:paraId="29681C94" w14:textId="5591F803"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844.7</w:t>
            </w:r>
          </w:p>
        </w:tc>
      </w:tr>
      <w:tr w:rsidR="004C0C21" w:rsidRPr="000232DD" w14:paraId="37DDCA32" w14:textId="77777777" w:rsidTr="00CB300F">
        <w:trPr>
          <w:trHeight w:val="288"/>
        </w:trPr>
        <w:tc>
          <w:tcPr>
            <w:tcW w:w="3481" w:type="dxa"/>
            <w:vAlign w:val="center"/>
            <w:hideMark/>
          </w:tcPr>
          <w:p w14:paraId="69831ED2"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Տրանսպորտ</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այդ</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թվում</w:t>
            </w:r>
            <w:r w:rsidRPr="000232DD">
              <w:rPr>
                <w:rFonts w:ascii="GHEA Grapalat" w:hAnsi="GHEA Grapalat"/>
                <w:color w:val="auto"/>
                <w:sz w:val="18"/>
                <w:szCs w:val="18"/>
              </w:rPr>
              <w:t xml:space="preserve"> </w:t>
            </w:r>
          </w:p>
        </w:tc>
        <w:tc>
          <w:tcPr>
            <w:tcW w:w="935" w:type="dxa"/>
            <w:vAlign w:val="center"/>
          </w:tcPr>
          <w:p w14:paraId="664247A3" w14:textId="63EF90E8"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96.5</w:t>
            </w:r>
          </w:p>
        </w:tc>
        <w:tc>
          <w:tcPr>
            <w:tcW w:w="940" w:type="dxa"/>
            <w:vAlign w:val="center"/>
          </w:tcPr>
          <w:p w14:paraId="17C320E4" w14:textId="54DD4308"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92.7</w:t>
            </w:r>
          </w:p>
        </w:tc>
        <w:tc>
          <w:tcPr>
            <w:tcW w:w="940" w:type="dxa"/>
            <w:vAlign w:val="center"/>
          </w:tcPr>
          <w:p w14:paraId="33D19B27" w14:textId="7F505BA4"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97.3</w:t>
            </w:r>
          </w:p>
        </w:tc>
        <w:tc>
          <w:tcPr>
            <w:tcW w:w="940" w:type="dxa"/>
            <w:vAlign w:val="center"/>
          </w:tcPr>
          <w:p w14:paraId="0B39F639" w14:textId="380C79DF"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126.1</w:t>
            </w:r>
          </w:p>
        </w:tc>
        <w:tc>
          <w:tcPr>
            <w:tcW w:w="777" w:type="dxa"/>
            <w:shd w:val="clear" w:color="auto" w:fill="auto"/>
            <w:vAlign w:val="center"/>
          </w:tcPr>
          <w:p w14:paraId="49A78E05" w14:textId="573711BD"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140.8</w:t>
            </w:r>
          </w:p>
        </w:tc>
        <w:tc>
          <w:tcPr>
            <w:tcW w:w="777" w:type="dxa"/>
            <w:shd w:val="clear" w:color="auto" w:fill="auto"/>
            <w:vAlign w:val="center"/>
          </w:tcPr>
          <w:p w14:paraId="3C004130" w14:textId="04C6FB51"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161.2</w:t>
            </w:r>
          </w:p>
        </w:tc>
        <w:tc>
          <w:tcPr>
            <w:tcW w:w="777" w:type="dxa"/>
            <w:shd w:val="clear" w:color="auto" w:fill="auto"/>
            <w:vAlign w:val="center"/>
          </w:tcPr>
          <w:p w14:paraId="70D1B370" w14:textId="1D2F5B0D"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15</w:t>
            </w:r>
            <w:r w:rsidR="006D29A8">
              <w:rPr>
                <w:rFonts w:ascii="GHEA Grapalat" w:hAnsi="GHEA Grapalat" w:cs="Calibri"/>
                <w:b/>
                <w:bCs/>
                <w:color w:val="auto"/>
                <w:sz w:val="18"/>
                <w:szCs w:val="18"/>
              </w:rPr>
              <w:t>6.0</w:t>
            </w:r>
          </w:p>
        </w:tc>
      </w:tr>
      <w:tr w:rsidR="004C0C21" w:rsidRPr="000232DD" w14:paraId="39C468AC" w14:textId="77777777" w:rsidTr="00CB300F">
        <w:trPr>
          <w:trHeight w:val="288"/>
        </w:trPr>
        <w:tc>
          <w:tcPr>
            <w:tcW w:w="3481" w:type="dxa"/>
            <w:vAlign w:val="center"/>
            <w:hideMark/>
          </w:tcPr>
          <w:p w14:paraId="52A2B967"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արտաքին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47AF8B12" w14:textId="58472F6A"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27</w:t>
            </w:r>
          </w:p>
        </w:tc>
        <w:tc>
          <w:tcPr>
            <w:tcW w:w="940" w:type="dxa"/>
            <w:vAlign w:val="center"/>
          </w:tcPr>
          <w:p w14:paraId="34770589" w14:textId="27B01381"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29.5</w:t>
            </w:r>
          </w:p>
        </w:tc>
        <w:tc>
          <w:tcPr>
            <w:tcW w:w="940" w:type="dxa"/>
            <w:vAlign w:val="center"/>
          </w:tcPr>
          <w:p w14:paraId="551C23FF" w14:textId="0F8DFC1A"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25.3</w:t>
            </w:r>
          </w:p>
        </w:tc>
        <w:tc>
          <w:tcPr>
            <w:tcW w:w="940" w:type="dxa"/>
            <w:vAlign w:val="center"/>
          </w:tcPr>
          <w:p w14:paraId="339DD590" w14:textId="76146EF8"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65</w:t>
            </w:r>
          </w:p>
        </w:tc>
        <w:tc>
          <w:tcPr>
            <w:tcW w:w="777" w:type="dxa"/>
            <w:shd w:val="clear" w:color="auto" w:fill="auto"/>
            <w:vAlign w:val="center"/>
          </w:tcPr>
          <w:p w14:paraId="4916CCAE" w14:textId="4BE4D452"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74.2</w:t>
            </w:r>
          </w:p>
        </w:tc>
        <w:tc>
          <w:tcPr>
            <w:tcW w:w="777" w:type="dxa"/>
            <w:shd w:val="clear" w:color="auto" w:fill="auto"/>
            <w:vAlign w:val="center"/>
          </w:tcPr>
          <w:p w14:paraId="0AB7011C" w14:textId="63702898"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94.1</w:t>
            </w:r>
          </w:p>
        </w:tc>
        <w:tc>
          <w:tcPr>
            <w:tcW w:w="777" w:type="dxa"/>
            <w:shd w:val="clear" w:color="auto" w:fill="auto"/>
            <w:vAlign w:val="center"/>
          </w:tcPr>
          <w:p w14:paraId="29B2571B" w14:textId="7EB699FB"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90.9</w:t>
            </w:r>
          </w:p>
        </w:tc>
      </w:tr>
      <w:tr w:rsidR="004C0C21" w:rsidRPr="000232DD" w14:paraId="36561D9A" w14:textId="77777777" w:rsidTr="00CB300F">
        <w:trPr>
          <w:trHeight w:val="288"/>
        </w:trPr>
        <w:tc>
          <w:tcPr>
            <w:tcW w:w="3481" w:type="dxa"/>
            <w:vAlign w:val="center"/>
            <w:hideMark/>
          </w:tcPr>
          <w:p w14:paraId="3EF05B5C"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ներքին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25EDC033" w14:textId="73566F54"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69.5</w:t>
            </w:r>
          </w:p>
        </w:tc>
        <w:tc>
          <w:tcPr>
            <w:tcW w:w="940" w:type="dxa"/>
            <w:vAlign w:val="center"/>
          </w:tcPr>
          <w:p w14:paraId="2CF32DF5" w14:textId="6B915751"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63.2</w:t>
            </w:r>
          </w:p>
        </w:tc>
        <w:tc>
          <w:tcPr>
            <w:tcW w:w="940" w:type="dxa"/>
            <w:vAlign w:val="center"/>
          </w:tcPr>
          <w:p w14:paraId="0836EA25" w14:textId="55A0C88C"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72</w:t>
            </w:r>
          </w:p>
        </w:tc>
        <w:tc>
          <w:tcPr>
            <w:tcW w:w="940" w:type="dxa"/>
            <w:vAlign w:val="center"/>
          </w:tcPr>
          <w:p w14:paraId="3DC154A0" w14:textId="2538B4E5"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61.1</w:t>
            </w:r>
          </w:p>
        </w:tc>
        <w:tc>
          <w:tcPr>
            <w:tcW w:w="777" w:type="dxa"/>
            <w:shd w:val="clear" w:color="auto" w:fill="auto"/>
            <w:vAlign w:val="center"/>
          </w:tcPr>
          <w:p w14:paraId="3CD84708" w14:textId="5D5DDEB1"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66.5</w:t>
            </w:r>
          </w:p>
        </w:tc>
        <w:tc>
          <w:tcPr>
            <w:tcW w:w="777" w:type="dxa"/>
            <w:shd w:val="clear" w:color="auto" w:fill="auto"/>
            <w:vAlign w:val="center"/>
          </w:tcPr>
          <w:p w14:paraId="5029CDA1" w14:textId="0DA10B9C"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67.1</w:t>
            </w:r>
          </w:p>
        </w:tc>
        <w:tc>
          <w:tcPr>
            <w:tcW w:w="777" w:type="dxa"/>
            <w:shd w:val="clear" w:color="auto" w:fill="auto"/>
            <w:vAlign w:val="center"/>
          </w:tcPr>
          <w:p w14:paraId="6EC27D84" w14:textId="1DE4BF6E"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67.1</w:t>
            </w:r>
          </w:p>
        </w:tc>
      </w:tr>
      <w:tr w:rsidR="004C0C21" w:rsidRPr="000232DD" w14:paraId="37077CFF" w14:textId="77777777" w:rsidTr="00CB300F">
        <w:trPr>
          <w:trHeight w:val="288"/>
        </w:trPr>
        <w:tc>
          <w:tcPr>
            <w:tcW w:w="3481" w:type="dxa"/>
            <w:vAlign w:val="center"/>
            <w:hideMark/>
          </w:tcPr>
          <w:p w14:paraId="20BA5EF6"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Էներգետիկա</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այդ</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թվում</w:t>
            </w:r>
            <w:r w:rsidRPr="000232DD">
              <w:rPr>
                <w:rFonts w:ascii="GHEA Grapalat" w:hAnsi="GHEA Grapalat"/>
                <w:color w:val="auto"/>
                <w:sz w:val="18"/>
                <w:szCs w:val="18"/>
              </w:rPr>
              <w:t xml:space="preserve"> </w:t>
            </w:r>
          </w:p>
        </w:tc>
        <w:tc>
          <w:tcPr>
            <w:tcW w:w="935" w:type="dxa"/>
            <w:vAlign w:val="center"/>
          </w:tcPr>
          <w:p w14:paraId="28D9B7D2" w14:textId="268D8A7F"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2.2</w:t>
            </w:r>
          </w:p>
        </w:tc>
        <w:tc>
          <w:tcPr>
            <w:tcW w:w="940" w:type="dxa"/>
            <w:vAlign w:val="center"/>
          </w:tcPr>
          <w:p w14:paraId="436DAC76" w14:textId="685C0015"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0.7</w:t>
            </w:r>
          </w:p>
        </w:tc>
        <w:tc>
          <w:tcPr>
            <w:tcW w:w="940" w:type="dxa"/>
            <w:vAlign w:val="center"/>
          </w:tcPr>
          <w:p w14:paraId="617DF50B" w14:textId="2C5AAC63"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4</w:t>
            </w:r>
          </w:p>
        </w:tc>
        <w:tc>
          <w:tcPr>
            <w:tcW w:w="940" w:type="dxa"/>
            <w:vAlign w:val="center"/>
          </w:tcPr>
          <w:p w14:paraId="382EA075" w14:textId="27085F07"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9.5</w:t>
            </w:r>
          </w:p>
        </w:tc>
        <w:tc>
          <w:tcPr>
            <w:tcW w:w="777" w:type="dxa"/>
            <w:shd w:val="clear" w:color="auto" w:fill="auto"/>
            <w:vAlign w:val="center"/>
          </w:tcPr>
          <w:p w14:paraId="6FCE6CD6" w14:textId="334F6E4B"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10.5</w:t>
            </w:r>
          </w:p>
        </w:tc>
        <w:tc>
          <w:tcPr>
            <w:tcW w:w="777" w:type="dxa"/>
            <w:shd w:val="clear" w:color="auto" w:fill="auto"/>
            <w:vAlign w:val="center"/>
          </w:tcPr>
          <w:p w14:paraId="5D3240C1" w14:textId="03C86DF2"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6.5</w:t>
            </w:r>
          </w:p>
        </w:tc>
        <w:tc>
          <w:tcPr>
            <w:tcW w:w="777" w:type="dxa"/>
            <w:shd w:val="clear" w:color="auto" w:fill="auto"/>
            <w:vAlign w:val="center"/>
          </w:tcPr>
          <w:p w14:paraId="6BEB256B" w14:textId="06434889"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7.1</w:t>
            </w:r>
          </w:p>
        </w:tc>
      </w:tr>
      <w:tr w:rsidR="004C0C21" w:rsidRPr="000232DD" w14:paraId="7BD03E5D" w14:textId="77777777" w:rsidTr="00CB300F">
        <w:trPr>
          <w:trHeight w:val="288"/>
        </w:trPr>
        <w:tc>
          <w:tcPr>
            <w:tcW w:w="3481" w:type="dxa"/>
            <w:vAlign w:val="center"/>
            <w:hideMark/>
          </w:tcPr>
          <w:p w14:paraId="35531788"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արտաքին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4FBA8E87" w14:textId="34CC2F37"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1.8</w:t>
            </w:r>
          </w:p>
        </w:tc>
        <w:tc>
          <w:tcPr>
            <w:tcW w:w="940" w:type="dxa"/>
            <w:vAlign w:val="center"/>
          </w:tcPr>
          <w:p w14:paraId="42FAADE1" w14:textId="53C8740D"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0.7</w:t>
            </w:r>
          </w:p>
        </w:tc>
        <w:tc>
          <w:tcPr>
            <w:tcW w:w="940" w:type="dxa"/>
            <w:vAlign w:val="center"/>
          </w:tcPr>
          <w:p w14:paraId="25ED6C9A" w14:textId="757B02D7"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4</w:t>
            </w:r>
          </w:p>
        </w:tc>
        <w:tc>
          <w:tcPr>
            <w:tcW w:w="940" w:type="dxa"/>
            <w:vAlign w:val="center"/>
          </w:tcPr>
          <w:p w14:paraId="206C1DF3" w14:textId="3D68CC7F"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9.5</w:t>
            </w:r>
          </w:p>
        </w:tc>
        <w:tc>
          <w:tcPr>
            <w:tcW w:w="777" w:type="dxa"/>
            <w:shd w:val="clear" w:color="auto" w:fill="auto"/>
            <w:vAlign w:val="center"/>
          </w:tcPr>
          <w:p w14:paraId="6EC5AA1F" w14:textId="7C61825C"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10.5</w:t>
            </w:r>
          </w:p>
        </w:tc>
        <w:tc>
          <w:tcPr>
            <w:tcW w:w="777" w:type="dxa"/>
            <w:shd w:val="clear" w:color="auto" w:fill="auto"/>
            <w:vAlign w:val="center"/>
          </w:tcPr>
          <w:p w14:paraId="301C65F7" w14:textId="0DEC0928"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6.5</w:t>
            </w:r>
          </w:p>
        </w:tc>
        <w:tc>
          <w:tcPr>
            <w:tcW w:w="777" w:type="dxa"/>
            <w:shd w:val="clear" w:color="auto" w:fill="auto"/>
            <w:vAlign w:val="center"/>
          </w:tcPr>
          <w:p w14:paraId="4C809490" w14:textId="1F0AFB99"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7.1</w:t>
            </w:r>
          </w:p>
        </w:tc>
      </w:tr>
      <w:tr w:rsidR="004C0C21" w:rsidRPr="000232DD" w14:paraId="4F957829" w14:textId="77777777" w:rsidTr="00CB300F">
        <w:trPr>
          <w:trHeight w:val="288"/>
        </w:trPr>
        <w:tc>
          <w:tcPr>
            <w:tcW w:w="3481" w:type="dxa"/>
            <w:vAlign w:val="center"/>
            <w:hideMark/>
          </w:tcPr>
          <w:p w14:paraId="7EF55EC2"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ներքին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264124C0" w14:textId="05834B32"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0.4</w:t>
            </w:r>
          </w:p>
        </w:tc>
        <w:tc>
          <w:tcPr>
            <w:tcW w:w="940" w:type="dxa"/>
            <w:vAlign w:val="center"/>
          </w:tcPr>
          <w:p w14:paraId="2C2B9F5C" w14:textId="2952A873"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w:t>
            </w:r>
          </w:p>
        </w:tc>
        <w:tc>
          <w:tcPr>
            <w:tcW w:w="940" w:type="dxa"/>
            <w:vAlign w:val="center"/>
          </w:tcPr>
          <w:p w14:paraId="208D5C73" w14:textId="386692E1"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w:t>
            </w:r>
          </w:p>
        </w:tc>
        <w:tc>
          <w:tcPr>
            <w:tcW w:w="940" w:type="dxa"/>
            <w:vAlign w:val="center"/>
          </w:tcPr>
          <w:p w14:paraId="6A205AF3" w14:textId="52488C92"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w:t>
            </w:r>
          </w:p>
        </w:tc>
        <w:tc>
          <w:tcPr>
            <w:tcW w:w="777" w:type="dxa"/>
            <w:shd w:val="clear" w:color="auto" w:fill="auto"/>
            <w:vAlign w:val="center"/>
          </w:tcPr>
          <w:p w14:paraId="764E1ECD" w14:textId="3CD3E63F"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w:t>
            </w:r>
          </w:p>
        </w:tc>
        <w:tc>
          <w:tcPr>
            <w:tcW w:w="777" w:type="dxa"/>
            <w:shd w:val="clear" w:color="auto" w:fill="auto"/>
            <w:vAlign w:val="center"/>
          </w:tcPr>
          <w:p w14:paraId="2E008859" w14:textId="0E8AC7D3"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w:t>
            </w:r>
          </w:p>
        </w:tc>
        <w:tc>
          <w:tcPr>
            <w:tcW w:w="777" w:type="dxa"/>
            <w:shd w:val="clear" w:color="auto" w:fill="auto"/>
            <w:vAlign w:val="center"/>
          </w:tcPr>
          <w:p w14:paraId="657B8B22" w14:textId="661C3976"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w:t>
            </w:r>
          </w:p>
        </w:tc>
      </w:tr>
      <w:tr w:rsidR="004C0C21" w:rsidRPr="000232DD" w14:paraId="689593C7" w14:textId="77777777" w:rsidTr="00CB300F">
        <w:trPr>
          <w:trHeight w:val="288"/>
        </w:trPr>
        <w:tc>
          <w:tcPr>
            <w:tcW w:w="3481" w:type="dxa"/>
            <w:vAlign w:val="center"/>
            <w:hideMark/>
          </w:tcPr>
          <w:p w14:paraId="342F8A72"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s="Sylfaen"/>
                <w:color w:val="auto"/>
                <w:sz w:val="18"/>
                <w:szCs w:val="18"/>
              </w:rPr>
              <w:t>Շրջակա</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միջավայր</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և</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գյուղատնտեսություն</w:t>
            </w:r>
            <w:r w:rsidRPr="000232DD">
              <w:rPr>
                <w:rFonts w:ascii="GHEA Grapalat" w:hAnsi="GHEA Grapalat"/>
                <w:color w:val="auto"/>
                <w:sz w:val="18"/>
                <w:szCs w:val="18"/>
              </w:rPr>
              <w:t xml:space="preserve"> </w:t>
            </w:r>
          </w:p>
        </w:tc>
        <w:tc>
          <w:tcPr>
            <w:tcW w:w="935" w:type="dxa"/>
            <w:vAlign w:val="center"/>
          </w:tcPr>
          <w:p w14:paraId="1EDF112E" w14:textId="0A44F10C"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2.7</w:t>
            </w:r>
          </w:p>
        </w:tc>
        <w:tc>
          <w:tcPr>
            <w:tcW w:w="940" w:type="dxa"/>
            <w:vAlign w:val="center"/>
          </w:tcPr>
          <w:p w14:paraId="6EA2DC69" w14:textId="59201905"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2.7</w:t>
            </w:r>
          </w:p>
        </w:tc>
        <w:tc>
          <w:tcPr>
            <w:tcW w:w="940" w:type="dxa"/>
            <w:vAlign w:val="center"/>
          </w:tcPr>
          <w:p w14:paraId="78EEAC04" w14:textId="48F0A3A2"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1.7</w:t>
            </w:r>
          </w:p>
        </w:tc>
        <w:tc>
          <w:tcPr>
            <w:tcW w:w="940" w:type="dxa"/>
            <w:vAlign w:val="center"/>
          </w:tcPr>
          <w:p w14:paraId="774A09AA" w14:textId="03913FA7"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1.2</w:t>
            </w:r>
          </w:p>
        </w:tc>
        <w:tc>
          <w:tcPr>
            <w:tcW w:w="777" w:type="dxa"/>
            <w:shd w:val="clear" w:color="auto" w:fill="auto"/>
            <w:vAlign w:val="center"/>
          </w:tcPr>
          <w:p w14:paraId="6E61B478" w14:textId="18278630"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0.8</w:t>
            </w:r>
          </w:p>
        </w:tc>
        <w:tc>
          <w:tcPr>
            <w:tcW w:w="777" w:type="dxa"/>
            <w:shd w:val="clear" w:color="auto" w:fill="auto"/>
            <w:vAlign w:val="center"/>
          </w:tcPr>
          <w:p w14:paraId="35554738" w14:textId="07DB42C8"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1.0</w:t>
            </w:r>
          </w:p>
        </w:tc>
        <w:tc>
          <w:tcPr>
            <w:tcW w:w="777" w:type="dxa"/>
            <w:shd w:val="clear" w:color="auto" w:fill="auto"/>
            <w:vAlign w:val="center"/>
          </w:tcPr>
          <w:p w14:paraId="239A1147" w14:textId="19096BDF"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1.4</w:t>
            </w:r>
          </w:p>
        </w:tc>
      </w:tr>
      <w:tr w:rsidR="004C0C21" w:rsidRPr="000232DD" w14:paraId="441A38C7" w14:textId="77777777" w:rsidTr="00CB300F">
        <w:trPr>
          <w:trHeight w:val="288"/>
        </w:trPr>
        <w:tc>
          <w:tcPr>
            <w:tcW w:w="3481" w:type="dxa"/>
            <w:vAlign w:val="center"/>
            <w:hideMark/>
          </w:tcPr>
          <w:p w14:paraId="4D5321F8"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արտաքին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094AF76C" w14:textId="441788D3"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0.5</w:t>
            </w:r>
          </w:p>
        </w:tc>
        <w:tc>
          <w:tcPr>
            <w:tcW w:w="940" w:type="dxa"/>
            <w:vAlign w:val="center"/>
          </w:tcPr>
          <w:p w14:paraId="1C0292EC" w14:textId="6430C9F0"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1.7</w:t>
            </w:r>
          </w:p>
        </w:tc>
        <w:tc>
          <w:tcPr>
            <w:tcW w:w="940" w:type="dxa"/>
            <w:vAlign w:val="center"/>
          </w:tcPr>
          <w:p w14:paraId="29CB336A" w14:textId="6579230D"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w:t>
            </w:r>
          </w:p>
        </w:tc>
        <w:tc>
          <w:tcPr>
            <w:tcW w:w="940" w:type="dxa"/>
            <w:vAlign w:val="center"/>
          </w:tcPr>
          <w:p w14:paraId="73802E84" w14:textId="5CA95B5C"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0.3</w:t>
            </w:r>
          </w:p>
        </w:tc>
        <w:tc>
          <w:tcPr>
            <w:tcW w:w="777" w:type="dxa"/>
            <w:shd w:val="clear" w:color="auto" w:fill="auto"/>
            <w:vAlign w:val="center"/>
          </w:tcPr>
          <w:p w14:paraId="178562F6" w14:textId="167981E0"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rPr>
              <w:t>0.2</w:t>
            </w:r>
          </w:p>
        </w:tc>
        <w:tc>
          <w:tcPr>
            <w:tcW w:w="777" w:type="dxa"/>
            <w:shd w:val="clear" w:color="auto" w:fill="auto"/>
            <w:vAlign w:val="center"/>
          </w:tcPr>
          <w:p w14:paraId="73322525" w14:textId="74E21565"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rPr>
              <w:t>0.4</w:t>
            </w:r>
          </w:p>
        </w:tc>
        <w:tc>
          <w:tcPr>
            <w:tcW w:w="777" w:type="dxa"/>
            <w:shd w:val="clear" w:color="auto" w:fill="auto"/>
            <w:vAlign w:val="center"/>
          </w:tcPr>
          <w:p w14:paraId="65C7FBF8" w14:textId="79B68E1C"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rPr>
              <w:t>0.8</w:t>
            </w:r>
          </w:p>
        </w:tc>
      </w:tr>
      <w:tr w:rsidR="004C0C21" w:rsidRPr="000232DD" w14:paraId="04A46876" w14:textId="77777777" w:rsidTr="00CB300F">
        <w:trPr>
          <w:trHeight w:val="288"/>
        </w:trPr>
        <w:tc>
          <w:tcPr>
            <w:tcW w:w="3481" w:type="dxa"/>
            <w:vAlign w:val="center"/>
            <w:hideMark/>
          </w:tcPr>
          <w:p w14:paraId="3D010269"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ներքին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6AC640FF" w14:textId="4687817B"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2.2</w:t>
            </w:r>
          </w:p>
        </w:tc>
        <w:tc>
          <w:tcPr>
            <w:tcW w:w="940" w:type="dxa"/>
            <w:vAlign w:val="center"/>
          </w:tcPr>
          <w:p w14:paraId="52B86215" w14:textId="45B241A0"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w:t>
            </w:r>
          </w:p>
        </w:tc>
        <w:tc>
          <w:tcPr>
            <w:tcW w:w="940" w:type="dxa"/>
            <w:vAlign w:val="center"/>
          </w:tcPr>
          <w:p w14:paraId="0697AB9B" w14:textId="40804948"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1.7</w:t>
            </w:r>
          </w:p>
        </w:tc>
        <w:tc>
          <w:tcPr>
            <w:tcW w:w="940" w:type="dxa"/>
            <w:vAlign w:val="center"/>
          </w:tcPr>
          <w:p w14:paraId="039F02F9" w14:textId="47D00257"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0.8</w:t>
            </w:r>
          </w:p>
        </w:tc>
        <w:tc>
          <w:tcPr>
            <w:tcW w:w="777" w:type="dxa"/>
            <w:shd w:val="clear" w:color="auto" w:fill="auto"/>
            <w:vAlign w:val="center"/>
          </w:tcPr>
          <w:p w14:paraId="0641BDA3" w14:textId="3F3C167B"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0.6</w:t>
            </w:r>
          </w:p>
        </w:tc>
        <w:tc>
          <w:tcPr>
            <w:tcW w:w="777" w:type="dxa"/>
            <w:shd w:val="clear" w:color="auto" w:fill="auto"/>
            <w:vAlign w:val="center"/>
          </w:tcPr>
          <w:p w14:paraId="2314CC04" w14:textId="04FB66FA"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0.6</w:t>
            </w:r>
          </w:p>
        </w:tc>
        <w:tc>
          <w:tcPr>
            <w:tcW w:w="777" w:type="dxa"/>
            <w:shd w:val="clear" w:color="auto" w:fill="auto"/>
            <w:vAlign w:val="center"/>
          </w:tcPr>
          <w:p w14:paraId="6FE378F6" w14:textId="0EE4EEC3"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0.6</w:t>
            </w:r>
          </w:p>
        </w:tc>
      </w:tr>
      <w:tr w:rsidR="004C0C21" w:rsidRPr="000232DD" w14:paraId="51BFA5C4" w14:textId="77777777" w:rsidTr="00CB300F">
        <w:trPr>
          <w:trHeight w:val="288"/>
        </w:trPr>
        <w:tc>
          <w:tcPr>
            <w:tcW w:w="3481" w:type="dxa"/>
            <w:vAlign w:val="center"/>
            <w:hideMark/>
          </w:tcPr>
          <w:p w14:paraId="32482A58"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Ջրային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տնտեսություն</w:t>
            </w:r>
            <w:r w:rsidRPr="000232DD">
              <w:rPr>
                <w:rFonts w:ascii="GHEA Grapalat" w:hAnsi="GHEA Grapalat"/>
                <w:color w:val="auto"/>
                <w:sz w:val="18"/>
                <w:szCs w:val="18"/>
              </w:rPr>
              <w:t xml:space="preserve"> </w:t>
            </w:r>
          </w:p>
        </w:tc>
        <w:tc>
          <w:tcPr>
            <w:tcW w:w="935" w:type="dxa"/>
            <w:vAlign w:val="center"/>
          </w:tcPr>
          <w:p w14:paraId="158D43A5" w14:textId="7D79A4EF"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17.8</w:t>
            </w:r>
          </w:p>
        </w:tc>
        <w:tc>
          <w:tcPr>
            <w:tcW w:w="940" w:type="dxa"/>
            <w:vAlign w:val="center"/>
          </w:tcPr>
          <w:p w14:paraId="6768C3F7" w14:textId="6937915B"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16.1</w:t>
            </w:r>
          </w:p>
        </w:tc>
        <w:tc>
          <w:tcPr>
            <w:tcW w:w="940" w:type="dxa"/>
            <w:vAlign w:val="center"/>
          </w:tcPr>
          <w:p w14:paraId="3932CF52" w14:textId="39001362"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30.4</w:t>
            </w:r>
          </w:p>
        </w:tc>
        <w:tc>
          <w:tcPr>
            <w:tcW w:w="940" w:type="dxa"/>
            <w:vAlign w:val="center"/>
          </w:tcPr>
          <w:p w14:paraId="6D48488A" w14:textId="072E495B"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22.6</w:t>
            </w:r>
          </w:p>
        </w:tc>
        <w:tc>
          <w:tcPr>
            <w:tcW w:w="777" w:type="dxa"/>
            <w:shd w:val="clear" w:color="auto" w:fill="auto"/>
            <w:vAlign w:val="center"/>
          </w:tcPr>
          <w:p w14:paraId="0913C87A" w14:textId="21EC915E"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16.4</w:t>
            </w:r>
          </w:p>
        </w:tc>
        <w:tc>
          <w:tcPr>
            <w:tcW w:w="777" w:type="dxa"/>
            <w:shd w:val="clear" w:color="auto" w:fill="auto"/>
            <w:vAlign w:val="center"/>
          </w:tcPr>
          <w:p w14:paraId="56FEAAD7" w14:textId="68CDEF48"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16.1</w:t>
            </w:r>
          </w:p>
        </w:tc>
        <w:tc>
          <w:tcPr>
            <w:tcW w:w="777" w:type="dxa"/>
            <w:shd w:val="clear" w:color="auto" w:fill="auto"/>
            <w:vAlign w:val="center"/>
          </w:tcPr>
          <w:p w14:paraId="02ECCEA1" w14:textId="1EADC64B"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14.9</w:t>
            </w:r>
          </w:p>
        </w:tc>
      </w:tr>
      <w:tr w:rsidR="004C0C21" w:rsidRPr="000232DD" w14:paraId="57339F0D" w14:textId="77777777" w:rsidTr="00CB300F">
        <w:trPr>
          <w:trHeight w:val="288"/>
        </w:trPr>
        <w:tc>
          <w:tcPr>
            <w:tcW w:w="3481" w:type="dxa"/>
            <w:vAlign w:val="center"/>
            <w:hideMark/>
          </w:tcPr>
          <w:p w14:paraId="404741A6"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արտաքին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08AE47F0" w14:textId="20C7DAF4"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13.1</w:t>
            </w:r>
          </w:p>
        </w:tc>
        <w:tc>
          <w:tcPr>
            <w:tcW w:w="940" w:type="dxa"/>
            <w:vAlign w:val="center"/>
          </w:tcPr>
          <w:p w14:paraId="210A725E" w14:textId="3C07C1C5"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12.1</w:t>
            </w:r>
          </w:p>
        </w:tc>
        <w:tc>
          <w:tcPr>
            <w:tcW w:w="940" w:type="dxa"/>
            <w:vAlign w:val="center"/>
          </w:tcPr>
          <w:p w14:paraId="28D2521F" w14:textId="1A76FE43"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19</w:t>
            </w:r>
          </w:p>
        </w:tc>
        <w:tc>
          <w:tcPr>
            <w:tcW w:w="940" w:type="dxa"/>
            <w:vAlign w:val="center"/>
          </w:tcPr>
          <w:p w14:paraId="27A53E2A" w14:textId="78923683"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17.7</w:t>
            </w:r>
          </w:p>
        </w:tc>
        <w:tc>
          <w:tcPr>
            <w:tcW w:w="777" w:type="dxa"/>
            <w:shd w:val="clear" w:color="auto" w:fill="auto"/>
            <w:vAlign w:val="center"/>
          </w:tcPr>
          <w:p w14:paraId="094E8F01" w14:textId="34AFFF41"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5.3</w:t>
            </w:r>
          </w:p>
        </w:tc>
        <w:tc>
          <w:tcPr>
            <w:tcW w:w="777" w:type="dxa"/>
            <w:shd w:val="clear" w:color="auto" w:fill="auto"/>
            <w:vAlign w:val="center"/>
          </w:tcPr>
          <w:p w14:paraId="25D0C041" w14:textId="5B4EE463"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5.7</w:t>
            </w:r>
          </w:p>
        </w:tc>
        <w:tc>
          <w:tcPr>
            <w:tcW w:w="777" w:type="dxa"/>
            <w:shd w:val="clear" w:color="auto" w:fill="auto"/>
            <w:vAlign w:val="center"/>
          </w:tcPr>
          <w:p w14:paraId="546C3B81" w14:textId="201C7219"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7.4</w:t>
            </w:r>
          </w:p>
        </w:tc>
      </w:tr>
      <w:tr w:rsidR="004C0C21" w:rsidRPr="000232DD" w14:paraId="0D86A67C" w14:textId="77777777" w:rsidTr="00CB300F">
        <w:trPr>
          <w:trHeight w:val="288"/>
        </w:trPr>
        <w:tc>
          <w:tcPr>
            <w:tcW w:w="3481" w:type="dxa"/>
            <w:vAlign w:val="center"/>
            <w:hideMark/>
          </w:tcPr>
          <w:p w14:paraId="726991BB"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ներքին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5708B53C" w14:textId="291F023D"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4.7</w:t>
            </w:r>
          </w:p>
        </w:tc>
        <w:tc>
          <w:tcPr>
            <w:tcW w:w="940" w:type="dxa"/>
            <w:vAlign w:val="center"/>
          </w:tcPr>
          <w:p w14:paraId="041D93D8" w14:textId="5F5D4305"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4</w:t>
            </w:r>
          </w:p>
        </w:tc>
        <w:tc>
          <w:tcPr>
            <w:tcW w:w="940" w:type="dxa"/>
            <w:vAlign w:val="center"/>
          </w:tcPr>
          <w:p w14:paraId="7DBD7F29" w14:textId="2BBC6BDC"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11.4</w:t>
            </w:r>
          </w:p>
        </w:tc>
        <w:tc>
          <w:tcPr>
            <w:tcW w:w="940" w:type="dxa"/>
            <w:vAlign w:val="center"/>
          </w:tcPr>
          <w:p w14:paraId="69C442DA" w14:textId="0C9C1359"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4.9</w:t>
            </w:r>
          </w:p>
        </w:tc>
        <w:tc>
          <w:tcPr>
            <w:tcW w:w="777" w:type="dxa"/>
            <w:shd w:val="clear" w:color="auto" w:fill="auto"/>
            <w:vAlign w:val="center"/>
          </w:tcPr>
          <w:p w14:paraId="294581E2" w14:textId="1C55A039"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11.1</w:t>
            </w:r>
          </w:p>
        </w:tc>
        <w:tc>
          <w:tcPr>
            <w:tcW w:w="777" w:type="dxa"/>
            <w:shd w:val="clear" w:color="auto" w:fill="auto"/>
            <w:vAlign w:val="center"/>
          </w:tcPr>
          <w:p w14:paraId="6A948906" w14:textId="6F993FE6"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10.4</w:t>
            </w:r>
          </w:p>
        </w:tc>
        <w:tc>
          <w:tcPr>
            <w:tcW w:w="777" w:type="dxa"/>
            <w:shd w:val="clear" w:color="auto" w:fill="auto"/>
            <w:vAlign w:val="center"/>
          </w:tcPr>
          <w:p w14:paraId="5F59A7C9" w14:textId="48BFAF0E"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7.5</w:t>
            </w:r>
          </w:p>
        </w:tc>
      </w:tr>
      <w:tr w:rsidR="004C0C21" w:rsidRPr="000232DD" w14:paraId="5F4A2803" w14:textId="77777777" w:rsidTr="00CB300F">
        <w:trPr>
          <w:trHeight w:val="288"/>
        </w:trPr>
        <w:tc>
          <w:tcPr>
            <w:tcW w:w="3481" w:type="dxa"/>
            <w:vAlign w:val="center"/>
            <w:hideMark/>
          </w:tcPr>
          <w:p w14:paraId="01AD9C12"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Առողջապահություն</w:t>
            </w:r>
            <w:r w:rsidRPr="000232DD">
              <w:rPr>
                <w:rFonts w:ascii="GHEA Grapalat" w:hAnsi="GHEA Grapalat"/>
                <w:color w:val="auto"/>
                <w:sz w:val="18"/>
                <w:szCs w:val="18"/>
              </w:rPr>
              <w:t xml:space="preserve"> </w:t>
            </w:r>
          </w:p>
        </w:tc>
        <w:tc>
          <w:tcPr>
            <w:tcW w:w="935" w:type="dxa"/>
            <w:vAlign w:val="center"/>
          </w:tcPr>
          <w:p w14:paraId="7C491AC7" w14:textId="5A0FD459"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7.5</w:t>
            </w:r>
          </w:p>
        </w:tc>
        <w:tc>
          <w:tcPr>
            <w:tcW w:w="940" w:type="dxa"/>
            <w:vAlign w:val="center"/>
          </w:tcPr>
          <w:p w14:paraId="1B954600" w14:textId="6A34FBCF"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5.5</w:t>
            </w:r>
          </w:p>
        </w:tc>
        <w:tc>
          <w:tcPr>
            <w:tcW w:w="940" w:type="dxa"/>
            <w:vAlign w:val="center"/>
          </w:tcPr>
          <w:p w14:paraId="48AB223A" w14:textId="43F1DC71"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12.7</w:t>
            </w:r>
          </w:p>
        </w:tc>
        <w:tc>
          <w:tcPr>
            <w:tcW w:w="940" w:type="dxa"/>
            <w:vAlign w:val="center"/>
          </w:tcPr>
          <w:p w14:paraId="684CD5B2" w14:textId="6CCEA2D3"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13</w:t>
            </w:r>
          </w:p>
        </w:tc>
        <w:tc>
          <w:tcPr>
            <w:tcW w:w="777" w:type="dxa"/>
            <w:shd w:val="clear" w:color="auto" w:fill="auto"/>
            <w:vAlign w:val="center"/>
          </w:tcPr>
          <w:p w14:paraId="66AF0A91" w14:textId="733B407A"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12.1</w:t>
            </w:r>
          </w:p>
        </w:tc>
        <w:tc>
          <w:tcPr>
            <w:tcW w:w="777" w:type="dxa"/>
            <w:shd w:val="clear" w:color="auto" w:fill="auto"/>
            <w:vAlign w:val="center"/>
          </w:tcPr>
          <w:p w14:paraId="64355502" w14:textId="0EE291D0"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10.2</w:t>
            </w:r>
          </w:p>
        </w:tc>
        <w:tc>
          <w:tcPr>
            <w:tcW w:w="777" w:type="dxa"/>
            <w:shd w:val="clear" w:color="auto" w:fill="auto"/>
            <w:vAlign w:val="center"/>
          </w:tcPr>
          <w:p w14:paraId="6D0B22FD" w14:textId="1F2EE2A5"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6.5</w:t>
            </w:r>
          </w:p>
        </w:tc>
      </w:tr>
      <w:tr w:rsidR="004C0C21" w:rsidRPr="000232DD" w14:paraId="3ED9488F" w14:textId="77777777" w:rsidTr="00CB300F">
        <w:trPr>
          <w:trHeight w:val="288"/>
        </w:trPr>
        <w:tc>
          <w:tcPr>
            <w:tcW w:w="3481" w:type="dxa"/>
            <w:vAlign w:val="center"/>
            <w:hideMark/>
          </w:tcPr>
          <w:p w14:paraId="3AEDEEB4"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արտաքին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54EB53A5" w14:textId="40A61657"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3</w:t>
            </w:r>
          </w:p>
        </w:tc>
        <w:tc>
          <w:tcPr>
            <w:tcW w:w="940" w:type="dxa"/>
            <w:vAlign w:val="center"/>
          </w:tcPr>
          <w:p w14:paraId="62F4BC21" w14:textId="1497D2B4"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w:t>
            </w:r>
          </w:p>
        </w:tc>
        <w:tc>
          <w:tcPr>
            <w:tcW w:w="940" w:type="dxa"/>
            <w:vAlign w:val="center"/>
          </w:tcPr>
          <w:p w14:paraId="61E21A00" w14:textId="4C184BEA"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0.5</w:t>
            </w:r>
          </w:p>
        </w:tc>
        <w:tc>
          <w:tcPr>
            <w:tcW w:w="940" w:type="dxa"/>
            <w:vAlign w:val="center"/>
          </w:tcPr>
          <w:p w14:paraId="3A0C4DF0" w14:textId="3BCBDB1E"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0.7</w:t>
            </w:r>
          </w:p>
        </w:tc>
        <w:tc>
          <w:tcPr>
            <w:tcW w:w="777" w:type="dxa"/>
            <w:shd w:val="clear" w:color="auto" w:fill="auto"/>
            <w:vAlign w:val="center"/>
          </w:tcPr>
          <w:p w14:paraId="0516C529" w14:textId="5A588572"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0.02</w:t>
            </w:r>
          </w:p>
        </w:tc>
        <w:tc>
          <w:tcPr>
            <w:tcW w:w="777" w:type="dxa"/>
            <w:shd w:val="clear" w:color="auto" w:fill="auto"/>
            <w:vAlign w:val="center"/>
          </w:tcPr>
          <w:p w14:paraId="5596689F" w14:textId="6D2FD79E"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w:t>
            </w:r>
          </w:p>
        </w:tc>
        <w:tc>
          <w:tcPr>
            <w:tcW w:w="777" w:type="dxa"/>
            <w:shd w:val="clear" w:color="auto" w:fill="auto"/>
            <w:vAlign w:val="center"/>
          </w:tcPr>
          <w:p w14:paraId="0638747B" w14:textId="5A9599FA"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w:t>
            </w:r>
          </w:p>
        </w:tc>
      </w:tr>
      <w:tr w:rsidR="004C0C21" w:rsidRPr="000232DD" w14:paraId="257B5548" w14:textId="77777777" w:rsidTr="00CB300F">
        <w:trPr>
          <w:trHeight w:val="288"/>
        </w:trPr>
        <w:tc>
          <w:tcPr>
            <w:tcW w:w="3481" w:type="dxa"/>
            <w:vAlign w:val="center"/>
            <w:hideMark/>
          </w:tcPr>
          <w:p w14:paraId="30C1606E"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ներքին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059D2492" w14:textId="2BC30110"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4.5</w:t>
            </w:r>
          </w:p>
        </w:tc>
        <w:tc>
          <w:tcPr>
            <w:tcW w:w="940" w:type="dxa"/>
            <w:vAlign w:val="center"/>
          </w:tcPr>
          <w:p w14:paraId="7890A8E3" w14:textId="40D21EAB"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4.5</w:t>
            </w:r>
          </w:p>
        </w:tc>
        <w:tc>
          <w:tcPr>
            <w:tcW w:w="940" w:type="dxa"/>
            <w:vAlign w:val="center"/>
          </w:tcPr>
          <w:p w14:paraId="60AC00FA" w14:textId="1205574A"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12.2</w:t>
            </w:r>
          </w:p>
        </w:tc>
        <w:tc>
          <w:tcPr>
            <w:tcW w:w="940" w:type="dxa"/>
            <w:vAlign w:val="center"/>
          </w:tcPr>
          <w:p w14:paraId="41AE620B" w14:textId="7ABA1101"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12.3</w:t>
            </w:r>
          </w:p>
        </w:tc>
        <w:tc>
          <w:tcPr>
            <w:tcW w:w="777" w:type="dxa"/>
            <w:shd w:val="clear" w:color="auto" w:fill="auto"/>
            <w:vAlign w:val="center"/>
          </w:tcPr>
          <w:p w14:paraId="59F41710" w14:textId="4C992EC4"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12.1</w:t>
            </w:r>
          </w:p>
        </w:tc>
        <w:tc>
          <w:tcPr>
            <w:tcW w:w="777" w:type="dxa"/>
            <w:shd w:val="clear" w:color="auto" w:fill="auto"/>
            <w:vAlign w:val="center"/>
          </w:tcPr>
          <w:p w14:paraId="04259D34" w14:textId="4CD3D69F"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10.2</w:t>
            </w:r>
          </w:p>
        </w:tc>
        <w:tc>
          <w:tcPr>
            <w:tcW w:w="777" w:type="dxa"/>
            <w:shd w:val="clear" w:color="auto" w:fill="auto"/>
            <w:vAlign w:val="center"/>
          </w:tcPr>
          <w:p w14:paraId="320C85F2" w14:textId="4C670E3E"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6.5</w:t>
            </w:r>
          </w:p>
        </w:tc>
      </w:tr>
      <w:tr w:rsidR="004C0C21" w:rsidRPr="000232DD" w14:paraId="77E92683" w14:textId="77777777" w:rsidTr="00CB300F">
        <w:trPr>
          <w:trHeight w:val="288"/>
        </w:trPr>
        <w:tc>
          <w:tcPr>
            <w:tcW w:w="3481" w:type="dxa"/>
            <w:vAlign w:val="center"/>
            <w:hideMark/>
          </w:tcPr>
          <w:p w14:paraId="07835FC2"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s="Sylfaen"/>
                <w:color w:val="auto"/>
                <w:sz w:val="18"/>
                <w:szCs w:val="18"/>
              </w:rPr>
              <w:t>Կրթություն</w:t>
            </w:r>
            <w:r w:rsidRPr="000232DD">
              <w:rPr>
                <w:rFonts w:ascii="GHEA Grapalat" w:eastAsia="Microsoft JhengHei" w:hAnsi="GHEA Grapalat" w:cs="Microsoft JhengHei"/>
                <w:color w:val="auto"/>
                <w:sz w:val="18"/>
                <w:szCs w:val="18"/>
              </w:rPr>
              <w:t>﹐</w:t>
            </w:r>
            <w:r w:rsidRPr="000232DD">
              <w:rPr>
                <w:rFonts w:ascii="GHEA Grapalat" w:hAnsi="GHEA Grapalat" w:cs="Sylfaen"/>
                <w:color w:val="auto"/>
                <w:sz w:val="18"/>
                <w:szCs w:val="18"/>
              </w:rPr>
              <w:t>գիտություն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մշակույթ</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և</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սպորտ</w:t>
            </w:r>
            <w:r w:rsidRPr="000232DD">
              <w:rPr>
                <w:rFonts w:ascii="GHEA Grapalat" w:hAnsi="GHEA Grapalat"/>
                <w:color w:val="auto"/>
                <w:sz w:val="18"/>
                <w:szCs w:val="18"/>
              </w:rPr>
              <w:t xml:space="preserve"> </w:t>
            </w:r>
          </w:p>
        </w:tc>
        <w:tc>
          <w:tcPr>
            <w:tcW w:w="935" w:type="dxa"/>
            <w:vAlign w:val="center"/>
          </w:tcPr>
          <w:p w14:paraId="55FD5C95" w14:textId="4213B88F"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29.6</w:t>
            </w:r>
          </w:p>
        </w:tc>
        <w:tc>
          <w:tcPr>
            <w:tcW w:w="940" w:type="dxa"/>
            <w:vAlign w:val="center"/>
          </w:tcPr>
          <w:p w14:paraId="73D5A86D" w14:textId="43713198"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62.9</w:t>
            </w:r>
          </w:p>
        </w:tc>
        <w:tc>
          <w:tcPr>
            <w:tcW w:w="940" w:type="dxa"/>
            <w:vAlign w:val="center"/>
          </w:tcPr>
          <w:p w14:paraId="66AB57CE" w14:textId="524CA5A4"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125.1</w:t>
            </w:r>
          </w:p>
        </w:tc>
        <w:tc>
          <w:tcPr>
            <w:tcW w:w="940" w:type="dxa"/>
            <w:vAlign w:val="center"/>
          </w:tcPr>
          <w:p w14:paraId="56545D91" w14:textId="56D62A0A"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164.9</w:t>
            </w:r>
          </w:p>
        </w:tc>
        <w:tc>
          <w:tcPr>
            <w:tcW w:w="777" w:type="dxa"/>
            <w:shd w:val="clear" w:color="auto" w:fill="auto"/>
            <w:vAlign w:val="center"/>
          </w:tcPr>
          <w:p w14:paraId="7D965472" w14:textId="33692EF9"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164.4</w:t>
            </w:r>
          </w:p>
        </w:tc>
        <w:tc>
          <w:tcPr>
            <w:tcW w:w="777" w:type="dxa"/>
            <w:shd w:val="clear" w:color="auto" w:fill="auto"/>
            <w:vAlign w:val="center"/>
          </w:tcPr>
          <w:p w14:paraId="0B329247" w14:textId="432A2B87"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254.5</w:t>
            </w:r>
          </w:p>
        </w:tc>
        <w:tc>
          <w:tcPr>
            <w:tcW w:w="777" w:type="dxa"/>
            <w:shd w:val="clear" w:color="auto" w:fill="auto"/>
            <w:vAlign w:val="center"/>
          </w:tcPr>
          <w:p w14:paraId="2E2260D2" w14:textId="4EF21A35"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322.5</w:t>
            </w:r>
          </w:p>
        </w:tc>
      </w:tr>
      <w:tr w:rsidR="004C0C21" w:rsidRPr="000232DD" w14:paraId="5EE54606" w14:textId="77777777" w:rsidTr="00CB300F">
        <w:trPr>
          <w:trHeight w:val="288"/>
        </w:trPr>
        <w:tc>
          <w:tcPr>
            <w:tcW w:w="3481" w:type="dxa"/>
            <w:vAlign w:val="center"/>
            <w:hideMark/>
          </w:tcPr>
          <w:p w14:paraId="467761B5"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արտաքին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6CEC28CE" w14:textId="29757775"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14.2</w:t>
            </w:r>
          </w:p>
        </w:tc>
        <w:tc>
          <w:tcPr>
            <w:tcW w:w="940" w:type="dxa"/>
            <w:vAlign w:val="center"/>
          </w:tcPr>
          <w:p w14:paraId="3AE64EB0" w14:textId="0588D8DF"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17.8</w:t>
            </w:r>
          </w:p>
        </w:tc>
        <w:tc>
          <w:tcPr>
            <w:tcW w:w="940" w:type="dxa"/>
            <w:vAlign w:val="center"/>
          </w:tcPr>
          <w:p w14:paraId="30658656" w14:textId="5A1E9803"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14.2</w:t>
            </w:r>
          </w:p>
        </w:tc>
        <w:tc>
          <w:tcPr>
            <w:tcW w:w="940" w:type="dxa"/>
            <w:vAlign w:val="center"/>
          </w:tcPr>
          <w:p w14:paraId="41DF6743" w14:textId="2CC33F82"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8.8</w:t>
            </w:r>
          </w:p>
        </w:tc>
        <w:tc>
          <w:tcPr>
            <w:tcW w:w="777" w:type="dxa"/>
            <w:shd w:val="clear" w:color="auto" w:fill="auto"/>
            <w:vAlign w:val="center"/>
          </w:tcPr>
          <w:p w14:paraId="32893CE6" w14:textId="0BEB907E"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10.5</w:t>
            </w:r>
          </w:p>
        </w:tc>
        <w:tc>
          <w:tcPr>
            <w:tcW w:w="777" w:type="dxa"/>
            <w:shd w:val="clear" w:color="auto" w:fill="auto"/>
            <w:vAlign w:val="center"/>
          </w:tcPr>
          <w:p w14:paraId="55F208F0" w14:textId="5B9E1229"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0.6</w:t>
            </w:r>
          </w:p>
        </w:tc>
        <w:tc>
          <w:tcPr>
            <w:tcW w:w="777" w:type="dxa"/>
            <w:shd w:val="clear" w:color="auto" w:fill="auto"/>
            <w:vAlign w:val="center"/>
          </w:tcPr>
          <w:p w14:paraId="414DC0AB" w14:textId="56488204"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0.0</w:t>
            </w:r>
          </w:p>
        </w:tc>
      </w:tr>
      <w:tr w:rsidR="004C0C21" w:rsidRPr="000232DD" w14:paraId="1E6FF722" w14:textId="77777777" w:rsidTr="00CB300F">
        <w:trPr>
          <w:trHeight w:val="288"/>
        </w:trPr>
        <w:tc>
          <w:tcPr>
            <w:tcW w:w="3481" w:type="dxa"/>
            <w:vAlign w:val="center"/>
            <w:hideMark/>
          </w:tcPr>
          <w:p w14:paraId="1CBC2F38"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ներքին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7A6C456A" w14:textId="33ACDFA4"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15.4</w:t>
            </w:r>
          </w:p>
        </w:tc>
        <w:tc>
          <w:tcPr>
            <w:tcW w:w="940" w:type="dxa"/>
            <w:vAlign w:val="center"/>
          </w:tcPr>
          <w:p w14:paraId="26AFFE0D" w14:textId="1AE8430B"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45.1</w:t>
            </w:r>
          </w:p>
        </w:tc>
        <w:tc>
          <w:tcPr>
            <w:tcW w:w="940" w:type="dxa"/>
            <w:vAlign w:val="center"/>
          </w:tcPr>
          <w:p w14:paraId="48B20D04" w14:textId="2BBA3174"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110.9</w:t>
            </w:r>
          </w:p>
        </w:tc>
        <w:tc>
          <w:tcPr>
            <w:tcW w:w="940" w:type="dxa"/>
            <w:vAlign w:val="center"/>
          </w:tcPr>
          <w:p w14:paraId="71AA398D" w14:textId="4853C4A3"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156.1</w:t>
            </w:r>
          </w:p>
        </w:tc>
        <w:tc>
          <w:tcPr>
            <w:tcW w:w="777" w:type="dxa"/>
            <w:shd w:val="clear" w:color="auto" w:fill="auto"/>
            <w:vAlign w:val="center"/>
          </w:tcPr>
          <w:p w14:paraId="2A6ED407" w14:textId="5DB398B9"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153.9</w:t>
            </w:r>
          </w:p>
        </w:tc>
        <w:tc>
          <w:tcPr>
            <w:tcW w:w="777" w:type="dxa"/>
            <w:shd w:val="clear" w:color="auto" w:fill="auto"/>
            <w:vAlign w:val="center"/>
          </w:tcPr>
          <w:p w14:paraId="78C8E97B" w14:textId="10961480"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253.8</w:t>
            </w:r>
          </w:p>
        </w:tc>
        <w:tc>
          <w:tcPr>
            <w:tcW w:w="777" w:type="dxa"/>
            <w:shd w:val="clear" w:color="auto" w:fill="auto"/>
            <w:vAlign w:val="center"/>
          </w:tcPr>
          <w:p w14:paraId="4EB204D3" w14:textId="6F314037"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322.5</w:t>
            </w:r>
          </w:p>
        </w:tc>
      </w:tr>
      <w:tr w:rsidR="004C0C21" w:rsidRPr="000232DD" w14:paraId="790509C8" w14:textId="77777777" w:rsidTr="00CB300F">
        <w:trPr>
          <w:trHeight w:val="288"/>
        </w:trPr>
        <w:tc>
          <w:tcPr>
            <w:tcW w:w="3481" w:type="dxa"/>
            <w:vAlign w:val="center"/>
            <w:hideMark/>
          </w:tcPr>
          <w:p w14:paraId="48689D15"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Սոցիալական</w:t>
            </w:r>
            <w:r w:rsidRPr="000232DD">
              <w:rPr>
                <w:rFonts w:ascii="GHEA Grapalat" w:hAnsi="GHEA Grapalat"/>
                <w:color w:val="auto"/>
                <w:sz w:val="18"/>
                <w:szCs w:val="18"/>
              </w:rPr>
              <w:t xml:space="preserve"> </w:t>
            </w:r>
          </w:p>
        </w:tc>
        <w:tc>
          <w:tcPr>
            <w:tcW w:w="935" w:type="dxa"/>
            <w:vAlign w:val="center"/>
          </w:tcPr>
          <w:p w14:paraId="705EFE46" w14:textId="0077FF05"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1.4</w:t>
            </w:r>
          </w:p>
        </w:tc>
        <w:tc>
          <w:tcPr>
            <w:tcW w:w="940" w:type="dxa"/>
            <w:vAlign w:val="center"/>
          </w:tcPr>
          <w:p w14:paraId="074DC6DC" w14:textId="22288836"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1</w:t>
            </w:r>
          </w:p>
        </w:tc>
        <w:tc>
          <w:tcPr>
            <w:tcW w:w="940" w:type="dxa"/>
            <w:vAlign w:val="center"/>
          </w:tcPr>
          <w:p w14:paraId="4DD289F6" w14:textId="3DB7646E"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2.1</w:t>
            </w:r>
          </w:p>
        </w:tc>
        <w:tc>
          <w:tcPr>
            <w:tcW w:w="940" w:type="dxa"/>
            <w:vAlign w:val="center"/>
          </w:tcPr>
          <w:p w14:paraId="21038A5F" w14:textId="45559E44"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2.4</w:t>
            </w:r>
          </w:p>
        </w:tc>
        <w:tc>
          <w:tcPr>
            <w:tcW w:w="777" w:type="dxa"/>
            <w:shd w:val="clear" w:color="auto" w:fill="auto"/>
            <w:vAlign w:val="center"/>
          </w:tcPr>
          <w:p w14:paraId="1FE0167C" w14:textId="670088FA"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3.2</w:t>
            </w:r>
          </w:p>
        </w:tc>
        <w:tc>
          <w:tcPr>
            <w:tcW w:w="777" w:type="dxa"/>
            <w:shd w:val="clear" w:color="auto" w:fill="auto"/>
            <w:vAlign w:val="center"/>
          </w:tcPr>
          <w:p w14:paraId="72CB60D2" w14:textId="304E0676"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2.3</w:t>
            </w:r>
          </w:p>
        </w:tc>
        <w:tc>
          <w:tcPr>
            <w:tcW w:w="777" w:type="dxa"/>
            <w:shd w:val="clear" w:color="auto" w:fill="auto"/>
            <w:vAlign w:val="center"/>
          </w:tcPr>
          <w:p w14:paraId="7F4E46F4" w14:textId="7F792B6A"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0.2</w:t>
            </w:r>
          </w:p>
        </w:tc>
      </w:tr>
      <w:tr w:rsidR="004C0C21" w:rsidRPr="000232DD" w14:paraId="2F349E2B" w14:textId="77777777" w:rsidTr="00CB300F">
        <w:trPr>
          <w:trHeight w:val="288"/>
        </w:trPr>
        <w:tc>
          <w:tcPr>
            <w:tcW w:w="3481" w:type="dxa"/>
            <w:vAlign w:val="center"/>
            <w:hideMark/>
          </w:tcPr>
          <w:p w14:paraId="51552355"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արտաքին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4A396073" w14:textId="5C1CEB6B"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1.3</w:t>
            </w:r>
          </w:p>
        </w:tc>
        <w:tc>
          <w:tcPr>
            <w:tcW w:w="940" w:type="dxa"/>
            <w:vAlign w:val="center"/>
          </w:tcPr>
          <w:p w14:paraId="1635FD30" w14:textId="43EC20AC"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0.6</w:t>
            </w:r>
          </w:p>
        </w:tc>
        <w:tc>
          <w:tcPr>
            <w:tcW w:w="940" w:type="dxa"/>
            <w:vAlign w:val="center"/>
          </w:tcPr>
          <w:p w14:paraId="303ED302" w14:textId="3A28F5DF"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w:t>
            </w:r>
          </w:p>
        </w:tc>
        <w:tc>
          <w:tcPr>
            <w:tcW w:w="940" w:type="dxa"/>
            <w:vAlign w:val="center"/>
          </w:tcPr>
          <w:p w14:paraId="7531D2E2" w14:textId="0909C5CC"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w:t>
            </w:r>
          </w:p>
        </w:tc>
        <w:tc>
          <w:tcPr>
            <w:tcW w:w="777" w:type="dxa"/>
            <w:shd w:val="clear" w:color="auto" w:fill="auto"/>
            <w:vAlign w:val="center"/>
          </w:tcPr>
          <w:p w14:paraId="13741C2B" w14:textId="2F69F359"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w:t>
            </w:r>
          </w:p>
        </w:tc>
        <w:tc>
          <w:tcPr>
            <w:tcW w:w="777" w:type="dxa"/>
            <w:shd w:val="clear" w:color="auto" w:fill="auto"/>
            <w:vAlign w:val="center"/>
          </w:tcPr>
          <w:p w14:paraId="68695F08" w14:textId="14175E23"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w:t>
            </w:r>
          </w:p>
        </w:tc>
        <w:tc>
          <w:tcPr>
            <w:tcW w:w="777" w:type="dxa"/>
            <w:shd w:val="clear" w:color="auto" w:fill="auto"/>
            <w:vAlign w:val="center"/>
          </w:tcPr>
          <w:p w14:paraId="2D6FA5B3" w14:textId="44213784"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w:t>
            </w:r>
          </w:p>
        </w:tc>
      </w:tr>
      <w:tr w:rsidR="004C0C21" w:rsidRPr="000232DD" w14:paraId="30A95FC3" w14:textId="77777777" w:rsidTr="00CB300F">
        <w:trPr>
          <w:trHeight w:val="288"/>
        </w:trPr>
        <w:tc>
          <w:tcPr>
            <w:tcW w:w="3481" w:type="dxa"/>
            <w:vAlign w:val="center"/>
            <w:hideMark/>
          </w:tcPr>
          <w:p w14:paraId="10A49ECE"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ներքին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166D0DBE" w14:textId="58FA1C2B"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0.1</w:t>
            </w:r>
          </w:p>
        </w:tc>
        <w:tc>
          <w:tcPr>
            <w:tcW w:w="940" w:type="dxa"/>
            <w:vAlign w:val="center"/>
          </w:tcPr>
          <w:p w14:paraId="70B501BF" w14:textId="388D762A"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0.4</w:t>
            </w:r>
          </w:p>
        </w:tc>
        <w:tc>
          <w:tcPr>
            <w:tcW w:w="940" w:type="dxa"/>
            <w:vAlign w:val="center"/>
          </w:tcPr>
          <w:p w14:paraId="6B10E06A" w14:textId="295F4B82"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2.1</w:t>
            </w:r>
          </w:p>
        </w:tc>
        <w:tc>
          <w:tcPr>
            <w:tcW w:w="940" w:type="dxa"/>
            <w:vAlign w:val="center"/>
          </w:tcPr>
          <w:p w14:paraId="017E2F3C" w14:textId="0875BD36"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2.4</w:t>
            </w:r>
          </w:p>
        </w:tc>
        <w:tc>
          <w:tcPr>
            <w:tcW w:w="777" w:type="dxa"/>
            <w:shd w:val="clear" w:color="auto" w:fill="auto"/>
            <w:vAlign w:val="center"/>
          </w:tcPr>
          <w:p w14:paraId="60E6B37D" w14:textId="1D6C9ADD"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3.2</w:t>
            </w:r>
          </w:p>
        </w:tc>
        <w:tc>
          <w:tcPr>
            <w:tcW w:w="777" w:type="dxa"/>
            <w:shd w:val="clear" w:color="auto" w:fill="auto"/>
            <w:vAlign w:val="center"/>
          </w:tcPr>
          <w:p w14:paraId="0D80A013" w14:textId="7A358EAF"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2.3</w:t>
            </w:r>
          </w:p>
        </w:tc>
        <w:tc>
          <w:tcPr>
            <w:tcW w:w="777" w:type="dxa"/>
            <w:shd w:val="clear" w:color="auto" w:fill="auto"/>
            <w:vAlign w:val="center"/>
          </w:tcPr>
          <w:p w14:paraId="1A89B9CB" w14:textId="3972863F"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0.2</w:t>
            </w:r>
          </w:p>
        </w:tc>
      </w:tr>
      <w:tr w:rsidR="004C0C21" w:rsidRPr="000232DD" w14:paraId="73E1C7F7" w14:textId="77777777" w:rsidTr="00CB300F">
        <w:trPr>
          <w:trHeight w:val="288"/>
        </w:trPr>
        <w:tc>
          <w:tcPr>
            <w:tcW w:w="3481" w:type="dxa"/>
            <w:vAlign w:val="center"/>
            <w:hideMark/>
          </w:tcPr>
          <w:p w14:paraId="6CCB8C76"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Ուժային</w:t>
            </w:r>
            <w:r w:rsidRPr="000232DD">
              <w:rPr>
                <w:rFonts w:ascii="GHEA Grapalat" w:hAnsi="GHEA Grapalat"/>
                <w:color w:val="auto"/>
                <w:sz w:val="18"/>
                <w:szCs w:val="18"/>
              </w:rPr>
              <w:t xml:space="preserve"> </w:t>
            </w:r>
          </w:p>
        </w:tc>
        <w:tc>
          <w:tcPr>
            <w:tcW w:w="935" w:type="dxa"/>
            <w:vAlign w:val="center"/>
          </w:tcPr>
          <w:p w14:paraId="57D875CA" w14:textId="62A3CE6A"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296</w:t>
            </w:r>
          </w:p>
        </w:tc>
        <w:tc>
          <w:tcPr>
            <w:tcW w:w="940" w:type="dxa"/>
            <w:vAlign w:val="center"/>
          </w:tcPr>
          <w:p w14:paraId="262BA804" w14:textId="4DCE9EDD"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339.7</w:t>
            </w:r>
          </w:p>
        </w:tc>
        <w:tc>
          <w:tcPr>
            <w:tcW w:w="940" w:type="dxa"/>
            <w:vAlign w:val="center"/>
          </w:tcPr>
          <w:p w14:paraId="73D96EED" w14:textId="51F8FD59"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417.5</w:t>
            </w:r>
          </w:p>
        </w:tc>
        <w:tc>
          <w:tcPr>
            <w:tcW w:w="940" w:type="dxa"/>
            <w:vAlign w:val="center"/>
          </w:tcPr>
          <w:p w14:paraId="77817341" w14:textId="49437B8D"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308.5</w:t>
            </w:r>
          </w:p>
        </w:tc>
        <w:tc>
          <w:tcPr>
            <w:tcW w:w="777" w:type="dxa"/>
            <w:shd w:val="clear" w:color="auto" w:fill="auto"/>
            <w:vAlign w:val="center"/>
          </w:tcPr>
          <w:p w14:paraId="3C2F79E0" w14:textId="20CF9E54"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343.4</w:t>
            </w:r>
          </w:p>
        </w:tc>
        <w:tc>
          <w:tcPr>
            <w:tcW w:w="777" w:type="dxa"/>
            <w:shd w:val="clear" w:color="auto" w:fill="auto"/>
            <w:vAlign w:val="center"/>
          </w:tcPr>
          <w:p w14:paraId="04636A8F" w14:textId="2359D87F"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360.8</w:t>
            </w:r>
          </w:p>
        </w:tc>
        <w:tc>
          <w:tcPr>
            <w:tcW w:w="777" w:type="dxa"/>
            <w:shd w:val="clear" w:color="auto" w:fill="auto"/>
            <w:vAlign w:val="center"/>
          </w:tcPr>
          <w:p w14:paraId="74FB9DCD" w14:textId="6B7B082B"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358.5</w:t>
            </w:r>
          </w:p>
        </w:tc>
      </w:tr>
      <w:tr w:rsidR="004C0C21" w:rsidRPr="000232DD" w14:paraId="0F1348E2" w14:textId="77777777" w:rsidTr="00CB300F">
        <w:trPr>
          <w:trHeight w:val="288"/>
        </w:trPr>
        <w:tc>
          <w:tcPr>
            <w:tcW w:w="3481" w:type="dxa"/>
            <w:vAlign w:val="center"/>
            <w:hideMark/>
          </w:tcPr>
          <w:p w14:paraId="37C150BB"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արտաքին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0E42F578" w14:textId="0147EAA6"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w:t>
            </w:r>
          </w:p>
        </w:tc>
        <w:tc>
          <w:tcPr>
            <w:tcW w:w="940" w:type="dxa"/>
            <w:vAlign w:val="center"/>
          </w:tcPr>
          <w:p w14:paraId="39CFC6C6" w14:textId="3B7A0438"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w:t>
            </w:r>
          </w:p>
        </w:tc>
        <w:tc>
          <w:tcPr>
            <w:tcW w:w="940" w:type="dxa"/>
            <w:vAlign w:val="center"/>
          </w:tcPr>
          <w:p w14:paraId="73096D06" w14:textId="592E6FDF"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116.2</w:t>
            </w:r>
          </w:p>
        </w:tc>
        <w:tc>
          <w:tcPr>
            <w:tcW w:w="940" w:type="dxa"/>
            <w:vAlign w:val="center"/>
          </w:tcPr>
          <w:p w14:paraId="4BA869E1" w14:textId="7856CE09"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0</w:t>
            </w:r>
          </w:p>
        </w:tc>
        <w:tc>
          <w:tcPr>
            <w:tcW w:w="777" w:type="dxa"/>
            <w:shd w:val="clear" w:color="auto" w:fill="auto"/>
            <w:vAlign w:val="center"/>
          </w:tcPr>
          <w:p w14:paraId="16F2A965" w14:textId="53C65258"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w:t>
            </w:r>
          </w:p>
        </w:tc>
        <w:tc>
          <w:tcPr>
            <w:tcW w:w="777" w:type="dxa"/>
            <w:shd w:val="clear" w:color="auto" w:fill="auto"/>
            <w:vAlign w:val="center"/>
          </w:tcPr>
          <w:p w14:paraId="76593432" w14:textId="2F48E89B"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w:t>
            </w:r>
          </w:p>
        </w:tc>
        <w:tc>
          <w:tcPr>
            <w:tcW w:w="777" w:type="dxa"/>
            <w:shd w:val="clear" w:color="auto" w:fill="auto"/>
            <w:vAlign w:val="center"/>
          </w:tcPr>
          <w:p w14:paraId="57345E52" w14:textId="5D21F5AF"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0</w:t>
            </w:r>
          </w:p>
        </w:tc>
      </w:tr>
      <w:tr w:rsidR="004C0C21" w:rsidRPr="000232DD" w14:paraId="51DD1BFC" w14:textId="77777777" w:rsidTr="00CB300F">
        <w:trPr>
          <w:trHeight w:val="288"/>
        </w:trPr>
        <w:tc>
          <w:tcPr>
            <w:tcW w:w="3481" w:type="dxa"/>
            <w:vAlign w:val="center"/>
            <w:hideMark/>
          </w:tcPr>
          <w:p w14:paraId="71DFB873"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ներքին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2EB41661" w14:textId="427FAE9C"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296</w:t>
            </w:r>
          </w:p>
        </w:tc>
        <w:tc>
          <w:tcPr>
            <w:tcW w:w="940" w:type="dxa"/>
            <w:vAlign w:val="center"/>
          </w:tcPr>
          <w:p w14:paraId="4DCB51CB" w14:textId="23D4A0AD"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339.7</w:t>
            </w:r>
          </w:p>
        </w:tc>
        <w:tc>
          <w:tcPr>
            <w:tcW w:w="940" w:type="dxa"/>
            <w:vAlign w:val="center"/>
          </w:tcPr>
          <w:p w14:paraId="0C0DA853" w14:textId="34C70A37"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301.3</w:t>
            </w:r>
          </w:p>
        </w:tc>
        <w:tc>
          <w:tcPr>
            <w:tcW w:w="940" w:type="dxa"/>
            <w:vAlign w:val="center"/>
          </w:tcPr>
          <w:p w14:paraId="02FF27E3" w14:textId="6ABD8C69"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308.5</w:t>
            </w:r>
          </w:p>
        </w:tc>
        <w:tc>
          <w:tcPr>
            <w:tcW w:w="777" w:type="dxa"/>
            <w:shd w:val="clear" w:color="auto" w:fill="auto"/>
            <w:vAlign w:val="center"/>
          </w:tcPr>
          <w:p w14:paraId="11A9D7A1" w14:textId="66CD579D"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343.4</w:t>
            </w:r>
          </w:p>
        </w:tc>
        <w:tc>
          <w:tcPr>
            <w:tcW w:w="777" w:type="dxa"/>
            <w:shd w:val="clear" w:color="auto" w:fill="auto"/>
            <w:vAlign w:val="center"/>
          </w:tcPr>
          <w:p w14:paraId="3BC1FCC1" w14:textId="18220627"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360.8</w:t>
            </w:r>
          </w:p>
        </w:tc>
        <w:tc>
          <w:tcPr>
            <w:tcW w:w="777" w:type="dxa"/>
            <w:shd w:val="clear" w:color="auto" w:fill="auto"/>
            <w:vAlign w:val="center"/>
          </w:tcPr>
          <w:p w14:paraId="1C0A4A9D" w14:textId="3D49B95F"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358.5</w:t>
            </w:r>
          </w:p>
        </w:tc>
      </w:tr>
      <w:tr w:rsidR="004C0C21" w:rsidRPr="000232DD" w14:paraId="3BE17150" w14:textId="77777777" w:rsidTr="00CB300F">
        <w:trPr>
          <w:trHeight w:val="288"/>
        </w:trPr>
        <w:tc>
          <w:tcPr>
            <w:tcW w:w="3481" w:type="dxa"/>
            <w:vAlign w:val="center"/>
            <w:hideMark/>
          </w:tcPr>
          <w:p w14:paraId="2A87802B"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Այլ</w:t>
            </w:r>
            <w:r w:rsidRPr="000232DD">
              <w:rPr>
                <w:rFonts w:ascii="GHEA Grapalat" w:hAnsi="GHEA Grapalat"/>
                <w:color w:val="auto"/>
                <w:sz w:val="18"/>
                <w:szCs w:val="18"/>
              </w:rPr>
              <w:t xml:space="preserve"> </w:t>
            </w:r>
          </w:p>
        </w:tc>
        <w:tc>
          <w:tcPr>
            <w:tcW w:w="935" w:type="dxa"/>
            <w:vAlign w:val="center"/>
          </w:tcPr>
          <w:p w14:paraId="2B4CC17F" w14:textId="0C8A0EEC"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40.6</w:t>
            </w:r>
          </w:p>
        </w:tc>
        <w:tc>
          <w:tcPr>
            <w:tcW w:w="940" w:type="dxa"/>
            <w:vAlign w:val="center"/>
          </w:tcPr>
          <w:p w14:paraId="3AA7F0BD" w14:textId="566441EC"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36.5</w:t>
            </w:r>
          </w:p>
        </w:tc>
        <w:tc>
          <w:tcPr>
            <w:tcW w:w="940" w:type="dxa"/>
            <w:vAlign w:val="center"/>
          </w:tcPr>
          <w:p w14:paraId="57CB6710" w14:textId="7FBDAC72"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59</w:t>
            </w:r>
          </w:p>
        </w:tc>
        <w:tc>
          <w:tcPr>
            <w:tcW w:w="940" w:type="dxa"/>
            <w:vAlign w:val="center"/>
          </w:tcPr>
          <w:p w14:paraId="313DB9F0" w14:textId="11C806CA"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b/>
                <w:bCs/>
                <w:color w:val="auto"/>
                <w:sz w:val="18"/>
                <w:szCs w:val="18"/>
              </w:rPr>
              <w:t>65.8</w:t>
            </w:r>
          </w:p>
        </w:tc>
        <w:tc>
          <w:tcPr>
            <w:tcW w:w="777" w:type="dxa"/>
            <w:shd w:val="clear" w:color="auto" w:fill="auto"/>
            <w:vAlign w:val="center"/>
          </w:tcPr>
          <w:p w14:paraId="2812FFF6" w14:textId="78CC63CE"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79.9</w:t>
            </w:r>
          </w:p>
        </w:tc>
        <w:tc>
          <w:tcPr>
            <w:tcW w:w="777" w:type="dxa"/>
            <w:shd w:val="clear" w:color="auto" w:fill="auto"/>
            <w:vAlign w:val="center"/>
          </w:tcPr>
          <w:p w14:paraId="7BF236B0" w14:textId="1516CD13"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56.8</w:t>
            </w:r>
          </w:p>
        </w:tc>
        <w:tc>
          <w:tcPr>
            <w:tcW w:w="777" w:type="dxa"/>
            <w:shd w:val="clear" w:color="auto" w:fill="auto"/>
            <w:vAlign w:val="center"/>
          </w:tcPr>
          <w:p w14:paraId="1628F23B" w14:textId="15814F25"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b/>
                <w:bCs/>
                <w:color w:val="auto"/>
                <w:sz w:val="18"/>
                <w:szCs w:val="18"/>
              </w:rPr>
              <w:t>97.6</w:t>
            </w:r>
          </w:p>
        </w:tc>
      </w:tr>
      <w:tr w:rsidR="004C0C21" w:rsidRPr="000232DD" w14:paraId="1371D585" w14:textId="77777777" w:rsidTr="00CB300F">
        <w:trPr>
          <w:trHeight w:val="288"/>
        </w:trPr>
        <w:tc>
          <w:tcPr>
            <w:tcW w:w="3481" w:type="dxa"/>
            <w:vAlign w:val="center"/>
            <w:hideMark/>
          </w:tcPr>
          <w:p w14:paraId="52C4E686"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արտաքին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66CC8210" w14:textId="74BE496C"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12.5</w:t>
            </w:r>
          </w:p>
        </w:tc>
        <w:tc>
          <w:tcPr>
            <w:tcW w:w="940" w:type="dxa"/>
            <w:vAlign w:val="center"/>
          </w:tcPr>
          <w:p w14:paraId="4EA6826B" w14:textId="6593A34B"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13.7</w:t>
            </w:r>
          </w:p>
        </w:tc>
        <w:tc>
          <w:tcPr>
            <w:tcW w:w="940" w:type="dxa"/>
            <w:vAlign w:val="center"/>
          </w:tcPr>
          <w:p w14:paraId="64E61E35" w14:textId="655C7E11"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25</w:t>
            </w:r>
          </w:p>
        </w:tc>
        <w:tc>
          <w:tcPr>
            <w:tcW w:w="940" w:type="dxa"/>
            <w:vAlign w:val="center"/>
          </w:tcPr>
          <w:p w14:paraId="6B21C133" w14:textId="19B923C4"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17.8</w:t>
            </w:r>
          </w:p>
        </w:tc>
        <w:tc>
          <w:tcPr>
            <w:tcW w:w="777" w:type="dxa"/>
            <w:shd w:val="clear" w:color="auto" w:fill="auto"/>
            <w:vAlign w:val="center"/>
          </w:tcPr>
          <w:p w14:paraId="08FDBB97" w14:textId="376E5CF3"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17.3</w:t>
            </w:r>
          </w:p>
        </w:tc>
        <w:tc>
          <w:tcPr>
            <w:tcW w:w="777" w:type="dxa"/>
            <w:shd w:val="clear" w:color="auto" w:fill="auto"/>
            <w:vAlign w:val="center"/>
          </w:tcPr>
          <w:p w14:paraId="09123F4A" w14:textId="71113004"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29.6</w:t>
            </w:r>
          </w:p>
        </w:tc>
        <w:tc>
          <w:tcPr>
            <w:tcW w:w="777" w:type="dxa"/>
            <w:shd w:val="clear" w:color="auto" w:fill="auto"/>
            <w:vAlign w:val="center"/>
          </w:tcPr>
          <w:p w14:paraId="1C12AC89" w14:textId="365A3637"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15.8</w:t>
            </w:r>
          </w:p>
        </w:tc>
      </w:tr>
      <w:tr w:rsidR="004C0C21" w:rsidRPr="000232DD" w14:paraId="1E45E681" w14:textId="77777777" w:rsidTr="00CB300F">
        <w:trPr>
          <w:trHeight w:val="288"/>
        </w:trPr>
        <w:tc>
          <w:tcPr>
            <w:tcW w:w="3481" w:type="dxa"/>
            <w:vAlign w:val="center"/>
            <w:hideMark/>
          </w:tcPr>
          <w:p w14:paraId="11190950" w14:textId="77777777" w:rsidR="0023597E" w:rsidRPr="000232DD" w:rsidRDefault="0023597E" w:rsidP="00082769">
            <w:pPr>
              <w:spacing w:before="0" w:after="0" w:line="240" w:lineRule="auto"/>
              <w:ind w:right="-22"/>
              <w:jc w:val="both"/>
              <w:rPr>
                <w:rFonts w:ascii="GHEA Grapalat" w:hAnsi="GHEA Grapalat"/>
                <w:color w:val="auto"/>
                <w:sz w:val="18"/>
                <w:szCs w:val="18"/>
              </w:rPr>
            </w:pPr>
            <w:r w:rsidRPr="000232DD">
              <w:rPr>
                <w:rFonts w:ascii="GHEA Grapalat" w:hAnsi="GHEA Grapalat"/>
                <w:color w:val="auto"/>
                <w:sz w:val="18"/>
                <w:szCs w:val="18"/>
              </w:rPr>
              <w:t xml:space="preserve"> </w:t>
            </w:r>
            <w:r w:rsidRPr="000232DD">
              <w:rPr>
                <w:rFonts w:ascii="GHEA Grapalat" w:hAnsi="GHEA Grapalat" w:cs="Sylfaen"/>
                <w:color w:val="auto"/>
                <w:sz w:val="18"/>
                <w:szCs w:val="18"/>
              </w:rPr>
              <w:t>ներքին</w:t>
            </w:r>
            <w:r w:rsidRPr="000232DD">
              <w:rPr>
                <w:rFonts w:ascii="GHEA Grapalat" w:hAnsi="GHEA Grapalat"/>
                <w:color w:val="auto"/>
                <w:sz w:val="18"/>
                <w:szCs w:val="18"/>
              </w:rPr>
              <w:t xml:space="preserve"> </w:t>
            </w:r>
            <w:r w:rsidRPr="000232DD">
              <w:rPr>
                <w:rFonts w:ascii="GHEA Grapalat" w:hAnsi="GHEA Grapalat" w:cs="Sylfaen"/>
                <w:color w:val="auto"/>
                <w:sz w:val="18"/>
                <w:szCs w:val="18"/>
              </w:rPr>
              <w:t>աղբյուրներ</w:t>
            </w:r>
            <w:r w:rsidRPr="000232DD">
              <w:rPr>
                <w:rFonts w:ascii="GHEA Grapalat" w:hAnsi="GHEA Grapalat"/>
                <w:color w:val="auto"/>
                <w:sz w:val="18"/>
                <w:szCs w:val="18"/>
              </w:rPr>
              <w:t xml:space="preserve"> </w:t>
            </w:r>
          </w:p>
        </w:tc>
        <w:tc>
          <w:tcPr>
            <w:tcW w:w="935" w:type="dxa"/>
            <w:vAlign w:val="center"/>
          </w:tcPr>
          <w:p w14:paraId="08870C2C" w14:textId="2450E6B2"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28.1</w:t>
            </w:r>
          </w:p>
        </w:tc>
        <w:tc>
          <w:tcPr>
            <w:tcW w:w="940" w:type="dxa"/>
            <w:vAlign w:val="center"/>
          </w:tcPr>
          <w:p w14:paraId="3FEA99C0" w14:textId="2A7F2F65"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22.8</w:t>
            </w:r>
          </w:p>
        </w:tc>
        <w:tc>
          <w:tcPr>
            <w:tcW w:w="940" w:type="dxa"/>
            <w:vAlign w:val="center"/>
          </w:tcPr>
          <w:p w14:paraId="26192335" w14:textId="6DFB2054"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34.0</w:t>
            </w:r>
          </w:p>
        </w:tc>
        <w:tc>
          <w:tcPr>
            <w:tcW w:w="940" w:type="dxa"/>
            <w:vAlign w:val="center"/>
          </w:tcPr>
          <w:p w14:paraId="2D687488" w14:textId="5F59100A" w:rsidR="0023597E" w:rsidRPr="000232DD" w:rsidRDefault="0023597E" w:rsidP="00082769">
            <w:pPr>
              <w:spacing w:before="0" w:after="0" w:line="240" w:lineRule="auto"/>
              <w:ind w:right="-22"/>
              <w:jc w:val="right"/>
              <w:rPr>
                <w:rFonts w:ascii="GHEA Grapalat" w:hAnsi="GHEA Grapalat"/>
                <w:color w:val="auto"/>
                <w:sz w:val="18"/>
                <w:szCs w:val="18"/>
              </w:rPr>
            </w:pPr>
            <w:r w:rsidRPr="000232DD">
              <w:rPr>
                <w:rFonts w:ascii="GHEA Grapalat" w:hAnsi="GHEA Grapalat" w:cs="Calibri"/>
                <w:color w:val="auto"/>
                <w:sz w:val="18"/>
                <w:szCs w:val="18"/>
              </w:rPr>
              <w:t>48.0</w:t>
            </w:r>
          </w:p>
        </w:tc>
        <w:tc>
          <w:tcPr>
            <w:tcW w:w="777" w:type="dxa"/>
            <w:shd w:val="clear" w:color="auto" w:fill="auto"/>
            <w:vAlign w:val="center"/>
          </w:tcPr>
          <w:p w14:paraId="1B4B5BCD" w14:textId="203FE200"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62.6</w:t>
            </w:r>
          </w:p>
        </w:tc>
        <w:tc>
          <w:tcPr>
            <w:tcW w:w="777" w:type="dxa"/>
            <w:shd w:val="clear" w:color="auto" w:fill="auto"/>
            <w:vAlign w:val="center"/>
          </w:tcPr>
          <w:p w14:paraId="350D8B82" w14:textId="6C6A4651"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27.1</w:t>
            </w:r>
          </w:p>
        </w:tc>
        <w:tc>
          <w:tcPr>
            <w:tcW w:w="777" w:type="dxa"/>
            <w:shd w:val="clear" w:color="auto" w:fill="auto"/>
            <w:vAlign w:val="center"/>
          </w:tcPr>
          <w:p w14:paraId="63ADD15E" w14:textId="7A7E42ED" w:rsidR="0023597E" w:rsidRPr="000232DD" w:rsidRDefault="0023597E" w:rsidP="00082769">
            <w:pPr>
              <w:spacing w:before="0" w:after="0" w:line="240" w:lineRule="auto"/>
              <w:ind w:right="-22"/>
              <w:jc w:val="right"/>
              <w:rPr>
                <w:rFonts w:ascii="GHEA Grapalat" w:hAnsi="GHEA Grapalat" w:cs="Calibri"/>
                <w:color w:val="auto"/>
                <w:sz w:val="18"/>
                <w:szCs w:val="18"/>
              </w:rPr>
            </w:pPr>
            <w:r w:rsidRPr="000232DD">
              <w:rPr>
                <w:rFonts w:ascii="GHEA Grapalat" w:hAnsi="GHEA Grapalat" w:cs="Calibri"/>
                <w:color w:val="auto"/>
                <w:sz w:val="18"/>
                <w:szCs w:val="18"/>
              </w:rPr>
              <w:t>81.9</w:t>
            </w:r>
          </w:p>
        </w:tc>
      </w:tr>
    </w:tbl>
    <w:p w14:paraId="0F2F14D1" w14:textId="77777777" w:rsidR="00984771" w:rsidRDefault="00984771" w:rsidP="00082769">
      <w:pPr>
        <w:pStyle w:val="Heading2"/>
        <w:spacing w:before="120" w:after="120"/>
        <w:ind w:right="-22"/>
        <w:jc w:val="both"/>
        <w:rPr>
          <w:rFonts w:ascii="GHEA Grapalat" w:hAnsi="GHEA Grapalat"/>
          <w:color w:val="auto"/>
          <w:sz w:val="28"/>
          <w:szCs w:val="20"/>
          <w:lang w:val="hy-AM"/>
        </w:rPr>
      </w:pPr>
    </w:p>
    <w:p w14:paraId="466829E2" w14:textId="3FB49E70" w:rsidR="0052459E" w:rsidRPr="00CB300F" w:rsidRDefault="0052459E" w:rsidP="00082769">
      <w:pPr>
        <w:pStyle w:val="Heading2"/>
        <w:spacing w:before="120" w:after="120"/>
        <w:ind w:right="-22"/>
        <w:jc w:val="both"/>
        <w:rPr>
          <w:rFonts w:ascii="GHEA Grapalat" w:hAnsi="GHEA Grapalat"/>
          <w:color w:val="ADADAD" w:themeColor="background2" w:themeShade="BF"/>
          <w:sz w:val="28"/>
          <w:szCs w:val="20"/>
          <w:lang w:val="hy-AM"/>
        </w:rPr>
      </w:pPr>
      <w:bookmarkStart w:id="406" w:name="_Toc241687679"/>
      <w:r w:rsidRPr="00CB300F">
        <w:rPr>
          <w:rFonts w:ascii="GHEA Grapalat" w:hAnsi="GHEA Grapalat"/>
          <w:color w:val="ADADAD" w:themeColor="background2" w:themeShade="BF"/>
          <w:sz w:val="28"/>
          <w:szCs w:val="20"/>
          <w:lang w:val="hy-AM"/>
        </w:rPr>
        <w:t>ԾԱԽՍԵՐՆ ԸՍՏ ԳՈՐԾԱՌՆԱԿԱՆ ԴԱՍԱԿԱՐԳՄԱՆ</w:t>
      </w:r>
      <w:bookmarkEnd w:id="406"/>
    </w:p>
    <w:p w14:paraId="08D9287A" w14:textId="01339C46" w:rsidR="0052459E" w:rsidRPr="00177C18" w:rsidRDefault="0052459E" w:rsidP="00082769">
      <w:pPr>
        <w:ind w:right="-22"/>
        <w:jc w:val="both"/>
        <w:rPr>
          <w:rFonts w:ascii="GHEA Grapalat" w:hAnsi="GHEA Grapalat"/>
          <w:color w:val="auto"/>
          <w:szCs w:val="20"/>
          <w:lang w:val="af-ZA"/>
        </w:rPr>
      </w:pPr>
      <w:r w:rsidRPr="000232DD">
        <w:rPr>
          <w:rFonts w:ascii="GHEA Grapalat" w:hAnsi="GHEA Grapalat"/>
          <w:color w:val="auto"/>
          <w:szCs w:val="20"/>
          <w:lang w:val="af-ZA"/>
        </w:rPr>
        <w:t>2023-2029</w:t>
      </w:r>
      <w:r w:rsidRPr="000232DD">
        <w:rPr>
          <w:rFonts w:ascii="GHEA Grapalat" w:hAnsi="GHEA Grapalat"/>
          <w:color w:val="auto"/>
          <w:szCs w:val="20"/>
          <w:lang w:val="hy-AM"/>
        </w:rPr>
        <w:t>թթ</w:t>
      </w:r>
      <w:r w:rsidRPr="000232DD">
        <w:rPr>
          <w:rFonts w:ascii="MS Mincho" w:eastAsia="MS Mincho" w:hAnsi="MS Mincho" w:cs="MS Mincho" w:hint="eastAsia"/>
          <w:color w:val="auto"/>
          <w:szCs w:val="20"/>
          <w:lang w:val="af-ZA"/>
        </w:rPr>
        <w:t>․</w:t>
      </w:r>
      <w:r w:rsidRPr="000232DD">
        <w:rPr>
          <w:rFonts w:ascii="GHEA Grapalat" w:hAnsi="GHEA Grapalat"/>
          <w:color w:val="auto"/>
          <w:szCs w:val="20"/>
          <w:lang w:val="af-ZA"/>
        </w:rPr>
        <w:t xml:space="preserve"> </w:t>
      </w:r>
      <w:r w:rsidRPr="000232DD">
        <w:rPr>
          <w:rFonts w:ascii="GHEA Grapalat" w:hAnsi="GHEA Grapalat"/>
          <w:color w:val="auto"/>
          <w:szCs w:val="20"/>
          <w:lang w:val="hy-AM"/>
        </w:rPr>
        <w:t>ժամանակահատվածում</w:t>
      </w:r>
      <w:r w:rsidRPr="000232DD">
        <w:rPr>
          <w:rFonts w:ascii="GHEA Grapalat" w:hAnsi="GHEA Grapalat"/>
          <w:color w:val="auto"/>
          <w:szCs w:val="20"/>
          <w:lang w:val="af-ZA"/>
        </w:rPr>
        <w:t xml:space="preserve"> </w:t>
      </w:r>
      <w:r w:rsidRPr="000232DD">
        <w:rPr>
          <w:rFonts w:ascii="GHEA Grapalat" w:hAnsi="GHEA Grapalat"/>
          <w:color w:val="auto"/>
          <w:szCs w:val="20"/>
          <w:lang w:val="hy-AM"/>
        </w:rPr>
        <w:t>նկատելի</w:t>
      </w:r>
      <w:r w:rsidRPr="000232DD">
        <w:rPr>
          <w:rFonts w:ascii="GHEA Grapalat" w:hAnsi="GHEA Grapalat"/>
          <w:color w:val="auto"/>
          <w:szCs w:val="20"/>
          <w:lang w:val="af-ZA"/>
        </w:rPr>
        <w:t xml:space="preserve"> </w:t>
      </w:r>
      <w:r w:rsidRPr="000232DD">
        <w:rPr>
          <w:rFonts w:ascii="GHEA Grapalat" w:hAnsi="GHEA Grapalat"/>
          <w:color w:val="auto"/>
          <w:szCs w:val="20"/>
          <w:lang w:val="hy-AM"/>
        </w:rPr>
        <w:t>է</w:t>
      </w:r>
      <w:r w:rsidRPr="000232DD">
        <w:rPr>
          <w:rFonts w:ascii="GHEA Grapalat" w:hAnsi="GHEA Grapalat"/>
          <w:color w:val="auto"/>
          <w:szCs w:val="20"/>
          <w:lang w:val="af-ZA"/>
        </w:rPr>
        <w:t xml:space="preserve"> </w:t>
      </w:r>
      <w:r w:rsidRPr="000232DD">
        <w:rPr>
          <w:rFonts w:ascii="GHEA Grapalat" w:hAnsi="GHEA Grapalat"/>
          <w:color w:val="auto"/>
          <w:szCs w:val="20"/>
          <w:lang w:val="hy-AM"/>
        </w:rPr>
        <w:t>նախորդ</w:t>
      </w:r>
      <w:r w:rsidRPr="000232DD">
        <w:rPr>
          <w:rFonts w:ascii="GHEA Grapalat" w:hAnsi="GHEA Grapalat"/>
          <w:color w:val="auto"/>
          <w:szCs w:val="20"/>
          <w:lang w:val="af-ZA"/>
        </w:rPr>
        <w:t xml:space="preserve"> </w:t>
      </w:r>
      <w:r w:rsidRPr="000232DD">
        <w:rPr>
          <w:rFonts w:ascii="GHEA Grapalat" w:hAnsi="GHEA Grapalat"/>
          <w:color w:val="auto"/>
          <w:szCs w:val="20"/>
          <w:lang w:val="hy-AM"/>
        </w:rPr>
        <w:t>տարվա</w:t>
      </w:r>
      <w:r w:rsidRPr="000232DD">
        <w:rPr>
          <w:rFonts w:ascii="GHEA Grapalat" w:hAnsi="GHEA Grapalat"/>
          <w:color w:val="auto"/>
          <w:szCs w:val="20"/>
          <w:lang w:val="af-ZA"/>
        </w:rPr>
        <w:t xml:space="preserve"> </w:t>
      </w:r>
      <w:r w:rsidRPr="000232DD">
        <w:rPr>
          <w:rFonts w:ascii="GHEA Grapalat" w:hAnsi="GHEA Grapalat"/>
          <w:color w:val="auto"/>
          <w:szCs w:val="20"/>
          <w:lang w:val="hy-AM"/>
        </w:rPr>
        <w:t>համեմատությամբ</w:t>
      </w:r>
      <w:r w:rsidRPr="000232DD">
        <w:rPr>
          <w:rFonts w:ascii="GHEA Grapalat" w:hAnsi="GHEA Grapalat"/>
          <w:color w:val="auto"/>
          <w:szCs w:val="20"/>
          <w:lang w:val="af-ZA"/>
        </w:rPr>
        <w:t xml:space="preserve"> </w:t>
      </w:r>
      <w:r w:rsidRPr="000232DD">
        <w:rPr>
          <w:rFonts w:ascii="GHEA Grapalat" w:hAnsi="GHEA Grapalat"/>
          <w:color w:val="auto"/>
          <w:szCs w:val="20"/>
          <w:lang w:val="hy-AM"/>
        </w:rPr>
        <w:t>պետական</w:t>
      </w:r>
      <w:r w:rsidRPr="000232DD">
        <w:rPr>
          <w:rFonts w:ascii="GHEA Grapalat" w:hAnsi="GHEA Grapalat"/>
          <w:color w:val="auto"/>
          <w:szCs w:val="20"/>
          <w:lang w:val="af-ZA"/>
        </w:rPr>
        <w:t xml:space="preserve"> </w:t>
      </w:r>
      <w:r w:rsidRPr="000232DD">
        <w:rPr>
          <w:rFonts w:ascii="GHEA Grapalat" w:hAnsi="GHEA Grapalat"/>
          <w:color w:val="auto"/>
          <w:szCs w:val="20"/>
          <w:lang w:val="hy-AM"/>
        </w:rPr>
        <w:t>բյուջեի</w:t>
      </w:r>
      <w:r w:rsidRPr="000232DD">
        <w:rPr>
          <w:rFonts w:ascii="GHEA Grapalat" w:hAnsi="GHEA Grapalat"/>
          <w:color w:val="auto"/>
          <w:szCs w:val="20"/>
          <w:lang w:val="af-ZA"/>
        </w:rPr>
        <w:t xml:space="preserve"> </w:t>
      </w:r>
      <w:r w:rsidRPr="000232DD">
        <w:rPr>
          <w:rFonts w:ascii="GHEA Grapalat" w:hAnsi="GHEA Grapalat"/>
          <w:color w:val="auto"/>
          <w:szCs w:val="20"/>
          <w:lang w:val="hy-AM"/>
        </w:rPr>
        <w:t>ընդամենը</w:t>
      </w:r>
      <w:r w:rsidRPr="000232DD">
        <w:rPr>
          <w:rFonts w:ascii="GHEA Grapalat" w:hAnsi="GHEA Grapalat"/>
          <w:color w:val="auto"/>
          <w:szCs w:val="20"/>
          <w:lang w:val="af-ZA"/>
        </w:rPr>
        <w:t xml:space="preserve"> </w:t>
      </w:r>
      <w:r w:rsidRPr="000232DD">
        <w:rPr>
          <w:rFonts w:ascii="GHEA Grapalat" w:hAnsi="GHEA Grapalat"/>
          <w:color w:val="auto"/>
          <w:szCs w:val="20"/>
          <w:lang w:val="hy-AM"/>
        </w:rPr>
        <w:t>ծախսերի</w:t>
      </w:r>
      <w:r w:rsidRPr="000232DD">
        <w:rPr>
          <w:rFonts w:ascii="GHEA Grapalat" w:hAnsi="GHEA Grapalat"/>
          <w:color w:val="auto"/>
          <w:szCs w:val="20"/>
          <w:lang w:val="af-ZA"/>
        </w:rPr>
        <w:t xml:space="preserve"> </w:t>
      </w:r>
      <w:r w:rsidRPr="000232DD">
        <w:rPr>
          <w:rFonts w:ascii="GHEA Grapalat" w:hAnsi="GHEA Grapalat"/>
          <w:color w:val="auto"/>
          <w:szCs w:val="20"/>
          <w:lang w:val="hy-AM"/>
        </w:rPr>
        <w:t>աճը՝</w:t>
      </w:r>
      <w:r w:rsidRPr="000232DD">
        <w:rPr>
          <w:rFonts w:ascii="GHEA Grapalat" w:hAnsi="GHEA Grapalat"/>
          <w:color w:val="auto"/>
          <w:szCs w:val="20"/>
          <w:lang w:val="af-ZA"/>
        </w:rPr>
        <w:t xml:space="preserve"> 2024</w:t>
      </w:r>
      <w:r w:rsidRPr="000232DD">
        <w:rPr>
          <w:rFonts w:ascii="GHEA Grapalat" w:hAnsi="GHEA Grapalat"/>
          <w:color w:val="auto"/>
          <w:szCs w:val="20"/>
          <w:lang w:val="hy-AM"/>
        </w:rPr>
        <w:t>թ</w:t>
      </w:r>
      <w:r w:rsidRPr="000232DD">
        <w:rPr>
          <w:rFonts w:ascii="GHEA Grapalat" w:hAnsi="GHEA Grapalat"/>
          <w:color w:val="auto"/>
          <w:szCs w:val="20"/>
          <w:lang w:val="af-ZA"/>
        </w:rPr>
        <w:t xml:space="preserve"> </w:t>
      </w:r>
      <w:r w:rsidRPr="000232DD">
        <w:rPr>
          <w:rFonts w:ascii="GHEA Grapalat" w:hAnsi="GHEA Grapalat"/>
          <w:color w:val="auto"/>
          <w:szCs w:val="20"/>
          <w:lang w:val="hy-AM"/>
        </w:rPr>
        <w:t>թվականին՝</w:t>
      </w:r>
      <w:r w:rsidRPr="000232DD">
        <w:rPr>
          <w:rFonts w:ascii="GHEA Grapalat" w:hAnsi="GHEA Grapalat"/>
          <w:color w:val="auto"/>
          <w:szCs w:val="20"/>
          <w:lang w:val="af-ZA"/>
        </w:rPr>
        <w:t xml:space="preserve"> 2023 </w:t>
      </w:r>
      <w:r w:rsidRPr="000232DD">
        <w:rPr>
          <w:rFonts w:ascii="GHEA Grapalat" w:hAnsi="GHEA Grapalat"/>
          <w:color w:val="auto"/>
          <w:szCs w:val="20"/>
          <w:lang w:val="hy-AM"/>
        </w:rPr>
        <w:t>թվականի</w:t>
      </w:r>
      <w:r w:rsidRPr="000232DD">
        <w:rPr>
          <w:rFonts w:ascii="GHEA Grapalat" w:hAnsi="GHEA Grapalat"/>
          <w:color w:val="auto"/>
          <w:szCs w:val="20"/>
          <w:lang w:val="af-ZA"/>
        </w:rPr>
        <w:t xml:space="preserve"> </w:t>
      </w:r>
      <w:r w:rsidRPr="000232DD">
        <w:rPr>
          <w:rFonts w:ascii="GHEA Grapalat" w:hAnsi="GHEA Grapalat"/>
          <w:color w:val="auto"/>
          <w:szCs w:val="20"/>
          <w:lang w:val="hy-AM"/>
        </w:rPr>
        <w:t>համեմատ</w:t>
      </w:r>
      <w:r w:rsidRPr="000232DD">
        <w:rPr>
          <w:rFonts w:ascii="GHEA Grapalat" w:hAnsi="GHEA Grapalat"/>
          <w:color w:val="auto"/>
          <w:szCs w:val="20"/>
          <w:lang w:val="af-ZA"/>
        </w:rPr>
        <w:t xml:space="preserve"> 407.7 </w:t>
      </w:r>
      <w:r w:rsidRPr="000232DD">
        <w:rPr>
          <w:rFonts w:ascii="GHEA Grapalat" w:hAnsi="GHEA Grapalat"/>
          <w:color w:val="auto"/>
          <w:szCs w:val="20"/>
          <w:lang w:val="hy-AM"/>
        </w:rPr>
        <w:t>մլրդ</w:t>
      </w:r>
      <w:r w:rsidRPr="000232DD">
        <w:rPr>
          <w:rFonts w:ascii="GHEA Grapalat" w:hAnsi="GHEA Grapalat"/>
          <w:color w:val="auto"/>
          <w:szCs w:val="20"/>
          <w:lang w:val="af-ZA"/>
        </w:rPr>
        <w:t xml:space="preserve">. </w:t>
      </w:r>
      <w:r w:rsidRPr="000232DD">
        <w:rPr>
          <w:rFonts w:ascii="GHEA Grapalat" w:hAnsi="GHEA Grapalat"/>
          <w:color w:val="auto"/>
          <w:szCs w:val="20"/>
          <w:lang w:val="hy-AM"/>
        </w:rPr>
        <w:t>ՀՀ</w:t>
      </w:r>
      <w:r w:rsidRPr="000232DD">
        <w:rPr>
          <w:rFonts w:ascii="GHEA Grapalat" w:hAnsi="GHEA Grapalat"/>
          <w:color w:val="auto"/>
          <w:szCs w:val="20"/>
          <w:lang w:val="af-ZA"/>
        </w:rPr>
        <w:t xml:space="preserve"> </w:t>
      </w:r>
      <w:r w:rsidRPr="000232DD">
        <w:rPr>
          <w:rFonts w:ascii="GHEA Grapalat" w:hAnsi="GHEA Grapalat"/>
          <w:color w:val="auto"/>
          <w:szCs w:val="20"/>
          <w:lang w:val="hy-AM"/>
        </w:rPr>
        <w:t>դրամի</w:t>
      </w:r>
      <w:r w:rsidRPr="000232DD">
        <w:rPr>
          <w:rFonts w:ascii="GHEA Grapalat" w:hAnsi="GHEA Grapalat"/>
          <w:color w:val="auto"/>
          <w:szCs w:val="20"/>
          <w:lang w:val="af-ZA"/>
        </w:rPr>
        <w:t>, 202</w:t>
      </w:r>
      <w:r w:rsidRPr="000232DD">
        <w:rPr>
          <w:rFonts w:ascii="GHEA Grapalat" w:hAnsi="GHEA Grapalat"/>
          <w:color w:val="auto"/>
          <w:szCs w:val="20"/>
          <w:lang w:val="hy-AM"/>
        </w:rPr>
        <w:t>5</w:t>
      </w:r>
      <w:r w:rsidRPr="000232DD">
        <w:rPr>
          <w:rFonts w:ascii="GHEA Grapalat" w:hAnsi="GHEA Grapalat"/>
          <w:color w:val="auto"/>
          <w:szCs w:val="20"/>
          <w:lang w:val="af-ZA"/>
        </w:rPr>
        <w:t xml:space="preserve"> </w:t>
      </w:r>
      <w:r w:rsidRPr="000232DD">
        <w:rPr>
          <w:rFonts w:ascii="GHEA Grapalat" w:hAnsi="GHEA Grapalat"/>
          <w:color w:val="auto"/>
          <w:szCs w:val="20"/>
          <w:lang w:val="hy-AM"/>
        </w:rPr>
        <w:t>թվականին՝</w:t>
      </w:r>
      <w:r w:rsidRPr="000232DD">
        <w:rPr>
          <w:rFonts w:ascii="GHEA Grapalat" w:hAnsi="GHEA Grapalat"/>
          <w:color w:val="auto"/>
          <w:szCs w:val="20"/>
          <w:lang w:val="af-ZA"/>
        </w:rPr>
        <w:t xml:space="preserve"> 2024-</w:t>
      </w:r>
      <w:r w:rsidRPr="000232DD">
        <w:rPr>
          <w:rFonts w:ascii="GHEA Grapalat" w:hAnsi="GHEA Grapalat"/>
          <w:color w:val="auto"/>
          <w:szCs w:val="20"/>
          <w:lang w:val="hy-AM"/>
        </w:rPr>
        <w:t>ի</w:t>
      </w:r>
      <w:r w:rsidRPr="000232DD">
        <w:rPr>
          <w:rFonts w:ascii="GHEA Grapalat" w:hAnsi="GHEA Grapalat"/>
          <w:color w:val="auto"/>
          <w:szCs w:val="20"/>
          <w:lang w:val="af-ZA"/>
        </w:rPr>
        <w:t xml:space="preserve"> </w:t>
      </w:r>
      <w:r w:rsidRPr="000232DD">
        <w:rPr>
          <w:rFonts w:ascii="GHEA Grapalat" w:hAnsi="GHEA Grapalat"/>
          <w:color w:val="auto"/>
          <w:szCs w:val="20"/>
          <w:lang w:val="hy-AM"/>
        </w:rPr>
        <w:t>համեմատ՝</w:t>
      </w:r>
      <w:r w:rsidRPr="000232DD">
        <w:rPr>
          <w:rFonts w:ascii="GHEA Grapalat" w:hAnsi="GHEA Grapalat"/>
          <w:color w:val="auto"/>
          <w:szCs w:val="20"/>
          <w:lang w:val="af-ZA"/>
        </w:rPr>
        <w:t xml:space="preserve"> 350 </w:t>
      </w:r>
      <w:r w:rsidRPr="000232DD">
        <w:rPr>
          <w:rFonts w:ascii="GHEA Grapalat" w:hAnsi="GHEA Grapalat"/>
          <w:color w:val="auto"/>
          <w:szCs w:val="20"/>
          <w:lang w:val="hy-AM"/>
        </w:rPr>
        <w:t>մլրդ</w:t>
      </w:r>
      <w:r w:rsidRPr="000232DD">
        <w:rPr>
          <w:rFonts w:ascii="GHEA Grapalat" w:hAnsi="GHEA Grapalat"/>
          <w:color w:val="auto"/>
          <w:szCs w:val="20"/>
          <w:lang w:val="af-ZA"/>
        </w:rPr>
        <w:t xml:space="preserve">. </w:t>
      </w:r>
      <w:r w:rsidRPr="000232DD">
        <w:rPr>
          <w:rFonts w:ascii="GHEA Grapalat" w:hAnsi="GHEA Grapalat"/>
          <w:color w:val="auto"/>
          <w:szCs w:val="20"/>
          <w:lang w:val="hy-AM"/>
        </w:rPr>
        <w:t>ՀՀ</w:t>
      </w:r>
      <w:r w:rsidRPr="000232DD">
        <w:rPr>
          <w:rFonts w:ascii="GHEA Grapalat" w:hAnsi="GHEA Grapalat"/>
          <w:color w:val="auto"/>
          <w:szCs w:val="20"/>
          <w:lang w:val="af-ZA"/>
        </w:rPr>
        <w:t xml:space="preserve"> </w:t>
      </w:r>
      <w:r w:rsidRPr="000232DD">
        <w:rPr>
          <w:rFonts w:ascii="GHEA Grapalat" w:hAnsi="GHEA Grapalat"/>
          <w:color w:val="auto"/>
          <w:szCs w:val="20"/>
          <w:lang w:val="hy-AM"/>
        </w:rPr>
        <w:t>դրամի</w:t>
      </w:r>
      <w:r w:rsidRPr="000232DD">
        <w:rPr>
          <w:rFonts w:ascii="GHEA Grapalat" w:hAnsi="GHEA Grapalat"/>
          <w:color w:val="auto"/>
          <w:szCs w:val="20"/>
          <w:lang w:val="af-ZA"/>
        </w:rPr>
        <w:t xml:space="preserve"> </w:t>
      </w:r>
      <w:r w:rsidRPr="000232DD">
        <w:rPr>
          <w:rFonts w:ascii="GHEA Grapalat" w:hAnsi="GHEA Grapalat"/>
          <w:color w:val="auto"/>
          <w:szCs w:val="20"/>
          <w:lang w:val="hy-AM"/>
        </w:rPr>
        <w:t>չափով։</w:t>
      </w:r>
      <w:r w:rsidRPr="000232DD">
        <w:rPr>
          <w:rFonts w:ascii="GHEA Grapalat" w:hAnsi="GHEA Grapalat"/>
          <w:color w:val="auto"/>
          <w:szCs w:val="20"/>
          <w:lang w:val="af-ZA"/>
        </w:rPr>
        <w:t xml:space="preserve"> </w:t>
      </w:r>
      <w:r w:rsidRPr="000232DD">
        <w:rPr>
          <w:rFonts w:ascii="GHEA Grapalat" w:hAnsi="GHEA Grapalat"/>
          <w:color w:val="auto"/>
          <w:szCs w:val="20"/>
          <w:lang w:val="hy-AM"/>
        </w:rPr>
        <w:t>Բացառություն</w:t>
      </w:r>
      <w:r w:rsidRPr="000232DD">
        <w:rPr>
          <w:rFonts w:ascii="GHEA Grapalat" w:hAnsi="GHEA Grapalat"/>
          <w:color w:val="auto"/>
          <w:szCs w:val="20"/>
          <w:lang w:val="af-ZA"/>
        </w:rPr>
        <w:t xml:space="preserve"> </w:t>
      </w:r>
      <w:r w:rsidRPr="000232DD">
        <w:rPr>
          <w:rFonts w:ascii="GHEA Grapalat" w:hAnsi="GHEA Grapalat"/>
          <w:color w:val="auto"/>
          <w:szCs w:val="20"/>
          <w:lang w:val="hy-AM"/>
        </w:rPr>
        <w:t>չէ</w:t>
      </w:r>
      <w:r w:rsidRPr="000232DD">
        <w:rPr>
          <w:rFonts w:ascii="GHEA Grapalat" w:hAnsi="GHEA Grapalat"/>
          <w:color w:val="auto"/>
          <w:szCs w:val="20"/>
          <w:lang w:val="af-ZA"/>
        </w:rPr>
        <w:t xml:space="preserve"> </w:t>
      </w:r>
      <w:r w:rsidRPr="000232DD">
        <w:rPr>
          <w:rFonts w:ascii="GHEA Grapalat" w:hAnsi="GHEA Grapalat"/>
          <w:color w:val="auto"/>
          <w:szCs w:val="20"/>
          <w:lang w:val="hy-AM"/>
        </w:rPr>
        <w:t>նաև</w:t>
      </w:r>
      <w:r w:rsidRPr="000232DD">
        <w:rPr>
          <w:rFonts w:ascii="GHEA Grapalat" w:hAnsi="GHEA Grapalat"/>
          <w:color w:val="auto"/>
          <w:szCs w:val="20"/>
          <w:lang w:val="af-ZA"/>
        </w:rPr>
        <w:t xml:space="preserve"> 2026</w:t>
      </w:r>
      <w:r w:rsidRPr="000232DD">
        <w:rPr>
          <w:rFonts w:ascii="GHEA Grapalat" w:hAnsi="GHEA Grapalat"/>
          <w:color w:val="auto"/>
          <w:szCs w:val="20"/>
          <w:lang w:val="hy-AM"/>
        </w:rPr>
        <w:t>թ</w:t>
      </w:r>
      <w:r w:rsidRPr="000232DD">
        <w:rPr>
          <w:rFonts w:ascii="MS Mincho" w:eastAsia="MS Mincho" w:hAnsi="MS Mincho" w:cs="MS Mincho" w:hint="eastAsia"/>
          <w:color w:val="auto"/>
          <w:szCs w:val="20"/>
          <w:lang w:val="af-ZA"/>
        </w:rPr>
        <w:t>․</w:t>
      </w:r>
      <w:r w:rsidRPr="000232DD">
        <w:rPr>
          <w:rFonts w:ascii="GHEA Grapalat" w:hAnsi="GHEA Grapalat"/>
          <w:color w:val="auto"/>
          <w:szCs w:val="20"/>
          <w:lang w:val="af-ZA"/>
        </w:rPr>
        <w:t xml:space="preserve"> </w:t>
      </w:r>
      <w:r w:rsidRPr="000232DD">
        <w:rPr>
          <w:rFonts w:ascii="GHEA Grapalat" w:hAnsi="GHEA Grapalat"/>
          <w:color w:val="auto"/>
          <w:szCs w:val="20"/>
          <w:lang w:val="hy-AM"/>
        </w:rPr>
        <w:t>պետական</w:t>
      </w:r>
      <w:r w:rsidRPr="000232DD">
        <w:rPr>
          <w:rFonts w:ascii="GHEA Grapalat" w:hAnsi="GHEA Grapalat"/>
          <w:color w:val="auto"/>
          <w:szCs w:val="20"/>
          <w:lang w:val="af-ZA"/>
        </w:rPr>
        <w:t xml:space="preserve"> </w:t>
      </w:r>
      <w:r w:rsidRPr="000232DD">
        <w:rPr>
          <w:rFonts w:ascii="GHEA Grapalat" w:hAnsi="GHEA Grapalat"/>
          <w:color w:val="auto"/>
          <w:szCs w:val="20"/>
          <w:lang w:val="hy-AM"/>
        </w:rPr>
        <w:t>բյուջեն</w:t>
      </w:r>
      <w:r w:rsidRPr="000232DD">
        <w:rPr>
          <w:rFonts w:ascii="GHEA Grapalat" w:hAnsi="GHEA Grapalat"/>
          <w:color w:val="auto"/>
          <w:szCs w:val="20"/>
          <w:lang w:val="af-ZA"/>
        </w:rPr>
        <w:t xml:space="preserve">, </w:t>
      </w:r>
      <w:r w:rsidRPr="000232DD">
        <w:rPr>
          <w:rFonts w:ascii="GHEA Grapalat" w:hAnsi="GHEA Grapalat"/>
          <w:color w:val="auto"/>
          <w:szCs w:val="20"/>
          <w:lang w:val="hy-AM"/>
        </w:rPr>
        <w:t>որը</w:t>
      </w:r>
      <w:r w:rsidRPr="000232DD">
        <w:rPr>
          <w:rFonts w:ascii="GHEA Grapalat" w:hAnsi="GHEA Grapalat"/>
          <w:color w:val="auto"/>
          <w:szCs w:val="20"/>
          <w:lang w:val="af-ZA"/>
        </w:rPr>
        <w:t xml:space="preserve"> </w:t>
      </w:r>
      <w:r w:rsidRPr="000232DD">
        <w:rPr>
          <w:rFonts w:ascii="GHEA Grapalat" w:hAnsi="GHEA Grapalat"/>
          <w:color w:val="auto"/>
          <w:szCs w:val="20"/>
          <w:lang w:val="hy-AM"/>
        </w:rPr>
        <w:t>նախորդ՝</w:t>
      </w:r>
      <w:r w:rsidRPr="000232DD">
        <w:rPr>
          <w:rFonts w:ascii="GHEA Grapalat" w:hAnsi="GHEA Grapalat"/>
          <w:color w:val="auto"/>
          <w:szCs w:val="20"/>
          <w:lang w:val="af-ZA"/>
        </w:rPr>
        <w:t xml:space="preserve"> 2025 </w:t>
      </w:r>
      <w:r w:rsidRPr="000232DD">
        <w:rPr>
          <w:rFonts w:ascii="GHEA Grapalat" w:hAnsi="GHEA Grapalat"/>
          <w:color w:val="auto"/>
          <w:szCs w:val="20"/>
          <w:lang w:val="hy-AM"/>
        </w:rPr>
        <w:t>թվականի</w:t>
      </w:r>
      <w:r w:rsidRPr="000232DD">
        <w:rPr>
          <w:rFonts w:ascii="GHEA Grapalat" w:hAnsi="GHEA Grapalat"/>
          <w:color w:val="auto"/>
          <w:szCs w:val="20"/>
          <w:lang w:val="af-ZA"/>
        </w:rPr>
        <w:t xml:space="preserve"> </w:t>
      </w:r>
      <w:r w:rsidRPr="000232DD">
        <w:rPr>
          <w:rFonts w:ascii="GHEA Grapalat" w:hAnsi="GHEA Grapalat"/>
          <w:color w:val="auto"/>
          <w:szCs w:val="20"/>
          <w:lang w:val="hy-AM"/>
        </w:rPr>
        <w:t>համեմատ</w:t>
      </w:r>
      <w:r w:rsidRPr="000232DD">
        <w:rPr>
          <w:rFonts w:ascii="GHEA Grapalat" w:hAnsi="GHEA Grapalat"/>
          <w:color w:val="auto"/>
          <w:szCs w:val="20"/>
          <w:lang w:val="af-ZA"/>
        </w:rPr>
        <w:t xml:space="preserve"> </w:t>
      </w:r>
      <w:r w:rsidRPr="000232DD">
        <w:rPr>
          <w:rFonts w:ascii="GHEA Grapalat" w:hAnsi="GHEA Grapalat"/>
          <w:color w:val="auto"/>
          <w:szCs w:val="20"/>
          <w:lang w:val="hy-AM"/>
        </w:rPr>
        <w:t>հաստատվել</w:t>
      </w:r>
      <w:r w:rsidRPr="000232DD">
        <w:rPr>
          <w:rFonts w:ascii="GHEA Grapalat" w:hAnsi="GHEA Grapalat"/>
          <w:color w:val="auto"/>
          <w:szCs w:val="20"/>
          <w:lang w:val="af-ZA"/>
        </w:rPr>
        <w:t xml:space="preserve"> </w:t>
      </w:r>
      <w:r w:rsidRPr="000232DD">
        <w:rPr>
          <w:rFonts w:ascii="GHEA Grapalat" w:hAnsi="GHEA Grapalat"/>
          <w:color w:val="auto"/>
          <w:szCs w:val="20"/>
          <w:lang w:val="hy-AM"/>
        </w:rPr>
        <w:t>է</w:t>
      </w:r>
      <w:r w:rsidRPr="000232DD">
        <w:rPr>
          <w:rFonts w:ascii="GHEA Grapalat" w:hAnsi="GHEA Grapalat"/>
          <w:color w:val="auto"/>
          <w:szCs w:val="20"/>
          <w:lang w:val="af-ZA"/>
        </w:rPr>
        <w:t xml:space="preserve"> </w:t>
      </w:r>
      <w:r w:rsidRPr="000232DD">
        <w:rPr>
          <w:rFonts w:ascii="GHEA Grapalat" w:hAnsi="GHEA Grapalat"/>
          <w:color w:val="auto"/>
          <w:szCs w:val="20"/>
          <w:lang w:val="hy-AM"/>
        </w:rPr>
        <w:t>ծախսերի</w:t>
      </w:r>
      <w:r w:rsidRPr="000232DD">
        <w:rPr>
          <w:rFonts w:ascii="GHEA Grapalat" w:hAnsi="GHEA Grapalat"/>
          <w:color w:val="auto"/>
          <w:szCs w:val="20"/>
          <w:lang w:val="af-ZA"/>
        </w:rPr>
        <w:t xml:space="preserve"> 323</w:t>
      </w:r>
      <w:r w:rsidRPr="000232DD">
        <w:rPr>
          <w:rFonts w:ascii="MS Mincho" w:eastAsia="MS Mincho" w:hAnsi="MS Mincho" w:cs="MS Mincho" w:hint="eastAsia"/>
          <w:color w:val="auto"/>
          <w:szCs w:val="20"/>
          <w:lang w:val="af-ZA"/>
        </w:rPr>
        <w:t>․</w:t>
      </w:r>
      <w:r w:rsidRPr="000232DD">
        <w:rPr>
          <w:rFonts w:ascii="GHEA Grapalat" w:hAnsi="GHEA Grapalat"/>
          <w:color w:val="auto"/>
          <w:szCs w:val="20"/>
          <w:lang w:val="af-ZA"/>
        </w:rPr>
        <w:t xml:space="preserve">3 </w:t>
      </w:r>
      <w:r w:rsidRPr="000232DD">
        <w:rPr>
          <w:rFonts w:ascii="GHEA Grapalat" w:hAnsi="GHEA Grapalat"/>
          <w:color w:val="auto"/>
          <w:szCs w:val="20"/>
          <w:lang w:val="hy-AM"/>
        </w:rPr>
        <w:t>մլրդ</w:t>
      </w:r>
      <w:r w:rsidRPr="000232DD">
        <w:rPr>
          <w:rFonts w:ascii="MS Mincho" w:eastAsia="MS Mincho" w:hAnsi="MS Mincho" w:cs="MS Mincho" w:hint="eastAsia"/>
          <w:color w:val="auto"/>
          <w:szCs w:val="20"/>
          <w:lang w:val="af-ZA"/>
        </w:rPr>
        <w:t>․</w:t>
      </w:r>
      <w:r w:rsidRPr="000232DD">
        <w:rPr>
          <w:rFonts w:ascii="GHEA Grapalat" w:hAnsi="GHEA Grapalat"/>
          <w:color w:val="auto"/>
          <w:szCs w:val="20"/>
          <w:lang w:val="af-ZA"/>
        </w:rPr>
        <w:t xml:space="preserve"> </w:t>
      </w:r>
      <w:r w:rsidRPr="000232DD">
        <w:rPr>
          <w:rFonts w:ascii="GHEA Grapalat" w:hAnsi="GHEA Grapalat"/>
          <w:color w:val="auto"/>
          <w:szCs w:val="20"/>
          <w:lang w:val="hy-AM"/>
        </w:rPr>
        <w:t>ՀՀ</w:t>
      </w:r>
      <w:r w:rsidRPr="000232DD">
        <w:rPr>
          <w:rFonts w:ascii="GHEA Grapalat" w:hAnsi="GHEA Grapalat"/>
          <w:color w:val="auto"/>
          <w:szCs w:val="20"/>
          <w:lang w:val="af-ZA"/>
        </w:rPr>
        <w:t xml:space="preserve"> </w:t>
      </w:r>
      <w:r w:rsidRPr="000232DD">
        <w:rPr>
          <w:rFonts w:ascii="GHEA Grapalat" w:hAnsi="GHEA Grapalat"/>
          <w:color w:val="auto"/>
          <w:szCs w:val="20"/>
          <w:lang w:val="hy-AM"/>
        </w:rPr>
        <w:t>դրամ</w:t>
      </w:r>
      <w:r w:rsidRPr="000232DD">
        <w:rPr>
          <w:rFonts w:ascii="GHEA Grapalat" w:hAnsi="GHEA Grapalat"/>
          <w:color w:val="auto"/>
          <w:szCs w:val="20"/>
          <w:lang w:val="af-ZA"/>
        </w:rPr>
        <w:t xml:space="preserve"> </w:t>
      </w:r>
      <w:r w:rsidRPr="000232DD">
        <w:rPr>
          <w:rFonts w:ascii="GHEA Grapalat" w:hAnsi="GHEA Grapalat"/>
          <w:color w:val="auto"/>
          <w:szCs w:val="20"/>
          <w:lang w:val="hy-AM"/>
        </w:rPr>
        <w:t>ավել</w:t>
      </w:r>
      <w:r w:rsidRPr="000232DD">
        <w:rPr>
          <w:rFonts w:ascii="GHEA Grapalat" w:hAnsi="GHEA Grapalat"/>
          <w:color w:val="auto"/>
          <w:szCs w:val="20"/>
          <w:lang w:val="af-ZA"/>
        </w:rPr>
        <w:t xml:space="preserve"> </w:t>
      </w:r>
      <w:r w:rsidRPr="000232DD">
        <w:rPr>
          <w:rFonts w:ascii="GHEA Grapalat" w:hAnsi="GHEA Grapalat"/>
          <w:color w:val="auto"/>
          <w:szCs w:val="20"/>
          <w:lang w:val="hy-AM"/>
        </w:rPr>
        <w:t>չափով։</w:t>
      </w:r>
      <w:r w:rsidRPr="000232DD">
        <w:rPr>
          <w:rFonts w:ascii="GHEA Grapalat" w:hAnsi="GHEA Grapalat"/>
          <w:color w:val="auto"/>
          <w:szCs w:val="20"/>
          <w:lang w:val="af-ZA"/>
        </w:rPr>
        <w:t xml:space="preserve">  </w:t>
      </w:r>
      <w:r w:rsidRPr="000232DD">
        <w:rPr>
          <w:rFonts w:ascii="GHEA Grapalat" w:hAnsi="GHEA Grapalat"/>
          <w:color w:val="auto"/>
          <w:szCs w:val="20"/>
          <w:lang w:val="hy-AM"/>
        </w:rPr>
        <w:t>Ծախսերի</w:t>
      </w:r>
      <w:r w:rsidRPr="000232DD">
        <w:rPr>
          <w:rFonts w:ascii="GHEA Grapalat" w:hAnsi="GHEA Grapalat"/>
          <w:color w:val="auto"/>
          <w:szCs w:val="20"/>
          <w:lang w:val="af-ZA"/>
        </w:rPr>
        <w:t xml:space="preserve"> </w:t>
      </w:r>
      <w:r w:rsidRPr="000232DD">
        <w:rPr>
          <w:rFonts w:ascii="GHEA Grapalat" w:hAnsi="GHEA Grapalat"/>
          <w:color w:val="auto"/>
          <w:szCs w:val="20"/>
          <w:lang w:val="hy-AM"/>
        </w:rPr>
        <w:t>աճման</w:t>
      </w:r>
      <w:r w:rsidRPr="000232DD">
        <w:rPr>
          <w:rFonts w:ascii="GHEA Grapalat" w:hAnsi="GHEA Grapalat"/>
          <w:color w:val="auto"/>
          <w:szCs w:val="20"/>
          <w:lang w:val="af-ZA"/>
        </w:rPr>
        <w:t xml:space="preserve"> </w:t>
      </w:r>
      <w:r w:rsidRPr="000232DD">
        <w:rPr>
          <w:rFonts w:ascii="GHEA Grapalat" w:hAnsi="GHEA Grapalat"/>
          <w:color w:val="auto"/>
          <w:szCs w:val="20"/>
          <w:lang w:val="hy-AM"/>
        </w:rPr>
        <w:t>միտումը</w:t>
      </w:r>
      <w:r w:rsidRPr="000232DD">
        <w:rPr>
          <w:rFonts w:ascii="GHEA Grapalat" w:hAnsi="GHEA Grapalat"/>
          <w:color w:val="auto"/>
          <w:szCs w:val="20"/>
          <w:lang w:val="af-ZA"/>
        </w:rPr>
        <w:t xml:space="preserve"> </w:t>
      </w:r>
      <w:r w:rsidRPr="000232DD">
        <w:rPr>
          <w:rFonts w:ascii="GHEA Grapalat" w:hAnsi="GHEA Grapalat"/>
          <w:color w:val="auto"/>
          <w:szCs w:val="20"/>
          <w:lang w:val="hy-AM"/>
        </w:rPr>
        <w:t>պահպանվելու</w:t>
      </w:r>
      <w:r w:rsidRPr="000232DD">
        <w:rPr>
          <w:rFonts w:ascii="GHEA Grapalat" w:hAnsi="GHEA Grapalat"/>
          <w:color w:val="auto"/>
          <w:szCs w:val="20"/>
          <w:lang w:val="af-ZA"/>
        </w:rPr>
        <w:t xml:space="preserve"> </w:t>
      </w:r>
      <w:r w:rsidRPr="000232DD">
        <w:rPr>
          <w:rFonts w:ascii="GHEA Grapalat" w:hAnsi="GHEA Grapalat"/>
          <w:color w:val="auto"/>
          <w:szCs w:val="20"/>
          <w:lang w:val="hy-AM"/>
        </w:rPr>
        <w:t>է</w:t>
      </w:r>
      <w:r w:rsidRPr="000232DD">
        <w:rPr>
          <w:rFonts w:ascii="GHEA Grapalat" w:hAnsi="GHEA Grapalat"/>
          <w:color w:val="auto"/>
          <w:szCs w:val="20"/>
          <w:lang w:val="af-ZA"/>
        </w:rPr>
        <w:t xml:space="preserve"> </w:t>
      </w:r>
      <w:r w:rsidR="0010028E">
        <w:rPr>
          <w:rFonts w:ascii="GHEA Grapalat" w:hAnsi="GHEA Grapalat"/>
          <w:color w:val="auto"/>
          <w:szCs w:val="20"/>
          <w:lang w:val="af-ZA"/>
        </w:rPr>
        <w:t xml:space="preserve">նաև </w:t>
      </w:r>
      <w:r w:rsidRPr="000232DD">
        <w:rPr>
          <w:rFonts w:ascii="GHEA Grapalat" w:hAnsi="GHEA Grapalat"/>
          <w:color w:val="auto"/>
          <w:szCs w:val="20"/>
          <w:lang w:val="af-ZA"/>
        </w:rPr>
        <w:t xml:space="preserve">2027 </w:t>
      </w:r>
      <w:r w:rsidRPr="000232DD">
        <w:rPr>
          <w:rFonts w:ascii="GHEA Grapalat" w:hAnsi="GHEA Grapalat"/>
          <w:color w:val="auto"/>
          <w:szCs w:val="20"/>
          <w:lang w:val="hy-AM"/>
        </w:rPr>
        <w:t>թվականին</w:t>
      </w:r>
      <w:r w:rsidR="0010028E">
        <w:rPr>
          <w:rFonts w:ascii="GHEA Grapalat" w:hAnsi="GHEA Grapalat"/>
          <w:color w:val="auto"/>
          <w:szCs w:val="20"/>
          <w:lang w:val="hy-AM"/>
        </w:rPr>
        <w:t>՝</w:t>
      </w:r>
      <w:r w:rsidRPr="000232DD">
        <w:rPr>
          <w:rFonts w:ascii="GHEA Grapalat" w:hAnsi="GHEA Grapalat"/>
          <w:color w:val="auto"/>
          <w:szCs w:val="20"/>
          <w:lang w:val="af-ZA"/>
        </w:rPr>
        <w:t xml:space="preserve"> 2026 </w:t>
      </w:r>
      <w:r w:rsidRPr="000232DD">
        <w:rPr>
          <w:rFonts w:ascii="GHEA Grapalat" w:hAnsi="GHEA Grapalat"/>
          <w:color w:val="auto"/>
          <w:szCs w:val="20"/>
        </w:rPr>
        <w:t>թվականի</w:t>
      </w:r>
      <w:r w:rsidRPr="000232DD">
        <w:rPr>
          <w:rFonts w:ascii="GHEA Grapalat" w:hAnsi="GHEA Grapalat"/>
          <w:color w:val="auto"/>
          <w:szCs w:val="20"/>
          <w:lang w:val="af-ZA"/>
        </w:rPr>
        <w:t xml:space="preserve"> </w:t>
      </w:r>
      <w:r w:rsidRPr="000232DD">
        <w:rPr>
          <w:rFonts w:ascii="GHEA Grapalat" w:hAnsi="GHEA Grapalat"/>
          <w:color w:val="auto"/>
          <w:szCs w:val="20"/>
        </w:rPr>
        <w:t>բյուջետային</w:t>
      </w:r>
      <w:r w:rsidRPr="000232DD">
        <w:rPr>
          <w:rFonts w:ascii="GHEA Grapalat" w:hAnsi="GHEA Grapalat"/>
          <w:color w:val="auto"/>
          <w:szCs w:val="20"/>
          <w:lang w:val="af-ZA"/>
        </w:rPr>
        <w:t xml:space="preserve"> </w:t>
      </w:r>
      <w:r w:rsidRPr="000232DD">
        <w:rPr>
          <w:rFonts w:ascii="GHEA Grapalat" w:hAnsi="GHEA Grapalat"/>
          <w:color w:val="auto"/>
          <w:szCs w:val="20"/>
        </w:rPr>
        <w:t>ծախսերի</w:t>
      </w:r>
      <w:r w:rsidRPr="000232DD">
        <w:rPr>
          <w:rFonts w:ascii="GHEA Grapalat" w:hAnsi="GHEA Grapalat"/>
          <w:color w:val="auto"/>
          <w:szCs w:val="20"/>
          <w:lang w:val="af-ZA"/>
        </w:rPr>
        <w:t xml:space="preserve"> </w:t>
      </w:r>
      <w:r w:rsidRPr="000232DD">
        <w:rPr>
          <w:rFonts w:ascii="GHEA Grapalat" w:hAnsi="GHEA Grapalat"/>
          <w:color w:val="auto"/>
          <w:szCs w:val="20"/>
        </w:rPr>
        <w:t>չափաքանակներ</w:t>
      </w:r>
      <w:r w:rsidR="0010028E">
        <w:rPr>
          <w:rFonts w:ascii="GHEA Grapalat" w:hAnsi="GHEA Grapalat"/>
          <w:color w:val="auto"/>
          <w:szCs w:val="20"/>
        </w:rPr>
        <w:t>ի</w:t>
      </w:r>
      <w:r w:rsidR="0010028E" w:rsidRPr="0010028E">
        <w:rPr>
          <w:rFonts w:ascii="GHEA Grapalat" w:hAnsi="GHEA Grapalat"/>
          <w:color w:val="auto"/>
          <w:szCs w:val="20"/>
          <w:lang w:val="af-ZA"/>
        </w:rPr>
        <w:t xml:space="preserve"> </w:t>
      </w:r>
      <w:r w:rsidR="0010028E">
        <w:rPr>
          <w:rFonts w:ascii="GHEA Grapalat" w:hAnsi="GHEA Grapalat"/>
          <w:color w:val="auto"/>
          <w:szCs w:val="20"/>
          <w:lang w:val="af-ZA"/>
        </w:rPr>
        <w:t>նկատմամբ՝</w:t>
      </w:r>
      <w:r w:rsidRPr="000232DD">
        <w:rPr>
          <w:rFonts w:ascii="GHEA Grapalat" w:hAnsi="GHEA Grapalat"/>
          <w:color w:val="auto"/>
          <w:szCs w:val="20"/>
          <w:lang w:val="af-ZA"/>
        </w:rPr>
        <w:t xml:space="preserve"> </w:t>
      </w:r>
      <w:r w:rsidRPr="000232DD">
        <w:rPr>
          <w:rFonts w:ascii="GHEA Grapalat" w:hAnsi="GHEA Grapalat"/>
          <w:color w:val="auto"/>
          <w:szCs w:val="20"/>
        </w:rPr>
        <w:t>շուրջ</w:t>
      </w:r>
      <w:r w:rsidRPr="000232DD">
        <w:rPr>
          <w:rFonts w:ascii="GHEA Grapalat" w:hAnsi="GHEA Grapalat"/>
          <w:color w:val="auto"/>
          <w:szCs w:val="20"/>
          <w:lang w:val="af-ZA"/>
        </w:rPr>
        <w:t xml:space="preserve"> 444.4 </w:t>
      </w:r>
      <w:r w:rsidRPr="000232DD">
        <w:rPr>
          <w:rFonts w:ascii="GHEA Grapalat" w:hAnsi="GHEA Grapalat"/>
          <w:color w:val="auto"/>
          <w:szCs w:val="20"/>
        </w:rPr>
        <w:t>մլրդ</w:t>
      </w:r>
      <w:r w:rsidRPr="000232DD">
        <w:rPr>
          <w:rFonts w:ascii="GHEA Grapalat" w:hAnsi="GHEA Grapalat"/>
          <w:color w:val="auto"/>
          <w:szCs w:val="20"/>
          <w:lang w:val="af-ZA"/>
        </w:rPr>
        <w:t xml:space="preserve"> </w:t>
      </w:r>
      <w:r w:rsidRPr="000232DD">
        <w:rPr>
          <w:rFonts w:ascii="GHEA Grapalat" w:hAnsi="GHEA Grapalat"/>
          <w:color w:val="auto"/>
          <w:szCs w:val="20"/>
        </w:rPr>
        <w:t>ՀՀ</w:t>
      </w:r>
      <w:r w:rsidRPr="000232DD">
        <w:rPr>
          <w:rFonts w:ascii="GHEA Grapalat" w:hAnsi="GHEA Grapalat"/>
          <w:color w:val="auto"/>
          <w:szCs w:val="20"/>
          <w:lang w:val="af-ZA"/>
        </w:rPr>
        <w:t xml:space="preserve"> </w:t>
      </w:r>
      <w:r w:rsidRPr="000232DD">
        <w:rPr>
          <w:rFonts w:ascii="GHEA Grapalat" w:hAnsi="GHEA Grapalat"/>
          <w:color w:val="auto"/>
          <w:szCs w:val="20"/>
        </w:rPr>
        <w:t>դրամի</w:t>
      </w:r>
      <w:r w:rsidRPr="000232DD">
        <w:rPr>
          <w:rFonts w:ascii="GHEA Grapalat" w:hAnsi="GHEA Grapalat"/>
          <w:color w:val="auto"/>
          <w:szCs w:val="20"/>
          <w:lang w:val="af-ZA"/>
        </w:rPr>
        <w:t xml:space="preserve"> </w:t>
      </w:r>
      <w:r w:rsidRPr="000232DD">
        <w:rPr>
          <w:rFonts w:ascii="GHEA Grapalat" w:hAnsi="GHEA Grapalat"/>
          <w:color w:val="auto"/>
          <w:szCs w:val="20"/>
        </w:rPr>
        <w:t>չափով</w:t>
      </w:r>
      <w:r w:rsidRPr="000232DD">
        <w:rPr>
          <w:rFonts w:ascii="GHEA Grapalat" w:hAnsi="GHEA Grapalat"/>
          <w:color w:val="auto"/>
          <w:szCs w:val="20"/>
          <w:lang w:val="af-ZA"/>
        </w:rPr>
        <w:t>: 2028 թվականին</w:t>
      </w:r>
      <w:r w:rsidRPr="000232DD">
        <w:rPr>
          <w:rFonts w:ascii="GHEA Grapalat" w:hAnsi="GHEA Grapalat"/>
          <w:color w:val="auto"/>
          <w:szCs w:val="20"/>
          <w:lang w:val="hy-AM"/>
        </w:rPr>
        <w:t xml:space="preserve"> նախատեսվում է ընդամենը ծախսերի աճ 2027 թվականի պլանավորված ցուցանիշի համեմատ՝ շուրջ 292.4 մլրդ դրամի չափով, իսկ 2029 թվականին՝ 2028 թվականի պլանավորված ցուցանիշի նկատմամբ աճը կկազմի շուրջ 238.4 մլրդ դրամ:  </w:t>
      </w:r>
    </w:p>
    <w:p w14:paraId="0DF2928F" w14:textId="57ACF816" w:rsidR="0052459E" w:rsidRPr="00E73A9A" w:rsidRDefault="0052459E" w:rsidP="00082769">
      <w:pPr>
        <w:pStyle w:val="Charts"/>
        <w:ind w:right="-22"/>
        <w:rPr>
          <w:b w:val="0"/>
          <w:bCs/>
          <w:color w:val="auto"/>
          <w:sz w:val="20"/>
          <w:szCs w:val="18"/>
        </w:rPr>
      </w:pPr>
      <w:bookmarkStart w:id="407" w:name="_Toc241608100"/>
      <w:r w:rsidRPr="00E73A9A">
        <w:rPr>
          <w:b w:val="0"/>
          <w:bCs/>
          <w:color w:val="auto"/>
          <w:sz w:val="20"/>
          <w:szCs w:val="18"/>
        </w:rPr>
        <w:t xml:space="preserve">Գծապատկեր </w:t>
      </w:r>
      <w:r w:rsidRPr="00E73A9A">
        <w:rPr>
          <w:b w:val="0"/>
          <w:bCs/>
          <w:color w:val="auto"/>
          <w:sz w:val="20"/>
          <w:szCs w:val="18"/>
        </w:rPr>
        <w:fldChar w:fldCharType="begin"/>
      </w:r>
      <w:r w:rsidRPr="00E73A9A">
        <w:rPr>
          <w:b w:val="0"/>
          <w:bCs/>
          <w:color w:val="auto"/>
          <w:sz w:val="20"/>
          <w:szCs w:val="18"/>
        </w:rPr>
        <w:instrText xml:space="preserve"> SEQ գծապատկեր \* ARABIC </w:instrText>
      </w:r>
      <w:r w:rsidRPr="00E73A9A">
        <w:rPr>
          <w:b w:val="0"/>
          <w:bCs/>
          <w:color w:val="auto"/>
          <w:sz w:val="20"/>
          <w:szCs w:val="18"/>
        </w:rPr>
        <w:fldChar w:fldCharType="separate"/>
      </w:r>
      <w:r w:rsidR="00E46048">
        <w:rPr>
          <w:b w:val="0"/>
          <w:bCs/>
          <w:noProof/>
          <w:color w:val="auto"/>
          <w:sz w:val="20"/>
          <w:szCs w:val="18"/>
        </w:rPr>
        <w:t>5</w:t>
      </w:r>
      <w:r w:rsidRPr="00E73A9A">
        <w:rPr>
          <w:b w:val="0"/>
          <w:bCs/>
          <w:color w:val="auto"/>
          <w:sz w:val="20"/>
          <w:szCs w:val="18"/>
        </w:rPr>
        <w:fldChar w:fldCharType="end"/>
      </w:r>
      <w:r w:rsidRPr="00E73A9A">
        <w:rPr>
          <w:b w:val="0"/>
          <w:bCs/>
          <w:color w:val="auto"/>
          <w:sz w:val="20"/>
          <w:szCs w:val="18"/>
        </w:rPr>
        <w:t>. 2023-2029թթ</w:t>
      </w:r>
      <w:r w:rsidRPr="00E73A9A">
        <w:rPr>
          <w:rFonts w:hint="eastAsia"/>
          <w:b w:val="0"/>
          <w:bCs/>
          <w:color w:val="auto"/>
          <w:sz w:val="20"/>
          <w:szCs w:val="18"/>
        </w:rPr>
        <w:t>․</w:t>
      </w:r>
      <w:r w:rsidRPr="00E73A9A">
        <w:rPr>
          <w:b w:val="0"/>
          <w:bCs/>
          <w:color w:val="auto"/>
          <w:sz w:val="20"/>
          <w:szCs w:val="18"/>
        </w:rPr>
        <w:t xml:space="preserve"> ծախսերի համեմատականը</w:t>
      </w:r>
      <w:bookmarkEnd w:id="407"/>
      <w:r w:rsidRPr="00E73A9A">
        <w:rPr>
          <w:b w:val="0"/>
          <w:bCs/>
          <w:color w:val="auto"/>
          <w:sz w:val="20"/>
          <w:szCs w:val="18"/>
        </w:rPr>
        <w:t xml:space="preserve"> </w:t>
      </w:r>
    </w:p>
    <w:p w14:paraId="01EF2083" w14:textId="5689A9DA" w:rsidR="0052459E" w:rsidRPr="000232DD" w:rsidRDefault="0052459E" w:rsidP="00082769">
      <w:pPr>
        <w:ind w:right="-22"/>
        <w:jc w:val="both"/>
        <w:rPr>
          <w:color w:val="auto"/>
          <w:lang w:val="hy-AM"/>
        </w:rPr>
      </w:pPr>
      <w:r w:rsidRPr="000232DD">
        <w:rPr>
          <w:noProof/>
          <w:color w:val="auto"/>
        </w:rPr>
        <w:drawing>
          <wp:inline distT="0" distB="0" distL="0" distR="0" wp14:anchorId="2022B180" wp14:editId="6E003365">
            <wp:extent cx="6193694" cy="1943100"/>
            <wp:effectExtent l="0" t="0" r="17145" b="0"/>
            <wp:docPr id="707081467" name="Chart 707081467"/>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4DBEE687" w14:textId="77777777" w:rsidR="0052459E" w:rsidRPr="000232DD" w:rsidRDefault="0052459E" w:rsidP="00082769">
      <w:pPr>
        <w:spacing w:before="240"/>
        <w:ind w:right="-22"/>
        <w:jc w:val="both"/>
        <w:rPr>
          <w:rFonts w:ascii="GHEA Grapalat" w:hAnsi="GHEA Grapalat"/>
          <w:color w:val="auto"/>
          <w:szCs w:val="20"/>
          <w:lang w:val="hy-AM"/>
        </w:rPr>
      </w:pPr>
      <w:r w:rsidRPr="000232DD">
        <w:rPr>
          <w:rFonts w:ascii="GHEA Grapalat" w:hAnsi="GHEA Grapalat"/>
          <w:color w:val="auto"/>
          <w:szCs w:val="20"/>
          <w:lang w:val="hy-AM"/>
        </w:rPr>
        <w:t>ՀՀ 2023-2029 թվականների պետական բյուջեների ծախսեր՝ ըստ ոլորտ</w:t>
      </w:r>
      <w:r w:rsidRPr="000232DD">
        <w:rPr>
          <w:rFonts w:ascii="GHEA Grapalat" w:hAnsi="GHEA Grapalat"/>
          <w:color w:val="auto"/>
          <w:szCs w:val="20"/>
          <w:lang w:val="hy-AM"/>
        </w:rPr>
        <w:softHyphen/>
        <w:t>ների բնութագրվում են ստորև ներկայացված աղյուսակի ցուցանիշներով:</w:t>
      </w:r>
    </w:p>
    <w:p w14:paraId="2F9EB7F1" w14:textId="03B7C2D3" w:rsidR="0052459E" w:rsidRPr="00E73A9A" w:rsidRDefault="0052459E" w:rsidP="00E73A9A">
      <w:pPr>
        <w:pStyle w:val="Charts"/>
        <w:ind w:right="-22"/>
        <w:rPr>
          <w:b w:val="0"/>
          <w:bCs/>
          <w:color w:val="auto"/>
          <w:sz w:val="20"/>
          <w:szCs w:val="18"/>
        </w:rPr>
      </w:pPr>
      <w:r w:rsidRPr="00E73A9A">
        <w:rPr>
          <w:b w:val="0"/>
          <w:bCs/>
          <w:color w:val="auto"/>
          <w:sz w:val="20"/>
          <w:szCs w:val="18"/>
        </w:rPr>
        <w:t>Աղյուսակ 13</w:t>
      </w:r>
      <w:r w:rsidRPr="00E73A9A">
        <w:rPr>
          <w:rFonts w:ascii="Cambria Math" w:hAnsi="Cambria Math" w:cs="Cambria Math"/>
          <w:b w:val="0"/>
          <w:bCs/>
          <w:color w:val="auto"/>
          <w:sz w:val="20"/>
          <w:szCs w:val="18"/>
        </w:rPr>
        <w:t>․</w:t>
      </w:r>
      <w:r w:rsidRPr="00E73A9A">
        <w:rPr>
          <w:b w:val="0"/>
          <w:bCs/>
          <w:color w:val="auto"/>
          <w:sz w:val="20"/>
          <w:szCs w:val="18"/>
        </w:rPr>
        <w:t xml:space="preserve"> ՀՀ 2023-2029թթ. պետական բյուջեների ծախսերը՝ ըստ ոլորտների (մ</w:t>
      </w:r>
      <w:r w:rsidR="00177C18">
        <w:rPr>
          <w:b w:val="0"/>
          <w:bCs/>
          <w:color w:val="auto"/>
          <w:sz w:val="20"/>
          <w:szCs w:val="18"/>
        </w:rPr>
        <w:t>լ</w:t>
      </w:r>
      <w:r w:rsidRPr="00E73A9A">
        <w:rPr>
          <w:b w:val="0"/>
          <w:bCs/>
          <w:color w:val="auto"/>
          <w:sz w:val="20"/>
          <w:szCs w:val="18"/>
        </w:rPr>
        <w:t>րդ դրամ)</w:t>
      </w:r>
    </w:p>
    <w:tbl>
      <w:tblPr>
        <w:tblW w:w="9736" w:type="dxa"/>
        <w:tblInd w:w="-10" w:type="dxa"/>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ook w:val="04A0" w:firstRow="1" w:lastRow="0" w:firstColumn="1" w:lastColumn="0" w:noHBand="0" w:noVBand="1"/>
      </w:tblPr>
      <w:tblGrid>
        <w:gridCol w:w="3296"/>
        <w:gridCol w:w="937"/>
        <w:gridCol w:w="941"/>
        <w:gridCol w:w="947"/>
        <w:gridCol w:w="934"/>
        <w:gridCol w:w="838"/>
        <w:gridCol w:w="841"/>
        <w:gridCol w:w="1002"/>
      </w:tblGrid>
      <w:tr w:rsidR="004C0C21" w:rsidRPr="00BD348F" w14:paraId="63DAD91D" w14:textId="77777777" w:rsidTr="00DE6A4A">
        <w:trPr>
          <w:trHeight w:val="360"/>
        </w:trPr>
        <w:tc>
          <w:tcPr>
            <w:tcW w:w="3302" w:type="dxa"/>
            <w:vMerge w:val="restart"/>
            <w:shd w:val="clear" w:color="auto" w:fill="DAE9F7" w:themeFill="text2" w:themeFillTint="1A"/>
            <w:vAlign w:val="center"/>
          </w:tcPr>
          <w:p w14:paraId="77035C6F" w14:textId="77777777" w:rsidR="0052459E" w:rsidRPr="00BD348F" w:rsidRDefault="0052459E" w:rsidP="00082769">
            <w:pPr>
              <w:spacing w:before="0" w:after="0" w:line="240" w:lineRule="auto"/>
              <w:ind w:right="-22"/>
              <w:rPr>
                <w:rFonts w:ascii="GHEA Grapalat" w:hAnsi="GHEA Grapalat"/>
                <w:b/>
                <w:color w:val="auto"/>
                <w:sz w:val="18"/>
                <w:szCs w:val="18"/>
              </w:rPr>
            </w:pPr>
            <w:r w:rsidRPr="00BD348F">
              <w:rPr>
                <w:rFonts w:ascii="GHEA Grapalat" w:hAnsi="GHEA Grapalat" w:cs="Sylfaen"/>
                <w:b/>
                <w:color w:val="auto"/>
                <w:sz w:val="18"/>
                <w:szCs w:val="18"/>
              </w:rPr>
              <w:t>Ցուցանիշ</w:t>
            </w:r>
          </w:p>
        </w:tc>
        <w:tc>
          <w:tcPr>
            <w:tcW w:w="2825" w:type="dxa"/>
            <w:gridSpan w:val="3"/>
            <w:shd w:val="clear" w:color="auto" w:fill="DAE9F7" w:themeFill="text2" w:themeFillTint="1A"/>
            <w:vAlign w:val="center"/>
          </w:tcPr>
          <w:p w14:paraId="56FDFDE4"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cs="Sylfaen"/>
                <w:b/>
                <w:color w:val="auto"/>
                <w:sz w:val="18"/>
                <w:szCs w:val="18"/>
              </w:rPr>
              <w:t>Փաստ</w:t>
            </w:r>
          </w:p>
        </w:tc>
        <w:tc>
          <w:tcPr>
            <w:tcW w:w="934" w:type="dxa"/>
            <w:shd w:val="clear" w:color="auto" w:fill="DAE9F7" w:themeFill="text2" w:themeFillTint="1A"/>
            <w:vAlign w:val="center"/>
          </w:tcPr>
          <w:p w14:paraId="6901FF7F"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cs="Sylfaen"/>
                <w:b/>
                <w:color w:val="auto"/>
                <w:sz w:val="18"/>
                <w:szCs w:val="18"/>
              </w:rPr>
              <w:t>Բյուջե</w:t>
            </w:r>
          </w:p>
        </w:tc>
        <w:tc>
          <w:tcPr>
            <w:tcW w:w="2675" w:type="dxa"/>
            <w:gridSpan w:val="3"/>
            <w:shd w:val="clear" w:color="auto" w:fill="DAE9F7" w:themeFill="text2" w:themeFillTint="1A"/>
            <w:vAlign w:val="center"/>
          </w:tcPr>
          <w:p w14:paraId="0CB3AC04"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cs="Sylfaen"/>
                <w:b/>
                <w:color w:val="auto"/>
                <w:sz w:val="18"/>
                <w:szCs w:val="18"/>
                <w:lang w:val="hy-AM"/>
              </w:rPr>
              <w:t>Ծ</w:t>
            </w:r>
            <w:r w:rsidRPr="00BD348F">
              <w:rPr>
                <w:rFonts w:ascii="GHEA Grapalat" w:hAnsi="GHEA Grapalat" w:cs="Sylfaen"/>
                <w:b/>
                <w:color w:val="auto"/>
                <w:sz w:val="18"/>
                <w:szCs w:val="18"/>
              </w:rPr>
              <w:t>րագիր</w:t>
            </w:r>
          </w:p>
        </w:tc>
      </w:tr>
      <w:tr w:rsidR="004C0C21" w:rsidRPr="00BD348F" w14:paraId="6B6E47A6" w14:textId="77777777" w:rsidTr="00DE6A4A">
        <w:trPr>
          <w:trHeight w:val="360"/>
        </w:trPr>
        <w:tc>
          <w:tcPr>
            <w:tcW w:w="3302" w:type="dxa"/>
            <w:vMerge/>
            <w:shd w:val="clear" w:color="auto" w:fill="DAE9F7" w:themeFill="text2" w:themeFillTint="1A"/>
          </w:tcPr>
          <w:p w14:paraId="5DC80832" w14:textId="77777777" w:rsidR="0052459E" w:rsidRPr="00BD348F" w:rsidRDefault="0052459E" w:rsidP="00082769">
            <w:pPr>
              <w:spacing w:before="0" w:after="0" w:line="240" w:lineRule="auto"/>
              <w:ind w:right="-22"/>
              <w:rPr>
                <w:rFonts w:ascii="GHEA Grapalat" w:hAnsi="GHEA Grapalat"/>
                <w:b/>
                <w:color w:val="auto"/>
                <w:sz w:val="18"/>
                <w:szCs w:val="18"/>
              </w:rPr>
            </w:pPr>
          </w:p>
        </w:tc>
        <w:tc>
          <w:tcPr>
            <w:tcW w:w="937" w:type="dxa"/>
            <w:shd w:val="clear" w:color="auto" w:fill="DAE9F7" w:themeFill="text2" w:themeFillTint="1A"/>
            <w:vAlign w:val="center"/>
          </w:tcPr>
          <w:p w14:paraId="5DEF5E1F"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b/>
                <w:color w:val="auto"/>
                <w:sz w:val="18"/>
                <w:szCs w:val="18"/>
              </w:rPr>
              <w:t>2023</w:t>
            </w:r>
          </w:p>
        </w:tc>
        <w:tc>
          <w:tcPr>
            <w:tcW w:w="941" w:type="dxa"/>
            <w:shd w:val="clear" w:color="auto" w:fill="DAE9F7" w:themeFill="text2" w:themeFillTint="1A"/>
            <w:vAlign w:val="center"/>
          </w:tcPr>
          <w:p w14:paraId="42FAC40C"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b/>
                <w:color w:val="auto"/>
                <w:sz w:val="18"/>
                <w:szCs w:val="18"/>
              </w:rPr>
              <w:t>2024</w:t>
            </w:r>
          </w:p>
        </w:tc>
        <w:tc>
          <w:tcPr>
            <w:tcW w:w="947" w:type="dxa"/>
            <w:shd w:val="clear" w:color="auto" w:fill="DAE9F7" w:themeFill="text2" w:themeFillTint="1A"/>
            <w:vAlign w:val="center"/>
          </w:tcPr>
          <w:p w14:paraId="293FD2B5"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b/>
                <w:color w:val="auto"/>
                <w:sz w:val="18"/>
                <w:szCs w:val="18"/>
              </w:rPr>
              <w:t>2025</w:t>
            </w:r>
          </w:p>
        </w:tc>
        <w:tc>
          <w:tcPr>
            <w:tcW w:w="934" w:type="dxa"/>
            <w:shd w:val="clear" w:color="auto" w:fill="DAE9F7" w:themeFill="text2" w:themeFillTint="1A"/>
            <w:vAlign w:val="center"/>
          </w:tcPr>
          <w:p w14:paraId="10833523"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b/>
                <w:color w:val="auto"/>
                <w:sz w:val="18"/>
                <w:szCs w:val="18"/>
              </w:rPr>
              <w:t>2026</w:t>
            </w:r>
          </w:p>
        </w:tc>
        <w:tc>
          <w:tcPr>
            <w:tcW w:w="838" w:type="dxa"/>
            <w:shd w:val="clear" w:color="auto" w:fill="DAE9F7" w:themeFill="text2" w:themeFillTint="1A"/>
            <w:vAlign w:val="center"/>
          </w:tcPr>
          <w:p w14:paraId="149A28DA"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b/>
                <w:color w:val="auto"/>
                <w:sz w:val="18"/>
                <w:szCs w:val="18"/>
              </w:rPr>
              <w:t>2027</w:t>
            </w:r>
          </w:p>
        </w:tc>
        <w:tc>
          <w:tcPr>
            <w:tcW w:w="834" w:type="dxa"/>
            <w:shd w:val="clear" w:color="auto" w:fill="DAE9F7" w:themeFill="text2" w:themeFillTint="1A"/>
            <w:vAlign w:val="center"/>
          </w:tcPr>
          <w:p w14:paraId="791E0251"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b/>
                <w:color w:val="auto"/>
                <w:sz w:val="18"/>
                <w:szCs w:val="18"/>
              </w:rPr>
              <w:t>2028</w:t>
            </w:r>
          </w:p>
        </w:tc>
        <w:tc>
          <w:tcPr>
            <w:tcW w:w="1003" w:type="dxa"/>
            <w:shd w:val="clear" w:color="auto" w:fill="DAE9F7" w:themeFill="text2" w:themeFillTint="1A"/>
            <w:vAlign w:val="center"/>
          </w:tcPr>
          <w:p w14:paraId="0F4BD670"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b/>
                <w:color w:val="auto"/>
                <w:sz w:val="18"/>
                <w:szCs w:val="18"/>
              </w:rPr>
              <w:t>2029</w:t>
            </w:r>
          </w:p>
        </w:tc>
      </w:tr>
      <w:tr w:rsidR="00222D9B" w:rsidRPr="00BD348F" w14:paraId="0A716D72" w14:textId="77777777" w:rsidTr="00CB300F">
        <w:trPr>
          <w:trHeight w:val="315"/>
        </w:trPr>
        <w:tc>
          <w:tcPr>
            <w:tcW w:w="3302" w:type="dxa"/>
            <w:vAlign w:val="center"/>
            <w:hideMark/>
          </w:tcPr>
          <w:p w14:paraId="00BF97A8" w14:textId="77777777" w:rsidR="00222D9B" w:rsidRPr="00BD348F" w:rsidRDefault="00222D9B" w:rsidP="00082769">
            <w:pPr>
              <w:spacing w:before="0" w:after="0" w:line="240" w:lineRule="auto"/>
              <w:ind w:right="-22"/>
              <w:rPr>
                <w:rFonts w:ascii="GHEA Grapalat" w:hAnsi="GHEA Grapalat"/>
                <w:b/>
                <w:color w:val="auto"/>
                <w:sz w:val="18"/>
                <w:szCs w:val="18"/>
              </w:rPr>
            </w:pPr>
            <w:r w:rsidRPr="00BD348F">
              <w:rPr>
                <w:rFonts w:ascii="GHEA Grapalat" w:hAnsi="GHEA Grapalat" w:cs="Sylfaen"/>
                <w:b/>
                <w:color w:val="auto"/>
                <w:sz w:val="18"/>
                <w:szCs w:val="18"/>
              </w:rPr>
              <w:t>Ընդամենը</w:t>
            </w:r>
          </w:p>
        </w:tc>
        <w:tc>
          <w:tcPr>
            <w:tcW w:w="937" w:type="dxa"/>
            <w:vAlign w:val="center"/>
          </w:tcPr>
          <w:p w14:paraId="5129AE2B" w14:textId="385C9DA0"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2,547.6</w:t>
            </w:r>
          </w:p>
        </w:tc>
        <w:tc>
          <w:tcPr>
            <w:tcW w:w="941" w:type="dxa"/>
            <w:vAlign w:val="center"/>
          </w:tcPr>
          <w:p w14:paraId="470B92EB" w14:textId="5417CC1B"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2,955.3</w:t>
            </w:r>
          </w:p>
        </w:tc>
        <w:tc>
          <w:tcPr>
            <w:tcW w:w="947" w:type="dxa"/>
            <w:vAlign w:val="center"/>
          </w:tcPr>
          <w:p w14:paraId="22102ADF" w14:textId="2FFDFE80"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3,305.3</w:t>
            </w:r>
          </w:p>
        </w:tc>
        <w:tc>
          <w:tcPr>
            <w:tcW w:w="934" w:type="dxa"/>
            <w:vAlign w:val="center"/>
          </w:tcPr>
          <w:p w14:paraId="61497D42" w14:textId="3E195469"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3,627.6</w:t>
            </w:r>
          </w:p>
        </w:tc>
        <w:tc>
          <w:tcPr>
            <w:tcW w:w="838" w:type="dxa"/>
            <w:vAlign w:val="center"/>
          </w:tcPr>
          <w:p w14:paraId="5B573B6B" w14:textId="11C92382"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4,072.0</w:t>
            </w:r>
          </w:p>
        </w:tc>
        <w:tc>
          <w:tcPr>
            <w:tcW w:w="834" w:type="dxa"/>
            <w:vAlign w:val="center"/>
          </w:tcPr>
          <w:p w14:paraId="3C8F6E09" w14:textId="4E4AD79F"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4,364.3</w:t>
            </w:r>
          </w:p>
        </w:tc>
        <w:tc>
          <w:tcPr>
            <w:tcW w:w="1003" w:type="dxa"/>
            <w:vAlign w:val="center"/>
          </w:tcPr>
          <w:p w14:paraId="657D13E7" w14:textId="0BCACBCF" w:rsidR="00222D9B" w:rsidRPr="00BD348F" w:rsidRDefault="00222D9B" w:rsidP="00082769">
            <w:pPr>
              <w:spacing w:before="0" w:after="0" w:line="240" w:lineRule="auto"/>
              <w:ind w:right="-22"/>
              <w:jc w:val="center"/>
              <w:rPr>
                <w:rFonts w:ascii="GHEA Grapalat" w:hAnsi="GHEA Grapalat"/>
                <w:b/>
                <w:color w:val="auto"/>
                <w:sz w:val="18"/>
                <w:szCs w:val="18"/>
              </w:rPr>
            </w:pPr>
            <w:r w:rsidRPr="00BD348F">
              <w:rPr>
                <w:rFonts w:ascii="GHEA Grapalat" w:hAnsi="GHEA Grapalat" w:cs="Calibri"/>
                <w:sz w:val="18"/>
                <w:szCs w:val="18"/>
              </w:rPr>
              <w:t>4,602.7</w:t>
            </w:r>
          </w:p>
        </w:tc>
      </w:tr>
      <w:tr w:rsidR="00222D9B" w:rsidRPr="00BD348F" w14:paraId="61DB5695" w14:textId="77777777" w:rsidTr="00CB300F">
        <w:trPr>
          <w:trHeight w:val="345"/>
        </w:trPr>
        <w:tc>
          <w:tcPr>
            <w:tcW w:w="3302" w:type="dxa"/>
            <w:vAlign w:val="center"/>
            <w:hideMark/>
          </w:tcPr>
          <w:p w14:paraId="3C8070CD" w14:textId="77777777" w:rsidR="00222D9B" w:rsidRPr="00BD348F" w:rsidRDefault="00222D9B"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937" w:type="dxa"/>
            <w:vAlign w:val="center"/>
          </w:tcPr>
          <w:p w14:paraId="26743FC4" w14:textId="6CC806CD"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26.8%</w:t>
            </w:r>
          </w:p>
        </w:tc>
        <w:tc>
          <w:tcPr>
            <w:tcW w:w="941" w:type="dxa"/>
            <w:vAlign w:val="center"/>
          </w:tcPr>
          <w:p w14:paraId="54BF0D21" w14:textId="50B9CB53"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28.8%</w:t>
            </w:r>
          </w:p>
        </w:tc>
        <w:tc>
          <w:tcPr>
            <w:tcW w:w="947" w:type="dxa"/>
            <w:vAlign w:val="center"/>
          </w:tcPr>
          <w:p w14:paraId="40679D67" w14:textId="02BA1BE1"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29.1%</w:t>
            </w:r>
          </w:p>
        </w:tc>
        <w:tc>
          <w:tcPr>
            <w:tcW w:w="934" w:type="dxa"/>
            <w:vAlign w:val="center"/>
          </w:tcPr>
          <w:p w14:paraId="620E6044" w14:textId="38CC295B"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29.4%</w:t>
            </w:r>
          </w:p>
        </w:tc>
        <w:tc>
          <w:tcPr>
            <w:tcW w:w="838" w:type="dxa"/>
            <w:vAlign w:val="center"/>
          </w:tcPr>
          <w:p w14:paraId="5C900777" w14:textId="6939D972"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29.9%</w:t>
            </w:r>
          </w:p>
        </w:tc>
        <w:tc>
          <w:tcPr>
            <w:tcW w:w="834" w:type="dxa"/>
            <w:vAlign w:val="center"/>
          </w:tcPr>
          <w:p w14:paraId="1C7B3640" w14:textId="23162C02"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29.3%</w:t>
            </w:r>
          </w:p>
        </w:tc>
        <w:tc>
          <w:tcPr>
            <w:tcW w:w="1003" w:type="dxa"/>
            <w:vAlign w:val="center"/>
          </w:tcPr>
          <w:p w14:paraId="3DDCFCCF" w14:textId="1F77FD1C" w:rsidR="00222D9B" w:rsidRPr="00BD348F" w:rsidRDefault="00222D9B" w:rsidP="00082769">
            <w:pPr>
              <w:spacing w:before="0" w:after="0" w:line="240" w:lineRule="auto"/>
              <w:ind w:right="-22"/>
              <w:jc w:val="center"/>
              <w:rPr>
                <w:rFonts w:ascii="GHEA Grapalat" w:hAnsi="GHEA Grapalat"/>
                <w:color w:val="auto"/>
                <w:sz w:val="18"/>
                <w:szCs w:val="18"/>
              </w:rPr>
            </w:pPr>
            <w:r w:rsidRPr="00BD348F">
              <w:rPr>
                <w:rFonts w:ascii="GHEA Grapalat" w:hAnsi="GHEA Grapalat" w:cs="Calibri"/>
                <w:sz w:val="18"/>
                <w:szCs w:val="18"/>
              </w:rPr>
              <w:t>28.4%</w:t>
            </w:r>
          </w:p>
        </w:tc>
      </w:tr>
      <w:tr w:rsidR="00222D9B" w:rsidRPr="00BD348F" w14:paraId="1B587AC6" w14:textId="77777777" w:rsidTr="00CB300F">
        <w:trPr>
          <w:trHeight w:val="540"/>
        </w:trPr>
        <w:tc>
          <w:tcPr>
            <w:tcW w:w="3302" w:type="dxa"/>
            <w:vAlign w:val="center"/>
            <w:hideMark/>
          </w:tcPr>
          <w:p w14:paraId="3695739D" w14:textId="77777777" w:rsidR="00222D9B" w:rsidRPr="00BD348F" w:rsidRDefault="00222D9B"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1. </w:t>
            </w: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բնույթի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հանրային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ծառայություններ</w:t>
            </w:r>
            <w:r w:rsidRPr="00BD348F">
              <w:rPr>
                <w:rFonts w:ascii="GHEA Grapalat" w:hAnsi="GHEA Grapalat"/>
                <w:color w:val="auto"/>
                <w:sz w:val="18"/>
                <w:szCs w:val="18"/>
              </w:rPr>
              <w:t xml:space="preserve"> (</w:t>
            </w:r>
            <w:r w:rsidRPr="00BD348F">
              <w:rPr>
                <w:rFonts w:ascii="GHEA Grapalat" w:hAnsi="GHEA Grapalat" w:cs="Sylfaen"/>
                <w:color w:val="auto"/>
                <w:sz w:val="18"/>
                <w:szCs w:val="18"/>
                <w:lang w:val="hy-AM"/>
              </w:rPr>
              <w:t>այդ</w:t>
            </w:r>
            <w:r w:rsidRPr="00BD348F">
              <w:rPr>
                <w:rFonts w:ascii="GHEA Grapalat" w:hAnsi="GHEA Grapalat"/>
                <w:color w:val="auto"/>
                <w:sz w:val="18"/>
                <w:szCs w:val="18"/>
                <w:lang w:val="hy-AM"/>
              </w:rPr>
              <w:t xml:space="preserve"> </w:t>
            </w:r>
            <w:r w:rsidRPr="00BD348F">
              <w:rPr>
                <w:rFonts w:ascii="GHEA Grapalat" w:hAnsi="GHEA Grapalat" w:cs="Sylfaen"/>
                <w:color w:val="auto"/>
                <w:sz w:val="18"/>
                <w:szCs w:val="18"/>
                <w:lang w:val="hy-AM"/>
              </w:rPr>
              <w:t>թվում՝</w:t>
            </w:r>
            <w:r w:rsidRPr="00BD348F">
              <w:rPr>
                <w:rFonts w:ascii="GHEA Grapalat" w:hAnsi="GHEA Grapalat"/>
                <w:color w:val="auto"/>
                <w:sz w:val="18"/>
                <w:szCs w:val="18"/>
                <w:lang w:val="hy-AM"/>
              </w:rPr>
              <w:t xml:space="preserve"> </w:t>
            </w:r>
            <w:r w:rsidRPr="00BD348F">
              <w:rPr>
                <w:rFonts w:ascii="GHEA Grapalat" w:hAnsi="GHEA Grapalat" w:cs="Sylfaen"/>
                <w:color w:val="auto"/>
                <w:sz w:val="18"/>
                <w:szCs w:val="18"/>
                <w:lang w:val="hy-AM"/>
              </w:rPr>
              <w:t>պահուստային</w:t>
            </w:r>
            <w:r w:rsidRPr="00BD348F">
              <w:rPr>
                <w:rFonts w:ascii="GHEA Grapalat" w:hAnsi="GHEA Grapalat"/>
                <w:color w:val="auto"/>
                <w:sz w:val="18"/>
                <w:szCs w:val="18"/>
                <w:lang w:val="hy-AM"/>
              </w:rPr>
              <w:t xml:space="preserve"> </w:t>
            </w:r>
            <w:r w:rsidRPr="00BD348F">
              <w:rPr>
                <w:rFonts w:ascii="GHEA Grapalat" w:hAnsi="GHEA Grapalat" w:cs="Sylfaen"/>
                <w:color w:val="auto"/>
                <w:sz w:val="18"/>
                <w:szCs w:val="18"/>
                <w:lang w:val="hy-AM"/>
              </w:rPr>
              <w:t>ֆոնդեր</w:t>
            </w:r>
            <w:r w:rsidRPr="00BD348F">
              <w:rPr>
                <w:rFonts w:ascii="GHEA Grapalat" w:hAnsi="GHEA Grapalat"/>
                <w:color w:val="auto"/>
                <w:sz w:val="18"/>
                <w:szCs w:val="18"/>
              </w:rPr>
              <w:t>)</w:t>
            </w:r>
          </w:p>
        </w:tc>
        <w:tc>
          <w:tcPr>
            <w:tcW w:w="937" w:type="dxa"/>
            <w:vAlign w:val="center"/>
          </w:tcPr>
          <w:p w14:paraId="1E810D94" w14:textId="1EEA71CA"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522.5</w:t>
            </w:r>
          </w:p>
        </w:tc>
        <w:tc>
          <w:tcPr>
            <w:tcW w:w="941" w:type="dxa"/>
            <w:vAlign w:val="center"/>
          </w:tcPr>
          <w:p w14:paraId="57F29B70" w14:textId="076F7FB3"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671.3</w:t>
            </w:r>
          </w:p>
        </w:tc>
        <w:tc>
          <w:tcPr>
            <w:tcW w:w="947" w:type="dxa"/>
            <w:vAlign w:val="center"/>
          </w:tcPr>
          <w:p w14:paraId="11420C21" w14:textId="3CA26313"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739.3</w:t>
            </w:r>
          </w:p>
        </w:tc>
        <w:tc>
          <w:tcPr>
            <w:tcW w:w="934" w:type="dxa"/>
            <w:vAlign w:val="center"/>
          </w:tcPr>
          <w:p w14:paraId="2DD80BCE" w14:textId="1D394E38"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917.8</w:t>
            </w:r>
          </w:p>
        </w:tc>
        <w:tc>
          <w:tcPr>
            <w:tcW w:w="838" w:type="dxa"/>
            <w:vAlign w:val="center"/>
          </w:tcPr>
          <w:p w14:paraId="5449B20E" w14:textId="056A0CC0" w:rsidR="00222D9B" w:rsidRPr="00BD348F" w:rsidRDefault="00222D9B" w:rsidP="00082769">
            <w:pPr>
              <w:spacing w:before="0" w:after="0" w:line="240" w:lineRule="auto"/>
              <w:ind w:right="-22"/>
              <w:jc w:val="center"/>
              <w:rPr>
                <w:rFonts w:ascii="GHEA Grapalat" w:hAnsi="GHEA Grapalat" w:cs="Calibri"/>
                <w:color w:val="auto"/>
                <w:sz w:val="18"/>
                <w:szCs w:val="18"/>
                <w:lang w:val="hy-AM"/>
              </w:rPr>
            </w:pPr>
            <w:r w:rsidRPr="00BD348F">
              <w:rPr>
                <w:rFonts w:ascii="GHEA Grapalat" w:hAnsi="GHEA Grapalat" w:cs="Calibri"/>
                <w:sz w:val="18"/>
                <w:szCs w:val="18"/>
              </w:rPr>
              <w:t>994.7</w:t>
            </w:r>
          </w:p>
        </w:tc>
        <w:tc>
          <w:tcPr>
            <w:tcW w:w="834" w:type="dxa"/>
            <w:vAlign w:val="center"/>
          </w:tcPr>
          <w:p w14:paraId="2A40A338" w14:textId="1F0571B6"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1,089.9</w:t>
            </w:r>
          </w:p>
        </w:tc>
        <w:tc>
          <w:tcPr>
            <w:tcW w:w="1003" w:type="dxa"/>
            <w:vAlign w:val="center"/>
          </w:tcPr>
          <w:p w14:paraId="0CC276E9" w14:textId="19B5DFD6" w:rsidR="00222D9B" w:rsidRPr="00BD348F" w:rsidRDefault="00222D9B" w:rsidP="00082769">
            <w:pPr>
              <w:spacing w:before="0" w:after="0" w:line="240" w:lineRule="auto"/>
              <w:ind w:right="-22"/>
              <w:jc w:val="center"/>
              <w:rPr>
                <w:rFonts w:ascii="GHEA Grapalat" w:hAnsi="GHEA Grapalat"/>
                <w:color w:val="auto"/>
                <w:sz w:val="18"/>
                <w:szCs w:val="18"/>
              </w:rPr>
            </w:pPr>
            <w:r w:rsidRPr="00BD348F">
              <w:rPr>
                <w:rFonts w:ascii="GHEA Grapalat" w:hAnsi="GHEA Grapalat" w:cs="Calibri"/>
                <w:sz w:val="18"/>
                <w:szCs w:val="18"/>
              </w:rPr>
              <w:t>1,206.2</w:t>
            </w:r>
          </w:p>
        </w:tc>
      </w:tr>
      <w:tr w:rsidR="00222D9B" w:rsidRPr="00BD348F" w14:paraId="6025F741" w14:textId="77777777" w:rsidTr="00CB300F">
        <w:trPr>
          <w:trHeight w:val="300"/>
        </w:trPr>
        <w:tc>
          <w:tcPr>
            <w:tcW w:w="3302" w:type="dxa"/>
            <w:vAlign w:val="center"/>
            <w:hideMark/>
          </w:tcPr>
          <w:p w14:paraId="2C6AC543" w14:textId="77777777" w:rsidR="00222D9B" w:rsidRPr="00BD348F" w:rsidRDefault="00222D9B"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937" w:type="dxa"/>
            <w:vAlign w:val="center"/>
          </w:tcPr>
          <w:p w14:paraId="171E722F" w14:textId="0B5B5EC2"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5.5%</w:t>
            </w:r>
          </w:p>
        </w:tc>
        <w:tc>
          <w:tcPr>
            <w:tcW w:w="941" w:type="dxa"/>
            <w:vAlign w:val="center"/>
          </w:tcPr>
          <w:p w14:paraId="060F3C8F" w14:textId="4B4EE2A9"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6.5%</w:t>
            </w:r>
          </w:p>
        </w:tc>
        <w:tc>
          <w:tcPr>
            <w:tcW w:w="947" w:type="dxa"/>
            <w:vAlign w:val="center"/>
          </w:tcPr>
          <w:p w14:paraId="1192F85E" w14:textId="2C5A515A"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6.5%</w:t>
            </w:r>
          </w:p>
        </w:tc>
        <w:tc>
          <w:tcPr>
            <w:tcW w:w="934" w:type="dxa"/>
            <w:vAlign w:val="center"/>
          </w:tcPr>
          <w:p w14:paraId="4E4EED63" w14:textId="1FEFA903"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7.4%</w:t>
            </w:r>
          </w:p>
        </w:tc>
        <w:tc>
          <w:tcPr>
            <w:tcW w:w="838" w:type="dxa"/>
            <w:vAlign w:val="center"/>
          </w:tcPr>
          <w:p w14:paraId="44F5D47E" w14:textId="792AB9CD"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7.3%</w:t>
            </w:r>
          </w:p>
        </w:tc>
        <w:tc>
          <w:tcPr>
            <w:tcW w:w="834" w:type="dxa"/>
            <w:vAlign w:val="center"/>
          </w:tcPr>
          <w:p w14:paraId="25E5C456" w14:textId="2AFA5D49"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7.3%</w:t>
            </w:r>
          </w:p>
        </w:tc>
        <w:tc>
          <w:tcPr>
            <w:tcW w:w="1003" w:type="dxa"/>
            <w:vAlign w:val="center"/>
          </w:tcPr>
          <w:p w14:paraId="7AA9D38E" w14:textId="726188D1" w:rsidR="00222D9B" w:rsidRPr="00BD348F" w:rsidRDefault="00222D9B" w:rsidP="00082769">
            <w:pPr>
              <w:spacing w:before="0" w:after="0" w:line="240" w:lineRule="auto"/>
              <w:ind w:right="-22"/>
              <w:jc w:val="center"/>
              <w:rPr>
                <w:rFonts w:ascii="GHEA Grapalat" w:hAnsi="GHEA Grapalat"/>
                <w:color w:val="auto"/>
                <w:sz w:val="18"/>
                <w:szCs w:val="18"/>
              </w:rPr>
            </w:pPr>
            <w:r w:rsidRPr="00BD348F">
              <w:rPr>
                <w:rFonts w:ascii="GHEA Grapalat" w:hAnsi="GHEA Grapalat" w:cs="Calibri"/>
                <w:sz w:val="18"/>
                <w:szCs w:val="18"/>
              </w:rPr>
              <w:t>7.4%</w:t>
            </w:r>
          </w:p>
        </w:tc>
      </w:tr>
      <w:tr w:rsidR="00222D9B" w:rsidRPr="00BD348F" w14:paraId="51EB6F3B" w14:textId="77777777" w:rsidTr="00CB300F">
        <w:trPr>
          <w:trHeight w:val="315"/>
        </w:trPr>
        <w:tc>
          <w:tcPr>
            <w:tcW w:w="3302" w:type="dxa"/>
            <w:vAlign w:val="center"/>
            <w:hideMark/>
          </w:tcPr>
          <w:p w14:paraId="2B8B5E71" w14:textId="77777777" w:rsidR="00222D9B" w:rsidRPr="00BD348F" w:rsidRDefault="00222D9B"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937" w:type="dxa"/>
            <w:vAlign w:val="center"/>
          </w:tcPr>
          <w:p w14:paraId="1CB2E91F" w14:textId="48339E39"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20.5%</w:t>
            </w:r>
          </w:p>
        </w:tc>
        <w:tc>
          <w:tcPr>
            <w:tcW w:w="941" w:type="dxa"/>
            <w:vAlign w:val="center"/>
          </w:tcPr>
          <w:p w14:paraId="16A61C76" w14:textId="7F49CB24"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22.7%</w:t>
            </w:r>
          </w:p>
        </w:tc>
        <w:tc>
          <w:tcPr>
            <w:tcW w:w="947" w:type="dxa"/>
            <w:vAlign w:val="center"/>
          </w:tcPr>
          <w:p w14:paraId="7D9E984E" w14:textId="4D032D7F"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22.4%</w:t>
            </w:r>
          </w:p>
        </w:tc>
        <w:tc>
          <w:tcPr>
            <w:tcW w:w="934" w:type="dxa"/>
            <w:vAlign w:val="center"/>
          </w:tcPr>
          <w:p w14:paraId="4845E671" w14:textId="0DF54013"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25.3%</w:t>
            </w:r>
          </w:p>
        </w:tc>
        <w:tc>
          <w:tcPr>
            <w:tcW w:w="838" w:type="dxa"/>
            <w:vAlign w:val="center"/>
          </w:tcPr>
          <w:p w14:paraId="3CA64B80" w14:textId="53E0B1ED"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24.4%</w:t>
            </w:r>
          </w:p>
        </w:tc>
        <w:tc>
          <w:tcPr>
            <w:tcW w:w="834" w:type="dxa"/>
            <w:vAlign w:val="center"/>
          </w:tcPr>
          <w:p w14:paraId="52AB4E28" w14:textId="7A09C3EE"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25.0%</w:t>
            </w:r>
          </w:p>
        </w:tc>
        <w:tc>
          <w:tcPr>
            <w:tcW w:w="1003" w:type="dxa"/>
            <w:vAlign w:val="center"/>
          </w:tcPr>
          <w:p w14:paraId="10E23A83" w14:textId="36B73F44" w:rsidR="00222D9B" w:rsidRPr="00BD348F" w:rsidRDefault="00222D9B" w:rsidP="00082769">
            <w:pPr>
              <w:spacing w:before="0" w:after="0" w:line="240" w:lineRule="auto"/>
              <w:ind w:right="-22"/>
              <w:jc w:val="center"/>
              <w:rPr>
                <w:rFonts w:ascii="GHEA Grapalat" w:hAnsi="GHEA Grapalat"/>
                <w:color w:val="auto"/>
                <w:sz w:val="18"/>
                <w:szCs w:val="18"/>
              </w:rPr>
            </w:pPr>
            <w:r w:rsidRPr="00BD348F">
              <w:rPr>
                <w:rFonts w:ascii="GHEA Grapalat" w:hAnsi="GHEA Grapalat" w:cs="Calibri"/>
                <w:sz w:val="18"/>
                <w:szCs w:val="18"/>
              </w:rPr>
              <w:t>26.2%</w:t>
            </w:r>
          </w:p>
        </w:tc>
      </w:tr>
      <w:tr w:rsidR="00222D9B" w:rsidRPr="00BD348F" w14:paraId="3B55AFBE" w14:textId="77777777" w:rsidTr="00CB300F">
        <w:trPr>
          <w:trHeight w:val="540"/>
        </w:trPr>
        <w:tc>
          <w:tcPr>
            <w:tcW w:w="3302" w:type="dxa"/>
            <w:vAlign w:val="center"/>
            <w:hideMark/>
          </w:tcPr>
          <w:p w14:paraId="50171AC0" w14:textId="77777777" w:rsidR="00222D9B" w:rsidRPr="00BD348F" w:rsidRDefault="00222D9B"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2. </w:t>
            </w:r>
            <w:r w:rsidRPr="00BD348F">
              <w:rPr>
                <w:rFonts w:ascii="GHEA Grapalat" w:hAnsi="GHEA Grapalat" w:cs="Sylfaen"/>
                <w:color w:val="auto"/>
                <w:sz w:val="18"/>
                <w:szCs w:val="18"/>
              </w:rPr>
              <w:t>Պաշտպանություն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հասարակական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կարգ</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անվտանգություն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և</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դատական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գործունեություն</w:t>
            </w:r>
          </w:p>
        </w:tc>
        <w:tc>
          <w:tcPr>
            <w:tcW w:w="937" w:type="dxa"/>
            <w:vAlign w:val="center"/>
          </w:tcPr>
          <w:p w14:paraId="216A1C4E" w14:textId="58C541FD"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733.4</w:t>
            </w:r>
          </w:p>
        </w:tc>
        <w:tc>
          <w:tcPr>
            <w:tcW w:w="941" w:type="dxa"/>
            <w:vAlign w:val="center"/>
          </w:tcPr>
          <w:p w14:paraId="7ECCAD08" w14:textId="591E8F46"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776.9</w:t>
            </w:r>
          </w:p>
        </w:tc>
        <w:tc>
          <w:tcPr>
            <w:tcW w:w="947" w:type="dxa"/>
            <w:vAlign w:val="center"/>
          </w:tcPr>
          <w:p w14:paraId="0D16FDCD" w14:textId="2451DC20"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925.5</w:t>
            </w:r>
          </w:p>
        </w:tc>
        <w:tc>
          <w:tcPr>
            <w:tcW w:w="934" w:type="dxa"/>
            <w:vAlign w:val="center"/>
          </w:tcPr>
          <w:p w14:paraId="4613588B" w14:textId="25D9FDDD"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814.4</w:t>
            </w:r>
          </w:p>
        </w:tc>
        <w:tc>
          <w:tcPr>
            <w:tcW w:w="838" w:type="dxa"/>
            <w:vAlign w:val="center"/>
          </w:tcPr>
          <w:p w14:paraId="6F38B9BD" w14:textId="1ECFDA20"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916.9</w:t>
            </w:r>
          </w:p>
        </w:tc>
        <w:tc>
          <w:tcPr>
            <w:tcW w:w="834" w:type="dxa"/>
            <w:vAlign w:val="center"/>
          </w:tcPr>
          <w:p w14:paraId="6E3A816B" w14:textId="5901AF39"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949.4</w:t>
            </w:r>
          </w:p>
        </w:tc>
        <w:tc>
          <w:tcPr>
            <w:tcW w:w="1003" w:type="dxa"/>
            <w:vAlign w:val="center"/>
          </w:tcPr>
          <w:p w14:paraId="5583C627" w14:textId="5092240A" w:rsidR="00222D9B" w:rsidRPr="00BD348F" w:rsidRDefault="00222D9B" w:rsidP="00082769">
            <w:pPr>
              <w:spacing w:before="0" w:after="0" w:line="240" w:lineRule="auto"/>
              <w:ind w:right="-22"/>
              <w:jc w:val="center"/>
              <w:rPr>
                <w:rFonts w:ascii="GHEA Grapalat" w:hAnsi="GHEA Grapalat"/>
                <w:color w:val="auto"/>
                <w:sz w:val="18"/>
                <w:szCs w:val="18"/>
              </w:rPr>
            </w:pPr>
            <w:r w:rsidRPr="00BD348F">
              <w:rPr>
                <w:rFonts w:ascii="GHEA Grapalat" w:hAnsi="GHEA Grapalat" w:cs="Calibri"/>
                <w:sz w:val="18"/>
                <w:szCs w:val="18"/>
              </w:rPr>
              <w:t>952.5</w:t>
            </w:r>
          </w:p>
        </w:tc>
      </w:tr>
      <w:tr w:rsidR="00222D9B" w:rsidRPr="00BD348F" w14:paraId="3BD2617D" w14:textId="77777777" w:rsidTr="00CB300F">
        <w:trPr>
          <w:trHeight w:val="300"/>
        </w:trPr>
        <w:tc>
          <w:tcPr>
            <w:tcW w:w="3302" w:type="dxa"/>
            <w:vAlign w:val="center"/>
            <w:hideMark/>
          </w:tcPr>
          <w:p w14:paraId="6143E33D" w14:textId="77777777" w:rsidR="00222D9B" w:rsidRPr="00BD348F" w:rsidRDefault="00222D9B"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937" w:type="dxa"/>
            <w:vAlign w:val="center"/>
          </w:tcPr>
          <w:p w14:paraId="0471857D" w14:textId="3F3D3FE4"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7.7%</w:t>
            </w:r>
          </w:p>
        </w:tc>
        <w:tc>
          <w:tcPr>
            <w:tcW w:w="941" w:type="dxa"/>
            <w:vAlign w:val="center"/>
          </w:tcPr>
          <w:p w14:paraId="121AB639" w14:textId="665E0045"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7.6%</w:t>
            </w:r>
          </w:p>
        </w:tc>
        <w:tc>
          <w:tcPr>
            <w:tcW w:w="947" w:type="dxa"/>
            <w:vAlign w:val="center"/>
          </w:tcPr>
          <w:p w14:paraId="25CD69D2" w14:textId="05248DBB"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8.2%</w:t>
            </w:r>
          </w:p>
        </w:tc>
        <w:tc>
          <w:tcPr>
            <w:tcW w:w="934" w:type="dxa"/>
            <w:vAlign w:val="center"/>
          </w:tcPr>
          <w:p w14:paraId="54617135" w14:textId="14A7D1B3"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6.6%</w:t>
            </w:r>
          </w:p>
        </w:tc>
        <w:tc>
          <w:tcPr>
            <w:tcW w:w="838" w:type="dxa"/>
            <w:vAlign w:val="center"/>
          </w:tcPr>
          <w:p w14:paraId="3940E8E1" w14:textId="145EE6D0"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6.7%</w:t>
            </w:r>
          </w:p>
        </w:tc>
        <w:tc>
          <w:tcPr>
            <w:tcW w:w="834" w:type="dxa"/>
            <w:vAlign w:val="center"/>
          </w:tcPr>
          <w:p w14:paraId="0A32C56D" w14:textId="264C0017"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6.4%</w:t>
            </w:r>
          </w:p>
        </w:tc>
        <w:tc>
          <w:tcPr>
            <w:tcW w:w="1003" w:type="dxa"/>
            <w:vAlign w:val="center"/>
          </w:tcPr>
          <w:p w14:paraId="58CC973A" w14:textId="0616ECD1" w:rsidR="00222D9B" w:rsidRPr="00BD348F" w:rsidRDefault="00222D9B" w:rsidP="00082769">
            <w:pPr>
              <w:spacing w:before="0" w:after="0" w:line="240" w:lineRule="auto"/>
              <w:ind w:right="-22"/>
              <w:jc w:val="center"/>
              <w:rPr>
                <w:rFonts w:ascii="GHEA Grapalat" w:hAnsi="GHEA Grapalat"/>
                <w:color w:val="auto"/>
                <w:sz w:val="18"/>
                <w:szCs w:val="18"/>
                <w:lang w:val="hy-AM"/>
              </w:rPr>
            </w:pPr>
            <w:r w:rsidRPr="00BD348F">
              <w:rPr>
                <w:rFonts w:ascii="GHEA Grapalat" w:hAnsi="GHEA Grapalat" w:cs="Calibri"/>
                <w:sz w:val="18"/>
                <w:szCs w:val="18"/>
              </w:rPr>
              <w:t>5.9%</w:t>
            </w:r>
          </w:p>
        </w:tc>
      </w:tr>
      <w:tr w:rsidR="00222D9B" w:rsidRPr="00BD348F" w14:paraId="3D774F66" w14:textId="77777777" w:rsidTr="00CB300F">
        <w:trPr>
          <w:trHeight w:val="315"/>
        </w:trPr>
        <w:tc>
          <w:tcPr>
            <w:tcW w:w="3302" w:type="dxa"/>
            <w:vAlign w:val="center"/>
            <w:hideMark/>
          </w:tcPr>
          <w:p w14:paraId="10F2D4F3" w14:textId="77777777" w:rsidR="00222D9B" w:rsidRPr="00BD348F" w:rsidRDefault="00222D9B"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937" w:type="dxa"/>
            <w:vAlign w:val="center"/>
          </w:tcPr>
          <w:p w14:paraId="4EE02E44" w14:textId="2BC8EC17"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28.8%</w:t>
            </w:r>
          </w:p>
        </w:tc>
        <w:tc>
          <w:tcPr>
            <w:tcW w:w="941" w:type="dxa"/>
            <w:vAlign w:val="center"/>
          </w:tcPr>
          <w:p w14:paraId="095BC531" w14:textId="5615F529"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26.3%</w:t>
            </w:r>
          </w:p>
        </w:tc>
        <w:tc>
          <w:tcPr>
            <w:tcW w:w="947" w:type="dxa"/>
            <w:vAlign w:val="center"/>
          </w:tcPr>
          <w:p w14:paraId="20A89E27" w14:textId="236B18B0"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28.0%</w:t>
            </w:r>
          </w:p>
        </w:tc>
        <w:tc>
          <w:tcPr>
            <w:tcW w:w="934" w:type="dxa"/>
            <w:vAlign w:val="center"/>
          </w:tcPr>
          <w:p w14:paraId="7FC7FE3A" w14:textId="5E9ED5E7"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22.5%</w:t>
            </w:r>
          </w:p>
        </w:tc>
        <w:tc>
          <w:tcPr>
            <w:tcW w:w="838" w:type="dxa"/>
            <w:vAlign w:val="center"/>
          </w:tcPr>
          <w:p w14:paraId="367102E3" w14:textId="4D43E4DF"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22.5%</w:t>
            </w:r>
          </w:p>
        </w:tc>
        <w:tc>
          <w:tcPr>
            <w:tcW w:w="834" w:type="dxa"/>
            <w:vAlign w:val="center"/>
          </w:tcPr>
          <w:p w14:paraId="2888960F" w14:textId="3EF29227"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21.8%</w:t>
            </w:r>
          </w:p>
        </w:tc>
        <w:tc>
          <w:tcPr>
            <w:tcW w:w="1003" w:type="dxa"/>
            <w:vAlign w:val="center"/>
          </w:tcPr>
          <w:p w14:paraId="1AF17DE4" w14:textId="25F89C1E" w:rsidR="00222D9B" w:rsidRPr="00BD348F" w:rsidRDefault="00222D9B" w:rsidP="00082769">
            <w:pPr>
              <w:spacing w:before="0" w:after="0" w:line="240" w:lineRule="auto"/>
              <w:ind w:right="-22"/>
              <w:jc w:val="center"/>
              <w:rPr>
                <w:rFonts w:ascii="GHEA Grapalat" w:hAnsi="GHEA Grapalat"/>
                <w:color w:val="auto"/>
                <w:sz w:val="18"/>
                <w:szCs w:val="18"/>
              </w:rPr>
            </w:pPr>
            <w:r w:rsidRPr="00BD348F">
              <w:rPr>
                <w:rFonts w:ascii="GHEA Grapalat" w:hAnsi="GHEA Grapalat" w:cs="Calibri"/>
                <w:sz w:val="18"/>
                <w:szCs w:val="18"/>
              </w:rPr>
              <w:t>20.7%</w:t>
            </w:r>
          </w:p>
        </w:tc>
      </w:tr>
      <w:tr w:rsidR="00222D9B" w:rsidRPr="00BD348F" w14:paraId="0D46B91C" w14:textId="77777777" w:rsidTr="00CB300F">
        <w:trPr>
          <w:trHeight w:val="300"/>
        </w:trPr>
        <w:tc>
          <w:tcPr>
            <w:tcW w:w="3302" w:type="dxa"/>
            <w:vAlign w:val="center"/>
            <w:hideMark/>
          </w:tcPr>
          <w:p w14:paraId="252DBF0B" w14:textId="77777777" w:rsidR="00222D9B" w:rsidRPr="00BD348F" w:rsidRDefault="00222D9B"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3. </w:t>
            </w:r>
            <w:r w:rsidRPr="00BD348F">
              <w:rPr>
                <w:rFonts w:ascii="GHEA Grapalat" w:hAnsi="GHEA Grapalat" w:cs="Sylfaen"/>
                <w:color w:val="auto"/>
                <w:sz w:val="18"/>
                <w:szCs w:val="18"/>
              </w:rPr>
              <w:t>Տնտեսական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ոլորտ</w:t>
            </w:r>
          </w:p>
        </w:tc>
        <w:tc>
          <w:tcPr>
            <w:tcW w:w="937" w:type="dxa"/>
            <w:vAlign w:val="center"/>
          </w:tcPr>
          <w:p w14:paraId="6706CB4E" w14:textId="72B66DFB"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217.8</w:t>
            </w:r>
          </w:p>
        </w:tc>
        <w:tc>
          <w:tcPr>
            <w:tcW w:w="941" w:type="dxa"/>
            <w:vAlign w:val="center"/>
          </w:tcPr>
          <w:p w14:paraId="0AB26607" w14:textId="125067FD"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228.9</w:t>
            </w:r>
          </w:p>
        </w:tc>
        <w:tc>
          <w:tcPr>
            <w:tcW w:w="947" w:type="dxa"/>
            <w:vAlign w:val="center"/>
          </w:tcPr>
          <w:p w14:paraId="7900C33A" w14:textId="16FE23DF"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238.6</w:t>
            </w:r>
          </w:p>
        </w:tc>
        <w:tc>
          <w:tcPr>
            <w:tcW w:w="934" w:type="dxa"/>
            <w:vAlign w:val="center"/>
          </w:tcPr>
          <w:p w14:paraId="2D4E7A1D" w14:textId="1EEE3FFD"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281.3</w:t>
            </w:r>
          </w:p>
        </w:tc>
        <w:tc>
          <w:tcPr>
            <w:tcW w:w="838" w:type="dxa"/>
            <w:vAlign w:val="center"/>
          </w:tcPr>
          <w:p w14:paraId="36AF6F8C" w14:textId="41356BBB"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312.3</w:t>
            </w:r>
          </w:p>
        </w:tc>
        <w:tc>
          <w:tcPr>
            <w:tcW w:w="834" w:type="dxa"/>
            <w:vAlign w:val="center"/>
          </w:tcPr>
          <w:p w14:paraId="03570C81" w14:textId="02A2FCE1"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310.4</w:t>
            </w:r>
          </w:p>
        </w:tc>
        <w:tc>
          <w:tcPr>
            <w:tcW w:w="1003" w:type="dxa"/>
            <w:vAlign w:val="center"/>
          </w:tcPr>
          <w:p w14:paraId="3D875EA5" w14:textId="4B27F003" w:rsidR="00222D9B" w:rsidRPr="00BD348F" w:rsidRDefault="00222D9B" w:rsidP="00082769">
            <w:pPr>
              <w:spacing w:before="0" w:after="0" w:line="240" w:lineRule="auto"/>
              <w:ind w:right="-22"/>
              <w:jc w:val="center"/>
              <w:rPr>
                <w:rFonts w:ascii="GHEA Grapalat" w:hAnsi="GHEA Grapalat"/>
                <w:color w:val="auto"/>
                <w:sz w:val="18"/>
                <w:szCs w:val="18"/>
              </w:rPr>
            </w:pPr>
            <w:r w:rsidRPr="00BD348F">
              <w:rPr>
                <w:rFonts w:ascii="GHEA Grapalat" w:hAnsi="GHEA Grapalat" w:cs="Calibri"/>
                <w:sz w:val="18"/>
                <w:szCs w:val="18"/>
              </w:rPr>
              <w:t>311.9</w:t>
            </w:r>
          </w:p>
        </w:tc>
      </w:tr>
      <w:tr w:rsidR="00222D9B" w:rsidRPr="00BD348F" w14:paraId="3ED67AED" w14:textId="77777777" w:rsidTr="00CB300F">
        <w:trPr>
          <w:trHeight w:val="300"/>
        </w:trPr>
        <w:tc>
          <w:tcPr>
            <w:tcW w:w="3302" w:type="dxa"/>
            <w:vAlign w:val="center"/>
            <w:hideMark/>
          </w:tcPr>
          <w:p w14:paraId="6D38207D" w14:textId="77777777" w:rsidR="00222D9B" w:rsidRPr="00BD348F" w:rsidRDefault="00222D9B"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937" w:type="dxa"/>
            <w:vAlign w:val="center"/>
          </w:tcPr>
          <w:p w14:paraId="1D4359E4" w14:textId="7605CDE5"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2.3%</w:t>
            </w:r>
          </w:p>
        </w:tc>
        <w:tc>
          <w:tcPr>
            <w:tcW w:w="941" w:type="dxa"/>
            <w:vAlign w:val="center"/>
          </w:tcPr>
          <w:p w14:paraId="3BDC4AAF" w14:textId="2C4BE10F"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2.2%</w:t>
            </w:r>
          </w:p>
        </w:tc>
        <w:tc>
          <w:tcPr>
            <w:tcW w:w="947" w:type="dxa"/>
            <w:vAlign w:val="center"/>
          </w:tcPr>
          <w:p w14:paraId="0D29E0A9" w14:textId="01476DCC"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2.1%</w:t>
            </w:r>
          </w:p>
        </w:tc>
        <w:tc>
          <w:tcPr>
            <w:tcW w:w="934" w:type="dxa"/>
            <w:vAlign w:val="center"/>
          </w:tcPr>
          <w:p w14:paraId="1A9C7901" w14:textId="0E80E114"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2.3%</w:t>
            </w:r>
          </w:p>
        </w:tc>
        <w:tc>
          <w:tcPr>
            <w:tcW w:w="838" w:type="dxa"/>
            <w:vAlign w:val="center"/>
          </w:tcPr>
          <w:p w14:paraId="7FDAEB62" w14:textId="797C09BD"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2.3%</w:t>
            </w:r>
          </w:p>
        </w:tc>
        <w:tc>
          <w:tcPr>
            <w:tcW w:w="834" w:type="dxa"/>
            <w:vAlign w:val="center"/>
          </w:tcPr>
          <w:p w14:paraId="0C850E82" w14:textId="45EC3BE6"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2.1%</w:t>
            </w:r>
          </w:p>
        </w:tc>
        <w:tc>
          <w:tcPr>
            <w:tcW w:w="1003" w:type="dxa"/>
            <w:vAlign w:val="center"/>
          </w:tcPr>
          <w:p w14:paraId="678A4719" w14:textId="54B4D05A" w:rsidR="00222D9B" w:rsidRPr="00BD348F" w:rsidRDefault="00222D9B" w:rsidP="00082769">
            <w:pPr>
              <w:spacing w:before="0" w:after="0" w:line="240" w:lineRule="auto"/>
              <w:ind w:right="-22"/>
              <w:jc w:val="center"/>
              <w:rPr>
                <w:rFonts w:ascii="GHEA Grapalat" w:hAnsi="GHEA Grapalat"/>
                <w:color w:val="auto"/>
                <w:sz w:val="18"/>
                <w:szCs w:val="18"/>
              </w:rPr>
            </w:pPr>
            <w:r w:rsidRPr="00BD348F">
              <w:rPr>
                <w:rFonts w:ascii="GHEA Grapalat" w:hAnsi="GHEA Grapalat" w:cs="Calibri"/>
                <w:sz w:val="18"/>
                <w:szCs w:val="18"/>
              </w:rPr>
              <w:t>1.9%</w:t>
            </w:r>
          </w:p>
        </w:tc>
      </w:tr>
      <w:tr w:rsidR="00222D9B" w:rsidRPr="00BD348F" w14:paraId="70DB74DC" w14:textId="77777777" w:rsidTr="00CB300F">
        <w:trPr>
          <w:trHeight w:val="315"/>
        </w:trPr>
        <w:tc>
          <w:tcPr>
            <w:tcW w:w="3302" w:type="dxa"/>
            <w:vAlign w:val="center"/>
            <w:hideMark/>
          </w:tcPr>
          <w:p w14:paraId="45369EB4" w14:textId="77777777" w:rsidR="00222D9B" w:rsidRPr="00BD348F" w:rsidRDefault="00222D9B"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937" w:type="dxa"/>
            <w:vAlign w:val="center"/>
          </w:tcPr>
          <w:p w14:paraId="5B73399A" w14:textId="57B8C08A"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8.5%</w:t>
            </w:r>
          </w:p>
        </w:tc>
        <w:tc>
          <w:tcPr>
            <w:tcW w:w="941" w:type="dxa"/>
            <w:vAlign w:val="center"/>
          </w:tcPr>
          <w:p w14:paraId="6E75BD75" w14:textId="65BF5768"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7.7%</w:t>
            </w:r>
          </w:p>
        </w:tc>
        <w:tc>
          <w:tcPr>
            <w:tcW w:w="947" w:type="dxa"/>
            <w:vAlign w:val="center"/>
          </w:tcPr>
          <w:p w14:paraId="35F21CA7" w14:textId="7889127C"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7.2%</w:t>
            </w:r>
          </w:p>
        </w:tc>
        <w:tc>
          <w:tcPr>
            <w:tcW w:w="934" w:type="dxa"/>
            <w:vAlign w:val="center"/>
          </w:tcPr>
          <w:p w14:paraId="244202C5" w14:textId="3D9719DB"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7.8%</w:t>
            </w:r>
          </w:p>
        </w:tc>
        <w:tc>
          <w:tcPr>
            <w:tcW w:w="838" w:type="dxa"/>
            <w:vAlign w:val="center"/>
          </w:tcPr>
          <w:p w14:paraId="1370F9B7" w14:textId="0FC69BDD"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7.7%</w:t>
            </w:r>
          </w:p>
        </w:tc>
        <w:tc>
          <w:tcPr>
            <w:tcW w:w="834" w:type="dxa"/>
            <w:vAlign w:val="center"/>
          </w:tcPr>
          <w:p w14:paraId="70289328" w14:textId="6EFA589B"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7.1%</w:t>
            </w:r>
          </w:p>
        </w:tc>
        <w:tc>
          <w:tcPr>
            <w:tcW w:w="1003" w:type="dxa"/>
            <w:vAlign w:val="center"/>
          </w:tcPr>
          <w:p w14:paraId="5FA24FC7" w14:textId="73AF114E" w:rsidR="00222D9B" w:rsidRPr="00BD348F" w:rsidRDefault="00222D9B" w:rsidP="00082769">
            <w:pPr>
              <w:spacing w:before="0" w:after="0" w:line="240" w:lineRule="auto"/>
              <w:ind w:right="-22"/>
              <w:jc w:val="center"/>
              <w:rPr>
                <w:rFonts w:ascii="GHEA Grapalat" w:hAnsi="GHEA Grapalat"/>
                <w:color w:val="auto"/>
                <w:sz w:val="18"/>
                <w:szCs w:val="18"/>
              </w:rPr>
            </w:pPr>
            <w:r w:rsidRPr="00BD348F">
              <w:rPr>
                <w:rFonts w:ascii="GHEA Grapalat" w:hAnsi="GHEA Grapalat" w:cs="Calibri"/>
                <w:sz w:val="18"/>
                <w:szCs w:val="18"/>
              </w:rPr>
              <w:t>6.8%</w:t>
            </w:r>
          </w:p>
        </w:tc>
      </w:tr>
      <w:tr w:rsidR="00222D9B" w:rsidRPr="00BD348F" w14:paraId="2AAB9A26" w14:textId="77777777" w:rsidTr="00CB300F">
        <w:trPr>
          <w:trHeight w:val="300"/>
        </w:trPr>
        <w:tc>
          <w:tcPr>
            <w:tcW w:w="3302" w:type="dxa"/>
            <w:vAlign w:val="center"/>
            <w:hideMark/>
          </w:tcPr>
          <w:p w14:paraId="2E1F0785" w14:textId="77777777" w:rsidR="00222D9B" w:rsidRPr="00BD348F" w:rsidRDefault="00222D9B"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4. </w:t>
            </w:r>
            <w:r w:rsidRPr="00BD348F">
              <w:rPr>
                <w:rFonts w:ascii="GHEA Grapalat" w:hAnsi="GHEA Grapalat" w:cs="Sylfaen"/>
                <w:color w:val="auto"/>
                <w:sz w:val="18"/>
                <w:szCs w:val="18"/>
              </w:rPr>
              <w:t>Սոցիալական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ոլորտ</w:t>
            </w:r>
          </w:p>
        </w:tc>
        <w:tc>
          <w:tcPr>
            <w:tcW w:w="937" w:type="dxa"/>
            <w:vAlign w:val="center"/>
          </w:tcPr>
          <w:p w14:paraId="77704CDC" w14:textId="64574F95"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1,073.9</w:t>
            </w:r>
          </w:p>
        </w:tc>
        <w:tc>
          <w:tcPr>
            <w:tcW w:w="941" w:type="dxa"/>
            <w:vAlign w:val="center"/>
          </w:tcPr>
          <w:p w14:paraId="2A418211" w14:textId="5D1AB324"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1,278.2</w:t>
            </w:r>
          </w:p>
        </w:tc>
        <w:tc>
          <w:tcPr>
            <w:tcW w:w="947" w:type="dxa"/>
            <w:vAlign w:val="center"/>
          </w:tcPr>
          <w:p w14:paraId="2E27A077" w14:textId="50836DDE"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1,401.9</w:t>
            </w:r>
          </w:p>
        </w:tc>
        <w:tc>
          <w:tcPr>
            <w:tcW w:w="934" w:type="dxa"/>
            <w:vAlign w:val="center"/>
          </w:tcPr>
          <w:p w14:paraId="4143CA59" w14:textId="68C7B54E"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1,609.9</w:t>
            </w:r>
          </w:p>
        </w:tc>
        <w:tc>
          <w:tcPr>
            <w:tcW w:w="838" w:type="dxa"/>
            <w:vAlign w:val="center"/>
          </w:tcPr>
          <w:p w14:paraId="60B69F5B" w14:textId="5E2700E1"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1,848.1</w:t>
            </w:r>
          </w:p>
        </w:tc>
        <w:tc>
          <w:tcPr>
            <w:tcW w:w="834" w:type="dxa"/>
            <w:vAlign w:val="center"/>
          </w:tcPr>
          <w:p w14:paraId="590C5CE5" w14:textId="1D7D3D91"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2,014.7</w:t>
            </w:r>
          </w:p>
        </w:tc>
        <w:tc>
          <w:tcPr>
            <w:tcW w:w="1003" w:type="dxa"/>
            <w:vAlign w:val="center"/>
          </w:tcPr>
          <w:p w14:paraId="4A549A2D" w14:textId="36ECBACF" w:rsidR="00222D9B" w:rsidRPr="00BD348F" w:rsidRDefault="00222D9B" w:rsidP="00082769">
            <w:pPr>
              <w:spacing w:before="0" w:after="0" w:line="240" w:lineRule="auto"/>
              <w:ind w:right="-22"/>
              <w:jc w:val="center"/>
              <w:rPr>
                <w:rFonts w:ascii="GHEA Grapalat" w:hAnsi="GHEA Grapalat"/>
                <w:color w:val="auto"/>
                <w:sz w:val="18"/>
                <w:szCs w:val="18"/>
              </w:rPr>
            </w:pPr>
            <w:r w:rsidRPr="00BD348F">
              <w:rPr>
                <w:rFonts w:ascii="GHEA Grapalat" w:hAnsi="GHEA Grapalat" w:cs="Calibri"/>
                <w:sz w:val="18"/>
                <w:szCs w:val="18"/>
              </w:rPr>
              <w:t>2,132.2</w:t>
            </w:r>
          </w:p>
        </w:tc>
      </w:tr>
      <w:tr w:rsidR="00222D9B" w:rsidRPr="00BD348F" w14:paraId="77DE6F5F" w14:textId="77777777" w:rsidTr="00CB300F">
        <w:trPr>
          <w:trHeight w:val="300"/>
        </w:trPr>
        <w:tc>
          <w:tcPr>
            <w:tcW w:w="3302" w:type="dxa"/>
            <w:vAlign w:val="center"/>
            <w:hideMark/>
          </w:tcPr>
          <w:p w14:paraId="14456991" w14:textId="77777777" w:rsidR="00222D9B" w:rsidRPr="00BD348F" w:rsidRDefault="00222D9B"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937" w:type="dxa"/>
            <w:vAlign w:val="center"/>
          </w:tcPr>
          <w:p w14:paraId="45EF9746" w14:textId="0494E95D"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11.3%</w:t>
            </w:r>
          </w:p>
        </w:tc>
        <w:tc>
          <w:tcPr>
            <w:tcW w:w="941" w:type="dxa"/>
            <w:vAlign w:val="center"/>
          </w:tcPr>
          <w:p w14:paraId="138B29BB" w14:textId="5FC94D48"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12.5%</w:t>
            </w:r>
          </w:p>
        </w:tc>
        <w:tc>
          <w:tcPr>
            <w:tcW w:w="947" w:type="dxa"/>
            <w:vAlign w:val="center"/>
          </w:tcPr>
          <w:p w14:paraId="5CCCA17B" w14:textId="48A69B59"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12.4%</w:t>
            </w:r>
          </w:p>
        </w:tc>
        <w:tc>
          <w:tcPr>
            <w:tcW w:w="934" w:type="dxa"/>
            <w:vAlign w:val="center"/>
          </w:tcPr>
          <w:p w14:paraId="315BCE84" w14:textId="3AA27728"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13.1%</w:t>
            </w:r>
          </w:p>
        </w:tc>
        <w:tc>
          <w:tcPr>
            <w:tcW w:w="838" w:type="dxa"/>
            <w:vAlign w:val="center"/>
          </w:tcPr>
          <w:p w14:paraId="2A0E67D6" w14:textId="28B87943"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13.6%</w:t>
            </w:r>
          </w:p>
        </w:tc>
        <w:tc>
          <w:tcPr>
            <w:tcW w:w="834" w:type="dxa"/>
            <w:vAlign w:val="center"/>
          </w:tcPr>
          <w:p w14:paraId="05B233F8" w14:textId="484078B4"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13.5%</w:t>
            </w:r>
          </w:p>
        </w:tc>
        <w:tc>
          <w:tcPr>
            <w:tcW w:w="1003" w:type="dxa"/>
            <w:vAlign w:val="center"/>
          </w:tcPr>
          <w:p w14:paraId="20805F8D" w14:textId="3D63249D" w:rsidR="00222D9B" w:rsidRPr="00BD348F" w:rsidRDefault="00222D9B" w:rsidP="00082769">
            <w:pPr>
              <w:spacing w:before="0" w:after="0" w:line="240" w:lineRule="auto"/>
              <w:ind w:right="-22"/>
              <w:jc w:val="center"/>
              <w:rPr>
                <w:rFonts w:ascii="GHEA Grapalat" w:hAnsi="GHEA Grapalat"/>
                <w:color w:val="auto"/>
                <w:sz w:val="18"/>
                <w:szCs w:val="18"/>
              </w:rPr>
            </w:pPr>
            <w:r w:rsidRPr="00BD348F">
              <w:rPr>
                <w:rFonts w:ascii="GHEA Grapalat" w:hAnsi="GHEA Grapalat" w:cs="Calibri"/>
                <w:sz w:val="18"/>
                <w:szCs w:val="18"/>
              </w:rPr>
              <w:t>13.1%</w:t>
            </w:r>
          </w:p>
        </w:tc>
      </w:tr>
      <w:tr w:rsidR="00222D9B" w:rsidRPr="00BD348F" w14:paraId="6302D562" w14:textId="77777777" w:rsidTr="00CB300F">
        <w:trPr>
          <w:trHeight w:val="315"/>
        </w:trPr>
        <w:tc>
          <w:tcPr>
            <w:tcW w:w="3302" w:type="dxa"/>
            <w:vAlign w:val="center"/>
            <w:hideMark/>
          </w:tcPr>
          <w:p w14:paraId="2B6396D5" w14:textId="77777777" w:rsidR="00222D9B" w:rsidRPr="00BD348F" w:rsidRDefault="00222D9B"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937" w:type="dxa"/>
            <w:vAlign w:val="center"/>
          </w:tcPr>
          <w:p w14:paraId="269E44DE" w14:textId="366ED137"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42.2%</w:t>
            </w:r>
          </w:p>
        </w:tc>
        <w:tc>
          <w:tcPr>
            <w:tcW w:w="941" w:type="dxa"/>
            <w:vAlign w:val="center"/>
          </w:tcPr>
          <w:p w14:paraId="20C4CA2C" w14:textId="6F1291C3"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43.3%</w:t>
            </w:r>
          </w:p>
        </w:tc>
        <w:tc>
          <w:tcPr>
            <w:tcW w:w="947" w:type="dxa"/>
            <w:vAlign w:val="center"/>
          </w:tcPr>
          <w:p w14:paraId="388CC570" w14:textId="7DB3A01E"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42.4%</w:t>
            </w:r>
          </w:p>
        </w:tc>
        <w:tc>
          <w:tcPr>
            <w:tcW w:w="934" w:type="dxa"/>
            <w:vAlign w:val="center"/>
          </w:tcPr>
          <w:p w14:paraId="0B7F3029" w14:textId="05C1FA7F"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color w:val="auto"/>
                <w:sz w:val="18"/>
                <w:szCs w:val="18"/>
              </w:rPr>
              <w:t>44.4%</w:t>
            </w:r>
          </w:p>
        </w:tc>
        <w:tc>
          <w:tcPr>
            <w:tcW w:w="838" w:type="dxa"/>
            <w:vAlign w:val="center"/>
          </w:tcPr>
          <w:p w14:paraId="29673989" w14:textId="1E94C11A"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45.4%</w:t>
            </w:r>
          </w:p>
        </w:tc>
        <w:tc>
          <w:tcPr>
            <w:tcW w:w="834" w:type="dxa"/>
            <w:vAlign w:val="center"/>
          </w:tcPr>
          <w:p w14:paraId="78170FC9" w14:textId="3B54ED4E" w:rsidR="00222D9B" w:rsidRPr="00BD348F" w:rsidRDefault="00222D9B"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s="Calibri"/>
                <w:sz w:val="18"/>
                <w:szCs w:val="18"/>
              </w:rPr>
              <w:t>46.2%</w:t>
            </w:r>
          </w:p>
        </w:tc>
        <w:tc>
          <w:tcPr>
            <w:tcW w:w="1003" w:type="dxa"/>
            <w:vAlign w:val="center"/>
          </w:tcPr>
          <w:p w14:paraId="27C59C1D" w14:textId="2FBCAE14" w:rsidR="00222D9B" w:rsidRPr="00BD348F" w:rsidRDefault="00222D9B" w:rsidP="00082769">
            <w:pPr>
              <w:spacing w:before="0" w:after="0" w:line="240" w:lineRule="auto"/>
              <w:ind w:right="-22"/>
              <w:jc w:val="center"/>
              <w:rPr>
                <w:rFonts w:ascii="GHEA Grapalat" w:hAnsi="GHEA Grapalat"/>
                <w:color w:val="auto"/>
                <w:sz w:val="18"/>
                <w:szCs w:val="18"/>
              </w:rPr>
            </w:pPr>
            <w:r w:rsidRPr="00BD348F">
              <w:rPr>
                <w:rFonts w:ascii="GHEA Grapalat" w:hAnsi="GHEA Grapalat" w:cs="Calibri"/>
                <w:sz w:val="18"/>
                <w:szCs w:val="18"/>
              </w:rPr>
              <w:t>46.3%</w:t>
            </w:r>
          </w:p>
        </w:tc>
      </w:tr>
    </w:tbl>
    <w:p w14:paraId="7EC0EA10" w14:textId="77777777" w:rsidR="0052459E" w:rsidRPr="000232DD" w:rsidRDefault="0052459E" w:rsidP="00082769">
      <w:pPr>
        <w:spacing w:before="240"/>
        <w:ind w:right="-22"/>
        <w:jc w:val="both"/>
        <w:rPr>
          <w:rFonts w:ascii="GHEA Grapalat" w:hAnsi="GHEA Grapalat"/>
          <w:color w:val="auto"/>
          <w:szCs w:val="20"/>
        </w:rPr>
      </w:pPr>
    </w:p>
    <w:p w14:paraId="49E0635E" w14:textId="77777777" w:rsidR="0052459E" w:rsidRPr="00E73A9A" w:rsidRDefault="0052459E" w:rsidP="00082769">
      <w:pPr>
        <w:pStyle w:val="Charts"/>
        <w:ind w:right="-22"/>
        <w:rPr>
          <w:b w:val="0"/>
          <w:bCs/>
          <w:color w:val="auto"/>
          <w:sz w:val="20"/>
          <w:szCs w:val="18"/>
        </w:rPr>
      </w:pPr>
      <w:r w:rsidRPr="00E73A9A">
        <w:rPr>
          <w:b w:val="0"/>
          <w:bCs/>
          <w:color w:val="auto"/>
          <w:sz w:val="20"/>
          <w:szCs w:val="18"/>
        </w:rPr>
        <w:t>Գծապատկեր 6. ՀՀ 2023-2029 թվականների պետական բյուջեի ծախսերն ըստ ոլորտների ունեն հետևյալ գրաֆիկական տեսքը.</w:t>
      </w:r>
    </w:p>
    <w:p w14:paraId="4050FB38" w14:textId="77777777" w:rsidR="0052459E" w:rsidRPr="000232DD" w:rsidRDefault="0052459E" w:rsidP="00082769">
      <w:pPr>
        <w:ind w:right="-22"/>
        <w:jc w:val="both"/>
        <w:rPr>
          <w:color w:val="auto"/>
        </w:rPr>
      </w:pPr>
      <w:r w:rsidRPr="000232DD">
        <w:rPr>
          <w:noProof/>
          <w:color w:val="auto"/>
        </w:rPr>
        <w:drawing>
          <wp:inline distT="0" distB="0" distL="0" distR="0" wp14:anchorId="18C096DD" wp14:editId="240AACC7">
            <wp:extent cx="5943600" cy="3219889"/>
            <wp:effectExtent l="0" t="0" r="0" b="0"/>
            <wp:docPr id="1738215428" name="Chart 1738215428"/>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7DC266A9" w14:textId="42200405" w:rsidR="0052459E" w:rsidRPr="000232DD" w:rsidRDefault="0052459E" w:rsidP="00082769">
      <w:pPr>
        <w:pStyle w:val="BodyText1"/>
        <w:ind w:left="0" w:right="-22"/>
        <w:rPr>
          <w:color w:val="auto"/>
        </w:rPr>
      </w:pPr>
      <w:r w:rsidRPr="000232DD">
        <w:rPr>
          <w:color w:val="auto"/>
        </w:rPr>
        <w:t>2023-2026թթ</w:t>
      </w:r>
      <w:r w:rsidRPr="000232DD">
        <w:rPr>
          <w:rFonts w:ascii="MS Mincho" w:eastAsia="MS Mincho" w:hAnsi="MS Mincho" w:cs="MS Mincho" w:hint="eastAsia"/>
          <w:color w:val="auto"/>
        </w:rPr>
        <w:t>․</w:t>
      </w:r>
      <w:r w:rsidRPr="000232DD">
        <w:rPr>
          <w:color w:val="auto"/>
        </w:rPr>
        <w:t xml:space="preserve"> պետական բյուջեի ընդամենը ծախսերում գերակայել են սոցիալական բնույթի ծախսերը (կրթություն, սոցիալական պաշտպանություն, առողջապահություն և այլն) միջինում 4</w:t>
      </w:r>
      <w:r w:rsidR="00286321">
        <w:rPr>
          <w:color w:val="auto"/>
        </w:rPr>
        <w:t>3</w:t>
      </w:r>
      <w:r w:rsidRPr="000232DD">
        <w:rPr>
          <w:color w:val="auto"/>
        </w:rPr>
        <w:t>.</w:t>
      </w:r>
      <w:r w:rsidR="00286321">
        <w:rPr>
          <w:color w:val="auto"/>
        </w:rPr>
        <w:t>1</w:t>
      </w:r>
      <w:r w:rsidRPr="000232DD">
        <w:rPr>
          <w:color w:val="auto"/>
        </w:rPr>
        <w:t xml:space="preserve">%, պաշտպանության, հասարակական կարգի, անվտանգության և դատական գործունեությանն՝ միջինում 26.4%, ընդհանուր բնույթի հանրային ծառայությունների` </w:t>
      </w:r>
      <w:r w:rsidRPr="000232DD">
        <w:rPr>
          <w:color w:val="auto"/>
          <w:lang w:val="hy-AM"/>
        </w:rPr>
        <w:t xml:space="preserve">միջինում </w:t>
      </w:r>
      <w:r w:rsidRPr="000232DD">
        <w:rPr>
          <w:color w:val="auto"/>
        </w:rPr>
        <w:t>2</w:t>
      </w:r>
      <w:r w:rsidR="00284BB1">
        <w:rPr>
          <w:color w:val="auto"/>
        </w:rPr>
        <w:t>2</w:t>
      </w:r>
      <w:r w:rsidRPr="000232DD">
        <w:rPr>
          <w:color w:val="auto"/>
        </w:rPr>
        <w:t>.</w:t>
      </w:r>
      <w:r w:rsidR="00284BB1">
        <w:rPr>
          <w:color w:val="auto"/>
        </w:rPr>
        <w:t>7</w:t>
      </w:r>
      <w:r w:rsidRPr="000232DD">
        <w:rPr>
          <w:color w:val="auto"/>
        </w:rPr>
        <w:t>%, տնտեսական ոլորտի՝ միջինում 7.8% ֆինանսավորումը։ Այս միտումը կշա</w:t>
      </w:r>
      <w:r w:rsidR="00873AE6">
        <w:rPr>
          <w:color w:val="auto"/>
          <w:lang w:val="hy-AM"/>
        </w:rPr>
        <w:t>ր</w:t>
      </w:r>
      <w:r w:rsidRPr="000232DD">
        <w:rPr>
          <w:color w:val="auto"/>
        </w:rPr>
        <w:t>ունակվի նաև 202</w:t>
      </w:r>
      <w:r w:rsidRPr="000232DD">
        <w:rPr>
          <w:color w:val="auto"/>
          <w:lang w:val="hy-AM"/>
        </w:rPr>
        <w:t>7-2029</w:t>
      </w:r>
      <w:r w:rsidRPr="000232DD">
        <w:rPr>
          <w:color w:val="auto"/>
        </w:rPr>
        <w:t xml:space="preserve"> թվական</w:t>
      </w:r>
      <w:r w:rsidRPr="000232DD">
        <w:rPr>
          <w:color w:val="auto"/>
          <w:lang w:val="hy-AM"/>
        </w:rPr>
        <w:t>ներ</w:t>
      </w:r>
      <w:r w:rsidRPr="000232DD">
        <w:rPr>
          <w:color w:val="auto"/>
        </w:rPr>
        <w:t xml:space="preserve">ին։ </w:t>
      </w:r>
    </w:p>
    <w:p w14:paraId="25E96100" w14:textId="77777777" w:rsidR="0052459E" w:rsidRPr="000232DD" w:rsidRDefault="0052459E" w:rsidP="00082769">
      <w:pPr>
        <w:pStyle w:val="BodyText1"/>
        <w:ind w:left="0" w:right="-22"/>
        <w:rPr>
          <w:color w:val="auto"/>
        </w:rPr>
      </w:pPr>
      <w:r w:rsidRPr="000232DD">
        <w:rPr>
          <w:color w:val="auto"/>
        </w:rPr>
        <w:t>202</w:t>
      </w:r>
      <w:r w:rsidRPr="000232DD">
        <w:rPr>
          <w:color w:val="auto"/>
          <w:lang w:val="hy-AM"/>
        </w:rPr>
        <w:t>7</w:t>
      </w:r>
      <w:r w:rsidRPr="000232DD">
        <w:rPr>
          <w:color w:val="auto"/>
        </w:rPr>
        <w:t>թ. ընդհանուր բնույթի հանրային ծառայությունների ոլորտին և պահուստային ֆոնդերի</w:t>
      </w:r>
      <w:r w:rsidRPr="000232DD">
        <w:rPr>
          <w:color w:val="auto"/>
          <w:lang w:val="hy-AM"/>
        </w:rPr>
        <w:t>ն</w:t>
      </w:r>
      <w:r w:rsidRPr="000232DD">
        <w:rPr>
          <w:color w:val="auto"/>
        </w:rPr>
        <w:t xml:space="preserve"> ուղղվելիք միջոցները նախատեսվել են շուրջ 76</w:t>
      </w:r>
      <w:r w:rsidRPr="000232DD">
        <w:rPr>
          <w:color w:val="auto"/>
          <w:lang w:val="hy-AM"/>
        </w:rPr>
        <w:t xml:space="preserve">.9 </w:t>
      </w:r>
      <w:r w:rsidRPr="000232DD">
        <w:rPr>
          <w:color w:val="auto"/>
        </w:rPr>
        <w:t>մլ</w:t>
      </w:r>
      <w:r w:rsidRPr="000232DD">
        <w:rPr>
          <w:color w:val="auto"/>
          <w:lang w:val="hy-AM"/>
        </w:rPr>
        <w:t>րդ</w:t>
      </w:r>
      <w:r w:rsidRPr="000232DD">
        <w:rPr>
          <w:color w:val="auto"/>
        </w:rPr>
        <w:t>. դրամով ավել՝ համեմատած 2026 թվականի հետ: 202</w:t>
      </w:r>
      <w:r w:rsidRPr="000232DD">
        <w:rPr>
          <w:color w:val="auto"/>
          <w:lang w:val="hy-AM"/>
        </w:rPr>
        <w:t>8</w:t>
      </w:r>
      <w:r w:rsidRPr="000232DD">
        <w:rPr>
          <w:color w:val="auto"/>
        </w:rPr>
        <w:t>թ. ընդհանուր բնույթի հանրային ծառայությունների և պահուստային ֆոնդերի ոլորտին ուղղվելիք միջոցները նախատեսվել են 1</w:t>
      </w:r>
      <w:r w:rsidRPr="000232DD">
        <w:rPr>
          <w:color w:val="auto"/>
          <w:lang w:val="hy-AM"/>
        </w:rPr>
        <w:t>,</w:t>
      </w:r>
      <w:r w:rsidRPr="000232DD">
        <w:rPr>
          <w:color w:val="auto"/>
        </w:rPr>
        <w:t>089.9 մլ</w:t>
      </w:r>
      <w:r w:rsidRPr="000232DD">
        <w:rPr>
          <w:color w:val="auto"/>
          <w:lang w:val="hy-AM"/>
        </w:rPr>
        <w:t>րդ դրամի չափով, իսկ 2029 թվականին՝ 1,206.2 մլրդ դրամի չափով:</w:t>
      </w:r>
    </w:p>
    <w:p w14:paraId="053AFD5E" w14:textId="30647649" w:rsidR="006D29A8" w:rsidRDefault="0052459E" w:rsidP="00082769">
      <w:pPr>
        <w:pStyle w:val="BodyText1"/>
        <w:ind w:left="0" w:right="-22"/>
        <w:rPr>
          <w:color w:val="auto"/>
        </w:rPr>
      </w:pPr>
      <w:r w:rsidRPr="000232DD">
        <w:rPr>
          <w:color w:val="auto"/>
        </w:rPr>
        <w:t>2027</w:t>
      </w:r>
      <w:r w:rsidRPr="000232DD">
        <w:rPr>
          <w:color w:val="auto"/>
          <w:lang w:val="hy-AM"/>
        </w:rPr>
        <w:t>-2029</w:t>
      </w:r>
      <w:r w:rsidRPr="000232DD">
        <w:rPr>
          <w:color w:val="auto"/>
        </w:rPr>
        <w:t xml:space="preserve"> թվական</w:t>
      </w:r>
      <w:r w:rsidRPr="000232DD">
        <w:rPr>
          <w:color w:val="auto"/>
          <w:lang w:val="hy-AM"/>
        </w:rPr>
        <w:t>ներ</w:t>
      </w:r>
      <w:r w:rsidRPr="000232DD">
        <w:rPr>
          <w:color w:val="auto"/>
        </w:rPr>
        <w:t>ին, ինչպես և 2026 թվականին, տնտեսության ճյուղերի պետական ֆինանսավորումը նպատակաուղղված է լինելու ենթակառուցվածքների, տնտեսության իրական հատվածի, բարձր տեխնոլոգիական արդյունաբերական, ինչպես նաև բնապահպանական բարձր չափանիշներին համապատասխանող՝ արտահանմանը միտված մրցունակ և ներառական տնտեսության կառուցմանն ուղղված ծրագրերի իրականացմանը։ 202</w:t>
      </w:r>
      <w:r w:rsidR="007A667E">
        <w:rPr>
          <w:color w:val="auto"/>
        </w:rPr>
        <w:t>7</w:t>
      </w:r>
      <w:r w:rsidRPr="000232DD">
        <w:rPr>
          <w:color w:val="auto"/>
          <w:lang w:val="hy-AM"/>
        </w:rPr>
        <w:t>-2029</w:t>
      </w:r>
      <w:r w:rsidRPr="000232DD">
        <w:rPr>
          <w:color w:val="auto"/>
        </w:rPr>
        <w:t xml:space="preserve"> թվական</w:t>
      </w:r>
      <w:r w:rsidRPr="000232DD">
        <w:rPr>
          <w:color w:val="auto"/>
          <w:lang w:val="hy-AM"/>
        </w:rPr>
        <w:t>ներ</w:t>
      </w:r>
      <w:r w:rsidRPr="000232DD">
        <w:rPr>
          <w:color w:val="auto"/>
        </w:rPr>
        <w:t>ին տնտեսության ոլորտի հատկացումներն ուղղվելու են ՀՀ կառավարության 2026-2031թթ. ծրագրով սահմանված տնտեսության մրցունակության և արտադրողականության աճի, տնտեսական հնարավորությունների ընդլայնման և դրանց հավասար հասանելիության ապահովմանը:</w:t>
      </w:r>
    </w:p>
    <w:p w14:paraId="191AAAAF" w14:textId="77777777" w:rsidR="006D29A8" w:rsidRDefault="006D29A8">
      <w:pPr>
        <w:spacing w:before="0" w:after="160" w:line="278" w:lineRule="auto"/>
        <w:rPr>
          <w:rFonts w:ascii="GHEA Grapalat" w:hAnsi="GHEA Grapalat"/>
          <w:color w:val="auto"/>
          <w:szCs w:val="20"/>
        </w:rPr>
      </w:pPr>
      <w:r>
        <w:rPr>
          <w:color w:val="auto"/>
        </w:rPr>
        <w:br w:type="page"/>
      </w:r>
    </w:p>
    <w:p w14:paraId="4008E5CB" w14:textId="77777777" w:rsidR="0052459E" w:rsidRPr="000232DD" w:rsidRDefault="0052459E" w:rsidP="00082769">
      <w:pPr>
        <w:pStyle w:val="BodyText1"/>
        <w:ind w:left="0" w:right="-22"/>
        <w:rPr>
          <w:b/>
          <w:color w:val="auto"/>
          <w:lang w:val="hy-AM"/>
        </w:rPr>
      </w:pPr>
    </w:p>
    <w:p w14:paraId="4316B3C0" w14:textId="2765A869" w:rsidR="0052459E" w:rsidRPr="00E73A9A" w:rsidRDefault="0052459E" w:rsidP="00E73A9A">
      <w:pPr>
        <w:pStyle w:val="Charts"/>
        <w:ind w:right="-22"/>
        <w:rPr>
          <w:b w:val="0"/>
          <w:bCs/>
          <w:color w:val="auto"/>
          <w:sz w:val="20"/>
          <w:szCs w:val="18"/>
        </w:rPr>
      </w:pPr>
      <w:r w:rsidRPr="00E73A9A">
        <w:rPr>
          <w:b w:val="0"/>
          <w:bCs/>
          <w:color w:val="auto"/>
          <w:sz w:val="20"/>
          <w:szCs w:val="18"/>
        </w:rPr>
        <w:t>Աղյուսակ 14</w:t>
      </w:r>
      <w:r w:rsidRPr="00E73A9A">
        <w:rPr>
          <w:rFonts w:ascii="Cambria Math" w:hAnsi="Cambria Math" w:cs="Cambria Math"/>
          <w:b w:val="0"/>
          <w:bCs/>
          <w:color w:val="auto"/>
          <w:sz w:val="20"/>
          <w:szCs w:val="18"/>
        </w:rPr>
        <w:t>․</w:t>
      </w:r>
      <w:r w:rsidRPr="00E73A9A">
        <w:rPr>
          <w:b w:val="0"/>
          <w:bCs/>
          <w:color w:val="auto"/>
          <w:sz w:val="20"/>
          <w:szCs w:val="18"/>
        </w:rPr>
        <w:t xml:space="preserve"> Տնտեսական ոլորտի 2023-20</w:t>
      </w:r>
      <w:r w:rsidR="00873AE6" w:rsidRPr="00E73A9A">
        <w:rPr>
          <w:b w:val="0"/>
          <w:bCs/>
          <w:color w:val="auto"/>
          <w:sz w:val="20"/>
          <w:szCs w:val="18"/>
        </w:rPr>
        <w:t>2</w:t>
      </w:r>
      <w:r w:rsidRPr="00E73A9A">
        <w:rPr>
          <w:b w:val="0"/>
          <w:bCs/>
          <w:color w:val="auto"/>
          <w:sz w:val="20"/>
          <w:szCs w:val="18"/>
        </w:rPr>
        <w:t>9թթ</w:t>
      </w:r>
      <w:r w:rsidRPr="00E73A9A">
        <w:rPr>
          <w:rFonts w:ascii="Cambria Math" w:hAnsi="Cambria Math" w:cs="Cambria Math"/>
          <w:b w:val="0"/>
          <w:bCs/>
          <w:color w:val="auto"/>
          <w:sz w:val="20"/>
          <w:szCs w:val="18"/>
        </w:rPr>
        <w:t>․</w:t>
      </w:r>
      <w:r w:rsidRPr="00E73A9A">
        <w:rPr>
          <w:b w:val="0"/>
          <w:bCs/>
          <w:color w:val="auto"/>
          <w:sz w:val="20"/>
          <w:szCs w:val="18"/>
        </w:rPr>
        <w:t xml:space="preserve"> բյուջետային ծախսերը (մլրդ. դրամ)</w:t>
      </w:r>
    </w:p>
    <w:tbl>
      <w:tblPr>
        <w:tblW w:w="5000" w:type="pct"/>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ook w:val="04A0" w:firstRow="1" w:lastRow="0" w:firstColumn="1" w:lastColumn="0" w:noHBand="0" w:noVBand="1"/>
      </w:tblPr>
      <w:tblGrid>
        <w:gridCol w:w="3768"/>
        <w:gridCol w:w="935"/>
        <w:gridCol w:w="939"/>
        <w:gridCol w:w="885"/>
        <w:gridCol w:w="939"/>
        <w:gridCol w:w="939"/>
        <w:gridCol w:w="939"/>
        <w:gridCol w:w="992"/>
      </w:tblGrid>
      <w:tr w:rsidR="004C0C21" w:rsidRPr="00BD348F" w14:paraId="6B4ABEB9" w14:textId="77777777" w:rsidTr="00DE6A4A">
        <w:trPr>
          <w:trHeight w:val="317"/>
        </w:trPr>
        <w:tc>
          <w:tcPr>
            <w:tcW w:w="1823" w:type="pct"/>
            <w:vMerge w:val="restart"/>
            <w:shd w:val="clear" w:color="auto" w:fill="DAE9F7" w:themeFill="text2" w:themeFillTint="1A"/>
            <w:vAlign w:val="center"/>
            <w:hideMark/>
          </w:tcPr>
          <w:p w14:paraId="58FA93DB" w14:textId="77777777" w:rsidR="0052459E" w:rsidRPr="00BD348F" w:rsidRDefault="0052459E" w:rsidP="00082769">
            <w:pPr>
              <w:spacing w:before="0" w:after="0" w:line="240" w:lineRule="auto"/>
              <w:ind w:right="-22"/>
              <w:rPr>
                <w:rFonts w:ascii="GHEA Grapalat" w:hAnsi="GHEA Grapalat"/>
                <w:b/>
                <w:color w:val="auto"/>
                <w:sz w:val="18"/>
                <w:szCs w:val="18"/>
                <w:lang w:val="ru-RU"/>
              </w:rPr>
            </w:pPr>
            <w:r w:rsidRPr="00BD348F">
              <w:rPr>
                <w:rFonts w:ascii="GHEA Grapalat" w:hAnsi="GHEA Grapalat" w:cs="Sylfaen"/>
                <w:b/>
                <w:color w:val="auto"/>
                <w:sz w:val="18"/>
                <w:szCs w:val="18"/>
              </w:rPr>
              <w:t>Ցուցանիշներ</w:t>
            </w:r>
          </w:p>
        </w:tc>
        <w:tc>
          <w:tcPr>
            <w:tcW w:w="1335" w:type="pct"/>
            <w:gridSpan w:val="3"/>
            <w:shd w:val="clear" w:color="auto" w:fill="DAE9F7" w:themeFill="text2" w:themeFillTint="1A"/>
            <w:vAlign w:val="center"/>
            <w:hideMark/>
          </w:tcPr>
          <w:p w14:paraId="200720DC"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cs="Sylfaen"/>
                <w:b/>
                <w:color w:val="auto"/>
                <w:sz w:val="18"/>
                <w:szCs w:val="18"/>
              </w:rPr>
              <w:t>Փաստ</w:t>
            </w:r>
          </w:p>
        </w:tc>
        <w:tc>
          <w:tcPr>
            <w:tcW w:w="454" w:type="pct"/>
            <w:shd w:val="clear" w:color="auto" w:fill="DAE9F7" w:themeFill="text2" w:themeFillTint="1A"/>
            <w:vAlign w:val="center"/>
            <w:hideMark/>
          </w:tcPr>
          <w:p w14:paraId="4C846BC4" w14:textId="77777777" w:rsidR="0052459E" w:rsidRPr="00BD348F" w:rsidRDefault="0052459E" w:rsidP="00082769">
            <w:pPr>
              <w:spacing w:before="0" w:after="0" w:line="240" w:lineRule="auto"/>
              <w:ind w:right="-22"/>
              <w:jc w:val="center"/>
              <w:rPr>
                <w:rFonts w:ascii="GHEA Grapalat" w:hAnsi="GHEA Grapalat"/>
                <w:b/>
                <w:color w:val="auto"/>
                <w:sz w:val="18"/>
                <w:szCs w:val="18"/>
                <w:lang w:val="hy-AM"/>
              </w:rPr>
            </w:pPr>
            <w:r w:rsidRPr="00BD348F">
              <w:rPr>
                <w:rFonts w:ascii="GHEA Grapalat" w:hAnsi="GHEA Grapalat" w:cs="Sylfaen"/>
                <w:b/>
                <w:color w:val="auto"/>
                <w:sz w:val="18"/>
                <w:szCs w:val="18"/>
              </w:rPr>
              <w:t>Բյուջե</w:t>
            </w:r>
          </w:p>
        </w:tc>
        <w:tc>
          <w:tcPr>
            <w:tcW w:w="1388" w:type="pct"/>
            <w:gridSpan w:val="3"/>
            <w:shd w:val="clear" w:color="auto" w:fill="DAE9F7" w:themeFill="text2" w:themeFillTint="1A"/>
            <w:vAlign w:val="center"/>
          </w:tcPr>
          <w:p w14:paraId="0F2721DC"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cs="Sylfaen"/>
                <w:b/>
                <w:color w:val="auto"/>
                <w:sz w:val="18"/>
                <w:szCs w:val="18"/>
                <w:lang w:val="hy-AM"/>
              </w:rPr>
              <w:t>Ծ</w:t>
            </w:r>
            <w:r w:rsidRPr="00BD348F">
              <w:rPr>
                <w:rFonts w:ascii="GHEA Grapalat" w:hAnsi="GHEA Grapalat" w:cs="Sylfaen"/>
                <w:b/>
                <w:color w:val="auto"/>
                <w:sz w:val="18"/>
                <w:szCs w:val="18"/>
              </w:rPr>
              <w:t>րագիր</w:t>
            </w:r>
          </w:p>
        </w:tc>
      </w:tr>
      <w:tr w:rsidR="004C0C21" w:rsidRPr="00BD348F" w14:paraId="624D2427" w14:textId="77777777" w:rsidTr="00DE6A4A">
        <w:trPr>
          <w:trHeight w:val="317"/>
        </w:trPr>
        <w:tc>
          <w:tcPr>
            <w:tcW w:w="1823" w:type="pct"/>
            <w:vMerge/>
            <w:shd w:val="clear" w:color="auto" w:fill="DAE9F7" w:themeFill="text2" w:themeFillTint="1A"/>
            <w:vAlign w:val="center"/>
            <w:hideMark/>
          </w:tcPr>
          <w:p w14:paraId="2D83BC30" w14:textId="77777777" w:rsidR="0052459E" w:rsidRPr="00BD348F" w:rsidRDefault="0052459E" w:rsidP="00082769">
            <w:pPr>
              <w:spacing w:before="0" w:after="0" w:line="240" w:lineRule="auto"/>
              <w:ind w:right="-22"/>
              <w:rPr>
                <w:rFonts w:ascii="GHEA Grapalat" w:hAnsi="GHEA Grapalat"/>
                <w:b/>
                <w:color w:val="auto"/>
                <w:sz w:val="18"/>
                <w:szCs w:val="18"/>
                <w:lang w:val="ru-RU" w:eastAsia="ru-RU"/>
              </w:rPr>
            </w:pPr>
          </w:p>
        </w:tc>
        <w:tc>
          <w:tcPr>
            <w:tcW w:w="453" w:type="pct"/>
            <w:shd w:val="clear" w:color="auto" w:fill="DAE9F7" w:themeFill="text2" w:themeFillTint="1A"/>
            <w:vAlign w:val="center"/>
            <w:hideMark/>
          </w:tcPr>
          <w:p w14:paraId="31D75661" w14:textId="77777777" w:rsidR="0052459E" w:rsidRPr="00BD348F" w:rsidRDefault="0052459E" w:rsidP="00082769">
            <w:pPr>
              <w:spacing w:before="0" w:after="0" w:line="240" w:lineRule="auto"/>
              <w:ind w:right="-22"/>
              <w:jc w:val="center"/>
              <w:rPr>
                <w:rFonts w:ascii="GHEA Grapalat" w:hAnsi="GHEA Grapalat"/>
                <w:b/>
                <w:color w:val="auto"/>
                <w:sz w:val="18"/>
                <w:szCs w:val="18"/>
                <w:lang w:val="ru-RU"/>
              </w:rPr>
            </w:pPr>
            <w:r w:rsidRPr="00BD348F">
              <w:rPr>
                <w:rFonts w:ascii="GHEA Grapalat" w:hAnsi="GHEA Grapalat"/>
                <w:b/>
                <w:color w:val="auto"/>
                <w:sz w:val="18"/>
                <w:szCs w:val="18"/>
              </w:rPr>
              <w:t>2023</w:t>
            </w:r>
          </w:p>
        </w:tc>
        <w:tc>
          <w:tcPr>
            <w:tcW w:w="454" w:type="pct"/>
            <w:shd w:val="clear" w:color="auto" w:fill="DAE9F7" w:themeFill="text2" w:themeFillTint="1A"/>
            <w:vAlign w:val="center"/>
            <w:hideMark/>
          </w:tcPr>
          <w:p w14:paraId="2D199205"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b/>
                <w:color w:val="auto"/>
                <w:sz w:val="18"/>
                <w:szCs w:val="18"/>
              </w:rPr>
              <w:t>2024</w:t>
            </w:r>
          </w:p>
        </w:tc>
        <w:tc>
          <w:tcPr>
            <w:tcW w:w="428" w:type="pct"/>
            <w:shd w:val="clear" w:color="auto" w:fill="DAE9F7" w:themeFill="text2" w:themeFillTint="1A"/>
            <w:vAlign w:val="center"/>
            <w:hideMark/>
          </w:tcPr>
          <w:p w14:paraId="490387EF" w14:textId="77777777" w:rsidR="0052459E" w:rsidRPr="00BD348F" w:rsidRDefault="0052459E" w:rsidP="00082769">
            <w:pPr>
              <w:spacing w:before="0" w:after="0" w:line="240" w:lineRule="auto"/>
              <w:ind w:right="-22"/>
              <w:jc w:val="center"/>
              <w:rPr>
                <w:rFonts w:ascii="GHEA Grapalat" w:hAnsi="GHEA Grapalat"/>
                <w:b/>
                <w:color w:val="auto"/>
                <w:sz w:val="18"/>
                <w:szCs w:val="18"/>
                <w:lang w:val="hy-AM"/>
              </w:rPr>
            </w:pPr>
            <w:r w:rsidRPr="00BD348F">
              <w:rPr>
                <w:rFonts w:ascii="GHEA Grapalat" w:hAnsi="GHEA Grapalat"/>
                <w:b/>
                <w:color w:val="auto"/>
                <w:sz w:val="18"/>
                <w:szCs w:val="18"/>
              </w:rPr>
              <w:t>2025</w:t>
            </w:r>
          </w:p>
        </w:tc>
        <w:tc>
          <w:tcPr>
            <w:tcW w:w="454" w:type="pct"/>
            <w:shd w:val="clear" w:color="auto" w:fill="DAE9F7" w:themeFill="text2" w:themeFillTint="1A"/>
            <w:vAlign w:val="center"/>
            <w:hideMark/>
          </w:tcPr>
          <w:p w14:paraId="2782A58E"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b/>
                <w:color w:val="auto"/>
                <w:sz w:val="18"/>
                <w:szCs w:val="18"/>
              </w:rPr>
              <w:t>2026</w:t>
            </w:r>
          </w:p>
        </w:tc>
        <w:tc>
          <w:tcPr>
            <w:tcW w:w="454" w:type="pct"/>
            <w:shd w:val="clear" w:color="auto" w:fill="DAE9F7" w:themeFill="text2" w:themeFillTint="1A"/>
            <w:vAlign w:val="center"/>
          </w:tcPr>
          <w:p w14:paraId="5A16083C" w14:textId="77777777" w:rsidR="0052459E" w:rsidRPr="00BD348F" w:rsidRDefault="0052459E" w:rsidP="00082769">
            <w:pPr>
              <w:spacing w:before="0" w:after="0" w:line="240" w:lineRule="auto"/>
              <w:ind w:right="-22"/>
              <w:jc w:val="center"/>
              <w:rPr>
                <w:rFonts w:ascii="GHEA Grapalat" w:hAnsi="GHEA Grapalat"/>
                <w:b/>
                <w:color w:val="auto"/>
                <w:sz w:val="18"/>
                <w:szCs w:val="18"/>
                <w:lang w:val="hy-AM"/>
              </w:rPr>
            </w:pPr>
            <w:r w:rsidRPr="00BD348F">
              <w:rPr>
                <w:rFonts w:ascii="GHEA Grapalat" w:hAnsi="GHEA Grapalat"/>
                <w:b/>
                <w:color w:val="auto"/>
                <w:sz w:val="18"/>
                <w:szCs w:val="18"/>
              </w:rPr>
              <w:t>2027</w:t>
            </w:r>
          </w:p>
        </w:tc>
        <w:tc>
          <w:tcPr>
            <w:tcW w:w="454" w:type="pct"/>
            <w:shd w:val="clear" w:color="auto" w:fill="DAE9F7" w:themeFill="text2" w:themeFillTint="1A"/>
            <w:vAlign w:val="center"/>
          </w:tcPr>
          <w:p w14:paraId="1A46C2DC"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b/>
                <w:color w:val="auto"/>
                <w:sz w:val="18"/>
                <w:szCs w:val="18"/>
              </w:rPr>
              <w:t>2028</w:t>
            </w:r>
          </w:p>
        </w:tc>
        <w:tc>
          <w:tcPr>
            <w:tcW w:w="480" w:type="pct"/>
            <w:shd w:val="clear" w:color="auto" w:fill="DAE9F7" w:themeFill="text2" w:themeFillTint="1A"/>
            <w:vAlign w:val="center"/>
            <w:hideMark/>
          </w:tcPr>
          <w:p w14:paraId="27AE3C54"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b/>
                <w:color w:val="auto"/>
                <w:sz w:val="18"/>
                <w:szCs w:val="18"/>
              </w:rPr>
              <w:t>2029</w:t>
            </w:r>
          </w:p>
        </w:tc>
      </w:tr>
      <w:tr w:rsidR="004C0C21" w:rsidRPr="00BD348F" w14:paraId="6A80D78D" w14:textId="77777777" w:rsidTr="00CB300F">
        <w:trPr>
          <w:trHeight w:val="317"/>
        </w:trPr>
        <w:tc>
          <w:tcPr>
            <w:tcW w:w="1823" w:type="pct"/>
            <w:shd w:val="clear" w:color="auto" w:fill="auto"/>
            <w:vAlign w:val="center"/>
            <w:hideMark/>
          </w:tcPr>
          <w:p w14:paraId="4470CA81" w14:textId="77777777" w:rsidR="0052459E" w:rsidRPr="00BD348F" w:rsidRDefault="0052459E" w:rsidP="00082769">
            <w:pPr>
              <w:spacing w:before="0" w:after="0" w:line="240" w:lineRule="auto"/>
              <w:ind w:right="-22"/>
              <w:rPr>
                <w:rFonts w:ascii="GHEA Grapalat" w:hAnsi="GHEA Grapalat"/>
                <w:color w:val="auto"/>
                <w:sz w:val="18"/>
                <w:szCs w:val="18"/>
                <w:lang w:val="ru-RU"/>
              </w:rPr>
            </w:pPr>
            <w:r w:rsidRPr="00BD348F">
              <w:rPr>
                <w:rFonts w:ascii="GHEA Grapalat" w:hAnsi="GHEA Grapalat" w:cs="Sylfaen"/>
                <w:color w:val="auto"/>
                <w:sz w:val="18"/>
                <w:szCs w:val="18"/>
              </w:rPr>
              <w:t>Տնտեսական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ոլորտ</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ընդամենը</w:t>
            </w:r>
          </w:p>
        </w:tc>
        <w:tc>
          <w:tcPr>
            <w:tcW w:w="453" w:type="pct"/>
            <w:shd w:val="clear" w:color="auto" w:fill="auto"/>
            <w:vAlign w:val="center"/>
          </w:tcPr>
          <w:p w14:paraId="361584A4"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217.8</w:t>
            </w:r>
          </w:p>
        </w:tc>
        <w:tc>
          <w:tcPr>
            <w:tcW w:w="454" w:type="pct"/>
            <w:shd w:val="clear" w:color="auto" w:fill="auto"/>
            <w:vAlign w:val="center"/>
          </w:tcPr>
          <w:p w14:paraId="728E4FE2"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228.9</w:t>
            </w:r>
          </w:p>
        </w:tc>
        <w:tc>
          <w:tcPr>
            <w:tcW w:w="428" w:type="pct"/>
            <w:shd w:val="clear" w:color="auto" w:fill="auto"/>
            <w:vAlign w:val="center"/>
          </w:tcPr>
          <w:p w14:paraId="589B75C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238.6</w:t>
            </w:r>
          </w:p>
        </w:tc>
        <w:tc>
          <w:tcPr>
            <w:tcW w:w="454" w:type="pct"/>
            <w:shd w:val="clear" w:color="auto" w:fill="auto"/>
            <w:vAlign w:val="center"/>
          </w:tcPr>
          <w:p w14:paraId="5F033E78"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281.3</w:t>
            </w:r>
          </w:p>
        </w:tc>
        <w:tc>
          <w:tcPr>
            <w:tcW w:w="454" w:type="pct"/>
            <w:shd w:val="clear" w:color="auto" w:fill="auto"/>
            <w:vAlign w:val="center"/>
          </w:tcPr>
          <w:p w14:paraId="1A806B3F"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 xml:space="preserve">  312.3 </w:t>
            </w:r>
          </w:p>
        </w:tc>
        <w:tc>
          <w:tcPr>
            <w:tcW w:w="454" w:type="pct"/>
            <w:shd w:val="clear" w:color="auto" w:fill="auto"/>
            <w:vAlign w:val="center"/>
          </w:tcPr>
          <w:p w14:paraId="4B9F07B5"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 xml:space="preserve"> 310.4 </w:t>
            </w:r>
          </w:p>
        </w:tc>
        <w:tc>
          <w:tcPr>
            <w:tcW w:w="480" w:type="pct"/>
            <w:shd w:val="clear" w:color="auto" w:fill="auto"/>
            <w:vAlign w:val="center"/>
          </w:tcPr>
          <w:p w14:paraId="2EF790F5"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 xml:space="preserve">311.9 </w:t>
            </w:r>
          </w:p>
        </w:tc>
      </w:tr>
      <w:tr w:rsidR="004C0C21" w:rsidRPr="00BD348F" w14:paraId="37BE638D" w14:textId="77777777" w:rsidTr="00CB300F">
        <w:trPr>
          <w:trHeight w:val="317"/>
        </w:trPr>
        <w:tc>
          <w:tcPr>
            <w:tcW w:w="1823" w:type="pct"/>
            <w:shd w:val="clear" w:color="auto" w:fill="auto"/>
            <w:vAlign w:val="center"/>
            <w:hideMark/>
          </w:tcPr>
          <w:p w14:paraId="6BDA202D"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453" w:type="pct"/>
            <w:shd w:val="clear" w:color="auto" w:fill="auto"/>
            <w:vAlign w:val="center"/>
          </w:tcPr>
          <w:p w14:paraId="2A114407"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2.3%</w:t>
            </w:r>
          </w:p>
        </w:tc>
        <w:tc>
          <w:tcPr>
            <w:tcW w:w="454" w:type="pct"/>
            <w:shd w:val="clear" w:color="auto" w:fill="auto"/>
            <w:vAlign w:val="center"/>
          </w:tcPr>
          <w:p w14:paraId="736B86BF" w14:textId="77777777" w:rsidR="0052459E" w:rsidRPr="00BD348F" w:rsidRDefault="0052459E" w:rsidP="00082769">
            <w:pPr>
              <w:spacing w:before="0" w:after="0" w:line="240" w:lineRule="auto"/>
              <w:ind w:right="-22"/>
              <w:jc w:val="center"/>
              <w:rPr>
                <w:rFonts w:ascii="GHEA Grapalat" w:hAnsi="GHEA Grapalat"/>
                <w:color w:val="auto"/>
                <w:sz w:val="18"/>
                <w:szCs w:val="18"/>
                <w:lang w:val="ru-RU"/>
              </w:rPr>
            </w:pPr>
            <w:r w:rsidRPr="00BD348F">
              <w:rPr>
                <w:rFonts w:ascii="GHEA Grapalat" w:hAnsi="GHEA Grapalat"/>
                <w:color w:val="auto"/>
                <w:sz w:val="18"/>
                <w:szCs w:val="18"/>
              </w:rPr>
              <w:t>2.2%</w:t>
            </w:r>
          </w:p>
        </w:tc>
        <w:tc>
          <w:tcPr>
            <w:tcW w:w="428" w:type="pct"/>
            <w:shd w:val="clear" w:color="auto" w:fill="auto"/>
            <w:vAlign w:val="center"/>
          </w:tcPr>
          <w:p w14:paraId="7F1D5527"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2.1%</w:t>
            </w:r>
          </w:p>
        </w:tc>
        <w:tc>
          <w:tcPr>
            <w:tcW w:w="454" w:type="pct"/>
            <w:shd w:val="clear" w:color="auto" w:fill="auto"/>
            <w:vAlign w:val="center"/>
          </w:tcPr>
          <w:p w14:paraId="2358BE78" w14:textId="77777777" w:rsidR="0052459E" w:rsidRPr="00BD348F" w:rsidRDefault="0052459E" w:rsidP="00082769">
            <w:pPr>
              <w:spacing w:before="0" w:after="0" w:line="240" w:lineRule="auto"/>
              <w:ind w:right="-22"/>
              <w:jc w:val="center"/>
              <w:rPr>
                <w:rFonts w:ascii="GHEA Grapalat" w:hAnsi="GHEA Grapalat"/>
                <w:color w:val="auto"/>
                <w:sz w:val="18"/>
                <w:szCs w:val="18"/>
                <w:lang w:val="ru-RU"/>
              </w:rPr>
            </w:pPr>
            <w:r w:rsidRPr="00BD348F">
              <w:rPr>
                <w:rFonts w:ascii="GHEA Grapalat" w:hAnsi="GHEA Grapalat"/>
                <w:color w:val="auto"/>
                <w:sz w:val="18"/>
                <w:szCs w:val="18"/>
              </w:rPr>
              <w:t>2.3%</w:t>
            </w:r>
          </w:p>
        </w:tc>
        <w:tc>
          <w:tcPr>
            <w:tcW w:w="454" w:type="pct"/>
            <w:shd w:val="clear" w:color="auto" w:fill="auto"/>
            <w:vAlign w:val="center"/>
          </w:tcPr>
          <w:p w14:paraId="1E8FBA77"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2.3%</w:t>
            </w:r>
          </w:p>
        </w:tc>
        <w:tc>
          <w:tcPr>
            <w:tcW w:w="454" w:type="pct"/>
            <w:shd w:val="clear" w:color="auto" w:fill="auto"/>
            <w:vAlign w:val="center"/>
          </w:tcPr>
          <w:p w14:paraId="0AF13BE7"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2.1%</w:t>
            </w:r>
          </w:p>
        </w:tc>
        <w:tc>
          <w:tcPr>
            <w:tcW w:w="480" w:type="pct"/>
            <w:shd w:val="clear" w:color="auto" w:fill="auto"/>
            <w:vAlign w:val="center"/>
          </w:tcPr>
          <w:p w14:paraId="6393CA22"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1.9%</w:t>
            </w:r>
          </w:p>
        </w:tc>
      </w:tr>
      <w:tr w:rsidR="004C0C21" w:rsidRPr="00BD348F" w14:paraId="4AE8460F" w14:textId="77777777" w:rsidTr="00CB300F">
        <w:trPr>
          <w:trHeight w:val="317"/>
        </w:trPr>
        <w:tc>
          <w:tcPr>
            <w:tcW w:w="1823" w:type="pct"/>
            <w:shd w:val="clear" w:color="auto" w:fill="auto"/>
            <w:vAlign w:val="center"/>
            <w:hideMark/>
          </w:tcPr>
          <w:p w14:paraId="1DFDF2F7"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453" w:type="pct"/>
            <w:shd w:val="clear" w:color="auto" w:fill="auto"/>
            <w:vAlign w:val="center"/>
          </w:tcPr>
          <w:p w14:paraId="325E9FEF"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8.5%</w:t>
            </w:r>
          </w:p>
        </w:tc>
        <w:tc>
          <w:tcPr>
            <w:tcW w:w="454" w:type="pct"/>
            <w:shd w:val="clear" w:color="auto" w:fill="auto"/>
            <w:vAlign w:val="center"/>
          </w:tcPr>
          <w:p w14:paraId="732A621F"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7.7%</w:t>
            </w:r>
          </w:p>
        </w:tc>
        <w:tc>
          <w:tcPr>
            <w:tcW w:w="428" w:type="pct"/>
            <w:shd w:val="clear" w:color="auto" w:fill="auto"/>
            <w:vAlign w:val="center"/>
          </w:tcPr>
          <w:p w14:paraId="3C033859"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7.2%</w:t>
            </w:r>
          </w:p>
        </w:tc>
        <w:tc>
          <w:tcPr>
            <w:tcW w:w="454" w:type="pct"/>
            <w:shd w:val="clear" w:color="auto" w:fill="auto"/>
            <w:vAlign w:val="center"/>
          </w:tcPr>
          <w:p w14:paraId="6295763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7.8%</w:t>
            </w:r>
          </w:p>
        </w:tc>
        <w:tc>
          <w:tcPr>
            <w:tcW w:w="454" w:type="pct"/>
            <w:shd w:val="clear" w:color="auto" w:fill="auto"/>
            <w:vAlign w:val="center"/>
          </w:tcPr>
          <w:p w14:paraId="1AE3F0B2"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7.7%</w:t>
            </w:r>
          </w:p>
        </w:tc>
        <w:tc>
          <w:tcPr>
            <w:tcW w:w="454" w:type="pct"/>
            <w:shd w:val="clear" w:color="auto" w:fill="auto"/>
            <w:vAlign w:val="center"/>
          </w:tcPr>
          <w:p w14:paraId="3595ADAA"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7.1%</w:t>
            </w:r>
          </w:p>
        </w:tc>
        <w:tc>
          <w:tcPr>
            <w:tcW w:w="480" w:type="pct"/>
            <w:shd w:val="clear" w:color="auto" w:fill="auto"/>
            <w:vAlign w:val="center"/>
          </w:tcPr>
          <w:p w14:paraId="4A3413CC" w14:textId="77777777" w:rsidR="0052459E" w:rsidRPr="00BD348F" w:rsidRDefault="0052459E" w:rsidP="00082769">
            <w:pPr>
              <w:spacing w:before="0" w:after="0" w:line="240" w:lineRule="auto"/>
              <w:ind w:right="-22"/>
              <w:jc w:val="center"/>
              <w:rPr>
                <w:rFonts w:ascii="GHEA Grapalat" w:hAnsi="GHEA Grapalat"/>
                <w:color w:val="auto"/>
                <w:sz w:val="18"/>
                <w:szCs w:val="18"/>
                <w:lang w:val="ru-RU"/>
              </w:rPr>
            </w:pPr>
            <w:r w:rsidRPr="00BD348F">
              <w:rPr>
                <w:rFonts w:ascii="GHEA Grapalat" w:hAnsi="GHEA Grapalat"/>
                <w:color w:val="auto"/>
                <w:sz w:val="18"/>
                <w:szCs w:val="18"/>
              </w:rPr>
              <w:t>6.8%</w:t>
            </w:r>
          </w:p>
        </w:tc>
      </w:tr>
      <w:tr w:rsidR="004C0C21" w:rsidRPr="00BD348F" w14:paraId="7CD2BB8E" w14:textId="77777777" w:rsidTr="00CB300F">
        <w:trPr>
          <w:trHeight w:val="317"/>
        </w:trPr>
        <w:tc>
          <w:tcPr>
            <w:tcW w:w="1823" w:type="pct"/>
            <w:shd w:val="clear" w:color="auto" w:fill="auto"/>
            <w:vAlign w:val="center"/>
            <w:hideMark/>
          </w:tcPr>
          <w:p w14:paraId="4BD49C31"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1. </w:t>
            </w:r>
            <w:r w:rsidRPr="00BD348F">
              <w:rPr>
                <w:rFonts w:ascii="GHEA Grapalat" w:hAnsi="GHEA Grapalat" w:cs="Sylfaen"/>
                <w:color w:val="auto"/>
                <w:sz w:val="18"/>
                <w:szCs w:val="18"/>
              </w:rPr>
              <w:t>Տնտեսական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հարաբերություններ</w:t>
            </w:r>
          </w:p>
        </w:tc>
        <w:tc>
          <w:tcPr>
            <w:tcW w:w="453" w:type="pct"/>
            <w:shd w:val="clear" w:color="auto" w:fill="auto"/>
            <w:vAlign w:val="center"/>
          </w:tcPr>
          <w:p w14:paraId="3678EF79"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199.2</w:t>
            </w:r>
          </w:p>
        </w:tc>
        <w:tc>
          <w:tcPr>
            <w:tcW w:w="454" w:type="pct"/>
            <w:shd w:val="clear" w:color="auto" w:fill="auto"/>
            <w:vAlign w:val="center"/>
          </w:tcPr>
          <w:p w14:paraId="5887CF78"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203.7</w:t>
            </w:r>
          </w:p>
        </w:tc>
        <w:tc>
          <w:tcPr>
            <w:tcW w:w="428" w:type="pct"/>
            <w:shd w:val="clear" w:color="auto" w:fill="auto"/>
            <w:vAlign w:val="center"/>
          </w:tcPr>
          <w:p w14:paraId="6D2F189D"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212.5</w:t>
            </w:r>
          </w:p>
        </w:tc>
        <w:tc>
          <w:tcPr>
            <w:tcW w:w="454" w:type="pct"/>
            <w:shd w:val="clear" w:color="auto" w:fill="auto"/>
            <w:vAlign w:val="center"/>
          </w:tcPr>
          <w:p w14:paraId="42D0401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255.9</w:t>
            </w:r>
          </w:p>
        </w:tc>
        <w:tc>
          <w:tcPr>
            <w:tcW w:w="454" w:type="pct"/>
            <w:shd w:val="clear" w:color="auto" w:fill="auto"/>
            <w:vAlign w:val="center"/>
          </w:tcPr>
          <w:p w14:paraId="4A367769"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 xml:space="preserve">282.2 </w:t>
            </w:r>
          </w:p>
        </w:tc>
        <w:tc>
          <w:tcPr>
            <w:tcW w:w="454" w:type="pct"/>
            <w:shd w:val="clear" w:color="auto" w:fill="auto"/>
            <w:vAlign w:val="center"/>
          </w:tcPr>
          <w:p w14:paraId="268FC991" w14:textId="77777777" w:rsidR="0052459E" w:rsidRPr="00BD348F" w:rsidRDefault="0052459E" w:rsidP="00082769">
            <w:pPr>
              <w:spacing w:before="0" w:after="0" w:line="240" w:lineRule="auto"/>
              <w:ind w:right="-22"/>
              <w:rPr>
                <w:rFonts w:ascii="GHEA Grapalat" w:hAnsi="GHEA Grapalat" w:cs="Calibri"/>
                <w:color w:val="auto"/>
                <w:sz w:val="18"/>
                <w:szCs w:val="18"/>
              </w:rPr>
            </w:pPr>
            <w:r w:rsidRPr="00BD348F">
              <w:rPr>
                <w:rFonts w:ascii="GHEA Grapalat" w:hAnsi="GHEA Grapalat"/>
                <w:color w:val="auto"/>
                <w:sz w:val="18"/>
                <w:szCs w:val="18"/>
              </w:rPr>
              <w:t xml:space="preserve"> 288.6 </w:t>
            </w:r>
          </w:p>
        </w:tc>
        <w:tc>
          <w:tcPr>
            <w:tcW w:w="480" w:type="pct"/>
            <w:shd w:val="clear" w:color="auto" w:fill="auto"/>
            <w:vAlign w:val="center"/>
          </w:tcPr>
          <w:p w14:paraId="75349205"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 xml:space="preserve">290.2 </w:t>
            </w:r>
          </w:p>
        </w:tc>
      </w:tr>
      <w:tr w:rsidR="004C0C21" w:rsidRPr="00BD348F" w14:paraId="18C072B9" w14:textId="77777777" w:rsidTr="00CB300F">
        <w:trPr>
          <w:trHeight w:val="317"/>
        </w:trPr>
        <w:tc>
          <w:tcPr>
            <w:tcW w:w="1823" w:type="pct"/>
            <w:shd w:val="clear" w:color="auto" w:fill="auto"/>
            <w:vAlign w:val="center"/>
            <w:hideMark/>
          </w:tcPr>
          <w:p w14:paraId="3B722C73"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453" w:type="pct"/>
            <w:shd w:val="clear" w:color="auto" w:fill="auto"/>
            <w:vAlign w:val="center"/>
          </w:tcPr>
          <w:p w14:paraId="262006FA"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2.1%</w:t>
            </w:r>
          </w:p>
        </w:tc>
        <w:tc>
          <w:tcPr>
            <w:tcW w:w="454" w:type="pct"/>
            <w:shd w:val="clear" w:color="auto" w:fill="auto"/>
            <w:vAlign w:val="center"/>
          </w:tcPr>
          <w:p w14:paraId="35B87E6F"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2.0%</w:t>
            </w:r>
          </w:p>
        </w:tc>
        <w:tc>
          <w:tcPr>
            <w:tcW w:w="428" w:type="pct"/>
            <w:shd w:val="clear" w:color="auto" w:fill="auto"/>
            <w:vAlign w:val="center"/>
          </w:tcPr>
          <w:p w14:paraId="01D74B75"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1.9%</w:t>
            </w:r>
          </w:p>
        </w:tc>
        <w:tc>
          <w:tcPr>
            <w:tcW w:w="454" w:type="pct"/>
            <w:shd w:val="clear" w:color="auto" w:fill="auto"/>
            <w:vAlign w:val="center"/>
          </w:tcPr>
          <w:p w14:paraId="3B7686E5"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2.1%</w:t>
            </w:r>
          </w:p>
        </w:tc>
        <w:tc>
          <w:tcPr>
            <w:tcW w:w="454" w:type="pct"/>
            <w:shd w:val="clear" w:color="auto" w:fill="auto"/>
            <w:vAlign w:val="center"/>
          </w:tcPr>
          <w:p w14:paraId="4D21CC4B"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2.1%</w:t>
            </w:r>
          </w:p>
        </w:tc>
        <w:tc>
          <w:tcPr>
            <w:tcW w:w="454" w:type="pct"/>
            <w:shd w:val="clear" w:color="auto" w:fill="auto"/>
            <w:vAlign w:val="center"/>
          </w:tcPr>
          <w:p w14:paraId="24A74692"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1.9%</w:t>
            </w:r>
          </w:p>
        </w:tc>
        <w:tc>
          <w:tcPr>
            <w:tcW w:w="480" w:type="pct"/>
            <w:shd w:val="clear" w:color="auto" w:fill="auto"/>
            <w:vAlign w:val="center"/>
          </w:tcPr>
          <w:p w14:paraId="404B030A"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1.8%</w:t>
            </w:r>
          </w:p>
        </w:tc>
      </w:tr>
      <w:tr w:rsidR="004C0C21" w:rsidRPr="00BD348F" w14:paraId="6232E563" w14:textId="77777777" w:rsidTr="00CB300F">
        <w:trPr>
          <w:trHeight w:val="317"/>
        </w:trPr>
        <w:tc>
          <w:tcPr>
            <w:tcW w:w="1823" w:type="pct"/>
            <w:shd w:val="clear" w:color="auto" w:fill="auto"/>
            <w:vAlign w:val="center"/>
            <w:hideMark/>
          </w:tcPr>
          <w:p w14:paraId="29FDDFC0"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453" w:type="pct"/>
            <w:shd w:val="clear" w:color="auto" w:fill="auto"/>
            <w:vAlign w:val="center"/>
          </w:tcPr>
          <w:p w14:paraId="0B7D999A"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7.8%</w:t>
            </w:r>
          </w:p>
        </w:tc>
        <w:tc>
          <w:tcPr>
            <w:tcW w:w="454" w:type="pct"/>
            <w:shd w:val="clear" w:color="auto" w:fill="auto"/>
            <w:vAlign w:val="center"/>
          </w:tcPr>
          <w:p w14:paraId="6C7A5C0B"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6.9%</w:t>
            </w:r>
          </w:p>
        </w:tc>
        <w:tc>
          <w:tcPr>
            <w:tcW w:w="428" w:type="pct"/>
            <w:shd w:val="clear" w:color="auto" w:fill="auto"/>
            <w:vAlign w:val="center"/>
          </w:tcPr>
          <w:p w14:paraId="2D2A0D8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6.4%</w:t>
            </w:r>
          </w:p>
        </w:tc>
        <w:tc>
          <w:tcPr>
            <w:tcW w:w="454" w:type="pct"/>
            <w:shd w:val="clear" w:color="auto" w:fill="auto"/>
            <w:vAlign w:val="center"/>
          </w:tcPr>
          <w:p w14:paraId="4156C84B"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7.1%</w:t>
            </w:r>
          </w:p>
        </w:tc>
        <w:tc>
          <w:tcPr>
            <w:tcW w:w="454" w:type="pct"/>
            <w:shd w:val="clear" w:color="auto" w:fill="auto"/>
            <w:vAlign w:val="center"/>
          </w:tcPr>
          <w:p w14:paraId="394EB891"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6.9%</w:t>
            </w:r>
          </w:p>
        </w:tc>
        <w:tc>
          <w:tcPr>
            <w:tcW w:w="454" w:type="pct"/>
            <w:shd w:val="clear" w:color="auto" w:fill="auto"/>
            <w:vAlign w:val="center"/>
          </w:tcPr>
          <w:p w14:paraId="1C0B6BEB"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6.6%</w:t>
            </w:r>
          </w:p>
        </w:tc>
        <w:tc>
          <w:tcPr>
            <w:tcW w:w="480" w:type="pct"/>
            <w:shd w:val="clear" w:color="auto" w:fill="auto"/>
            <w:vAlign w:val="center"/>
          </w:tcPr>
          <w:p w14:paraId="7D37D6A8"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6.3%</w:t>
            </w:r>
          </w:p>
        </w:tc>
      </w:tr>
      <w:tr w:rsidR="004C0C21" w:rsidRPr="00BD348F" w14:paraId="6FEBB9F7" w14:textId="77777777" w:rsidTr="00CB300F">
        <w:trPr>
          <w:trHeight w:val="317"/>
        </w:trPr>
        <w:tc>
          <w:tcPr>
            <w:tcW w:w="1823" w:type="pct"/>
            <w:shd w:val="clear" w:color="auto" w:fill="auto"/>
            <w:vAlign w:val="center"/>
            <w:hideMark/>
          </w:tcPr>
          <w:p w14:paraId="5596F8A1"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2. </w:t>
            </w:r>
            <w:r w:rsidRPr="00BD348F">
              <w:rPr>
                <w:rFonts w:ascii="GHEA Grapalat" w:hAnsi="GHEA Grapalat" w:cs="Sylfaen"/>
                <w:color w:val="auto"/>
                <w:sz w:val="18"/>
                <w:szCs w:val="18"/>
              </w:rPr>
              <w:t>Շրջակա</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միջավայրի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պաշտպանություն</w:t>
            </w:r>
          </w:p>
        </w:tc>
        <w:tc>
          <w:tcPr>
            <w:tcW w:w="453" w:type="pct"/>
            <w:shd w:val="clear" w:color="auto" w:fill="auto"/>
            <w:vAlign w:val="center"/>
          </w:tcPr>
          <w:p w14:paraId="1BCD2762"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7.7</w:t>
            </w:r>
          </w:p>
        </w:tc>
        <w:tc>
          <w:tcPr>
            <w:tcW w:w="454" w:type="pct"/>
            <w:shd w:val="clear" w:color="auto" w:fill="auto"/>
            <w:vAlign w:val="center"/>
          </w:tcPr>
          <w:p w14:paraId="286CADD9"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10.7</w:t>
            </w:r>
          </w:p>
        </w:tc>
        <w:tc>
          <w:tcPr>
            <w:tcW w:w="428" w:type="pct"/>
            <w:shd w:val="clear" w:color="auto" w:fill="auto"/>
            <w:vAlign w:val="center"/>
          </w:tcPr>
          <w:p w14:paraId="6C56301A"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14.3</w:t>
            </w:r>
          </w:p>
        </w:tc>
        <w:tc>
          <w:tcPr>
            <w:tcW w:w="454" w:type="pct"/>
            <w:shd w:val="clear" w:color="auto" w:fill="auto"/>
            <w:vAlign w:val="center"/>
          </w:tcPr>
          <w:p w14:paraId="41804038"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11.9</w:t>
            </w:r>
          </w:p>
        </w:tc>
        <w:tc>
          <w:tcPr>
            <w:tcW w:w="454" w:type="pct"/>
            <w:shd w:val="clear" w:color="auto" w:fill="auto"/>
            <w:vAlign w:val="center"/>
          </w:tcPr>
          <w:p w14:paraId="702C7809"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 xml:space="preserve">13.5 </w:t>
            </w:r>
          </w:p>
        </w:tc>
        <w:tc>
          <w:tcPr>
            <w:tcW w:w="454" w:type="pct"/>
            <w:shd w:val="clear" w:color="auto" w:fill="auto"/>
            <w:vAlign w:val="center"/>
          </w:tcPr>
          <w:p w14:paraId="7505ED59" w14:textId="77777777" w:rsidR="0052459E" w:rsidRPr="00BD348F" w:rsidRDefault="0052459E" w:rsidP="00082769">
            <w:pPr>
              <w:spacing w:before="0" w:after="0" w:line="240" w:lineRule="auto"/>
              <w:ind w:right="-22"/>
              <w:rPr>
                <w:rFonts w:ascii="GHEA Grapalat" w:hAnsi="GHEA Grapalat" w:cs="Calibri"/>
                <w:color w:val="auto"/>
                <w:sz w:val="18"/>
                <w:szCs w:val="18"/>
              </w:rPr>
            </w:pPr>
            <w:r w:rsidRPr="00BD348F">
              <w:rPr>
                <w:rFonts w:ascii="GHEA Grapalat" w:hAnsi="GHEA Grapalat"/>
                <w:color w:val="auto"/>
                <w:sz w:val="18"/>
                <w:szCs w:val="18"/>
              </w:rPr>
              <w:t xml:space="preserve"> 14.9 </w:t>
            </w:r>
          </w:p>
        </w:tc>
        <w:tc>
          <w:tcPr>
            <w:tcW w:w="480" w:type="pct"/>
            <w:shd w:val="clear" w:color="auto" w:fill="auto"/>
            <w:vAlign w:val="center"/>
          </w:tcPr>
          <w:p w14:paraId="7F6F67BD"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   14.3 </w:t>
            </w:r>
          </w:p>
        </w:tc>
      </w:tr>
      <w:tr w:rsidR="004C0C21" w:rsidRPr="00BD348F" w14:paraId="2AFB4B96" w14:textId="77777777" w:rsidTr="00CB300F">
        <w:trPr>
          <w:trHeight w:val="317"/>
        </w:trPr>
        <w:tc>
          <w:tcPr>
            <w:tcW w:w="1823" w:type="pct"/>
            <w:shd w:val="clear" w:color="auto" w:fill="auto"/>
            <w:vAlign w:val="center"/>
            <w:hideMark/>
          </w:tcPr>
          <w:p w14:paraId="414A1FC2"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453" w:type="pct"/>
            <w:shd w:val="clear" w:color="auto" w:fill="auto"/>
            <w:vAlign w:val="center"/>
          </w:tcPr>
          <w:p w14:paraId="53B12606"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0.1%</w:t>
            </w:r>
          </w:p>
        </w:tc>
        <w:tc>
          <w:tcPr>
            <w:tcW w:w="454" w:type="pct"/>
            <w:shd w:val="clear" w:color="auto" w:fill="auto"/>
            <w:vAlign w:val="center"/>
          </w:tcPr>
          <w:p w14:paraId="4E0C9822"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0.1%</w:t>
            </w:r>
          </w:p>
        </w:tc>
        <w:tc>
          <w:tcPr>
            <w:tcW w:w="428" w:type="pct"/>
            <w:shd w:val="clear" w:color="auto" w:fill="auto"/>
            <w:vAlign w:val="center"/>
          </w:tcPr>
          <w:p w14:paraId="54353607"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0.1%</w:t>
            </w:r>
          </w:p>
        </w:tc>
        <w:tc>
          <w:tcPr>
            <w:tcW w:w="454" w:type="pct"/>
            <w:shd w:val="clear" w:color="auto" w:fill="auto"/>
            <w:vAlign w:val="center"/>
          </w:tcPr>
          <w:p w14:paraId="1866970B" w14:textId="77777777" w:rsidR="0052459E" w:rsidRPr="00BD348F" w:rsidRDefault="0052459E" w:rsidP="00082769">
            <w:pPr>
              <w:spacing w:before="0" w:after="0" w:line="240" w:lineRule="auto"/>
              <w:ind w:right="-22"/>
              <w:jc w:val="center"/>
              <w:rPr>
                <w:rFonts w:ascii="GHEA Grapalat" w:hAnsi="GHEA Grapalat"/>
                <w:color w:val="auto"/>
                <w:sz w:val="18"/>
                <w:szCs w:val="18"/>
                <w:lang w:val="ru-RU"/>
              </w:rPr>
            </w:pPr>
            <w:r w:rsidRPr="00BD348F">
              <w:rPr>
                <w:rFonts w:ascii="GHEA Grapalat" w:hAnsi="GHEA Grapalat"/>
                <w:color w:val="auto"/>
                <w:sz w:val="18"/>
                <w:szCs w:val="18"/>
              </w:rPr>
              <w:t>0.1%</w:t>
            </w:r>
          </w:p>
        </w:tc>
        <w:tc>
          <w:tcPr>
            <w:tcW w:w="454" w:type="pct"/>
            <w:shd w:val="clear" w:color="auto" w:fill="auto"/>
            <w:vAlign w:val="center"/>
          </w:tcPr>
          <w:p w14:paraId="32BD3513"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0.1%</w:t>
            </w:r>
          </w:p>
        </w:tc>
        <w:tc>
          <w:tcPr>
            <w:tcW w:w="454" w:type="pct"/>
            <w:shd w:val="clear" w:color="auto" w:fill="auto"/>
            <w:vAlign w:val="center"/>
          </w:tcPr>
          <w:p w14:paraId="1FA9D699"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0.1%</w:t>
            </w:r>
          </w:p>
        </w:tc>
        <w:tc>
          <w:tcPr>
            <w:tcW w:w="480" w:type="pct"/>
            <w:shd w:val="clear" w:color="auto" w:fill="auto"/>
            <w:vAlign w:val="center"/>
          </w:tcPr>
          <w:p w14:paraId="519A640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0.1%</w:t>
            </w:r>
          </w:p>
        </w:tc>
      </w:tr>
      <w:tr w:rsidR="004C0C21" w:rsidRPr="00BD348F" w14:paraId="6ABABA4C" w14:textId="77777777" w:rsidTr="00CB300F">
        <w:trPr>
          <w:trHeight w:val="317"/>
        </w:trPr>
        <w:tc>
          <w:tcPr>
            <w:tcW w:w="1823" w:type="pct"/>
            <w:shd w:val="clear" w:color="auto" w:fill="auto"/>
            <w:vAlign w:val="center"/>
            <w:hideMark/>
          </w:tcPr>
          <w:p w14:paraId="058F8F70"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453" w:type="pct"/>
            <w:shd w:val="clear" w:color="auto" w:fill="auto"/>
            <w:vAlign w:val="center"/>
          </w:tcPr>
          <w:p w14:paraId="6F7E7C46"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0.3%</w:t>
            </w:r>
          </w:p>
        </w:tc>
        <w:tc>
          <w:tcPr>
            <w:tcW w:w="454" w:type="pct"/>
            <w:shd w:val="clear" w:color="auto" w:fill="auto"/>
            <w:vAlign w:val="center"/>
          </w:tcPr>
          <w:p w14:paraId="6272794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0.4%</w:t>
            </w:r>
          </w:p>
        </w:tc>
        <w:tc>
          <w:tcPr>
            <w:tcW w:w="428" w:type="pct"/>
            <w:shd w:val="clear" w:color="auto" w:fill="auto"/>
            <w:vAlign w:val="center"/>
          </w:tcPr>
          <w:p w14:paraId="5CA439CA"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0.4%</w:t>
            </w:r>
          </w:p>
        </w:tc>
        <w:tc>
          <w:tcPr>
            <w:tcW w:w="454" w:type="pct"/>
            <w:shd w:val="clear" w:color="auto" w:fill="auto"/>
            <w:vAlign w:val="center"/>
          </w:tcPr>
          <w:p w14:paraId="2349EAC7"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0.3%</w:t>
            </w:r>
          </w:p>
        </w:tc>
        <w:tc>
          <w:tcPr>
            <w:tcW w:w="454" w:type="pct"/>
            <w:shd w:val="clear" w:color="auto" w:fill="auto"/>
            <w:vAlign w:val="center"/>
          </w:tcPr>
          <w:p w14:paraId="65C09973"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0.3%</w:t>
            </w:r>
          </w:p>
        </w:tc>
        <w:tc>
          <w:tcPr>
            <w:tcW w:w="454" w:type="pct"/>
            <w:shd w:val="clear" w:color="auto" w:fill="auto"/>
            <w:vAlign w:val="center"/>
          </w:tcPr>
          <w:p w14:paraId="28CBC3B8"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0.3%</w:t>
            </w:r>
          </w:p>
        </w:tc>
        <w:tc>
          <w:tcPr>
            <w:tcW w:w="480" w:type="pct"/>
            <w:shd w:val="clear" w:color="auto" w:fill="auto"/>
            <w:vAlign w:val="center"/>
          </w:tcPr>
          <w:p w14:paraId="2C2035BF"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0.3%</w:t>
            </w:r>
          </w:p>
        </w:tc>
      </w:tr>
      <w:tr w:rsidR="004C0C21" w:rsidRPr="00BD348F" w14:paraId="2C1DC274" w14:textId="77777777" w:rsidTr="00CB300F">
        <w:trPr>
          <w:trHeight w:val="317"/>
        </w:trPr>
        <w:tc>
          <w:tcPr>
            <w:tcW w:w="1823" w:type="pct"/>
            <w:shd w:val="clear" w:color="auto" w:fill="auto"/>
            <w:vAlign w:val="center"/>
            <w:hideMark/>
          </w:tcPr>
          <w:p w14:paraId="1889F49E"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3. </w:t>
            </w:r>
            <w:r w:rsidRPr="00BD348F">
              <w:rPr>
                <w:rFonts w:ascii="GHEA Grapalat" w:hAnsi="GHEA Grapalat" w:cs="Sylfaen"/>
                <w:color w:val="auto"/>
                <w:sz w:val="18"/>
                <w:szCs w:val="18"/>
              </w:rPr>
              <w:t>Բնակարանային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շինարարություն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և</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կոմունալ</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ծառայություններ</w:t>
            </w:r>
          </w:p>
        </w:tc>
        <w:tc>
          <w:tcPr>
            <w:tcW w:w="453" w:type="pct"/>
            <w:shd w:val="clear" w:color="auto" w:fill="auto"/>
            <w:vAlign w:val="center"/>
          </w:tcPr>
          <w:p w14:paraId="7F7A004D"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11</w:t>
            </w:r>
          </w:p>
        </w:tc>
        <w:tc>
          <w:tcPr>
            <w:tcW w:w="454" w:type="pct"/>
            <w:shd w:val="clear" w:color="auto" w:fill="auto"/>
            <w:vAlign w:val="center"/>
          </w:tcPr>
          <w:p w14:paraId="066A7EF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14.5</w:t>
            </w:r>
          </w:p>
        </w:tc>
        <w:tc>
          <w:tcPr>
            <w:tcW w:w="428" w:type="pct"/>
            <w:shd w:val="clear" w:color="auto" w:fill="auto"/>
            <w:vAlign w:val="center"/>
          </w:tcPr>
          <w:p w14:paraId="3E94857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11.8</w:t>
            </w:r>
          </w:p>
        </w:tc>
        <w:tc>
          <w:tcPr>
            <w:tcW w:w="454" w:type="pct"/>
            <w:shd w:val="clear" w:color="auto" w:fill="auto"/>
            <w:vAlign w:val="center"/>
          </w:tcPr>
          <w:p w14:paraId="62D2177A"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13.3</w:t>
            </w:r>
          </w:p>
        </w:tc>
        <w:tc>
          <w:tcPr>
            <w:tcW w:w="454" w:type="pct"/>
            <w:shd w:val="clear" w:color="auto" w:fill="auto"/>
            <w:vAlign w:val="center"/>
          </w:tcPr>
          <w:p w14:paraId="30DB81F5"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16.7</w:t>
            </w:r>
          </w:p>
        </w:tc>
        <w:tc>
          <w:tcPr>
            <w:tcW w:w="454" w:type="pct"/>
            <w:shd w:val="clear" w:color="auto" w:fill="auto"/>
            <w:vAlign w:val="center"/>
          </w:tcPr>
          <w:p w14:paraId="70155749"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6.9</w:t>
            </w:r>
          </w:p>
        </w:tc>
        <w:tc>
          <w:tcPr>
            <w:tcW w:w="480" w:type="pct"/>
            <w:shd w:val="clear" w:color="auto" w:fill="auto"/>
            <w:vAlign w:val="center"/>
          </w:tcPr>
          <w:p w14:paraId="7DC2901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7.4</w:t>
            </w:r>
          </w:p>
        </w:tc>
      </w:tr>
      <w:tr w:rsidR="004C0C21" w:rsidRPr="00BD348F" w14:paraId="6EC4F14A" w14:textId="77777777" w:rsidTr="00CB300F">
        <w:trPr>
          <w:trHeight w:val="317"/>
        </w:trPr>
        <w:tc>
          <w:tcPr>
            <w:tcW w:w="1823" w:type="pct"/>
            <w:shd w:val="clear" w:color="auto" w:fill="auto"/>
            <w:vAlign w:val="center"/>
            <w:hideMark/>
          </w:tcPr>
          <w:p w14:paraId="0CB9B3BC"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453" w:type="pct"/>
            <w:shd w:val="clear" w:color="auto" w:fill="auto"/>
            <w:vAlign w:val="center"/>
          </w:tcPr>
          <w:p w14:paraId="4B30F3B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0.1%</w:t>
            </w:r>
          </w:p>
        </w:tc>
        <w:tc>
          <w:tcPr>
            <w:tcW w:w="454" w:type="pct"/>
            <w:shd w:val="clear" w:color="auto" w:fill="auto"/>
            <w:vAlign w:val="center"/>
          </w:tcPr>
          <w:p w14:paraId="3003553B" w14:textId="77777777" w:rsidR="0052459E" w:rsidRPr="00BD348F" w:rsidRDefault="0052459E" w:rsidP="00082769">
            <w:pPr>
              <w:spacing w:before="0" w:after="0" w:line="240" w:lineRule="auto"/>
              <w:ind w:right="-22"/>
              <w:jc w:val="center"/>
              <w:rPr>
                <w:rFonts w:ascii="GHEA Grapalat" w:hAnsi="GHEA Grapalat"/>
                <w:color w:val="auto"/>
                <w:sz w:val="18"/>
                <w:szCs w:val="18"/>
                <w:lang w:val="ru-RU"/>
              </w:rPr>
            </w:pPr>
            <w:r w:rsidRPr="00BD348F">
              <w:rPr>
                <w:rFonts w:ascii="GHEA Grapalat" w:hAnsi="GHEA Grapalat"/>
                <w:color w:val="auto"/>
                <w:sz w:val="18"/>
                <w:szCs w:val="18"/>
              </w:rPr>
              <w:t>0.1%</w:t>
            </w:r>
          </w:p>
        </w:tc>
        <w:tc>
          <w:tcPr>
            <w:tcW w:w="428" w:type="pct"/>
            <w:shd w:val="clear" w:color="auto" w:fill="auto"/>
            <w:vAlign w:val="center"/>
          </w:tcPr>
          <w:p w14:paraId="0AE97B6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0.1%</w:t>
            </w:r>
          </w:p>
        </w:tc>
        <w:tc>
          <w:tcPr>
            <w:tcW w:w="454" w:type="pct"/>
            <w:shd w:val="clear" w:color="auto" w:fill="auto"/>
            <w:vAlign w:val="center"/>
          </w:tcPr>
          <w:p w14:paraId="3A30A08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0.1%</w:t>
            </w:r>
          </w:p>
        </w:tc>
        <w:tc>
          <w:tcPr>
            <w:tcW w:w="454" w:type="pct"/>
            <w:shd w:val="clear" w:color="auto" w:fill="auto"/>
            <w:vAlign w:val="center"/>
          </w:tcPr>
          <w:p w14:paraId="768BEB2E"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0.1%</w:t>
            </w:r>
          </w:p>
        </w:tc>
        <w:tc>
          <w:tcPr>
            <w:tcW w:w="454" w:type="pct"/>
            <w:shd w:val="clear" w:color="auto" w:fill="auto"/>
            <w:vAlign w:val="center"/>
          </w:tcPr>
          <w:p w14:paraId="70CA391F"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0.0%</w:t>
            </w:r>
          </w:p>
        </w:tc>
        <w:tc>
          <w:tcPr>
            <w:tcW w:w="480" w:type="pct"/>
            <w:shd w:val="clear" w:color="auto" w:fill="auto"/>
            <w:vAlign w:val="center"/>
          </w:tcPr>
          <w:p w14:paraId="18FE4C6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0.0%</w:t>
            </w:r>
          </w:p>
        </w:tc>
      </w:tr>
      <w:tr w:rsidR="004C0C21" w:rsidRPr="00BD348F" w14:paraId="1CEA33DC" w14:textId="77777777" w:rsidTr="00CB300F">
        <w:trPr>
          <w:trHeight w:val="317"/>
        </w:trPr>
        <w:tc>
          <w:tcPr>
            <w:tcW w:w="1823" w:type="pct"/>
            <w:shd w:val="clear" w:color="auto" w:fill="auto"/>
            <w:vAlign w:val="center"/>
            <w:hideMark/>
          </w:tcPr>
          <w:p w14:paraId="14698BBD"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453" w:type="pct"/>
            <w:shd w:val="clear" w:color="auto" w:fill="auto"/>
            <w:vAlign w:val="center"/>
          </w:tcPr>
          <w:p w14:paraId="30227BB2"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0.4%</w:t>
            </w:r>
          </w:p>
        </w:tc>
        <w:tc>
          <w:tcPr>
            <w:tcW w:w="454" w:type="pct"/>
            <w:shd w:val="clear" w:color="auto" w:fill="auto"/>
            <w:vAlign w:val="center"/>
          </w:tcPr>
          <w:p w14:paraId="35F031AF"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0.5%</w:t>
            </w:r>
          </w:p>
        </w:tc>
        <w:tc>
          <w:tcPr>
            <w:tcW w:w="428" w:type="pct"/>
            <w:shd w:val="clear" w:color="auto" w:fill="auto"/>
            <w:vAlign w:val="center"/>
          </w:tcPr>
          <w:p w14:paraId="5AAECE2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0.4%</w:t>
            </w:r>
          </w:p>
        </w:tc>
        <w:tc>
          <w:tcPr>
            <w:tcW w:w="454" w:type="pct"/>
            <w:shd w:val="clear" w:color="auto" w:fill="auto"/>
            <w:vAlign w:val="center"/>
          </w:tcPr>
          <w:p w14:paraId="7F26B3BB"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0.4%</w:t>
            </w:r>
          </w:p>
        </w:tc>
        <w:tc>
          <w:tcPr>
            <w:tcW w:w="454" w:type="pct"/>
            <w:shd w:val="clear" w:color="auto" w:fill="auto"/>
            <w:vAlign w:val="center"/>
          </w:tcPr>
          <w:p w14:paraId="0ACA14C8"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0.4%</w:t>
            </w:r>
          </w:p>
        </w:tc>
        <w:tc>
          <w:tcPr>
            <w:tcW w:w="454" w:type="pct"/>
            <w:shd w:val="clear" w:color="auto" w:fill="auto"/>
            <w:vAlign w:val="center"/>
          </w:tcPr>
          <w:p w14:paraId="058BFC46"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0.2%</w:t>
            </w:r>
          </w:p>
        </w:tc>
        <w:tc>
          <w:tcPr>
            <w:tcW w:w="480" w:type="pct"/>
            <w:shd w:val="clear" w:color="auto" w:fill="auto"/>
            <w:vAlign w:val="center"/>
          </w:tcPr>
          <w:p w14:paraId="6659C512"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0.2%</w:t>
            </w:r>
          </w:p>
        </w:tc>
      </w:tr>
    </w:tbl>
    <w:p w14:paraId="5FD43D1C" w14:textId="77777777" w:rsidR="0052459E" w:rsidRPr="000232DD" w:rsidRDefault="0052459E" w:rsidP="00082769">
      <w:pPr>
        <w:pStyle w:val="BodyText1"/>
        <w:ind w:left="0" w:right="-22"/>
        <w:rPr>
          <w:color w:val="auto"/>
        </w:rPr>
      </w:pPr>
      <w:r w:rsidRPr="000232DD">
        <w:rPr>
          <w:color w:val="auto"/>
        </w:rPr>
        <w:t>Սոցիալական ոլորտի խմբում 2023-202</w:t>
      </w:r>
      <w:r w:rsidRPr="000232DD">
        <w:rPr>
          <w:color w:val="auto"/>
          <w:lang w:val="hy-AM"/>
        </w:rPr>
        <w:t>6</w:t>
      </w:r>
      <w:r w:rsidRPr="000232DD">
        <w:rPr>
          <w:color w:val="auto"/>
        </w:rPr>
        <w:t xml:space="preserve"> թվականներին առանցքային են եղել և 202</w:t>
      </w:r>
      <w:r w:rsidRPr="000232DD">
        <w:rPr>
          <w:color w:val="auto"/>
          <w:lang w:val="hy-AM"/>
        </w:rPr>
        <w:t>7-2029 թվականներին</w:t>
      </w:r>
      <w:r w:rsidRPr="000232DD">
        <w:rPr>
          <w:color w:val="auto"/>
        </w:rPr>
        <w:t xml:space="preserve"> շարունակվելու են կարևորվել հատկապես սոցիալական ապահովության, կրթության և առողջապահության բնա</w:t>
      </w:r>
      <w:r w:rsidRPr="000232DD">
        <w:rPr>
          <w:color w:val="auto"/>
        </w:rPr>
        <w:softHyphen/>
        <w:t>գա</w:t>
      </w:r>
      <w:r w:rsidRPr="000232DD">
        <w:rPr>
          <w:color w:val="auto"/>
        </w:rPr>
        <w:softHyphen/>
        <w:t>վառ</w:t>
      </w:r>
      <w:r w:rsidRPr="000232DD">
        <w:rPr>
          <w:color w:val="auto"/>
        </w:rPr>
        <w:softHyphen/>
        <w:t>նե</w:t>
      </w:r>
      <w:r w:rsidRPr="000232DD">
        <w:rPr>
          <w:color w:val="auto"/>
        </w:rPr>
        <w:softHyphen/>
        <w:t>րի զարգաց</w:t>
      </w:r>
      <w:r w:rsidRPr="000232DD">
        <w:rPr>
          <w:color w:val="auto"/>
        </w:rPr>
        <w:softHyphen/>
        <w:t>ման ռազմավարական ծրագրերի իրականացումը:</w:t>
      </w:r>
    </w:p>
    <w:p w14:paraId="6C39523B" w14:textId="77777777" w:rsidR="0052459E" w:rsidRPr="00E73A9A" w:rsidRDefault="0052459E" w:rsidP="00E73A9A">
      <w:pPr>
        <w:pStyle w:val="Charts"/>
        <w:ind w:right="-22"/>
        <w:rPr>
          <w:b w:val="0"/>
          <w:bCs/>
          <w:color w:val="auto"/>
          <w:sz w:val="20"/>
          <w:szCs w:val="18"/>
        </w:rPr>
      </w:pPr>
      <w:r w:rsidRPr="00E73A9A">
        <w:rPr>
          <w:b w:val="0"/>
          <w:bCs/>
          <w:color w:val="auto"/>
          <w:sz w:val="20"/>
          <w:szCs w:val="18"/>
        </w:rPr>
        <w:t>Աղյուսակ 15</w:t>
      </w:r>
      <w:r w:rsidRPr="00E73A9A">
        <w:rPr>
          <w:rFonts w:ascii="Cambria Math" w:hAnsi="Cambria Math" w:cs="Cambria Math"/>
          <w:b w:val="0"/>
          <w:bCs/>
          <w:color w:val="auto"/>
          <w:sz w:val="20"/>
          <w:szCs w:val="18"/>
        </w:rPr>
        <w:t>․</w:t>
      </w:r>
      <w:r w:rsidRPr="00E73A9A">
        <w:rPr>
          <w:b w:val="0"/>
          <w:bCs/>
          <w:color w:val="auto"/>
          <w:sz w:val="20"/>
          <w:szCs w:val="18"/>
        </w:rPr>
        <w:t xml:space="preserve"> Սոցիալական ոլորտի 2023-2029թթ</w:t>
      </w:r>
      <w:r w:rsidRPr="00E73A9A">
        <w:rPr>
          <w:rFonts w:ascii="Cambria Math" w:hAnsi="Cambria Math" w:cs="Cambria Math"/>
          <w:b w:val="0"/>
          <w:bCs/>
          <w:color w:val="auto"/>
          <w:sz w:val="20"/>
          <w:szCs w:val="18"/>
        </w:rPr>
        <w:t>․</w:t>
      </w:r>
      <w:r w:rsidRPr="00E73A9A">
        <w:rPr>
          <w:b w:val="0"/>
          <w:bCs/>
          <w:color w:val="auto"/>
          <w:sz w:val="20"/>
          <w:szCs w:val="18"/>
        </w:rPr>
        <w:t xml:space="preserve"> բյուջետային ծախսերը (մլրդ դրամ)</w:t>
      </w:r>
    </w:p>
    <w:tbl>
      <w:tblPr>
        <w:tblW w:w="5000" w:type="pct"/>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ook w:val="04A0" w:firstRow="1" w:lastRow="0" w:firstColumn="1" w:lastColumn="0" w:noHBand="0" w:noVBand="1"/>
      </w:tblPr>
      <w:tblGrid>
        <w:gridCol w:w="3753"/>
        <w:gridCol w:w="933"/>
        <w:gridCol w:w="932"/>
        <w:gridCol w:w="936"/>
        <w:gridCol w:w="932"/>
        <w:gridCol w:w="932"/>
        <w:gridCol w:w="932"/>
        <w:gridCol w:w="986"/>
      </w:tblGrid>
      <w:tr w:rsidR="004C0C21" w:rsidRPr="00BD348F" w14:paraId="165A9430" w14:textId="77777777" w:rsidTr="00DE6A4A">
        <w:trPr>
          <w:trHeight w:val="317"/>
        </w:trPr>
        <w:tc>
          <w:tcPr>
            <w:tcW w:w="1815" w:type="pct"/>
            <w:vMerge w:val="restart"/>
            <w:shd w:val="clear" w:color="auto" w:fill="DAE9F7" w:themeFill="text2" w:themeFillTint="1A"/>
            <w:vAlign w:val="center"/>
          </w:tcPr>
          <w:p w14:paraId="6E149352" w14:textId="77777777" w:rsidR="0052459E" w:rsidRPr="00BD348F" w:rsidRDefault="0052459E" w:rsidP="00082769">
            <w:pPr>
              <w:spacing w:before="0" w:after="0" w:line="240" w:lineRule="auto"/>
              <w:ind w:right="-22"/>
              <w:rPr>
                <w:rFonts w:ascii="GHEA Grapalat" w:hAnsi="GHEA Grapalat"/>
                <w:b/>
                <w:color w:val="auto"/>
                <w:sz w:val="18"/>
                <w:szCs w:val="18"/>
                <w:lang w:val="ru-RU"/>
              </w:rPr>
            </w:pPr>
            <w:r w:rsidRPr="00BD348F">
              <w:rPr>
                <w:rFonts w:ascii="GHEA Grapalat" w:hAnsi="GHEA Grapalat" w:cs="Sylfaen"/>
                <w:b/>
                <w:color w:val="auto"/>
                <w:sz w:val="18"/>
                <w:szCs w:val="18"/>
              </w:rPr>
              <w:t>Ցուցանիշներ</w:t>
            </w:r>
          </w:p>
        </w:tc>
        <w:tc>
          <w:tcPr>
            <w:tcW w:w="1355" w:type="pct"/>
            <w:gridSpan w:val="3"/>
            <w:shd w:val="clear" w:color="auto" w:fill="DAE9F7" w:themeFill="text2" w:themeFillTint="1A"/>
            <w:vAlign w:val="center"/>
          </w:tcPr>
          <w:p w14:paraId="2664B497"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cs="Sylfaen"/>
                <w:b/>
                <w:color w:val="auto"/>
                <w:sz w:val="18"/>
                <w:szCs w:val="18"/>
              </w:rPr>
              <w:t>Փաստ</w:t>
            </w:r>
          </w:p>
        </w:tc>
        <w:tc>
          <w:tcPr>
            <w:tcW w:w="451" w:type="pct"/>
            <w:shd w:val="clear" w:color="auto" w:fill="DAE9F7" w:themeFill="text2" w:themeFillTint="1A"/>
            <w:vAlign w:val="center"/>
          </w:tcPr>
          <w:p w14:paraId="0070CBD1" w14:textId="77777777" w:rsidR="0052459E" w:rsidRPr="00BD348F" w:rsidRDefault="0052459E" w:rsidP="00082769">
            <w:pPr>
              <w:spacing w:before="0" w:after="0" w:line="240" w:lineRule="auto"/>
              <w:ind w:right="-22"/>
              <w:jc w:val="center"/>
              <w:rPr>
                <w:rFonts w:ascii="GHEA Grapalat" w:hAnsi="GHEA Grapalat"/>
                <w:b/>
                <w:color w:val="auto"/>
                <w:sz w:val="18"/>
                <w:szCs w:val="18"/>
                <w:lang w:val="hy-AM"/>
              </w:rPr>
            </w:pPr>
            <w:r w:rsidRPr="00BD348F">
              <w:rPr>
                <w:rFonts w:ascii="GHEA Grapalat" w:hAnsi="GHEA Grapalat" w:cs="Sylfaen"/>
                <w:b/>
                <w:color w:val="auto"/>
                <w:sz w:val="18"/>
                <w:szCs w:val="18"/>
              </w:rPr>
              <w:t>Բյուջե</w:t>
            </w:r>
          </w:p>
        </w:tc>
        <w:tc>
          <w:tcPr>
            <w:tcW w:w="1378" w:type="pct"/>
            <w:gridSpan w:val="3"/>
            <w:shd w:val="clear" w:color="auto" w:fill="DAE9F7" w:themeFill="text2" w:themeFillTint="1A"/>
            <w:vAlign w:val="center"/>
          </w:tcPr>
          <w:p w14:paraId="0247C4EE"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cs="Sylfaen"/>
                <w:b/>
                <w:color w:val="auto"/>
                <w:sz w:val="18"/>
                <w:szCs w:val="18"/>
                <w:lang w:val="hy-AM"/>
              </w:rPr>
              <w:t>Ծ</w:t>
            </w:r>
            <w:r w:rsidRPr="00BD348F">
              <w:rPr>
                <w:rFonts w:ascii="GHEA Grapalat" w:hAnsi="GHEA Grapalat" w:cs="Sylfaen"/>
                <w:b/>
                <w:color w:val="auto"/>
                <w:sz w:val="18"/>
                <w:szCs w:val="18"/>
              </w:rPr>
              <w:t>րագիր</w:t>
            </w:r>
          </w:p>
        </w:tc>
      </w:tr>
      <w:tr w:rsidR="004C0C21" w:rsidRPr="00BD348F" w14:paraId="782A9926" w14:textId="77777777" w:rsidTr="00DE6A4A">
        <w:trPr>
          <w:trHeight w:val="317"/>
        </w:trPr>
        <w:tc>
          <w:tcPr>
            <w:tcW w:w="1815" w:type="pct"/>
            <w:vMerge/>
            <w:shd w:val="clear" w:color="auto" w:fill="DAE9F7" w:themeFill="text2" w:themeFillTint="1A"/>
            <w:vAlign w:val="center"/>
          </w:tcPr>
          <w:p w14:paraId="2BF3BD7B" w14:textId="77777777" w:rsidR="0052459E" w:rsidRPr="00BD348F" w:rsidRDefault="0052459E" w:rsidP="00082769">
            <w:pPr>
              <w:spacing w:before="0" w:after="0" w:line="240" w:lineRule="auto"/>
              <w:ind w:right="-22"/>
              <w:rPr>
                <w:rFonts w:ascii="GHEA Grapalat" w:hAnsi="GHEA Grapalat"/>
                <w:color w:val="auto"/>
                <w:sz w:val="18"/>
                <w:szCs w:val="18"/>
              </w:rPr>
            </w:pPr>
          </w:p>
        </w:tc>
        <w:tc>
          <w:tcPr>
            <w:tcW w:w="451" w:type="pct"/>
            <w:shd w:val="clear" w:color="auto" w:fill="DAE9F7" w:themeFill="text2" w:themeFillTint="1A"/>
            <w:vAlign w:val="center"/>
          </w:tcPr>
          <w:p w14:paraId="40B8E02D"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b/>
                <w:color w:val="auto"/>
                <w:sz w:val="18"/>
                <w:szCs w:val="18"/>
              </w:rPr>
              <w:t>2023</w:t>
            </w:r>
          </w:p>
        </w:tc>
        <w:tc>
          <w:tcPr>
            <w:tcW w:w="451" w:type="pct"/>
            <w:shd w:val="clear" w:color="auto" w:fill="DAE9F7" w:themeFill="text2" w:themeFillTint="1A"/>
            <w:vAlign w:val="center"/>
          </w:tcPr>
          <w:p w14:paraId="0F7D014B"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b/>
                <w:color w:val="auto"/>
                <w:sz w:val="18"/>
                <w:szCs w:val="18"/>
              </w:rPr>
              <w:t>2024</w:t>
            </w:r>
          </w:p>
        </w:tc>
        <w:tc>
          <w:tcPr>
            <w:tcW w:w="453" w:type="pct"/>
            <w:shd w:val="clear" w:color="auto" w:fill="DAE9F7" w:themeFill="text2" w:themeFillTint="1A"/>
            <w:vAlign w:val="center"/>
          </w:tcPr>
          <w:p w14:paraId="49A75B6F"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b/>
                <w:color w:val="auto"/>
                <w:sz w:val="18"/>
                <w:szCs w:val="18"/>
              </w:rPr>
              <w:t>2025</w:t>
            </w:r>
          </w:p>
        </w:tc>
        <w:tc>
          <w:tcPr>
            <w:tcW w:w="451" w:type="pct"/>
            <w:shd w:val="clear" w:color="auto" w:fill="DAE9F7" w:themeFill="text2" w:themeFillTint="1A"/>
            <w:vAlign w:val="center"/>
          </w:tcPr>
          <w:p w14:paraId="346B8C37" w14:textId="77777777" w:rsidR="0052459E" w:rsidRPr="00BD348F" w:rsidRDefault="0052459E" w:rsidP="00082769">
            <w:pPr>
              <w:spacing w:before="0" w:after="0" w:line="240" w:lineRule="auto"/>
              <w:ind w:right="-22"/>
              <w:jc w:val="center"/>
              <w:rPr>
                <w:rFonts w:ascii="GHEA Grapalat" w:hAnsi="GHEA Grapalat"/>
                <w:b/>
                <w:color w:val="auto"/>
                <w:sz w:val="18"/>
                <w:szCs w:val="18"/>
                <w:lang w:val="hy-AM" w:eastAsia="ru-RU"/>
              </w:rPr>
            </w:pPr>
            <w:r w:rsidRPr="00BD348F">
              <w:rPr>
                <w:rFonts w:ascii="GHEA Grapalat" w:hAnsi="GHEA Grapalat"/>
                <w:b/>
                <w:color w:val="auto"/>
                <w:sz w:val="18"/>
                <w:szCs w:val="18"/>
              </w:rPr>
              <w:t>2026</w:t>
            </w:r>
          </w:p>
        </w:tc>
        <w:tc>
          <w:tcPr>
            <w:tcW w:w="451" w:type="pct"/>
            <w:shd w:val="clear" w:color="auto" w:fill="DAE9F7" w:themeFill="text2" w:themeFillTint="1A"/>
            <w:vAlign w:val="center"/>
          </w:tcPr>
          <w:p w14:paraId="1CEEDA1F" w14:textId="77777777" w:rsidR="0052459E" w:rsidRPr="00BD348F" w:rsidRDefault="0052459E" w:rsidP="00082769">
            <w:pPr>
              <w:spacing w:before="0" w:after="0" w:line="240" w:lineRule="auto"/>
              <w:ind w:right="-22"/>
              <w:jc w:val="center"/>
              <w:rPr>
                <w:rFonts w:ascii="GHEA Grapalat" w:hAnsi="GHEA Grapalat"/>
                <w:b/>
                <w:color w:val="auto"/>
                <w:sz w:val="18"/>
                <w:szCs w:val="18"/>
                <w:lang w:val="hy-AM"/>
              </w:rPr>
            </w:pPr>
            <w:r w:rsidRPr="00BD348F">
              <w:rPr>
                <w:rFonts w:ascii="GHEA Grapalat" w:hAnsi="GHEA Grapalat"/>
                <w:b/>
                <w:color w:val="auto"/>
                <w:sz w:val="18"/>
                <w:szCs w:val="18"/>
              </w:rPr>
              <w:t>2027</w:t>
            </w:r>
          </w:p>
        </w:tc>
        <w:tc>
          <w:tcPr>
            <w:tcW w:w="451" w:type="pct"/>
            <w:shd w:val="clear" w:color="auto" w:fill="DAE9F7" w:themeFill="text2" w:themeFillTint="1A"/>
            <w:vAlign w:val="center"/>
          </w:tcPr>
          <w:p w14:paraId="12329D53"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b/>
                <w:color w:val="auto"/>
                <w:sz w:val="18"/>
                <w:szCs w:val="18"/>
              </w:rPr>
              <w:t>2028</w:t>
            </w:r>
          </w:p>
        </w:tc>
        <w:tc>
          <w:tcPr>
            <w:tcW w:w="477" w:type="pct"/>
            <w:shd w:val="clear" w:color="auto" w:fill="DAE9F7" w:themeFill="text2" w:themeFillTint="1A"/>
            <w:vAlign w:val="center"/>
          </w:tcPr>
          <w:p w14:paraId="3ACA2643" w14:textId="77777777" w:rsidR="0052459E" w:rsidRPr="00BD348F" w:rsidRDefault="0052459E" w:rsidP="00082769">
            <w:pPr>
              <w:spacing w:before="0" w:after="0" w:line="240" w:lineRule="auto"/>
              <w:ind w:right="-22"/>
              <w:jc w:val="center"/>
              <w:rPr>
                <w:rFonts w:ascii="GHEA Grapalat" w:hAnsi="GHEA Grapalat"/>
                <w:b/>
                <w:color w:val="auto"/>
                <w:sz w:val="18"/>
                <w:szCs w:val="18"/>
                <w:lang w:val="hy-AM"/>
              </w:rPr>
            </w:pPr>
            <w:r w:rsidRPr="00BD348F">
              <w:rPr>
                <w:rFonts w:ascii="GHEA Grapalat" w:hAnsi="GHEA Grapalat"/>
                <w:b/>
                <w:color w:val="auto"/>
                <w:sz w:val="18"/>
                <w:szCs w:val="18"/>
              </w:rPr>
              <w:t>2029</w:t>
            </w:r>
          </w:p>
        </w:tc>
      </w:tr>
      <w:tr w:rsidR="004C0C21" w:rsidRPr="00BD348F" w14:paraId="7477DE59" w14:textId="77777777" w:rsidTr="00CB300F">
        <w:trPr>
          <w:trHeight w:val="317"/>
        </w:trPr>
        <w:tc>
          <w:tcPr>
            <w:tcW w:w="1815" w:type="pct"/>
            <w:shd w:val="clear" w:color="auto" w:fill="auto"/>
            <w:vAlign w:val="center"/>
            <w:hideMark/>
          </w:tcPr>
          <w:p w14:paraId="15424B95"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Սոցիալական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ոլորտ</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ընդամենը</w:t>
            </w:r>
          </w:p>
        </w:tc>
        <w:tc>
          <w:tcPr>
            <w:tcW w:w="451" w:type="pct"/>
            <w:shd w:val="clear" w:color="auto" w:fill="auto"/>
            <w:vAlign w:val="center"/>
          </w:tcPr>
          <w:p w14:paraId="2B5A4183"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1073.9</w:t>
            </w:r>
          </w:p>
        </w:tc>
        <w:tc>
          <w:tcPr>
            <w:tcW w:w="451" w:type="pct"/>
            <w:shd w:val="clear" w:color="auto" w:fill="auto"/>
            <w:vAlign w:val="center"/>
          </w:tcPr>
          <w:p w14:paraId="409002C6"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1278.2</w:t>
            </w:r>
          </w:p>
        </w:tc>
        <w:tc>
          <w:tcPr>
            <w:tcW w:w="453" w:type="pct"/>
            <w:shd w:val="clear" w:color="auto" w:fill="auto"/>
            <w:vAlign w:val="center"/>
          </w:tcPr>
          <w:p w14:paraId="6FC74B0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1401.9</w:t>
            </w:r>
          </w:p>
        </w:tc>
        <w:tc>
          <w:tcPr>
            <w:tcW w:w="451" w:type="pct"/>
            <w:shd w:val="clear" w:color="auto" w:fill="auto"/>
            <w:vAlign w:val="center"/>
          </w:tcPr>
          <w:p w14:paraId="4B9566D7"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1609.9</w:t>
            </w:r>
          </w:p>
        </w:tc>
        <w:tc>
          <w:tcPr>
            <w:tcW w:w="451" w:type="pct"/>
            <w:shd w:val="clear" w:color="auto" w:fill="auto"/>
            <w:vAlign w:val="center"/>
          </w:tcPr>
          <w:p w14:paraId="3D971B26" w14:textId="77777777" w:rsidR="0052459E" w:rsidRPr="00BD348F" w:rsidRDefault="0052459E" w:rsidP="00082769">
            <w:pPr>
              <w:spacing w:before="0" w:after="0" w:line="240" w:lineRule="auto"/>
              <w:ind w:right="-22"/>
              <w:rPr>
                <w:rFonts w:ascii="GHEA Grapalat" w:hAnsi="GHEA Grapalat" w:cs="Calibri"/>
                <w:color w:val="auto"/>
                <w:sz w:val="18"/>
                <w:szCs w:val="18"/>
              </w:rPr>
            </w:pPr>
            <w:r w:rsidRPr="00BD348F">
              <w:rPr>
                <w:rFonts w:ascii="GHEA Grapalat" w:hAnsi="GHEA Grapalat"/>
                <w:color w:val="auto"/>
                <w:sz w:val="18"/>
                <w:szCs w:val="18"/>
              </w:rPr>
              <w:t xml:space="preserve">1,848.1 </w:t>
            </w:r>
          </w:p>
        </w:tc>
        <w:tc>
          <w:tcPr>
            <w:tcW w:w="451" w:type="pct"/>
            <w:shd w:val="clear" w:color="auto" w:fill="auto"/>
            <w:vAlign w:val="center"/>
          </w:tcPr>
          <w:p w14:paraId="68F960DC" w14:textId="77777777" w:rsidR="0052459E" w:rsidRPr="00BD348F" w:rsidRDefault="0052459E" w:rsidP="00082769">
            <w:pPr>
              <w:spacing w:before="0" w:after="0" w:line="240" w:lineRule="auto"/>
              <w:ind w:right="-22"/>
              <w:rPr>
                <w:rFonts w:ascii="GHEA Grapalat" w:hAnsi="GHEA Grapalat" w:cs="Calibri"/>
                <w:color w:val="auto"/>
                <w:sz w:val="18"/>
                <w:szCs w:val="18"/>
              </w:rPr>
            </w:pPr>
            <w:r w:rsidRPr="00BD348F">
              <w:rPr>
                <w:rFonts w:ascii="GHEA Grapalat" w:hAnsi="GHEA Grapalat"/>
                <w:color w:val="auto"/>
                <w:sz w:val="18"/>
                <w:szCs w:val="18"/>
              </w:rPr>
              <w:t xml:space="preserve">2,014.7 </w:t>
            </w:r>
          </w:p>
        </w:tc>
        <w:tc>
          <w:tcPr>
            <w:tcW w:w="477" w:type="pct"/>
            <w:shd w:val="clear" w:color="auto" w:fill="auto"/>
            <w:vAlign w:val="center"/>
          </w:tcPr>
          <w:p w14:paraId="4205D2E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 xml:space="preserve">2,132.2 </w:t>
            </w:r>
          </w:p>
        </w:tc>
      </w:tr>
      <w:tr w:rsidR="004C0C21" w:rsidRPr="00BD348F" w14:paraId="46A71EC0" w14:textId="77777777" w:rsidTr="00CB300F">
        <w:trPr>
          <w:trHeight w:val="317"/>
        </w:trPr>
        <w:tc>
          <w:tcPr>
            <w:tcW w:w="1815" w:type="pct"/>
            <w:shd w:val="clear" w:color="auto" w:fill="auto"/>
            <w:vAlign w:val="center"/>
            <w:hideMark/>
          </w:tcPr>
          <w:p w14:paraId="3599E9A7"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451" w:type="pct"/>
            <w:shd w:val="clear" w:color="auto" w:fill="auto"/>
            <w:vAlign w:val="center"/>
          </w:tcPr>
          <w:p w14:paraId="6CA5861B"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11.3%</w:t>
            </w:r>
          </w:p>
        </w:tc>
        <w:tc>
          <w:tcPr>
            <w:tcW w:w="451" w:type="pct"/>
            <w:shd w:val="clear" w:color="auto" w:fill="auto"/>
            <w:vAlign w:val="center"/>
          </w:tcPr>
          <w:p w14:paraId="25169CD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12.5%</w:t>
            </w:r>
          </w:p>
        </w:tc>
        <w:tc>
          <w:tcPr>
            <w:tcW w:w="453" w:type="pct"/>
            <w:shd w:val="clear" w:color="auto" w:fill="auto"/>
            <w:vAlign w:val="center"/>
          </w:tcPr>
          <w:p w14:paraId="6F8CA91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12.4%</w:t>
            </w:r>
          </w:p>
        </w:tc>
        <w:tc>
          <w:tcPr>
            <w:tcW w:w="451" w:type="pct"/>
            <w:shd w:val="clear" w:color="auto" w:fill="auto"/>
            <w:vAlign w:val="center"/>
          </w:tcPr>
          <w:p w14:paraId="023EE8C4"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13.1%</w:t>
            </w:r>
          </w:p>
        </w:tc>
        <w:tc>
          <w:tcPr>
            <w:tcW w:w="451" w:type="pct"/>
            <w:shd w:val="clear" w:color="auto" w:fill="auto"/>
            <w:vAlign w:val="center"/>
          </w:tcPr>
          <w:p w14:paraId="427456C8"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13.6%</w:t>
            </w:r>
          </w:p>
        </w:tc>
        <w:tc>
          <w:tcPr>
            <w:tcW w:w="451" w:type="pct"/>
            <w:shd w:val="clear" w:color="auto" w:fill="auto"/>
            <w:vAlign w:val="center"/>
          </w:tcPr>
          <w:p w14:paraId="04321D9D"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13.5%</w:t>
            </w:r>
          </w:p>
        </w:tc>
        <w:tc>
          <w:tcPr>
            <w:tcW w:w="477" w:type="pct"/>
            <w:shd w:val="clear" w:color="auto" w:fill="auto"/>
            <w:vAlign w:val="center"/>
          </w:tcPr>
          <w:p w14:paraId="11A6CA2F"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13.1%</w:t>
            </w:r>
          </w:p>
        </w:tc>
      </w:tr>
      <w:tr w:rsidR="004C0C21" w:rsidRPr="00BD348F" w14:paraId="4140C61D" w14:textId="77777777" w:rsidTr="00CB300F">
        <w:trPr>
          <w:trHeight w:val="317"/>
        </w:trPr>
        <w:tc>
          <w:tcPr>
            <w:tcW w:w="1815" w:type="pct"/>
            <w:shd w:val="clear" w:color="auto" w:fill="auto"/>
            <w:vAlign w:val="center"/>
            <w:hideMark/>
          </w:tcPr>
          <w:p w14:paraId="14539600"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451" w:type="pct"/>
            <w:shd w:val="clear" w:color="auto" w:fill="auto"/>
            <w:vAlign w:val="center"/>
          </w:tcPr>
          <w:p w14:paraId="65AE4734"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42.2%</w:t>
            </w:r>
          </w:p>
        </w:tc>
        <w:tc>
          <w:tcPr>
            <w:tcW w:w="451" w:type="pct"/>
            <w:shd w:val="clear" w:color="auto" w:fill="auto"/>
            <w:vAlign w:val="center"/>
          </w:tcPr>
          <w:p w14:paraId="69EE817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43.3%</w:t>
            </w:r>
          </w:p>
        </w:tc>
        <w:tc>
          <w:tcPr>
            <w:tcW w:w="453" w:type="pct"/>
            <w:shd w:val="clear" w:color="auto" w:fill="auto"/>
            <w:vAlign w:val="center"/>
          </w:tcPr>
          <w:p w14:paraId="7DEA6BF4"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42.4%</w:t>
            </w:r>
          </w:p>
        </w:tc>
        <w:tc>
          <w:tcPr>
            <w:tcW w:w="451" w:type="pct"/>
            <w:shd w:val="clear" w:color="auto" w:fill="auto"/>
            <w:vAlign w:val="center"/>
          </w:tcPr>
          <w:p w14:paraId="253C5DCA"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44.4%</w:t>
            </w:r>
          </w:p>
        </w:tc>
        <w:tc>
          <w:tcPr>
            <w:tcW w:w="451" w:type="pct"/>
            <w:shd w:val="clear" w:color="auto" w:fill="auto"/>
            <w:vAlign w:val="center"/>
          </w:tcPr>
          <w:p w14:paraId="17E6C250"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45.4%</w:t>
            </w:r>
          </w:p>
        </w:tc>
        <w:tc>
          <w:tcPr>
            <w:tcW w:w="451" w:type="pct"/>
            <w:shd w:val="clear" w:color="auto" w:fill="auto"/>
            <w:vAlign w:val="center"/>
          </w:tcPr>
          <w:p w14:paraId="0AB925D2"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46.2%</w:t>
            </w:r>
          </w:p>
        </w:tc>
        <w:tc>
          <w:tcPr>
            <w:tcW w:w="477" w:type="pct"/>
            <w:shd w:val="clear" w:color="auto" w:fill="auto"/>
            <w:vAlign w:val="center"/>
          </w:tcPr>
          <w:p w14:paraId="7BECA9F3"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46.3%</w:t>
            </w:r>
          </w:p>
        </w:tc>
      </w:tr>
      <w:tr w:rsidR="004C0C21" w:rsidRPr="00BD348F" w14:paraId="70772495" w14:textId="77777777" w:rsidTr="00CB300F">
        <w:trPr>
          <w:trHeight w:val="317"/>
        </w:trPr>
        <w:tc>
          <w:tcPr>
            <w:tcW w:w="1815" w:type="pct"/>
            <w:shd w:val="clear" w:color="auto" w:fill="auto"/>
            <w:vAlign w:val="center"/>
            <w:hideMark/>
          </w:tcPr>
          <w:p w14:paraId="6CFD2385"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1. </w:t>
            </w:r>
            <w:r w:rsidRPr="00BD348F">
              <w:rPr>
                <w:rFonts w:ascii="GHEA Grapalat" w:hAnsi="GHEA Grapalat" w:cs="Sylfaen"/>
                <w:color w:val="auto"/>
                <w:sz w:val="18"/>
                <w:szCs w:val="18"/>
              </w:rPr>
              <w:t>Կրթություն</w:t>
            </w:r>
          </w:p>
        </w:tc>
        <w:tc>
          <w:tcPr>
            <w:tcW w:w="451" w:type="pct"/>
            <w:shd w:val="clear" w:color="auto" w:fill="auto"/>
            <w:vAlign w:val="center"/>
          </w:tcPr>
          <w:p w14:paraId="46488F1D"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183.6</w:t>
            </w:r>
          </w:p>
        </w:tc>
        <w:tc>
          <w:tcPr>
            <w:tcW w:w="451" w:type="pct"/>
            <w:shd w:val="clear" w:color="auto" w:fill="auto"/>
            <w:vAlign w:val="center"/>
          </w:tcPr>
          <w:p w14:paraId="68A737A8"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231</w:t>
            </w:r>
          </w:p>
        </w:tc>
        <w:tc>
          <w:tcPr>
            <w:tcW w:w="453" w:type="pct"/>
            <w:shd w:val="clear" w:color="auto" w:fill="auto"/>
            <w:vAlign w:val="center"/>
          </w:tcPr>
          <w:p w14:paraId="720F05FD"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319.6</w:t>
            </w:r>
          </w:p>
        </w:tc>
        <w:tc>
          <w:tcPr>
            <w:tcW w:w="451" w:type="pct"/>
            <w:shd w:val="clear" w:color="auto" w:fill="auto"/>
            <w:vAlign w:val="center"/>
          </w:tcPr>
          <w:p w14:paraId="4565B292"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357.7</w:t>
            </w:r>
          </w:p>
        </w:tc>
        <w:tc>
          <w:tcPr>
            <w:tcW w:w="451" w:type="pct"/>
            <w:shd w:val="clear" w:color="auto" w:fill="auto"/>
            <w:vAlign w:val="center"/>
          </w:tcPr>
          <w:p w14:paraId="69806806" w14:textId="77777777" w:rsidR="0052459E" w:rsidRPr="00BD348F" w:rsidRDefault="0052459E" w:rsidP="00082769">
            <w:pPr>
              <w:spacing w:before="0" w:after="0" w:line="240" w:lineRule="auto"/>
              <w:ind w:right="-22"/>
              <w:rPr>
                <w:rFonts w:ascii="GHEA Grapalat" w:hAnsi="GHEA Grapalat" w:cs="Calibri"/>
                <w:color w:val="auto"/>
                <w:sz w:val="18"/>
                <w:szCs w:val="18"/>
              </w:rPr>
            </w:pPr>
            <w:r w:rsidRPr="00BD348F">
              <w:rPr>
                <w:rFonts w:ascii="GHEA Grapalat" w:hAnsi="GHEA Grapalat"/>
                <w:color w:val="auto"/>
                <w:sz w:val="18"/>
                <w:szCs w:val="18"/>
              </w:rPr>
              <w:t xml:space="preserve"> 350.7 </w:t>
            </w:r>
          </w:p>
        </w:tc>
        <w:tc>
          <w:tcPr>
            <w:tcW w:w="451" w:type="pct"/>
            <w:shd w:val="clear" w:color="auto" w:fill="auto"/>
            <w:vAlign w:val="center"/>
          </w:tcPr>
          <w:p w14:paraId="7E2397FA"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 xml:space="preserve">451.3 </w:t>
            </w:r>
          </w:p>
        </w:tc>
        <w:tc>
          <w:tcPr>
            <w:tcW w:w="477" w:type="pct"/>
            <w:shd w:val="clear" w:color="auto" w:fill="auto"/>
            <w:vAlign w:val="center"/>
          </w:tcPr>
          <w:p w14:paraId="368A3DF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 xml:space="preserve">534.4 </w:t>
            </w:r>
          </w:p>
        </w:tc>
      </w:tr>
      <w:tr w:rsidR="004C0C21" w:rsidRPr="00BD348F" w14:paraId="1EE54034" w14:textId="77777777" w:rsidTr="00CB300F">
        <w:trPr>
          <w:trHeight w:val="317"/>
        </w:trPr>
        <w:tc>
          <w:tcPr>
            <w:tcW w:w="1815" w:type="pct"/>
            <w:shd w:val="clear" w:color="auto" w:fill="auto"/>
            <w:vAlign w:val="center"/>
            <w:hideMark/>
          </w:tcPr>
          <w:p w14:paraId="25C366C2"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451" w:type="pct"/>
            <w:shd w:val="clear" w:color="auto" w:fill="auto"/>
            <w:vAlign w:val="center"/>
          </w:tcPr>
          <w:p w14:paraId="5449F944"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1.9%</w:t>
            </w:r>
          </w:p>
        </w:tc>
        <w:tc>
          <w:tcPr>
            <w:tcW w:w="451" w:type="pct"/>
            <w:shd w:val="clear" w:color="auto" w:fill="auto"/>
            <w:vAlign w:val="center"/>
          </w:tcPr>
          <w:p w14:paraId="34EC88E9"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2.3%</w:t>
            </w:r>
          </w:p>
        </w:tc>
        <w:tc>
          <w:tcPr>
            <w:tcW w:w="453" w:type="pct"/>
            <w:shd w:val="clear" w:color="auto" w:fill="auto"/>
            <w:vAlign w:val="center"/>
          </w:tcPr>
          <w:p w14:paraId="714D190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2.8%</w:t>
            </w:r>
          </w:p>
        </w:tc>
        <w:tc>
          <w:tcPr>
            <w:tcW w:w="451" w:type="pct"/>
            <w:shd w:val="clear" w:color="auto" w:fill="auto"/>
            <w:vAlign w:val="center"/>
          </w:tcPr>
          <w:p w14:paraId="35C50458"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2.9%</w:t>
            </w:r>
          </w:p>
        </w:tc>
        <w:tc>
          <w:tcPr>
            <w:tcW w:w="451" w:type="pct"/>
            <w:shd w:val="clear" w:color="auto" w:fill="auto"/>
            <w:vAlign w:val="center"/>
          </w:tcPr>
          <w:p w14:paraId="62447AA9"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2.6%</w:t>
            </w:r>
          </w:p>
        </w:tc>
        <w:tc>
          <w:tcPr>
            <w:tcW w:w="451" w:type="pct"/>
            <w:shd w:val="clear" w:color="auto" w:fill="auto"/>
            <w:vAlign w:val="center"/>
          </w:tcPr>
          <w:p w14:paraId="7822854D"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3.0%</w:t>
            </w:r>
          </w:p>
        </w:tc>
        <w:tc>
          <w:tcPr>
            <w:tcW w:w="477" w:type="pct"/>
            <w:shd w:val="clear" w:color="auto" w:fill="auto"/>
            <w:vAlign w:val="center"/>
          </w:tcPr>
          <w:p w14:paraId="5F60C7F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3.3%</w:t>
            </w:r>
          </w:p>
        </w:tc>
      </w:tr>
      <w:tr w:rsidR="004C0C21" w:rsidRPr="00BD348F" w14:paraId="29A3B233" w14:textId="77777777" w:rsidTr="00CB300F">
        <w:trPr>
          <w:trHeight w:val="317"/>
        </w:trPr>
        <w:tc>
          <w:tcPr>
            <w:tcW w:w="1815" w:type="pct"/>
            <w:shd w:val="clear" w:color="auto" w:fill="auto"/>
            <w:vAlign w:val="center"/>
            <w:hideMark/>
          </w:tcPr>
          <w:p w14:paraId="5BDCD811"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451" w:type="pct"/>
            <w:shd w:val="clear" w:color="auto" w:fill="auto"/>
            <w:vAlign w:val="center"/>
          </w:tcPr>
          <w:p w14:paraId="4259E176"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7.2%</w:t>
            </w:r>
          </w:p>
        </w:tc>
        <w:tc>
          <w:tcPr>
            <w:tcW w:w="451" w:type="pct"/>
            <w:shd w:val="clear" w:color="auto" w:fill="auto"/>
            <w:vAlign w:val="center"/>
          </w:tcPr>
          <w:p w14:paraId="0D2B4B2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7.8%</w:t>
            </w:r>
          </w:p>
        </w:tc>
        <w:tc>
          <w:tcPr>
            <w:tcW w:w="453" w:type="pct"/>
            <w:shd w:val="clear" w:color="auto" w:fill="auto"/>
            <w:vAlign w:val="center"/>
          </w:tcPr>
          <w:p w14:paraId="50EFD8F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9.7%</w:t>
            </w:r>
          </w:p>
        </w:tc>
        <w:tc>
          <w:tcPr>
            <w:tcW w:w="451" w:type="pct"/>
            <w:shd w:val="clear" w:color="auto" w:fill="auto"/>
            <w:vAlign w:val="center"/>
          </w:tcPr>
          <w:p w14:paraId="1C641B02"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9.9%</w:t>
            </w:r>
          </w:p>
        </w:tc>
        <w:tc>
          <w:tcPr>
            <w:tcW w:w="451" w:type="pct"/>
            <w:shd w:val="clear" w:color="auto" w:fill="auto"/>
            <w:vAlign w:val="center"/>
          </w:tcPr>
          <w:p w14:paraId="476CDEF0"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8.6%</w:t>
            </w:r>
          </w:p>
        </w:tc>
        <w:tc>
          <w:tcPr>
            <w:tcW w:w="451" w:type="pct"/>
            <w:shd w:val="clear" w:color="auto" w:fill="auto"/>
            <w:vAlign w:val="center"/>
          </w:tcPr>
          <w:p w14:paraId="36B17468"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10.3%</w:t>
            </w:r>
          </w:p>
        </w:tc>
        <w:tc>
          <w:tcPr>
            <w:tcW w:w="477" w:type="pct"/>
            <w:shd w:val="clear" w:color="auto" w:fill="auto"/>
            <w:vAlign w:val="center"/>
          </w:tcPr>
          <w:p w14:paraId="50CB7DB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11.6%</w:t>
            </w:r>
          </w:p>
        </w:tc>
      </w:tr>
      <w:tr w:rsidR="004C0C21" w:rsidRPr="00BD348F" w14:paraId="561C1E21" w14:textId="77777777" w:rsidTr="00CB300F">
        <w:trPr>
          <w:trHeight w:val="317"/>
        </w:trPr>
        <w:tc>
          <w:tcPr>
            <w:tcW w:w="1815" w:type="pct"/>
            <w:shd w:val="clear" w:color="auto" w:fill="auto"/>
            <w:vAlign w:val="center"/>
            <w:hideMark/>
          </w:tcPr>
          <w:p w14:paraId="07F80FA5"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2. </w:t>
            </w:r>
            <w:r w:rsidRPr="00BD348F">
              <w:rPr>
                <w:rFonts w:ascii="GHEA Grapalat" w:hAnsi="GHEA Grapalat" w:cs="Sylfaen"/>
                <w:color w:val="auto"/>
                <w:sz w:val="18"/>
                <w:szCs w:val="18"/>
              </w:rPr>
              <w:t>Սոցիալական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պաշտպանություն</w:t>
            </w:r>
          </w:p>
        </w:tc>
        <w:tc>
          <w:tcPr>
            <w:tcW w:w="451" w:type="pct"/>
            <w:shd w:val="clear" w:color="auto" w:fill="auto"/>
            <w:vAlign w:val="center"/>
          </w:tcPr>
          <w:p w14:paraId="527CDA7F"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705.8</w:t>
            </w:r>
          </w:p>
        </w:tc>
        <w:tc>
          <w:tcPr>
            <w:tcW w:w="451" w:type="pct"/>
            <w:shd w:val="clear" w:color="auto" w:fill="auto"/>
            <w:vAlign w:val="center"/>
          </w:tcPr>
          <w:p w14:paraId="1AD724C3"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851.9</w:t>
            </w:r>
          </w:p>
        </w:tc>
        <w:tc>
          <w:tcPr>
            <w:tcW w:w="453" w:type="pct"/>
            <w:shd w:val="clear" w:color="auto" w:fill="auto"/>
            <w:vAlign w:val="center"/>
          </w:tcPr>
          <w:p w14:paraId="4AAA1286"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873.7</w:t>
            </w:r>
          </w:p>
        </w:tc>
        <w:tc>
          <w:tcPr>
            <w:tcW w:w="451" w:type="pct"/>
            <w:shd w:val="clear" w:color="auto" w:fill="auto"/>
            <w:vAlign w:val="center"/>
          </w:tcPr>
          <w:p w14:paraId="799575AB"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992.9</w:t>
            </w:r>
          </w:p>
        </w:tc>
        <w:tc>
          <w:tcPr>
            <w:tcW w:w="451" w:type="pct"/>
            <w:shd w:val="clear" w:color="auto" w:fill="auto"/>
            <w:vAlign w:val="center"/>
          </w:tcPr>
          <w:p w14:paraId="75D01CE6" w14:textId="77777777" w:rsidR="0052459E" w:rsidRPr="00BD348F" w:rsidRDefault="0052459E" w:rsidP="00082769">
            <w:pPr>
              <w:spacing w:before="0" w:after="0" w:line="240" w:lineRule="auto"/>
              <w:ind w:right="-22"/>
              <w:jc w:val="center"/>
              <w:rPr>
                <w:rFonts w:ascii="GHEA Grapalat" w:hAnsi="GHEA Grapalat" w:cs="Calibri"/>
                <w:color w:val="auto"/>
                <w:sz w:val="18"/>
                <w:szCs w:val="18"/>
                <w:lang w:val="hy-AM"/>
              </w:rPr>
            </w:pPr>
            <w:r w:rsidRPr="00BD348F">
              <w:rPr>
                <w:rFonts w:ascii="GHEA Grapalat" w:hAnsi="GHEA Grapalat"/>
                <w:color w:val="auto"/>
                <w:sz w:val="18"/>
                <w:szCs w:val="18"/>
              </w:rPr>
              <w:t>1083.8</w:t>
            </w:r>
          </w:p>
        </w:tc>
        <w:tc>
          <w:tcPr>
            <w:tcW w:w="451" w:type="pct"/>
            <w:shd w:val="clear" w:color="auto" w:fill="auto"/>
            <w:vAlign w:val="center"/>
          </w:tcPr>
          <w:p w14:paraId="4BF1A674"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1147.4</w:t>
            </w:r>
          </w:p>
        </w:tc>
        <w:tc>
          <w:tcPr>
            <w:tcW w:w="477" w:type="pct"/>
            <w:shd w:val="clear" w:color="auto" w:fill="auto"/>
            <w:vAlign w:val="center"/>
          </w:tcPr>
          <w:p w14:paraId="108B9692"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1193.4</w:t>
            </w:r>
          </w:p>
        </w:tc>
      </w:tr>
      <w:tr w:rsidR="004C0C21" w:rsidRPr="00BD348F" w14:paraId="2D928CD2" w14:textId="77777777" w:rsidTr="00CB300F">
        <w:trPr>
          <w:trHeight w:val="317"/>
        </w:trPr>
        <w:tc>
          <w:tcPr>
            <w:tcW w:w="1815" w:type="pct"/>
            <w:shd w:val="clear" w:color="auto" w:fill="auto"/>
            <w:vAlign w:val="center"/>
            <w:hideMark/>
          </w:tcPr>
          <w:p w14:paraId="0FBCAF95"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451" w:type="pct"/>
            <w:shd w:val="clear" w:color="auto" w:fill="auto"/>
            <w:vAlign w:val="center"/>
          </w:tcPr>
          <w:p w14:paraId="54A8A79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7.4%</w:t>
            </w:r>
          </w:p>
        </w:tc>
        <w:tc>
          <w:tcPr>
            <w:tcW w:w="451" w:type="pct"/>
            <w:shd w:val="clear" w:color="auto" w:fill="auto"/>
            <w:vAlign w:val="center"/>
          </w:tcPr>
          <w:p w14:paraId="6531479B"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8.3%</w:t>
            </w:r>
          </w:p>
        </w:tc>
        <w:tc>
          <w:tcPr>
            <w:tcW w:w="453" w:type="pct"/>
            <w:shd w:val="clear" w:color="auto" w:fill="auto"/>
            <w:vAlign w:val="center"/>
          </w:tcPr>
          <w:p w14:paraId="2E94EEA9"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7.7%</w:t>
            </w:r>
          </w:p>
        </w:tc>
        <w:tc>
          <w:tcPr>
            <w:tcW w:w="451" w:type="pct"/>
            <w:shd w:val="clear" w:color="auto" w:fill="auto"/>
            <w:vAlign w:val="center"/>
          </w:tcPr>
          <w:p w14:paraId="22948BB5"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8.1%</w:t>
            </w:r>
          </w:p>
        </w:tc>
        <w:tc>
          <w:tcPr>
            <w:tcW w:w="451" w:type="pct"/>
            <w:shd w:val="clear" w:color="auto" w:fill="auto"/>
            <w:vAlign w:val="center"/>
          </w:tcPr>
          <w:p w14:paraId="37C06F14"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8.0%</w:t>
            </w:r>
          </w:p>
        </w:tc>
        <w:tc>
          <w:tcPr>
            <w:tcW w:w="451" w:type="pct"/>
            <w:shd w:val="clear" w:color="auto" w:fill="auto"/>
            <w:vAlign w:val="center"/>
          </w:tcPr>
          <w:p w14:paraId="6C722150"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7.7%</w:t>
            </w:r>
          </w:p>
        </w:tc>
        <w:tc>
          <w:tcPr>
            <w:tcW w:w="477" w:type="pct"/>
            <w:shd w:val="clear" w:color="auto" w:fill="auto"/>
            <w:vAlign w:val="center"/>
          </w:tcPr>
          <w:p w14:paraId="7174EC1A"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7.4%</w:t>
            </w:r>
          </w:p>
        </w:tc>
      </w:tr>
      <w:tr w:rsidR="004C0C21" w:rsidRPr="00BD348F" w14:paraId="1366EF46" w14:textId="77777777" w:rsidTr="00CB300F">
        <w:trPr>
          <w:trHeight w:val="317"/>
        </w:trPr>
        <w:tc>
          <w:tcPr>
            <w:tcW w:w="1815" w:type="pct"/>
            <w:shd w:val="clear" w:color="auto" w:fill="auto"/>
            <w:vAlign w:val="center"/>
            <w:hideMark/>
          </w:tcPr>
          <w:p w14:paraId="6A311300"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451" w:type="pct"/>
            <w:shd w:val="clear" w:color="auto" w:fill="auto"/>
            <w:vAlign w:val="center"/>
          </w:tcPr>
          <w:p w14:paraId="77B2E879"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27.7%</w:t>
            </w:r>
          </w:p>
        </w:tc>
        <w:tc>
          <w:tcPr>
            <w:tcW w:w="451" w:type="pct"/>
            <w:shd w:val="clear" w:color="auto" w:fill="auto"/>
            <w:vAlign w:val="center"/>
          </w:tcPr>
          <w:p w14:paraId="258D655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28.8%</w:t>
            </w:r>
          </w:p>
        </w:tc>
        <w:tc>
          <w:tcPr>
            <w:tcW w:w="453" w:type="pct"/>
            <w:shd w:val="clear" w:color="auto" w:fill="auto"/>
            <w:vAlign w:val="center"/>
          </w:tcPr>
          <w:p w14:paraId="3C7680EB"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26.4%</w:t>
            </w:r>
          </w:p>
        </w:tc>
        <w:tc>
          <w:tcPr>
            <w:tcW w:w="451" w:type="pct"/>
            <w:shd w:val="clear" w:color="auto" w:fill="auto"/>
            <w:vAlign w:val="center"/>
          </w:tcPr>
          <w:p w14:paraId="293C92EF"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27.4%</w:t>
            </w:r>
          </w:p>
        </w:tc>
        <w:tc>
          <w:tcPr>
            <w:tcW w:w="451" w:type="pct"/>
            <w:shd w:val="clear" w:color="auto" w:fill="auto"/>
            <w:vAlign w:val="center"/>
          </w:tcPr>
          <w:p w14:paraId="13DDB351"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26.6%</w:t>
            </w:r>
          </w:p>
        </w:tc>
        <w:tc>
          <w:tcPr>
            <w:tcW w:w="451" w:type="pct"/>
            <w:shd w:val="clear" w:color="auto" w:fill="auto"/>
            <w:vAlign w:val="center"/>
          </w:tcPr>
          <w:p w14:paraId="3B34F1C2"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26.3%</w:t>
            </w:r>
          </w:p>
        </w:tc>
        <w:tc>
          <w:tcPr>
            <w:tcW w:w="477" w:type="pct"/>
            <w:shd w:val="clear" w:color="auto" w:fill="auto"/>
            <w:vAlign w:val="center"/>
          </w:tcPr>
          <w:p w14:paraId="792B765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25.9%</w:t>
            </w:r>
          </w:p>
        </w:tc>
      </w:tr>
      <w:tr w:rsidR="004C0C21" w:rsidRPr="00BD348F" w14:paraId="71B92216" w14:textId="77777777" w:rsidTr="00CB300F">
        <w:trPr>
          <w:trHeight w:val="317"/>
        </w:trPr>
        <w:tc>
          <w:tcPr>
            <w:tcW w:w="1815" w:type="pct"/>
            <w:shd w:val="clear" w:color="auto" w:fill="auto"/>
            <w:vAlign w:val="center"/>
            <w:hideMark/>
          </w:tcPr>
          <w:p w14:paraId="6EF60ED8"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3. </w:t>
            </w:r>
            <w:r w:rsidRPr="00BD348F">
              <w:rPr>
                <w:rFonts w:ascii="GHEA Grapalat" w:hAnsi="GHEA Grapalat" w:cs="Sylfaen"/>
                <w:color w:val="auto"/>
                <w:sz w:val="18"/>
                <w:szCs w:val="18"/>
              </w:rPr>
              <w:t>Առողջապահություն</w:t>
            </w:r>
          </w:p>
        </w:tc>
        <w:tc>
          <w:tcPr>
            <w:tcW w:w="451" w:type="pct"/>
            <w:shd w:val="clear" w:color="auto" w:fill="auto"/>
            <w:vAlign w:val="center"/>
          </w:tcPr>
          <w:p w14:paraId="70A45A12" w14:textId="77777777" w:rsidR="0052459E" w:rsidRPr="00BD348F" w:rsidRDefault="0052459E" w:rsidP="00082769">
            <w:pPr>
              <w:spacing w:before="0" w:after="0" w:line="240" w:lineRule="auto"/>
              <w:ind w:right="-22"/>
              <w:jc w:val="center"/>
              <w:rPr>
                <w:rFonts w:ascii="GHEA Grapalat" w:hAnsi="GHEA Grapalat"/>
                <w:color w:val="auto"/>
                <w:sz w:val="18"/>
                <w:szCs w:val="18"/>
                <w:lang w:val="ru-RU"/>
              </w:rPr>
            </w:pPr>
            <w:r w:rsidRPr="00BD348F">
              <w:rPr>
                <w:rFonts w:ascii="GHEA Grapalat" w:hAnsi="GHEA Grapalat"/>
                <w:color w:val="auto"/>
                <w:sz w:val="18"/>
                <w:szCs w:val="18"/>
              </w:rPr>
              <w:t>141.3</w:t>
            </w:r>
          </w:p>
        </w:tc>
        <w:tc>
          <w:tcPr>
            <w:tcW w:w="451" w:type="pct"/>
            <w:shd w:val="clear" w:color="auto" w:fill="auto"/>
            <w:vAlign w:val="center"/>
          </w:tcPr>
          <w:p w14:paraId="6C204A1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154.8</w:t>
            </w:r>
          </w:p>
        </w:tc>
        <w:tc>
          <w:tcPr>
            <w:tcW w:w="453" w:type="pct"/>
            <w:shd w:val="clear" w:color="auto" w:fill="auto"/>
            <w:vAlign w:val="center"/>
          </w:tcPr>
          <w:p w14:paraId="2DC64CD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165.8</w:t>
            </w:r>
          </w:p>
        </w:tc>
        <w:tc>
          <w:tcPr>
            <w:tcW w:w="451" w:type="pct"/>
            <w:shd w:val="clear" w:color="auto" w:fill="auto"/>
            <w:vAlign w:val="center"/>
          </w:tcPr>
          <w:p w14:paraId="2B7D8AED"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213.1</w:t>
            </w:r>
          </w:p>
        </w:tc>
        <w:tc>
          <w:tcPr>
            <w:tcW w:w="451" w:type="pct"/>
            <w:shd w:val="clear" w:color="auto" w:fill="auto"/>
            <w:vAlign w:val="center"/>
          </w:tcPr>
          <w:p w14:paraId="0A4764E4"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349.2</w:t>
            </w:r>
          </w:p>
        </w:tc>
        <w:tc>
          <w:tcPr>
            <w:tcW w:w="451" w:type="pct"/>
            <w:shd w:val="clear" w:color="auto" w:fill="auto"/>
            <w:vAlign w:val="center"/>
          </w:tcPr>
          <w:p w14:paraId="6FF63A8B"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352.1</w:t>
            </w:r>
          </w:p>
        </w:tc>
        <w:tc>
          <w:tcPr>
            <w:tcW w:w="477" w:type="pct"/>
            <w:shd w:val="clear" w:color="auto" w:fill="auto"/>
            <w:vAlign w:val="center"/>
          </w:tcPr>
          <w:p w14:paraId="5430DDC8"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352.9</w:t>
            </w:r>
          </w:p>
        </w:tc>
      </w:tr>
      <w:tr w:rsidR="004C0C21" w:rsidRPr="00BD348F" w14:paraId="0CBB2AC4" w14:textId="77777777" w:rsidTr="00CB300F">
        <w:trPr>
          <w:trHeight w:val="317"/>
        </w:trPr>
        <w:tc>
          <w:tcPr>
            <w:tcW w:w="1815" w:type="pct"/>
            <w:shd w:val="clear" w:color="auto" w:fill="auto"/>
            <w:vAlign w:val="center"/>
            <w:hideMark/>
          </w:tcPr>
          <w:p w14:paraId="665D9D6D"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451" w:type="pct"/>
            <w:shd w:val="clear" w:color="auto" w:fill="auto"/>
            <w:vAlign w:val="center"/>
          </w:tcPr>
          <w:p w14:paraId="306D4CF8"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1.5%</w:t>
            </w:r>
          </w:p>
        </w:tc>
        <w:tc>
          <w:tcPr>
            <w:tcW w:w="451" w:type="pct"/>
            <w:shd w:val="clear" w:color="auto" w:fill="auto"/>
            <w:vAlign w:val="center"/>
          </w:tcPr>
          <w:p w14:paraId="6C2E8EEC" w14:textId="77777777" w:rsidR="0052459E" w:rsidRPr="00BD348F" w:rsidRDefault="0052459E" w:rsidP="00082769">
            <w:pPr>
              <w:spacing w:before="0" w:after="0" w:line="240" w:lineRule="auto"/>
              <w:ind w:right="-22"/>
              <w:jc w:val="center"/>
              <w:rPr>
                <w:rFonts w:ascii="GHEA Grapalat" w:hAnsi="GHEA Grapalat"/>
                <w:color w:val="auto"/>
                <w:sz w:val="18"/>
                <w:szCs w:val="18"/>
                <w:lang w:val="ru-RU"/>
              </w:rPr>
            </w:pPr>
            <w:r w:rsidRPr="00BD348F">
              <w:rPr>
                <w:rFonts w:ascii="GHEA Grapalat" w:hAnsi="GHEA Grapalat"/>
                <w:color w:val="auto"/>
                <w:sz w:val="18"/>
                <w:szCs w:val="18"/>
              </w:rPr>
              <w:t>1.5%</w:t>
            </w:r>
          </w:p>
        </w:tc>
        <w:tc>
          <w:tcPr>
            <w:tcW w:w="453" w:type="pct"/>
            <w:shd w:val="clear" w:color="auto" w:fill="auto"/>
            <w:vAlign w:val="center"/>
          </w:tcPr>
          <w:p w14:paraId="512DE2DA"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1.5%</w:t>
            </w:r>
          </w:p>
        </w:tc>
        <w:tc>
          <w:tcPr>
            <w:tcW w:w="451" w:type="pct"/>
            <w:shd w:val="clear" w:color="auto" w:fill="auto"/>
            <w:vAlign w:val="center"/>
          </w:tcPr>
          <w:p w14:paraId="6864AD6B" w14:textId="77777777" w:rsidR="0052459E" w:rsidRPr="00BD348F" w:rsidRDefault="0052459E" w:rsidP="00082769">
            <w:pPr>
              <w:spacing w:before="0" w:after="0" w:line="240" w:lineRule="auto"/>
              <w:ind w:right="-22"/>
              <w:jc w:val="center"/>
              <w:rPr>
                <w:rFonts w:ascii="GHEA Grapalat" w:hAnsi="GHEA Grapalat"/>
                <w:color w:val="auto"/>
                <w:sz w:val="18"/>
                <w:szCs w:val="18"/>
                <w:lang w:val="ru-RU"/>
              </w:rPr>
            </w:pPr>
            <w:r w:rsidRPr="00BD348F">
              <w:rPr>
                <w:rFonts w:ascii="GHEA Grapalat" w:hAnsi="GHEA Grapalat"/>
                <w:color w:val="auto"/>
                <w:sz w:val="18"/>
                <w:szCs w:val="18"/>
              </w:rPr>
              <w:t>1.7%</w:t>
            </w:r>
          </w:p>
        </w:tc>
        <w:tc>
          <w:tcPr>
            <w:tcW w:w="451" w:type="pct"/>
            <w:shd w:val="clear" w:color="auto" w:fill="auto"/>
            <w:vAlign w:val="center"/>
          </w:tcPr>
          <w:p w14:paraId="795DD51C"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2.6%</w:t>
            </w:r>
          </w:p>
        </w:tc>
        <w:tc>
          <w:tcPr>
            <w:tcW w:w="451" w:type="pct"/>
            <w:shd w:val="clear" w:color="auto" w:fill="auto"/>
            <w:vAlign w:val="center"/>
          </w:tcPr>
          <w:p w14:paraId="1FC57AF3"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2.4%</w:t>
            </w:r>
          </w:p>
        </w:tc>
        <w:tc>
          <w:tcPr>
            <w:tcW w:w="477" w:type="pct"/>
            <w:shd w:val="clear" w:color="auto" w:fill="auto"/>
            <w:vAlign w:val="center"/>
          </w:tcPr>
          <w:p w14:paraId="760A85C7"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2.2%</w:t>
            </w:r>
          </w:p>
        </w:tc>
      </w:tr>
      <w:tr w:rsidR="004C0C21" w:rsidRPr="00BD348F" w14:paraId="058F8BCE" w14:textId="77777777" w:rsidTr="00CB300F">
        <w:trPr>
          <w:trHeight w:val="317"/>
        </w:trPr>
        <w:tc>
          <w:tcPr>
            <w:tcW w:w="1815" w:type="pct"/>
            <w:shd w:val="clear" w:color="auto" w:fill="auto"/>
            <w:vAlign w:val="center"/>
            <w:hideMark/>
          </w:tcPr>
          <w:p w14:paraId="03646445"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451" w:type="pct"/>
            <w:shd w:val="clear" w:color="auto" w:fill="auto"/>
            <w:vAlign w:val="center"/>
          </w:tcPr>
          <w:p w14:paraId="3D674DF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5.5%</w:t>
            </w:r>
          </w:p>
        </w:tc>
        <w:tc>
          <w:tcPr>
            <w:tcW w:w="451" w:type="pct"/>
            <w:shd w:val="clear" w:color="auto" w:fill="auto"/>
            <w:vAlign w:val="center"/>
          </w:tcPr>
          <w:p w14:paraId="3F2788C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5.2%</w:t>
            </w:r>
          </w:p>
        </w:tc>
        <w:tc>
          <w:tcPr>
            <w:tcW w:w="453" w:type="pct"/>
            <w:shd w:val="clear" w:color="auto" w:fill="auto"/>
            <w:vAlign w:val="center"/>
          </w:tcPr>
          <w:p w14:paraId="6AB5FD2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5.0%</w:t>
            </w:r>
          </w:p>
        </w:tc>
        <w:tc>
          <w:tcPr>
            <w:tcW w:w="451" w:type="pct"/>
            <w:shd w:val="clear" w:color="auto" w:fill="auto"/>
            <w:vAlign w:val="center"/>
          </w:tcPr>
          <w:p w14:paraId="62BE6F8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5.9%</w:t>
            </w:r>
          </w:p>
        </w:tc>
        <w:tc>
          <w:tcPr>
            <w:tcW w:w="451" w:type="pct"/>
            <w:shd w:val="clear" w:color="auto" w:fill="auto"/>
            <w:vAlign w:val="center"/>
          </w:tcPr>
          <w:p w14:paraId="3EC87EA1"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8.6%</w:t>
            </w:r>
          </w:p>
        </w:tc>
        <w:tc>
          <w:tcPr>
            <w:tcW w:w="451" w:type="pct"/>
            <w:shd w:val="clear" w:color="auto" w:fill="auto"/>
            <w:vAlign w:val="center"/>
          </w:tcPr>
          <w:p w14:paraId="2CAECD5E"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8.1%</w:t>
            </w:r>
          </w:p>
        </w:tc>
        <w:tc>
          <w:tcPr>
            <w:tcW w:w="477" w:type="pct"/>
            <w:shd w:val="clear" w:color="auto" w:fill="auto"/>
            <w:vAlign w:val="center"/>
          </w:tcPr>
          <w:p w14:paraId="490951AF"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7.7%</w:t>
            </w:r>
          </w:p>
        </w:tc>
      </w:tr>
      <w:tr w:rsidR="004C0C21" w:rsidRPr="00BD348F" w14:paraId="49271FFF" w14:textId="77777777" w:rsidTr="00CB300F">
        <w:trPr>
          <w:trHeight w:val="317"/>
        </w:trPr>
        <w:tc>
          <w:tcPr>
            <w:tcW w:w="1815" w:type="pct"/>
            <w:shd w:val="clear" w:color="auto" w:fill="auto"/>
            <w:vAlign w:val="center"/>
            <w:hideMark/>
          </w:tcPr>
          <w:p w14:paraId="6EF32085"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4. </w:t>
            </w:r>
            <w:r w:rsidRPr="00BD348F">
              <w:rPr>
                <w:rFonts w:ascii="GHEA Grapalat" w:hAnsi="GHEA Grapalat" w:cs="Sylfaen"/>
                <w:color w:val="auto"/>
                <w:sz w:val="18"/>
                <w:szCs w:val="18"/>
              </w:rPr>
              <w:t>Հանգիստ</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մշակույթ</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և</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կրոն</w:t>
            </w:r>
          </w:p>
        </w:tc>
        <w:tc>
          <w:tcPr>
            <w:tcW w:w="451" w:type="pct"/>
            <w:shd w:val="clear" w:color="auto" w:fill="auto"/>
            <w:vAlign w:val="center"/>
          </w:tcPr>
          <w:p w14:paraId="0033817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43.3</w:t>
            </w:r>
          </w:p>
        </w:tc>
        <w:tc>
          <w:tcPr>
            <w:tcW w:w="451" w:type="pct"/>
            <w:shd w:val="clear" w:color="auto" w:fill="auto"/>
            <w:vAlign w:val="center"/>
          </w:tcPr>
          <w:p w14:paraId="52FB2C9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40.5</w:t>
            </w:r>
          </w:p>
        </w:tc>
        <w:tc>
          <w:tcPr>
            <w:tcW w:w="453" w:type="pct"/>
            <w:shd w:val="clear" w:color="auto" w:fill="auto"/>
            <w:vAlign w:val="center"/>
          </w:tcPr>
          <w:p w14:paraId="08E98B33"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42.8</w:t>
            </w:r>
          </w:p>
        </w:tc>
        <w:tc>
          <w:tcPr>
            <w:tcW w:w="451" w:type="pct"/>
            <w:shd w:val="clear" w:color="auto" w:fill="auto"/>
            <w:vAlign w:val="center"/>
          </w:tcPr>
          <w:p w14:paraId="028DE133"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46.2</w:t>
            </w:r>
          </w:p>
        </w:tc>
        <w:tc>
          <w:tcPr>
            <w:tcW w:w="451" w:type="pct"/>
            <w:shd w:val="clear" w:color="auto" w:fill="auto"/>
            <w:vAlign w:val="center"/>
          </w:tcPr>
          <w:p w14:paraId="18050173"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64.3</w:t>
            </w:r>
          </w:p>
        </w:tc>
        <w:tc>
          <w:tcPr>
            <w:tcW w:w="451" w:type="pct"/>
            <w:shd w:val="clear" w:color="auto" w:fill="auto"/>
            <w:vAlign w:val="center"/>
          </w:tcPr>
          <w:p w14:paraId="13155ACB"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64</w:t>
            </w:r>
          </w:p>
        </w:tc>
        <w:tc>
          <w:tcPr>
            <w:tcW w:w="477" w:type="pct"/>
            <w:shd w:val="clear" w:color="auto" w:fill="auto"/>
            <w:vAlign w:val="center"/>
          </w:tcPr>
          <w:p w14:paraId="3548E933"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51.5</w:t>
            </w:r>
          </w:p>
        </w:tc>
      </w:tr>
      <w:tr w:rsidR="004C0C21" w:rsidRPr="00BD348F" w14:paraId="48B4A7EF" w14:textId="77777777" w:rsidTr="00CB300F">
        <w:trPr>
          <w:trHeight w:val="317"/>
        </w:trPr>
        <w:tc>
          <w:tcPr>
            <w:tcW w:w="1815" w:type="pct"/>
            <w:shd w:val="clear" w:color="auto" w:fill="auto"/>
            <w:vAlign w:val="center"/>
            <w:hideMark/>
          </w:tcPr>
          <w:p w14:paraId="7D0344A3"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451" w:type="pct"/>
            <w:shd w:val="clear" w:color="auto" w:fill="auto"/>
            <w:vAlign w:val="center"/>
          </w:tcPr>
          <w:p w14:paraId="016D1A9A"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0.5%</w:t>
            </w:r>
          </w:p>
        </w:tc>
        <w:tc>
          <w:tcPr>
            <w:tcW w:w="451" w:type="pct"/>
            <w:shd w:val="clear" w:color="auto" w:fill="auto"/>
            <w:vAlign w:val="center"/>
          </w:tcPr>
          <w:p w14:paraId="51A24350" w14:textId="77777777" w:rsidR="0052459E" w:rsidRPr="00BD348F" w:rsidRDefault="0052459E" w:rsidP="00082769">
            <w:pPr>
              <w:spacing w:before="0" w:after="0" w:line="240" w:lineRule="auto"/>
              <w:ind w:right="-22"/>
              <w:jc w:val="center"/>
              <w:rPr>
                <w:rFonts w:ascii="GHEA Grapalat" w:hAnsi="GHEA Grapalat"/>
                <w:color w:val="auto"/>
                <w:sz w:val="18"/>
                <w:szCs w:val="18"/>
                <w:lang w:val="ru-RU"/>
              </w:rPr>
            </w:pPr>
            <w:r w:rsidRPr="00BD348F">
              <w:rPr>
                <w:rFonts w:ascii="GHEA Grapalat" w:hAnsi="GHEA Grapalat"/>
                <w:color w:val="auto"/>
                <w:sz w:val="18"/>
                <w:szCs w:val="18"/>
              </w:rPr>
              <w:t>0.4%</w:t>
            </w:r>
          </w:p>
        </w:tc>
        <w:tc>
          <w:tcPr>
            <w:tcW w:w="453" w:type="pct"/>
            <w:shd w:val="clear" w:color="auto" w:fill="auto"/>
            <w:vAlign w:val="center"/>
          </w:tcPr>
          <w:p w14:paraId="58FD24D6"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0.4%</w:t>
            </w:r>
          </w:p>
        </w:tc>
        <w:tc>
          <w:tcPr>
            <w:tcW w:w="451" w:type="pct"/>
            <w:shd w:val="clear" w:color="auto" w:fill="auto"/>
            <w:vAlign w:val="center"/>
          </w:tcPr>
          <w:p w14:paraId="027B03B5"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0.4%</w:t>
            </w:r>
          </w:p>
        </w:tc>
        <w:tc>
          <w:tcPr>
            <w:tcW w:w="451" w:type="pct"/>
            <w:shd w:val="clear" w:color="auto" w:fill="auto"/>
            <w:vAlign w:val="center"/>
          </w:tcPr>
          <w:p w14:paraId="4449E1B0"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0.5%</w:t>
            </w:r>
          </w:p>
        </w:tc>
        <w:tc>
          <w:tcPr>
            <w:tcW w:w="451" w:type="pct"/>
            <w:shd w:val="clear" w:color="auto" w:fill="auto"/>
            <w:vAlign w:val="center"/>
          </w:tcPr>
          <w:p w14:paraId="6163F9D9"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0.4%</w:t>
            </w:r>
          </w:p>
        </w:tc>
        <w:tc>
          <w:tcPr>
            <w:tcW w:w="477" w:type="pct"/>
            <w:shd w:val="clear" w:color="auto" w:fill="auto"/>
            <w:vAlign w:val="center"/>
          </w:tcPr>
          <w:p w14:paraId="5374F3AA"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0.3%</w:t>
            </w:r>
          </w:p>
        </w:tc>
      </w:tr>
      <w:tr w:rsidR="004C0C21" w:rsidRPr="00BD348F" w14:paraId="013FD603" w14:textId="77777777" w:rsidTr="00CB300F">
        <w:trPr>
          <w:trHeight w:val="317"/>
        </w:trPr>
        <w:tc>
          <w:tcPr>
            <w:tcW w:w="1815" w:type="pct"/>
            <w:shd w:val="clear" w:color="auto" w:fill="auto"/>
            <w:vAlign w:val="center"/>
            <w:hideMark/>
          </w:tcPr>
          <w:p w14:paraId="559B5A3C"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451" w:type="pct"/>
            <w:shd w:val="clear" w:color="auto" w:fill="auto"/>
            <w:vAlign w:val="center"/>
          </w:tcPr>
          <w:p w14:paraId="43E1848A"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1.7%</w:t>
            </w:r>
          </w:p>
        </w:tc>
        <w:tc>
          <w:tcPr>
            <w:tcW w:w="451" w:type="pct"/>
            <w:shd w:val="clear" w:color="auto" w:fill="auto"/>
            <w:vAlign w:val="center"/>
          </w:tcPr>
          <w:p w14:paraId="3DA68CA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1.4%</w:t>
            </w:r>
          </w:p>
        </w:tc>
        <w:tc>
          <w:tcPr>
            <w:tcW w:w="453" w:type="pct"/>
            <w:shd w:val="clear" w:color="auto" w:fill="auto"/>
            <w:vAlign w:val="center"/>
          </w:tcPr>
          <w:p w14:paraId="396FD44A"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1.3%</w:t>
            </w:r>
          </w:p>
        </w:tc>
        <w:tc>
          <w:tcPr>
            <w:tcW w:w="451" w:type="pct"/>
            <w:shd w:val="clear" w:color="auto" w:fill="auto"/>
            <w:vAlign w:val="center"/>
          </w:tcPr>
          <w:p w14:paraId="122FF60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1.3%</w:t>
            </w:r>
          </w:p>
        </w:tc>
        <w:tc>
          <w:tcPr>
            <w:tcW w:w="451" w:type="pct"/>
            <w:shd w:val="clear" w:color="auto" w:fill="auto"/>
            <w:vAlign w:val="center"/>
          </w:tcPr>
          <w:p w14:paraId="54FD0CAE"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1.6%</w:t>
            </w:r>
          </w:p>
        </w:tc>
        <w:tc>
          <w:tcPr>
            <w:tcW w:w="451" w:type="pct"/>
            <w:shd w:val="clear" w:color="auto" w:fill="auto"/>
            <w:vAlign w:val="center"/>
          </w:tcPr>
          <w:p w14:paraId="0ADC4F46"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1.5%</w:t>
            </w:r>
          </w:p>
        </w:tc>
        <w:tc>
          <w:tcPr>
            <w:tcW w:w="477" w:type="pct"/>
            <w:shd w:val="clear" w:color="auto" w:fill="auto"/>
            <w:vAlign w:val="center"/>
          </w:tcPr>
          <w:p w14:paraId="40D9DEA9"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1.1%</w:t>
            </w:r>
          </w:p>
        </w:tc>
      </w:tr>
    </w:tbl>
    <w:p w14:paraId="0901D1B0" w14:textId="77777777" w:rsidR="0052459E" w:rsidRPr="000232DD" w:rsidRDefault="0052459E" w:rsidP="00082769">
      <w:pPr>
        <w:pStyle w:val="BodyText1"/>
        <w:ind w:left="0" w:right="-22"/>
        <w:rPr>
          <w:color w:val="auto"/>
        </w:rPr>
      </w:pPr>
      <w:r w:rsidRPr="000232DD">
        <w:rPr>
          <w:color w:val="auto"/>
        </w:rPr>
        <w:t>202</w:t>
      </w:r>
      <w:r w:rsidRPr="000232DD">
        <w:rPr>
          <w:color w:val="auto"/>
          <w:lang w:val="hy-AM"/>
        </w:rPr>
        <w:t>3</w:t>
      </w:r>
      <w:r w:rsidRPr="000232DD">
        <w:rPr>
          <w:color w:val="auto"/>
        </w:rPr>
        <w:t>-2026թթ</w:t>
      </w:r>
      <w:r w:rsidRPr="000232DD">
        <w:rPr>
          <w:rFonts w:ascii="MS Mincho" w:eastAsia="MS Mincho" w:hAnsi="MS Mincho" w:cs="MS Mincho" w:hint="eastAsia"/>
          <w:color w:val="auto"/>
        </w:rPr>
        <w:t>․</w:t>
      </w:r>
      <w:r w:rsidRPr="000232DD">
        <w:rPr>
          <w:color w:val="auto"/>
        </w:rPr>
        <w:t xml:space="preserve"> ժամանակահատվածում կրթության և առողջապահության ոլորտների ֆինանսավորումը ՀՆԱ նկատմամբ փոփոխական բնույթ է կրել։</w:t>
      </w:r>
      <w:r w:rsidRPr="000232DD">
        <w:rPr>
          <w:color w:val="auto"/>
        </w:rPr>
        <w:tab/>
      </w:r>
    </w:p>
    <w:p w14:paraId="25D600F1" w14:textId="77777777" w:rsidR="0052459E" w:rsidRPr="000232DD" w:rsidRDefault="0052459E" w:rsidP="00082769">
      <w:pPr>
        <w:pStyle w:val="BodyText1"/>
        <w:ind w:left="0" w:right="-22"/>
        <w:rPr>
          <w:color w:val="auto"/>
        </w:rPr>
      </w:pPr>
      <w:r w:rsidRPr="000232DD">
        <w:rPr>
          <w:color w:val="auto"/>
        </w:rPr>
        <w:t>Միաժամանակ, համաձայն ՀՀ կառավարության 2026-2031թթ. ծրագրի առաջնահերթությունների, առողջապահության ոլորտի ֆինանսավորումը 2027 թվականին ուղղվելու է նաև առողջապահական կազմակերպությունների շենքային և նյութատեխնիկական պայմանների բարելավման աշխատանքների իրականացմանը:</w:t>
      </w:r>
    </w:p>
    <w:p w14:paraId="1DEEDEC7" w14:textId="6BA45E86" w:rsidR="0052459E" w:rsidRPr="000232DD" w:rsidRDefault="0052459E" w:rsidP="00082769">
      <w:pPr>
        <w:pStyle w:val="BodyText1"/>
        <w:ind w:left="0" w:right="-22"/>
        <w:rPr>
          <w:color w:val="auto"/>
        </w:rPr>
      </w:pPr>
      <w:r w:rsidRPr="000232DD">
        <w:rPr>
          <w:color w:val="auto"/>
        </w:rPr>
        <w:t>Սոցիալական պաշտպանության ոլորտի ֆինանսավորումն աճողական բնույթ է կրել՝ առաջնահերթ ուղղվելու է ժողովրդագրական վիճակի բարելավմանը, ինչպես նաև զբաղվածության ծրագրերին, բնակարա</w:t>
      </w:r>
      <w:r w:rsidR="00177C18">
        <w:rPr>
          <w:color w:val="auto"/>
          <w:lang w:val="hy-AM"/>
        </w:rPr>
        <w:t>նա</w:t>
      </w:r>
      <w:r w:rsidRPr="000232DD">
        <w:rPr>
          <w:color w:val="auto"/>
        </w:rPr>
        <w:t>յին ապահովման, ընտանեկան նպաստների տրամադրման և այլ սոցիալական ծառայությունների ապահովմանը։ Բացի այդ, ՀՀ կառավարության 2026-2031թթ. ծրագրով սահմանված առաջնահերթություններից ելնելով, ոլորտի հատկացումները ուղղվելու են ծնելիության խթանմանը և բազմազավակ ընտանիքներին պետական աջակցության ցուցաբերմանը:</w:t>
      </w:r>
    </w:p>
    <w:p w14:paraId="21EDFD46" w14:textId="77777777" w:rsidR="0052459E" w:rsidRPr="000232DD" w:rsidRDefault="0052459E" w:rsidP="00082769">
      <w:pPr>
        <w:pStyle w:val="BodyText1"/>
        <w:ind w:left="0" w:right="-22"/>
        <w:rPr>
          <w:color w:val="auto"/>
          <w:lang w:val="hy-AM"/>
        </w:rPr>
      </w:pPr>
      <w:r w:rsidRPr="000232DD">
        <w:rPr>
          <w:color w:val="auto"/>
        </w:rPr>
        <w:t>2027</w:t>
      </w:r>
      <w:r w:rsidRPr="000232DD">
        <w:rPr>
          <w:color w:val="auto"/>
          <w:lang w:val="hy-AM"/>
        </w:rPr>
        <w:t>-2029</w:t>
      </w:r>
      <w:r w:rsidRPr="000232DD">
        <w:rPr>
          <w:color w:val="auto"/>
        </w:rPr>
        <w:t xml:space="preserve"> թվական</w:t>
      </w:r>
      <w:r w:rsidRPr="000232DD">
        <w:rPr>
          <w:color w:val="auto"/>
          <w:lang w:val="hy-AM"/>
        </w:rPr>
        <w:t>ներ</w:t>
      </w:r>
      <w:r w:rsidRPr="000232DD">
        <w:rPr>
          <w:color w:val="auto"/>
        </w:rPr>
        <w:t>ի ընթացքում պետական բյուջեների ծախ</w:t>
      </w:r>
      <w:r w:rsidRPr="000232DD">
        <w:rPr>
          <w:color w:val="auto"/>
        </w:rPr>
        <w:softHyphen/>
        <w:t>սերի ընդհանուր ծավալը որոշ կախ</w:t>
      </w:r>
      <w:r w:rsidRPr="000232DD">
        <w:rPr>
          <w:color w:val="auto"/>
        </w:rPr>
        <w:softHyphen/>
        <w:t>վածության մեջ կլինի նաև արտաքին հոսքերից:</w:t>
      </w:r>
    </w:p>
    <w:p w14:paraId="495ABD4E" w14:textId="57F30AB1" w:rsidR="0052459E" w:rsidRPr="00E73A9A" w:rsidRDefault="0052459E" w:rsidP="00E73A9A">
      <w:pPr>
        <w:pStyle w:val="Charts"/>
        <w:ind w:right="-22"/>
        <w:rPr>
          <w:b w:val="0"/>
          <w:bCs/>
          <w:color w:val="auto"/>
          <w:sz w:val="20"/>
          <w:szCs w:val="18"/>
        </w:rPr>
      </w:pPr>
      <w:r w:rsidRPr="00E73A9A">
        <w:rPr>
          <w:b w:val="0"/>
          <w:bCs/>
          <w:color w:val="auto"/>
          <w:sz w:val="20"/>
          <w:szCs w:val="18"/>
        </w:rPr>
        <w:t>Աղյուսակ 16. Արտաքին աղբյուրներից 2023-2029թ. ստացվելիք միջոցների (վարկերի և պաշտո</w:t>
      </w:r>
      <w:r w:rsidRPr="00E73A9A">
        <w:rPr>
          <w:b w:val="0"/>
          <w:bCs/>
          <w:color w:val="auto"/>
          <w:sz w:val="20"/>
          <w:szCs w:val="18"/>
        </w:rPr>
        <w:softHyphen/>
        <w:t>նական դրամաշնորհներ) հաշվին ֆինանսավորվող ծախսերը</w:t>
      </w:r>
    </w:p>
    <w:tbl>
      <w:tblPr>
        <w:tblW w:w="5000" w:type="pct"/>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ook w:val="04A0" w:firstRow="1" w:lastRow="0" w:firstColumn="1" w:lastColumn="0" w:noHBand="0" w:noVBand="1"/>
      </w:tblPr>
      <w:tblGrid>
        <w:gridCol w:w="3695"/>
        <w:gridCol w:w="875"/>
        <w:gridCol w:w="876"/>
        <w:gridCol w:w="879"/>
        <w:gridCol w:w="885"/>
        <w:gridCol w:w="1063"/>
        <w:gridCol w:w="965"/>
        <w:gridCol w:w="1098"/>
      </w:tblGrid>
      <w:tr w:rsidR="004C0C21" w:rsidRPr="00BD348F" w14:paraId="2DF483B0" w14:textId="77777777" w:rsidTr="00DE6A4A">
        <w:trPr>
          <w:trHeight w:val="360"/>
        </w:trPr>
        <w:tc>
          <w:tcPr>
            <w:tcW w:w="1787" w:type="pct"/>
            <w:vMerge w:val="restart"/>
            <w:shd w:val="clear" w:color="auto" w:fill="DAE9F7" w:themeFill="text2" w:themeFillTint="1A"/>
            <w:vAlign w:val="center"/>
          </w:tcPr>
          <w:p w14:paraId="391D45E8" w14:textId="77777777" w:rsidR="0052459E" w:rsidRPr="00BD348F" w:rsidRDefault="0052459E" w:rsidP="00082769">
            <w:pPr>
              <w:spacing w:before="0" w:after="0" w:line="240" w:lineRule="auto"/>
              <w:ind w:right="-22"/>
              <w:rPr>
                <w:rFonts w:ascii="GHEA Grapalat" w:hAnsi="GHEA Grapalat"/>
                <w:b/>
                <w:color w:val="auto"/>
                <w:sz w:val="18"/>
                <w:szCs w:val="18"/>
                <w:lang w:val="ru-RU"/>
              </w:rPr>
            </w:pPr>
            <w:r w:rsidRPr="00BD348F">
              <w:rPr>
                <w:rFonts w:ascii="GHEA Grapalat" w:hAnsi="GHEA Grapalat" w:cs="Sylfaen"/>
                <w:b/>
                <w:color w:val="auto"/>
                <w:sz w:val="18"/>
                <w:szCs w:val="18"/>
              </w:rPr>
              <w:t>Ցուցանիշներ</w:t>
            </w:r>
          </w:p>
        </w:tc>
        <w:tc>
          <w:tcPr>
            <w:tcW w:w="1272" w:type="pct"/>
            <w:gridSpan w:val="3"/>
            <w:shd w:val="clear" w:color="auto" w:fill="DAE9F7" w:themeFill="text2" w:themeFillTint="1A"/>
            <w:vAlign w:val="center"/>
          </w:tcPr>
          <w:p w14:paraId="330FB6B0"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cs="Sylfaen"/>
                <w:b/>
                <w:color w:val="auto"/>
                <w:sz w:val="18"/>
                <w:szCs w:val="18"/>
              </w:rPr>
              <w:t>Փաստ</w:t>
            </w:r>
          </w:p>
        </w:tc>
        <w:tc>
          <w:tcPr>
            <w:tcW w:w="428" w:type="pct"/>
            <w:shd w:val="clear" w:color="auto" w:fill="DAE9F7" w:themeFill="text2" w:themeFillTint="1A"/>
            <w:vAlign w:val="center"/>
          </w:tcPr>
          <w:p w14:paraId="7CE05CDE" w14:textId="77777777" w:rsidR="0052459E" w:rsidRPr="00BD348F" w:rsidRDefault="0052459E" w:rsidP="00082769">
            <w:pPr>
              <w:spacing w:before="0" w:after="0" w:line="240" w:lineRule="auto"/>
              <w:ind w:right="-22"/>
              <w:jc w:val="center"/>
              <w:rPr>
                <w:rFonts w:ascii="GHEA Grapalat" w:hAnsi="GHEA Grapalat"/>
                <w:b/>
                <w:color w:val="auto"/>
                <w:sz w:val="18"/>
                <w:szCs w:val="18"/>
                <w:lang w:val="hy-AM"/>
              </w:rPr>
            </w:pPr>
            <w:r w:rsidRPr="00BD348F">
              <w:rPr>
                <w:rFonts w:ascii="GHEA Grapalat" w:hAnsi="GHEA Grapalat" w:cs="Sylfaen"/>
                <w:b/>
                <w:color w:val="auto"/>
                <w:sz w:val="18"/>
                <w:szCs w:val="18"/>
              </w:rPr>
              <w:t>Բյուջե</w:t>
            </w:r>
          </w:p>
        </w:tc>
        <w:tc>
          <w:tcPr>
            <w:tcW w:w="1512" w:type="pct"/>
            <w:gridSpan w:val="3"/>
            <w:shd w:val="clear" w:color="auto" w:fill="DAE9F7" w:themeFill="text2" w:themeFillTint="1A"/>
            <w:vAlign w:val="center"/>
          </w:tcPr>
          <w:p w14:paraId="4657B62C" w14:textId="77777777" w:rsidR="0052459E" w:rsidRPr="00BD348F" w:rsidRDefault="0052459E" w:rsidP="00082769">
            <w:pPr>
              <w:spacing w:before="0" w:after="0" w:line="240" w:lineRule="auto"/>
              <w:ind w:right="-22"/>
              <w:jc w:val="center"/>
              <w:rPr>
                <w:rFonts w:ascii="GHEA Grapalat" w:hAnsi="GHEA Grapalat"/>
                <w:b/>
                <w:color w:val="auto"/>
                <w:sz w:val="18"/>
                <w:szCs w:val="18"/>
              </w:rPr>
            </w:pPr>
            <w:r w:rsidRPr="00BD348F">
              <w:rPr>
                <w:rFonts w:ascii="GHEA Grapalat" w:hAnsi="GHEA Grapalat" w:cs="Sylfaen"/>
                <w:b/>
                <w:color w:val="auto"/>
                <w:sz w:val="18"/>
                <w:szCs w:val="18"/>
                <w:lang w:val="hy-AM"/>
              </w:rPr>
              <w:t>Ծ</w:t>
            </w:r>
            <w:r w:rsidRPr="00BD348F">
              <w:rPr>
                <w:rFonts w:ascii="GHEA Grapalat" w:hAnsi="GHEA Grapalat" w:cs="Sylfaen"/>
                <w:b/>
                <w:color w:val="auto"/>
                <w:sz w:val="18"/>
                <w:szCs w:val="18"/>
              </w:rPr>
              <w:t>րագիր</w:t>
            </w:r>
          </w:p>
        </w:tc>
      </w:tr>
      <w:tr w:rsidR="004C0C21" w:rsidRPr="00BD348F" w14:paraId="2A2771B0" w14:textId="77777777" w:rsidTr="00DE6A4A">
        <w:trPr>
          <w:trHeight w:val="360"/>
        </w:trPr>
        <w:tc>
          <w:tcPr>
            <w:tcW w:w="1787" w:type="pct"/>
            <w:vMerge/>
            <w:shd w:val="clear" w:color="auto" w:fill="DAE9F7" w:themeFill="text2" w:themeFillTint="1A"/>
            <w:vAlign w:val="center"/>
          </w:tcPr>
          <w:p w14:paraId="186CB847" w14:textId="77777777" w:rsidR="0052459E" w:rsidRPr="00BD348F" w:rsidRDefault="0052459E" w:rsidP="00082769">
            <w:pPr>
              <w:spacing w:before="0" w:after="0" w:line="240" w:lineRule="auto"/>
              <w:ind w:right="-22"/>
              <w:rPr>
                <w:rFonts w:ascii="GHEA Grapalat" w:hAnsi="GHEA Grapalat"/>
                <w:color w:val="auto"/>
                <w:sz w:val="18"/>
                <w:szCs w:val="18"/>
                <w:lang w:val="hy-AM"/>
              </w:rPr>
            </w:pPr>
          </w:p>
        </w:tc>
        <w:tc>
          <w:tcPr>
            <w:tcW w:w="423" w:type="pct"/>
            <w:shd w:val="clear" w:color="auto" w:fill="DAE9F7" w:themeFill="text2" w:themeFillTint="1A"/>
            <w:vAlign w:val="center"/>
          </w:tcPr>
          <w:p w14:paraId="1DE63E42"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b/>
                <w:color w:val="auto"/>
                <w:sz w:val="18"/>
                <w:szCs w:val="18"/>
              </w:rPr>
              <w:t>2023</w:t>
            </w:r>
          </w:p>
        </w:tc>
        <w:tc>
          <w:tcPr>
            <w:tcW w:w="424" w:type="pct"/>
            <w:shd w:val="clear" w:color="auto" w:fill="DAE9F7" w:themeFill="text2" w:themeFillTint="1A"/>
            <w:vAlign w:val="center"/>
          </w:tcPr>
          <w:p w14:paraId="24EF21E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b/>
                <w:color w:val="auto"/>
                <w:sz w:val="18"/>
                <w:szCs w:val="18"/>
              </w:rPr>
              <w:t>2024</w:t>
            </w:r>
          </w:p>
        </w:tc>
        <w:tc>
          <w:tcPr>
            <w:tcW w:w="425" w:type="pct"/>
            <w:shd w:val="clear" w:color="auto" w:fill="DAE9F7" w:themeFill="text2" w:themeFillTint="1A"/>
            <w:vAlign w:val="center"/>
          </w:tcPr>
          <w:p w14:paraId="04F3553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b/>
                <w:color w:val="auto"/>
                <w:sz w:val="18"/>
                <w:szCs w:val="18"/>
              </w:rPr>
              <w:t>2025</w:t>
            </w:r>
          </w:p>
        </w:tc>
        <w:tc>
          <w:tcPr>
            <w:tcW w:w="428" w:type="pct"/>
            <w:shd w:val="clear" w:color="auto" w:fill="DAE9F7" w:themeFill="text2" w:themeFillTint="1A"/>
            <w:vAlign w:val="center"/>
          </w:tcPr>
          <w:p w14:paraId="0617B881" w14:textId="77777777" w:rsidR="0052459E" w:rsidRPr="00BD348F" w:rsidRDefault="0052459E" w:rsidP="00082769">
            <w:pPr>
              <w:spacing w:before="0" w:after="0" w:line="240" w:lineRule="auto"/>
              <w:ind w:right="-22"/>
              <w:jc w:val="center"/>
              <w:rPr>
                <w:rFonts w:ascii="GHEA Grapalat" w:hAnsi="GHEA Grapalat"/>
                <w:color w:val="auto"/>
                <w:sz w:val="18"/>
                <w:szCs w:val="18"/>
                <w:lang w:val="hy-AM"/>
              </w:rPr>
            </w:pPr>
            <w:r w:rsidRPr="00BD348F">
              <w:rPr>
                <w:rFonts w:ascii="GHEA Grapalat" w:hAnsi="GHEA Grapalat"/>
                <w:b/>
                <w:color w:val="auto"/>
                <w:sz w:val="18"/>
                <w:szCs w:val="18"/>
                <w:lang w:val="hy-AM"/>
              </w:rPr>
              <w:t>2026</w:t>
            </w:r>
          </w:p>
        </w:tc>
        <w:tc>
          <w:tcPr>
            <w:tcW w:w="514" w:type="pct"/>
            <w:shd w:val="clear" w:color="auto" w:fill="DAE9F7" w:themeFill="text2" w:themeFillTint="1A"/>
            <w:vAlign w:val="center"/>
          </w:tcPr>
          <w:p w14:paraId="570DEAD4" w14:textId="77777777" w:rsidR="0052459E" w:rsidRPr="00BD348F" w:rsidRDefault="0052459E" w:rsidP="00082769">
            <w:pPr>
              <w:spacing w:before="0" w:after="0" w:line="240" w:lineRule="auto"/>
              <w:ind w:right="-22"/>
              <w:jc w:val="center"/>
              <w:rPr>
                <w:rFonts w:ascii="GHEA Grapalat" w:hAnsi="GHEA Grapalat"/>
                <w:b/>
                <w:color w:val="auto"/>
                <w:sz w:val="18"/>
                <w:szCs w:val="18"/>
                <w:lang w:val="hy-AM"/>
              </w:rPr>
            </w:pPr>
            <w:r w:rsidRPr="00BD348F">
              <w:rPr>
                <w:rFonts w:ascii="GHEA Grapalat" w:hAnsi="GHEA Grapalat"/>
                <w:b/>
                <w:color w:val="auto"/>
                <w:sz w:val="18"/>
                <w:szCs w:val="18"/>
                <w:lang w:val="hy-AM"/>
              </w:rPr>
              <w:t>2027</w:t>
            </w:r>
          </w:p>
        </w:tc>
        <w:tc>
          <w:tcPr>
            <w:tcW w:w="467" w:type="pct"/>
            <w:shd w:val="clear" w:color="auto" w:fill="DAE9F7" w:themeFill="text2" w:themeFillTint="1A"/>
            <w:vAlign w:val="center"/>
          </w:tcPr>
          <w:p w14:paraId="4BF6A92C" w14:textId="77777777" w:rsidR="0052459E" w:rsidRPr="00BD348F" w:rsidRDefault="0052459E" w:rsidP="00082769">
            <w:pPr>
              <w:spacing w:before="0" w:after="0" w:line="240" w:lineRule="auto"/>
              <w:ind w:right="-22"/>
              <w:jc w:val="center"/>
              <w:rPr>
                <w:rFonts w:ascii="GHEA Grapalat" w:hAnsi="GHEA Grapalat"/>
                <w:b/>
                <w:color w:val="auto"/>
                <w:sz w:val="18"/>
                <w:szCs w:val="18"/>
                <w:lang w:val="hy-AM"/>
              </w:rPr>
            </w:pPr>
            <w:r w:rsidRPr="00BD348F">
              <w:rPr>
                <w:rFonts w:ascii="GHEA Grapalat" w:hAnsi="GHEA Grapalat"/>
                <w:b/>
                <w:color w:val="auto"/>
                <w:sz w:val="18"/>
                <w:szCs w:val="18"/>
                <w:lang w:val="hy-AM"/>
              </w:rPr>
              <w:t>2028</w:t>
            </w:r>
          </w:p>
        </w:tc>
        <w:tc>
          <w:tcPr>
            <w:tcW w:w="531" w:type="pct"/>
            <w:shd w:val="clear" w:color="auto" w:fill="DAE9F7" w:themeFill="text2" w:themeFillTint="1A"/>
            <w:vAlign w:val="center"/>
          </w:tcPr>
          <w:p w14:paraId="50C4D4E0" w14:textId="77777777" w:rsidR="0052459E" w:rsidRPr="00BD348F" w:rsidRDefault="0052459E" w:rsidP="00082769">
            <w:pPr>
              <w:spacing w:before="0" w:after="0" w:line="240" w:lineRule="auto"/>
              <w:ind w:right="-22"/>
              <w:jc w:val="center"/>
              <w:rPr>
                <w:rFonts w:ascii="GHEA Grapalat" w:hAnsi="GHEA Grapalat"/>
                <w:color w:val="auto"/>
                <w:sz w:val="18"/>
                <w:szCs w:val="18"/>
                <w:lang w:val="hy-AM"/>
              </w:rPr>
            </w:pPr>
            <w:r w:rsidRPr="00BD348F">
              <w:rPr>
                <w:rFonts w:ascii="GHEA Grapalat" w:hAnsi="GHEA Grapalat"/>
                <w:b/>
                <w:color w:val="auto"/>
                <w:sz w:val="18"/>
                <w:szCs w:val="18"/>
                <w:lang w:val="hy-AM"/>
              </w:rPr>
              <w:t>2029</w:t>
            </w:r>
          </w:p>
        </w:tc>
      </w:tr>
      <w:tr w:rsidR="004C0C21" w:rsidRPr="00BD348F" w14:paraId="03486DF9" w14:textId="77777777" w:rsidTr="00CB300F">
        <w:trPr>
          <w:trHeight w:val="360"/>
        </w:trPr>
        <w:tc>
          <w:tcPr>
            <w:tcW w:w="1787" w:type="pct"/>
            <w:shd w:val="clear" w:color="auto" w:fill="auto"/>
            <w:vAlign w:val="center"/>
            <w:hideMark/>
          </w:tcPr>
          <w:p w14:paraId="46413E62" w14:textId="77777777" w:rsidR="0052459E" w:rsidRPr="00BD348F" w:rsidRDefault="0052459E" w:rsidP="00082769">
            <w:pPr>
              <w:spacing w:before="0" w:after="0" w:line="240" w:lineRule="auto"/>
              <w:ind w:right="-22"/>
              <w:rPr>
                <w:rFonts w:ascii="GHEA Grapalat" w:hAnsi="GHEA Grapalat"/>
                <w:color w:val="auto"/>
                <w:sz w:val="18"/>
                <w:szCs w:val="18"/>
                <w:lang w:val="hy-AM"/>
              </w:rPr>
            </w:pPr>
            <w:r w:rsidRPr="00BD348F">
              <w:rPr>
                <w:rFonts w:ascii="GHEA Grapalat" w:hAnsi="GHEA Grapalat" w:cs="Sylfaen"/>
                <w:color w:val="auto"/>
                <w:sz w:val="18"/>
                <w:szCs w:val="18"/>
                <w:lang w:val="hy-AM"/>
              </w:rPr>
              <w:t>Արտաքին</w:t>
            </w:r>
            <w:r w:rsidRPr="00BD348F">
              <w:rPr>
                <w:rFonts w:ascii="GHEA Grapalat" w:hAnsi="GHEA Grapalat"/>
                <w:color w:val="auto"/>
                <w:sz w:val="18"/>
                <w:szCs w:val="18"/>
                <w:lang w:val="hy-AM"/>
              </w:rPr>
              <w:t xml:space="preserve"> </w:t>
            </w:r>
            <w:r w:rsidRPr="00BD348F">
              <w:rPr>
                <w:rFonts w:ascii="GHEA Grapalat" w:hAnsi="GHEA Grapalat" w:cs="Sylfaen"/>
                <w:color w:val="auto"/>
                <w:sz w:val="18"/>
                <w:szCs w:val="18"/>
                <w:lang w:val="hy-AM"/>
              </w:rPr>
              <w:t>աղբյուրների</w:t>
            </w:r>
            <w:r w:rsidRPr="00BD348F">
              <w:rPr>
                <w:rFonts w:ascii="GHEA Grapalat" w:hAnsi="GHEA Grapalat"/>
                <w:color w:val="auto"/>
                <w:sz w:val="18"/>
                <w:szCs w:val="18"/>
                <w:lang w:val="hy-AM"/>
              </w:rPr>
              <w:t xml:space="preserve"> </w:t>
            </w:r>
            <w:r w:rsidRPr="00BD348F">
              <w:rPr>
                <w:rFonts w:ascii="GHEA Grapalat" w:hAnsi="GHEA Grapalat" w:cs="Sylfaen"/>
                <w:color w:val="auto"/>
                <w:sz w:val="18"/>
                <w:szCs w:val="18"/>
                <w:lang w:val="hy-AM"/>
              </w:rPr>
              <w:t>հաշվին</w:t>
            </w:r>
            <w:r w:rsidRPr="00BD348F">
              <w:rPr>
                <w:rFonts w:ascii="GHEA Grapalat" w:hAnsi="GHEA Grapalat"/>
                <w:color w:val="auto"/>
                <w:sz w:val="18"/>
                <w:szCs w:val="18"/>
                <w:lang w:val="hy-AM"/>
              </w:rPr>
              <w:t xml:space="preserve"> </w:t>
            </w:r>
            <w:r w:rsidRPr="00BD348F">
              <w:rPr>
                <w:rFonts w:ascii="GHEA Grapalat" w:hAnsi="GHEA Grapalat" w:cs="Sylfaen"/>
                <w:color w:val="auto"/>
                <w:sz w:val="18"/>
                <w:szCs w:val="18"/>
                <w:lang w:val="hy-AM"/>
              </w:rPr>
              <w:t>ֆինանսավորվող</w:t>
            </w:r>
            <w:r w:rsidRPr="00BD348F">
              <w:rPr>
                <w:rFonts w:ascii="GHEA Grapalat" w:hAnsi="GHEA Grapalat"/>
                <w:color w:val="auto"/>
                <w:sz w:val="18"/>
                <w:szCs w:val="18"/>
                <w:lang w:val="hy-AM"/>
              </w:rPr>
              <w:t xml:space="preserve"> </w:t>
            </w:r>
            <w:r w:rsidRPr="00BD348F">
              <w:rPr>
                <w:rFonts w:ascii="GHEA Grapalat" w:hAnsi="GHEA Grapalat" w:cs="Sylfaen"/>
                <w:color w:val="auto"/>
                <w:sz w:val="18"/>
                <w:szCs w:val="18"/>
                <w:lang w:val="hy-AM"/>
              </w:rPr>
              <w:t>ծախսերի</w:t>
            </w:r>
            <w:r w:rsidRPr="00BD348F">
              <w:rPr>
                <w:rFonts w:ascii="GHEA Grapalat" w:hAnsi="GHEA Grapalat"/>
                <w:color w:val="auto"/>
                <w:sz w:val="18"/>
                <w:szCs w:val="18"/>
                <w:lang w:val="hy-AM"/>
              </w:rPr>
              <w:t xml:space="preserve"> </w:t>
            </w:r>
            <w:r w:rsidRPr="00BD348F">
              <w:rPr>
                <w:rFonts w:ascii="GHEA Grapalat" w:hAnsi="GHEA Grapalat" w:cs="Sylfaen"/>
                <w:color w:val="auto"/>
                <w:sz w:val="18"/>
                <w:szCs w:val="18"/>
                <w:lang w:val="hy-AM"/>
              </w:rPr>
              <w:t>ծավալը</w:t>
            </w:r>
            <w:r w:rsidRPr="00BD348F">
              <w:rPr>
                <w:rFonts w:ascii="GHEA Grapalat" w:hAnsi="GHEA Grapalat"/>
                <w:color w:val="auto"/>
                <w:sz w:val="18"/>
                <w:szCs w:val="18"/>
                <w:lang w:val="hy-AM"/>
              </w:rPr>
              <w:t xml:space="preserve"> </w:t>
            </w:r>
          </w:p>
          <w:p w14:paraId="50032073" w14:textId="77777777" w:rsidR="0052459E" w:rsidRPr="00BD348F" w:rsidRDefault="0052459E" w:rsidP="00082769">
            <w:pPr>
              <w:spacing w:before="0" w:after="0" w:line="240" w:lineRule="auto"/>
              <w:ind w:right="-22"/>
              <w:rPr>
                <w:rFonts w:ascii="GHEA Grapalat" w:hAnsi="GHEA Grapalat"/>
                <w:color w:val="auto"/>
                <w:sz w:val="18"/>
                <w:szCs w:val="18"/>
                <w:lang w:val="hy-AM"/>
              </w:rPr>
            </w:pPr>
            <w:r w:rsidRPr="00BD348F">
              <w:rPr>
                <w:rFonts w:ascii="GHEA Grapalat" w:hAnsi="GHEA Grapalat"/>
                <w:color w:val="auto"/>
                <w:sz w:val="18"/>
                <w:szCs w:val="18"/>
                <w:lang w:val="hy-AM"/>
              </w:rPr>
              <w:t>(</w:t>
            </w:r>
            <w:r w:rsidRPr="00BD348F">
              <w:rPr>
                <w:rFonts w:ascii="GHEA Grapalat" w:hAnsi="GHEA Grapalat" w:cs="Sylfaen"/>
                <w:color w:val="auto"/>
                <w:sz w:val="18"/>
                <w:szCs w:val="18"/>
                <w:lang w:val="hy-AM"/>
              </w:rPr>
              <w:t>մլն</w:t>
            </w:r>
            <w:r w:rsidRPr="00BD348F">
              <w:rPr>
                <w:rFonts w:ascii="GHEA Grapalat" w:hAnsi="GHEA Grapalat"/>
                <w:color w:val="auto"/>
                <w:sz w:val="18"/>
                <w:szCs w:val="18"/>
                <w:lang w:val="hy-AM"/>
              </w:rPr>
              <w:t xml:space="preserve"> </w:t>
            </w:r>
            <w:r w:rsidRPr="00BD348F">
              <w:rPr>
                <w:rFonts w:ascii="GHEA Grapalat" w:hAnsi="GHEA Grapalat" w:cs="Sylfaen"/>
                <w:color w:val="auto"/>
                <w:sz w:val="18"/>
                <w:szCs w:val="18"/>
                <w:lang w:val="hy-AM"/>
              </w:rPr>
              <w:t>դրամ</w:t>
            </w:r>
            <w:r w:rsidRPr="00BD348F">
              <w:rPr>
                <w:rFonts w:ascii="GHEA Grapalat" w:hAnsi="GHEA Grapalat"/>
                <w:color w:val="auto"/>
                <w:sz w:val="18"/>
                <w:szCs w:val="18"/>
                <w:lang w:val="hy-AM"/>
              </w:rPr>
              <w:t>)</w:t>
            </w:r>
          </w:p>
        </w:tc>
        <w:tc>
          <w:tcPr>
            <w:tcW w:w="423" w:type="pct"/>
            <w:shd w:val="clear" w:color="auto" w:fill="auto"/>
            <w:vAlign w:val="center"/>
          </w:tcPr>
          <w:p w14:paraId="2300B65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65.1</w:t>
            </w:r>
          </w:p>
        </w:tc>
        <w:tc>
          <w:tcPr>
            <w:tcW w:w="424" w:type="pct"/>
            <w:shd w:val="clear" w:color="auto" w:fill="auto"/>
            <w:vAlign w:val="center"/>
          </w:tcPr>
          <w:p w14:paraId="6D60FEC6"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66.5</w:t>
            </w:r>
          </w:p>
        </w:tc>
        <w:tc>
          <w:tcPr>
            <w:tcW w:w="425" w:type="pct"/>
            <w:shd w:val="clear" w:color="auto" w:fill="auto"/>
            <w:vAlign w:val="center"/>
          </w:tcPr>
          <w:p w14:paraId="3D1AEED6" w14:textId="77777777" w:rsidR="0052459E" w:rsidRPr="00BD348F" w:rsidRDefault="0052459E" w:rsidP="00082769">
            <w:pPr>
              <w:spacing w:before="0" w:after="0" w:line="240" w:lineRule="auto"/>
              <w:ind w:right="-22"/>
              <w:jc w:val="center"/>
              <w:rPr>
                <w:rFonts w:ascii="GHEA Grapalat" w:hAnsi="GHEA Grapalat"/>
                <w:color w:val="auto"/>
                <w:sz w:val="18"/>
                <w:szCs w:val="18"/>
                <w:lang w:val="hy-AM"/>
              </w:rPr>
            </w:pPr>
            <w:r w:rsidRPr="00BD348F">
              <w:rPr>
                <w:rFonts w:ascii="GHEA Grapalat" w:hAnsi="GHEA Grapalat"/>
                <w:color w:val="auto"/>
                <w:sz w:val="18"/>
                <w:szCs w:val="18"/>
              </w:rPr>
              <w:t>46.9</w:t>
            </w:r>
          </w:p>
        </w:tc>
        <w:tc>
          <w:tcPr>
            <w:tcW w:w="428" w:type="pct"/>
            <w:shd w:val="clear" w:color="auto" w:fill="auto"/>
            <w:vAlign w:val="center"/>
          </w:tcPr>
          <w:p w14:paraId="4D4959CA" w14:textId="77777777" w:rsidR="0052459E" w:rsidRPr="00BD348F" w:rsidRDefault="0052459E" w:rsidP="00082769">
            <w:pPr>
              <w:spacing w:before="0" w:after="0" w:line="240" w:lineRule="auto"/>
              <w:ind w:right="-22"/>
              <w:jc w:val="center"/>
              <w:rPr>
                <w:rFonts w:ascii="GHEA Grapalat" w:hAnsi="GHEA Grapalat"/>
                <w:color w:val="auto"/>
                <w:sz w:val="18"/>
                <w:szCs w:val="18"/>
                <w:lang w:val="ru-RU"/>
              </w:rPr>
            </w:pPr>
            <w:r w:rsidRPr="00BD348F">
              <w:rPr>
                <w:rFonts w:ascii="GHEA Grapalat" w:hAnsi="GHEA Grapalat"/>
                <w:color w:val="auto"/>
                <w:sz w:val="18"/>
                <w:szCs w:val="18"/>
              </w:rPr>
              <w:t>104.0</w:t>
            </w:r>
          </w:p>
        </w:tc>
        <w:tc>
          <w:tcPr>
            <w:tcW w:w="514" w:type="pct"/>
            <w:shd w:val="clear" w:color="auto" w:fill="auto"/>
            <w:vAlign w:val="center"/>
          </w:tcPr>
          <w:p w14:paraId="12067041" w14:textId="77777777" w:rsidR="0052459E" w:rsidRPr="00BD348F" w:rsidRDefault="0052459E" w:rsidP="00082769">
            <w:pPr>
              <w:spacing w:before="0" w:after="0" w:line="240" w:lineRule="auto"/>
              <w:ind w:right="-22"/>
              <w:jc w:val="center"/>
              <w:rPr>
                <w:rFonts w:ascii="GHEA Grapalat" w:hAnsi="GHEA Grapalat"/>
                <w:b/>
                <w:color w:val="auto"/>
                <w:sz w:val="18"/>
                <w:szCs w:val="18"/>
                <w:lang w:val="hy-AM"/>
              </w:rPr>
            </w:pPr>
            <w:r w:rsidRPr="00BD348F">
              <w:rPr>
                <w:rFonts w:ascii="GHEA Grapalat" w:hAnsi="GHEA Grapalat"/>
                <w:color w:val="auto"/>
                <w:sz w:val="18"/>
                <w:szCs w:val="18"/>
              </w:rPr>
              <w:t>82.5</w:t>
            </w:r>
          </w:p>
        </w:tc>
        <w:tc>
          <w:tcPr>
            <w:tcW w:w="467" w:type="pct"/>
            <w:shd w:val="clear" w:color="auto" w:fill="auto"/>
            <w:vAlign w:val="center"/>
          </w:tcPr>
          <w:p w14:paraId="1C0D273C"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111.9</w:t>
            </w:r>
          </w:p>
        </w:tc>
        <w:tc>
          <w:tcPr>
            <w:tcW w:w="531" w:type="pct"/>
            <w:shd w:val="clear" w:color="auto" w:fill="auto"/>
            <w:vAlign w:val="center"/>
          </w:tcPr>
          <w:p w14:paraId="3FA6F66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99.4</w:t>
            </w:r>
          </w:p>
        </w:tc>
      </w:tr>
      <w:tr w:rsidR="004C0C21" w:rsidRPr="00BD348F" w14:paraId="6F13EAFF" w14:textId="77777777" w:rsidTr="00CB300F">
        <w:trPr>
          <w:trHeight w:val="360"/>
        </w:trPr>
        <w:tc>
          <w:tcPr>
            <w:tcW w:w="1787" w:type="pct"/>
            <w:shd w:val="clear" w:color="auto" w:fill="auto"/>
            <w:vAlign w:val="center"/>
          </w:tcPr>
          <w:p w14:paraId="0CAF89AE"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423" w:type="pct"/>
            <w:shd w:val="clear" w:color="auto" w:fill="auto"/>
            <w:vAlign w:val="center"/>
          </w:tcPr>
          <w:p w14:paraId="45418FB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0.7%</w:t>
            </w:r>
          </w:p>
        </w:tc>
        <w:tc>
          <w:tcPr>
            <w:tcW w:w="424" w:type="pct"/>
            <w:shd w:val="clear" w:color="auto" w:fill="auto"/>
            <w:vAlign w:val="center"/>
          </w:tcPr>
          <w:p w14:paraId="7F34009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0.6%</w:t>
            </w:r>
          </w:p>
        </w:tc>
        <w:tc>
          <w:tcPr>
            <w:tcW w:w="425" w:type="pct"/>
            <w:shd w:val="clear" w:color="auto" w:fill="auto"/>
            <w:vAlign w:val="center"/>
          </w:tcPr>
          <w:p w14:paraId="09089C72"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0.4%</w:t>
            </w:r>
          </w:p>
        </w:tc>
        <w:tc>
          <w:tcPr>
            <w:tcW w:w="428" w:type="pct"/>
            <w:shd w:val="clear" w:color="auto" w:fill="auto"/>
            <w:vAlign w:val="center"/>
          </w:tcPr>
          <w:p w14:paraId="2A667C3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0.8%</w:t>
            </w:r>
          </w:p>
        </w:tc>
        <w:tc>
          <w:tcPr>
            <w:tcW w:w="514" w:type="pct"/>
            <w:shd w:val="clear" w:color="auto" w:fill="auto"/>
            <w:vAlign w:val="center"/>
          </w:tcPr>
          <w:p w14:paraId="38B8D3D4"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0.6%</w:t>
            </w:r>
          </w:p>
        </w:tc>
        <w:tc>
          <w:tcPr>
            <w:tcW w:w="467" w:type="pct"/>
            <w:shd w:val="clear" w:color="auto" w:fill="auto"/>
            <w:vAlign w:val="center"/>
          </w:tcPr>
          <w:p w14:paraId="25A3312D"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0.8%</w:t>
            </w:r>
          </w:p>
        </w:tc>
        <w:tc>
          <w:tcPr>
            <w:tcW w:w="531" w:type="pct"/>
            <w:shd w:val="clear" w:color="auto" w:fill="auto"/>
            <w:vAlign w:val="center"/>
          </w:tcPr>
          <w:p w14:paraId="00A257E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0.6%</w:t>
            </w:r>
          </w:p>
        </w:tc>
      </w:tr>
      <w:tr w:rsidR="004C0C21" w:rsidRPr="00BD348F" w14:paraId="36B8D799" w14:textId="77777777" w:rsidTr="00CB300F">
        <w:trPr>
          <w:trHeight w:val="360"/>
        </w:trPr>
        <w:tc>
          <w:tcPr>
            <w:tcW w:w="1787" w:type="pct"/>
            <w:shd w:val="clear" w:color="auto" w:fill="auto"/>
            <w:vAlign w:val="center"/>
          </w:tcPr>
          <w:p w14:paraId="6A2B38EA"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423" w:type="pct"/>
            <w:shd w:val="clear" w:color="auto" w:fill="auto"/>
            <w:vAlign w:val="center"/>
          </w:tcPr>
          <w:p w14:paraId="17334D3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2.6%</w:t>
            </w:r>
          </w:p>
        </w:tc>
        <w:tc>
          <w:tcPr>
            <w:tcW w:w="424" w:type="pct"/>
            <w:shd w:val="clear" w:color="auto" w:fill="auto"/>
            <w:vAlign w:val="center"/>
          </w:tcPr>
          <w:p w14:paraId="2624FEA9"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2.3%</w:t>
            </w:r>
          </w:p>
        </w:tc>
        <w:tc>
          <w:tcPr>
            <w:tcW w:w="425" w:type="pct"/>
            <w:shd w:val="clear" w:color="auto" w:fill="auto"/>
            <w:vAlign w:val="center"/>
          </w:tcPr>
          <w:p w14:paraId="744A5329"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1.4%</w:t>
            </w:r>
          </w:p>
        </w:tc>
        <w:tc>
          <w:tcPr>
            <w:tcW w:w="428" w:type="pct"/>
            <w:shd w:val="clear" w:color="auto" w:fill="auto"/>
            <w:vAlign w:val="center"/>
          </w:tcPr>
          <w:p w14:paraId="62654DD2"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2.9%</w:t>
            </w:r>
          </w:p>
        </w:tc>
        <w:tc>
          <w:tcPr>
            <w:tcW w:w="514" w:type="pct"/>
            <w:shd w:val="clear" w:color="auto" w:fill="auto"/>
            <w:vAlign w:val="center"/>
          </w:tcPr>
          <w:p w14:paraId="636749C7"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2.0%</w:t>
            </w:r>
          </w:p>
        </w:tc>
        <w:tc>
          <w:tcPr>
            <w:tcW w:w="467" w:type="pct"/>
            <w:shd w:val="clear" w:color="auto" w:fill="auto"/>
            <w:vAlign w:val="center"/>
          </w:tcPr>
          <w:p w14:paraId="0C8644FE"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2.6%</w:t>
            </w:r>
          </w:p>
        </w:tc>
        <w:tc>
          <w:tcPr>
            <w:tcW w:w="531" w:type="pct"/>
            <w:shd w:val="clear" w:color="auto" w:fill="auto"/>
            <w:vAlign w:val="center"/>
          </w:tcPr>
          <w:p w14:paraId="161174C1"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2.2%</w:t>
            </w:r>
          </w:p>
        </w:tc>
      </w:tr>
      <w:tr w:rsidR="004C0C21" w:rsidRPr="00BD348F" w14:paraId="3DE6F7B7" w14:textId="77777777" w:rsidTr="00CB300F">
        <w:trPr>
          <w:trHeight w:val="360"/>
        </w:trPr>
        <w:tc>
          <w:tcPr>
            <w:tcW w:w="1787" w:type="pct"/>
            <w:shd w:val="clear" w:color="auto" w:fill="auto"/>
            <w:vAlign w:val="center"/>
          </w:tcPr>
          <w:p w14:paraId="6C33C6FF"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1. </w:t>
            </w:r>
            <w:r w:rsidRPr="00BD348F">
              <w:rPr>
                <w:rFonts w:ascii="GHEA Grapalat" w:hAnsi="GHEA Grapalat" w:cs="Sylfaen"/>
                <w:color w:val="auto"/>
                <w:sz w:val="18"/>
                <w:szCs w:val="18"/>
              </w:rPr>
              <w:t>Վարկային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ծրագրերի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և</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միջոցառումներ</w:t>
            </w:r>
          </w:p>
        </w:tc>
        <w:tc>
          <w:tcPr>
            <w:tcW w:w="423" w:type="pct"/>
            <w:shd w:val="clear" w:color="auto" w:fill="auto"/>
            <w:vAlign w:val="center"/>
          </w:tcPr>
          <w:p w14:paraId="19660A3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56.2</w:t>
            </w:r>
          </w:p>
        </w:tc>
        <w:tc>
          <w:tcPr>
            <w:tcW w:w="424" w:type="pct"/>
            <w:shd w:val="clear" w:color="auto" w:fill="auto"/>
            <w:vAlign w:val="center"/>
          </w:tcPr>
          <w:p w14:paraId="7AA3ABAF"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59.1</w:t>
            </w:r>
          </w:p>
        </w:tc>
        <w:tc>
          <w:tcPr>
            <w:tcW w:w="425" w:type="pct"/>
            <w:shd w:val="clear" w:color="auto" w:fill="auto"/>
            <w:vAlign w:val="center"/>
          </w:tcPr>
          <w:p w14:paraId="73FE5D7F"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41.1</w:t>
            </w:r>
          </w:p>
        </w:tc>
        <w:tc>
          <w:tcPr>
            <w:tcW w:w="428" w:type="pct"/>
            <w:shd w:val="clear" w:color="auto" w:fill="auto"/>
            <w:vAlign w:val="center"/>
          </w:tcPr>
          <w:p w14:paraId="0055B3D2"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85.1</w:t>
            </w:r>
          </w:p>
        </w:tc>
        <w:tc>
          <w:tcPr>
            <w:tcW w:w="514" w:type="pct"/>
            <w:shd w:val="clear" w:color="auto" w:fill="auto"/>
            <w:vAlign w:val="center"/>
          </w:tcPr>
          <w:p w14:paraId="72E03B4E" w14:textId="77777777" w:rsidR="0052459E" w:rsidRPr="00BD348F" w:rsidRDefault="0052459E" w:rsidP="00082769">
            <w:pPr>
              <w:spacing w:before="0" w:after="0" w:line="240" w:lineRule="auto"/>
              <w:ind w:right="-22"/>
              <w:jc w:val="center"/>
              <w:rPr>
                <w:rFonts w:ascii="GHEA Grapalat" w:hAnsi="GHEA Grapalat" w:cs="Calibri"/>
                <w:color w:val="auto"/>
                <w:sz w:val="18"/>
                <w:szCs w:val="18"/>
                <w:lang w:val="hy-AM"/>
              </w:rPr>
            </w:pPr>
            <w:r w:rsidRPr="00BD348F">
              <w:rPr>
                <w:rFonts w:ascii="GHEA Grapalat" w:hAnsi="GHEA Grapalat"/>
                <w:color w:val="auto"/>
                <w:sz w:val="18"/>
                <w:szCs w:val="18"/>
              </w:rPr>
              <w:t>69.8</w:t>
            </w:r>
          </w:p>
        </w:tc>
        <w:tc>
          <w:tcPr>
            <w:tcW w:w="467" w:type="pct"/>
            <w:shd w:val="clear" w:color="auto" w:fill="auto"/>
            <w:vAlign w:val="center"/>
          </w:tcPr>
          <w:p w14:paraId="1F500C23"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105.5</w:t>
            </w:r>
          </w:p>
        </w:tc>
        <w:tc>
          <w:tcPr>
            <w:tcW w:w="531" w:type="pct"/>
            <w:shd w:val="clear" w:color="auto" w:fill="auto"/>
            <w:vAlign w:val="center"/>
          </w:tcPr>
          <w:p w14:paraId="5CEE52AF"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92.3</w:t>
            </w:r>
          </w:p>
        </w:tc>
      </w:tr>
      <w:tr w:rsidR="004C0C21" w:rsidRPr="00BD348F" w14:paraId="56070C81" w14:textId="77777777" w:rsidTr="00CB300F">
        <w:trPr>
          <w:trHeight w:val="360"/>
        </w:trPr>
        <w:tc>
          <w:tcPr>
            <w:tcW w:w="1787" w:type="pct"/>
            <w:shd w:val="clear" w:color="auto" w:fill="auto"/>
            <w:vAlign w:val="center"/>
          </w:tcPr>
          <w:p w14:paraId="60B9EFC9"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423" w:type="pct"/>
            <w:shd w:val="clear" w:color="auto" w:fill="auto"/>
            <w:vAlign w:val="center"/>
          </w:tcPr>
          <w:p w14:paraId="5830D6B9"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0.6%</w:t>
            </w:r>
          </w:p>
        </w:tc>
        <w:tc>
          <w:tcPr>
            <w:tcW w:w="424" w:type="pct"/>
            <w:shd w:val="clear" w:color="auto" w:fill="auto"/>
            <w:vAlign w:val="center"/>
          </w:tcPr>
          <w:p w14:paraId="64AA55D7"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0.6%</w:t>
            </w:r>
          </w:p>
        </w:tc>
        <w:tc>
          <w:tcPr>
            <w:tcW w:w="425" w:type="pct"/>
            <w:shd w:val="clear" w:color="auto" w:fill="auto"/>
            <w:vAlign w:val="center"/>
          </w:tcPr>
          <w:p w14:paraId="75AC02C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0.4%</w:t>
            </w:r>
          </w:p>
        </w:tc>
        <w:tc>
          <w:tcPr>
            <w:tcW w:w="428" w:type="pct"/>
            <w:shd w:val="clear" w:color="auto" w:fill="auto"/>
            <w:vAlign w:val="center"/>
          </w:tcPr>
          <w:p w14:paraId="62F2844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0.7%</w:t>
            </w:r>
          </w:p>
        </w:tc>
        <w:tc>
          <w:tcPr>
            <w:tcW w:w="514" w:type="pct"/>
            <w:shd w:val="clear" w:color="auto" w:fill="auto"/>
            <w:vAlign w:val="center"/>
          </w:tcPr>
          <w:p w14:paraId="0CCA3DE4"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0.5%</w:t>
            </w:r>
          </w:p>
        </w:tc>
        <w:tc>
          <w:tcPr>
            <w:tcW w:w="467" w:type="pct"/>
            <w:shd w:val="clear" w:color="auto" w:fill="auto"/>
            <w:vAlign w:val="center"/>
          </w:tcPr>
          <w:p w14:paraId="45B504FB"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0.7%</w:t>
            </w:r>
          </w:p>
        </w:tc>
        <w:tc>
          <w:tcPr>
            <w:tcW w:w="531" w:type="pct"/>
            <w:shd w:val="clear" w:color="auto" w:fill="auto"/>
            <w:vAlign w:val="center"/>
          </w:tcPr>
          <w:p w14:paraId="4C8CF104"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0.6%</w:t>
            </w:r>
          </w:p>
        </w:tc>
      </w:tr>
      <w:tr w:rsidR="004C0C21" w:rsidRPr="00BD348F" w14:paraId="51D1BF75" w14:textId="77777777" w:rsidTr="00CB300F">
        <w:trPr>
          <w:trHeight w:val="360"/>
        </w:trPr>
        <w:tc>
          <w:tcPr>
            <w:tcW w:w="1787" w:type="pct"/>
            <w:shd w:val="clear" w:color="auto" w:fill="auto"/>
            <w:vAlign w:val="center"/>
          </w:tcPr>
          <w:p w14:paraId="677799D6"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423" w:type="pct"/>
            <w:shd w:val="clear" w:color="auto" w:fill="auto"/>
            <w:vAlign w:val="center"/>
          </w:tcPr>
          <w:p w14:paraId="725592F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2.2%</w:t>
            </w:r>
          </w:p>
        </w:tc>
        <w:tc>
          <w:tcPr>
            <w:tcW w:w="424" w:type="pct"/>
            <w:shd w:val="clear" w:color="auto" w:fill="auto"/>
            <w:vAlign w:val="center"/>
          </w:tcPr>
          <w:p w14:paraId="57F2E61D"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2.0%</w:t>
            </w:r>
          </w:p>
        </w:tc>
        <w:tc>
          <w:tcPr>
            <w:tcW w:w="425" w:type="pct"/>
            <w:shd w:val="clear" w:color="auto" w:fill="auto"/>
            <w:vAlign w:val="center"/>
          </w:tcPr>
          <w:p w14:paraId="1C72DA27"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1.2%</w:t>
            </w:r>
          </w:p>
        </w:tc>
        <w:tc>
          <w:tcPr>
            <w:tcW w:w="428" w:type="pct"/>
            <w:shd w:val="clear" w:color="auto" w:fill="auto"/>
            <w:vAlign w:val="center"/>
          </w:tcPr>
          <w:p w14:paraId="7D27C80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2.3%</w:t>
            </w:r>
          </w:p>
        </w:tc>
        <w:tc>
          <w:tcPr>
            <w:tcW w:w="514" w:type="pct"/>
            <w:shd w:val="clear" w:color="auto" w:fill="auto"/>
            <w:vAlign w:val="center"/>
          </w:tcPr>
          <w:p w14:paraId="7A32C2A2"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1.7%</w:t>
            </w:r>
          </w:p>
        </w:tc>
        <w:tc>
          <w:tcPr>
            <w:tcW w:w="467" w:type="pct"/>
            <w:shd w:val="clear" w:color="auto" w:fill="auto"/>
            <w:vAlign w:val="center"/>
          </w:tcPr>
          <w:p w14:paraId="0861C34E"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2.4%</w:t>
            </w:r>
          </w:p>
        </w:tc>
        <w:tc>
          <w:tcPr>
            <w:tcW w:w="531" w:type="pct"/>
            <w:shd w:val="clear" w:color="auto" w:fill="auto"/>
            <w:vAlign w:val="center"/>
          </w:tcPr>
          <w:p w14:paraId="298E43F4"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2.0%</w:t>
            </w:r>
          </w:p>
        </w:tc>
      </w:tr>
      <w:tr w:rsidR="004C0C21" w:rsidRPr="00BD348F" w14:paraId="33C544E6" w14:textId="77777777" w:rsidTr="00CB300F">
        <w:trPr>
          <w:trHeight w:val="360"/>
        </w:trPr>
        <w:tc>
          <w:tcPr>
            <w:tcW w:w="1787" w:type="pct"/>
            <w:shd w:val="clear" w:color="auto" w:fill="auto"/>
            <w:vAlign w:val="center"/>
            <w:hideMark/>
          </w:tcPr>
          <w:p w14:paraId="76AAC0D8"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olor w:val="auto"/>
                <w:sz w:val="18"/>
                <w:szCs w:val="18"/>
              </w:rPr>
              <w:t xml:space="preserve">2. </w:t>
            </w:r>
            <w:r w:rsidRPr="00BD348F">
              <w:rPr>
                <w:rFonts w:ascii="GHEA Grapalat" w:hAnsi="GHEA Grapalat" w:cs="Sylfaen"/>
                <w:color w:val="auto"/>
                <w:sz w:val="18"/>
                <w:szCs w:val="18"/>
              </w:rPr>
              <w:t>Դրամաշնորհային</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ծրագրերի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և</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միջոցառումներ</w:t>
            </w:r>
          </w:p>
        </w:tc>
        <w:tc>
          <w:tcPr>
            <w:tcW w:w="423" w:type="pct"/>
            <w:shd w:val="clear" w:color="auto" w:fill="auto"/>
            <w:vAlign w:val="center"/>
          </w:tcPr>
          <w:p w14:paraId="0FB51A67"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8.9</w:t>
            </w:r>
          </w:p>
        </w:tc>
        <w:tc>
          <w:tcPr>
            <w:tcW w:w="424" w:type="pct"/>
            <w:shd w:val="clear" w:color="auto" w:fill="auto"/>
            <w:vAlign w:val="center"/>
          </w:tcPr>
          <w:p w14:paraId="31C2A587"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7.4</w:t>
            </w:r>
          </w:p>
        </w:tc>
        <w:tc>
          <w:tcPr>
            <w:tcW w:w="425" w:type="pct"/>
            <w:shd w:val="clear" w:color="auto" w:fill="auto"/>
            <w:vAlign w:val="center"/>
          </w:tcPr>
          <w:p w14:paraId="13550A28"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5.8</w:t>
            </w:r>
          </w:p>
        </w:tc>
        <w:tc>
          <w:tcPr>
            <w:tcW w:w="428" w:type="pct"/>
            <w:shd w:val="clear" w:color="auto" w:fill="auto"/>
            <w:vAlign w:val="center"/>
          </w:tcPr>
          <w:p w14:paraId="40735967"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18.9</w:t>
            </w:r>
          </w:p>
        </w:tc>
        <w:tc>
          <w:tcPr>
            <w:tcW w:w="514" w:type="pct"/>
            <w:shd w:val="clear" w:color="auto" w:fill="auto"/>
            <w:vAlign w:val="center"/>
          </w:tcPr>
          <w:p w14:paraId="24399917"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12.7</w:t>
            </w:r>
          </w:p>
        </w:tc>
        <w:tc>
          <w:tcPr>
            <w:tcW w:w="467" w:type="pct"/>
            <w:shd w:val="clear" w:color="auto" w:fill="auto"/>
            <w:vAlign w:val="center"/>
          </w:tcPr>
          <w:p w14:paraId="50B2C492"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6.5</w:t>
            </w:r>
          </w:p>
        </w:tc>
        <w:tc>
          <w:tcPr>
            <w:tcW w:w="531" w:type="pct"/>
            <w:shd w:val="clear" w:color="auto" w:fill="auto"/>
            <w:vAlign w:val="center"/>
          </w:tcPr>
          <w:p w14:paraId="752BFE3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7.1</w:t>
            </w:r>
          </w:p>
        </w:tc>
      </w:tr>
      <w:tr w:rsidR="004C0C21" w:rsidRPr="00BD348F" w14:paraId="487B042E" w14:textId="77777777" w:rsidTr="00CB300F">
        <w:trPr>
          <w:trHeight w:val="360"/>
        </w:trPr>
        <w:tc>
          <w:tcPr>
            <w:tcW w:w="1787" w:type="pct"/>
            <w:shd w:val="clear" w:color="auto" w:fill="auto"/>
            <w:vAlign w:val="center"/>
            <w:hideMark/>
          </w:tcPr>
          <w:p w14:paraId="31F10432"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ՀՆԱ</w:t>
            </w:r>
            <w:r w:rsidRPr="00BD348F">
              <w:rPr>
                <w:rFonts w:ascii="GHEA Grapalat" w:hAnsi="GHEA Grapalat"/>
                <w:color w:val="auto"/>
                <w:sz w:val="18"/>
                <w:szCs w:val="18"/>
              </w:rPr>
              <w:t>-</w:t>
            </w:r>
            <w:r w:rsidRPr="00BD348F">
              <w:rPr>
                <w:rFonts w:ascii="GHEA Grapalat" w:hAnsi="GHEA Grapalat" w:cs="Sylfaen"/>
                <w:color w:val="auto"/>
                <w:sz w:val="18"/>
                <w:szCs w:val="18"/>
              </w:rPr>
              <w:t>ի</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նկատմամբ</w:t>
            </w:r>
            <w:r w:rsidRPr="00BD348F">
              <w:rPr>
                <w:rFonts w:ascii="GHEA Grapalat" w:hAnsi="GHEA Grapalat"/>
                <w:color w:val="auto"/>
                <w:sz w:val="18"/>
                <w:szCs w:val="18"/>
              </w:rPr>
              <w:t xml:space="preserve"> (%)</w:t>
            </w:r>
          </w:p>
        </w:tc>
        <w:tc>
          <w:tcPr>
            <w:tcW w:w="423" w:type="pct"/>
            <w:shd w:val="clear" w:color="auto" w:fill="auto"/>
            <w:vAlign w:val="center"/>
          </w:tcPr>
          <w:p w14:paraId="063AC77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0.1%</w:t>
            </w:r>
          </w:p>
        </w:tc>
        <w:tc>
          <w:tcPr>
            <w:tcW w:w="424" w:type="pct"/>
            <w:shd w:val="clear" w:color="auto" w:fill="auto"/>
            <w:vAlign w:val="center"/>
          </w:tcPr>
          <w:p w14:paraId="1801BBED"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0.1%</w:t>
            </w:r>
          </w:p>
        </w:tc>
        <w:tc>
          <w:tcPr>
            <w:tcW w:w="425" w:type="pct"/>
            <w:shd w:val="clear" w:color="auto" w:fill="auto"/>
            <w:vAlign w:val="center"/>
          </w:tcPr>
          <w:p w14:paraId="15933B55"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0.1%</w:t>
            </w:r>
          </w:p>
        </w:tc>
        <w:tc>
          <w:tcPr>
            <w:tcW w:w="428" w:type="pct"/>
            <w:shd w:val="clear" w:color="auto" w:fill="auto"/>
            <w:vAlign w:val="center"/>
          </w:tcPr>
          <w:p w14:paraId="4C57E340"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0.2%</w:t>
            </w:r>
          </w:p>
        </w:tc>
        <w:tc>
          <w:tcPr>
            <w:tcW w:w="514" w:type="pct"/>
            <w:shd w:val="clear" w:color="auto" w:fill="auto"/>
            <w:vAlign w:val="center"/>
          </w:tcPr>
          <w:p w14:paraId="62B5F101"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0.1%</w:t>
            </w:r>
          </w:p>
        </w:tc>
        <w:tc>
          <w:tcPr>
            <w:tcW w:w="467" w:type="pct"/>
            <w:shd w:val="clear" w:color="auto" w:fill="auto"/>
            <w:vAlign w:val="center"/>
          </w:tcPr>
          <w:p w14:paraId="78EB9CA2"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0.0%</w:t>
            </w:r>
          </w:p>
        </w:tc>
        <w:tc>
          <w:tcPr>
            <w:tcW w:w="531" w:type="pct"/>
            <w:shd w:val="clear" w:color="auto" w:fill="auto"/>
            <w:vAlign w:val="center"/>
          </w:tcPr>
          <w:p w14:paraId="01E4FAED"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0.0%</w:t>
            </w:r>
          </w:p>
        </w:tc>
      </w:tr>
      <w:tr w:rsidR="005157F3" w:rsidRPr="00BD348F" w14:paraId="63B976D1" w14:textId="77777777" w:rsidTr="00CB300F">
        <w:trPr>
          <w:trHeight w:val="360"/>
        </w:trPr>
        <w:tc>
          <w:tcPr>
            <w:tcW w:w="1787" w:type="pct"/>
            <w:shd w:val="clear" w:color="auto" w:fill="auto"/>
            <w:vAlign w:val="center"/>
            <w:hideMark/>
          </w:tcPr>
          <w:p w14:paraId="325C2764" w14:textId="77777777" w:rsidR="0052459E" w:rsidRPr="00BD348F" w:rsidRDefault="0052459E" w:rsidP="00082769">
            <w:pPr>
              <w:spacing w:before="0" w:after="0" w:line="240" w:lineRule="auto"/>
              <w:ind w:right="-22"/>
              <w:rPr>
                <w:rFonts w:ascii="GHEA Grapalat" w:hAnsi="GHEA Grapalat"/>
                <w:color w:val="auto"/>
                <w:sz w:val="18"/>
                <w:szCs w:val="18"/>
              </w:rPr>
            </w:pPr>
            <w:r w:rsidRPr="00BD348F">
              <w:rPr>
                <w:rFonts w:ascii="GHEA Grapalat" w:hAnsi="GHEA Grapalat" w:cs="Sylfaen"/>
                <w:color w:val="auto"/>
                <w:sz w:val="18"/>
                <w:szCs w:val="18"/>
              </w:rPr>
              <w:t>Ընդհանուր</w:t>
            </w:r>
            <w:r w:rsidRPr="00BD348F">
              <w:rPr>
                <w:rFonts w:ascii="GHEA Grapalat" w:hAnsi="GHEA Grapalat"/>
                <w:color w:val="auto"/>
                <w:sz w:val="18"/>
                <w:szCs w:val="18"/>
              </w:rPr>
              <w:t xml:space="preserve"> </w:t>
            </w:r>
            <w:r w:rsidRPr="00BD348F">
              <w:rPr>
                <w:rFonts w:ascii="GHEA Grapalat" w:hAnsi="GHEA Grapalat" w:cs="Sylfaen"/>
                <w:color w:val="auto"/>
                <w:sz w:val="18"/>
                <w:szCs w:val="18"/>
              </w:rPr>
              <w:t>ծախսերում</w:t>
            </w:r>
            <w:r w:rsidRPr="00BD348F">
              <w:rPr>
                <w:rFonts w:ascii="GHEA Grapalat" w:hAnsi="GHEA Grapalat"/>
                <w:color w:val="auto"/>
                <w:sz w:val="18"/>
                <w:szCs w:val="18"/>
              </w:rPr>
              <w:t xml:space="preserve"> (%)</w:t>
            </w:r>
          </w:p>
        </w:tc>
        <w:tc>
          <w:tcPr>
            <w:tcW w:w="423" w:type="pct"/>
            <w:shd w:val="clear" w:color="auto" w:fill="auto"/>
            <w:vAlign w:val="center"/>
          </w:tcPr>
          <w:p w14:paraId="145FE72C"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0.3%</w:t>
            </w:r>
          </w:p>
        </w:tc>
        <w:tc>
          <w:tcPr>
            <w:tcW w:w="424" w:type="pct"/>
            <w:shd w:val="clear" w:color="auto" w:fill="auto"/>
            <w:vAlign w:val="center"/>
          </w:tcPr>
          <w:p w14:paraId="3E342D2B"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0.3%</w:t>
            </w:r>
          </w:p>
        </w:tc>
        <w:tc>
          <w:tcPr>
            <w:tcW w:w="425" w:type="pct"/>
            <w:shd w:val="clear" w:color="auto" w:fill="auto"/>
            <w:vAlign w:val="center"/>
          </w:tcPr>
          <w:p w14:paraId="72B5AE93"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0.2%</w:t>
            </w:r>
          </w:p>
        </w:tc>
        <w:tc>
          <w:tcPr>
            <w:tcW w:w="428" w:type="pct"/>
            <w:shd w:val="clear" w:color="auto" w:fill="auto"/>
            <w:vAlign w:val="center"/>
          </w:tcPr>
          <w:p w14:paraId="3EF72315"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0.5%</w:t>
            </w:r>
          </w:p>
        </w:tc>
        <w:tc>
          <w:tcPr>
            <w:tcW w:w="514" w:type="pct"/>
            <w:shd w:val="clear" w:color="auto" w:fill="auto"/>
            <w:vAlign w:val="center"/>
          </w:tcPr>
          <w:p w14:paraId="2A09A2D7"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0.3%</w:t>
            </w:r>
          </w:p>
        </w:tc>
        <w:tc>
          <w:tcPr>
            <w:tcW w:w="467" w:type="pct"/>
            <w:shd w:val="clear" w:color="auto" w:fill="auto"/>
            <w:vAlign w:val="center"/>
          </w:tcPr>
          <w:p w14:paraId="4EB8CD26" w14:textId="77777777" w:rsidR="0052459E" w:rsidRPr="00BD348F" w:rsidRDefault="0052459E" w:rsidP="00082769">
            <w:pPr>
              <w:spacing w:before="0" w:after="0" w:line="240" w:lineRule="auto"/>
              <w:ind w:right="-22"/>
              <w:jc w:val="center"/>
              <w:rPr>
                <w:rFonts w:ascii="GHEA Grapalat" w:hAnsi="GHEA Grapalat" w:cs="Calibri"/>
                <w:color w:val="auto"/>
                <w:sz w:val="18"/>
                <w:szCs w:val="18"/>
              </w:rPr>
            </w:pPr>
            <w:r w:rsidRPr="00BD348F">
              <w:rPr>
                <w:rFonts w:ascii="GHEA Grapalat" w:hAnsi="GHEA Grapalat"/>
                <w:color w:val="auto"/>
                <w:sz w:val="18"/>
                <w:szCs w:val="18"/>
              </w:rPr>
              <w:t>0.1%</w:t>
            </w:r>
          </w:p>
        </w:tc>
        <w:tc>
          <w:tcPr>
            <w:tcW w:w="531" w:type="pct"/>
            <w:shd w:val="clear" w:color="auto" w:fill="auto"/>
            <w:vAlign w:val="center"/>
          </w:tcPr>
          <w:p w14:paraId="22A309BE" w14:textId="77777777" w:rsidR="0052459E" w:rsidRPr="00BD348F" w:rsidRDefault="0052459E" w:rsidP="00082769">
            <w:pPr>
              <w:spacing w:before="0" w:after="0" w:line="240" w:lineRule="auto"/>
              <w:ind w:right="-22"/>
              <w:jc w:val="center"/>
              <w:rPr>
                <w:rFonts w:ascii="GHEA Grapalat" w:hAnsi="GHEA Grapalat"/>
                <w:color w:val="auto"/>
                <w:sz w:val="18"/>
                <w:szCs w:val="18"/>
              </w:rPr>
            </w:pPr>
            <w:r w:rsidRPr="00BD348F">
              <w:rPr>
                <w:rFonts w:ascii="GHEA Grapalat" w:hAnsi="GHEA Grapalat"/>
                <w:color w:val="auto"/>
                <w:sz w:val="18"/>
                <w:szCs w:val="18"/>
              </w:rPr>
              <w:t>0.2%</w:t>
            </w:r>
          </w:p>
        </w:tc>
      </w:tr>
    </w:tbl>
    <w:p w14:paraId="5D1023FD" w14:textId="77777777" w:rsidR="0052459E" w:rsidRPr="000232DD" w:rsidRDefault="0052459E" w:rsidP="00082769">
      <w:pPr>
        <w:pStyle w:val="BodyText1"/>
        <w:ind w:left="0" w:right="-22"/>
        <w:rPr>
          <w:color w:val="auto"/>
        </w:rPr>
      </w:pPr>
    </w:p>
    <w:p w14:paraId="2C33E7EA" w14:textId="17FEDBBF" w:rsidR="0052459E" w:rsidRDefault="0052459E" w:rsidP="00082769">
      <w:pPr>
        <w:pStyle w:val="BodyText1"/>
        <w:ind w:left="0" w:right="-22"/>
        <w:rPr>
          <w:color w:val="auto"/>
        </w:rPr>
      </w:pPr>
      <w:r w:rsidRPr="000232DD">
        <w:rPr>
          <w:color w:val="auto"/>
        </w:rPr>
        <w:t>Արտաքին աղբյուրներից վարկերի և պաշտոնական դրամաշնորհների տեսքով ստաց</w:t>
      </w:r>
      <w:r w:rsidRPr="000232DD">
        <w:rPr>
          <w:color w:val="auto"/>
        </w:rPr>
        <w:softHyphen/>
        <w:t>վե</w:t>
      </w:r>
      <w:r w:rsidRPr="000232DD">
        <w:rPr>
          <w:color w:val="auto"/>
        </w:rPr>
        <w:softHyphen/>
        <w:t>լիք մի</w:t>
      </w:r>
      <w:r w:rsidRPr="000232DD">
        <w:rPr>
          <w:color w:val="auto"/>
        </w:rPr>
        <w:softHyphen/>
        <w:t>ջոցների հաշվին 2027 թվականին ֆինանսավորվող ծախսերի տեսակարար կշիռը ծախսերի ամբողջ ծավալում կազմում է 2.</w:t>
      </w:r>
      <w:r w:rsidRPr="000232DD">
        <w:rPr>
          <w:color w:val="auto"/>
          <w:lang w:val="hy-AM"/>
        </w:rPr>
        <w:t>0</w:t>
      </w:r>
      <w:r w:rsidRPr="000232DD">
        <w:rPr>
          <w:color w:val="auto"/>
        </w:rPr>
        <w:t>% և ՀՆԱ-ի նկատ</w:t>
      </w:r>
      <w:r w:rsidRPr="000232DD">
        <w:rPr>
          <w:color w:val="auto"/>
        </w:rPr>
        <w:softHyphen/>
        <w:t>մամբ՝ 0.</w:t>
      </w:r>
      <w:r w:rsidRPr="000232DD">
        <w:rPr>
          <w:color w:val="auto"/>
          <w:lang w:val="hy-AM"/>
        </w:rPr>
        <w:t>8</w:t>
      </w:r>
      <w:r w:rsidRPr="000232DD">
        <w:rPr>
          <w:color w:val="auto"/>
        </w:rPr>
        <w:t xml:space="preserve">%, 2028 </w:t>
      </w:r>
      <w:r w:rsidRPr="000232DD">
        <w:rPr>
          <w:color w:val="auto"/>
          <w:lang w:val="hy-AM"/>
        </w:rPr>
        <w:t>թվականին՝ համապատասխանաբար 2.6</w:t>
      </w:r>
      <w:r w:rsidRPr="000232DD">
        <w:rPr>
          <w:color w:val="auto"/>
        </w:rPr>
        <w:t xml:space="preserve">% </w:t>
      </w:r>
      <w:r w:rsidRPr="000232DD">
        <w:rPr>
          <w:color w:val="auto"/>
          <w:lang w:val="hy-AM"/>
        </w:rPr>
        <w:t>և 0.8</w:t>
      </w:r>
      <w:r w:rsidRPr="000232DD">
        <w:rPr>
          <w:color w:val="auto"/>
        </w:rPr>
        <w:t xml:space="preserve">%, </w:t>
      </w:r>
      <w:r w:rsidRPr="000232DD">
        <w:rPr>
          <w:color w:val="auto"/>
          <w:lang w:val="ru-RU"/>
        </w:rPr>
        <w:t>իսկ</w:t>
      </w:r>
      <w:r w:rsidRPr="000232DD">
        <w:rPr>
          <w:color w:val="auto"/>
        </w:rPr>
        <w:t xml:space="preserve"> 2029 </w:t>
      </w:r>
      <w:r w:rsidRPr="000232DD">
        <w:rPr>
          <w:color w:val="auto"/>
          <w:lang w:val="ru-RU"/>
        </w:rPr>
        <w:t>թվականին՝</w:t>
      </w:r>
      <w:r w:rsidRPr="000232DD">
        <w:rPr>
          <w:color w:val="auto"/>
        </w:rPr>
        <w:t xml:space="preserve"> </w:t>
      </w:r>
      <w:r w:rsidRPr="000232DD">
        <w:rPr>
          <w:color w:val="auto"/>
          <w:lang w:val="hy-AM"/>
        </w:rPr>
        <w:t>համապատասխանաբար 2.2</w:t>
      </w:r>
      <w:r w:rsidRPr="000232DD">
        <w:rPr>
          <w:color w:val="auto"/>
        </w:rPr>
        <w:t xml:space="preserve">% </w:t>
      </w:r>
      <w:r w:rsidRPr="000232DD">
        <w:rPr>
          <w:color w:val="auto"/>
          <w:lang w:val="hy-AM"/>
        </w:rPr>
        <w:t>և 0.6</w:t>
      </w:r>
      <w:r w:rsidRPr="000232DD">
        <w:rPr>
          <w:color w:val="auto"/>
        </w:rPr>
        <w:t>%:</w:t>
      </w:r>
    </w:p>
    <w:p w14:paraId="729ED74B" w14:textId="77777777" w:rsidR="000232DD" w:rsidRPr="000232DD" w:rsidRDefault="000232DD" w:rsidP="00082769">
      <w:pPr>
        <w:ind w:right="-22"/>
      </w:pPr>
    </w:p>
    <w:p w14:paraId="44E1DCD5" w14:textId="77777777" w:rsidR="002F7FFC" w:rsidRPr="00CB300F" w:rsidRDefault="002F7FFC" w:rsidP="00082769">
      <w:pPr>
        <w:pStyle w:val="Heading2"/>
        <w:spacing w:before="120" w:after="120"/>
        <w:ind w:right="-22"/>
        <w:jc w:val="both"/>
        <w:rPr>
          <w:rFonts w:ascii="GHEA Grapalat" w:hAnsi="GHEA Grapalat"/>
          <w:color w:val="ADADAD" w:themeColor="background2" w:themeShade="BF"/>
          <w:sz w:val="28"/>
          <w:szCs w:val="20"/>
          <w:lang w:val="hy-AM"/>
        </w:rPr>
      </w:pPr>
      <w:bookmarkStart w:id="408" w:name="_Toc241687680"/>
      <w:r w:rsidRPr="00CB300F">
        <w:rPr>
          <w:rFonts w:ascii="GHEA Grapalat" w:hAnsi="GHEA Grapalat"/>
          <w:color w:val="ADADAD" w:themeColor="background2" w:themeShade="BF"/>
          <w:sz w:val="28"/>
          <w:szCs w:val="20"/>
          <w:lang w:val="hy-AM"/>
        </w:rPr>
        <w:t>ՂԱՐԱԲԱՂԻՑ ԲՌՆԻ ՏԵՂԱՀԱՆՎԱԾ ԲՆԱԿՉՈՒԹՅԱՆ ՕԺԱՆԴԱԿՈՒԹՅԱՆ ԾՐԱԳՐԵՐ</w:t>
      </w:r>
      <w:bookmarkEnd w:id="408"/>
      <w:r w:rsidRPr="00CB300F">
        <w:rPr>
          <w:rFonts w:ascii="GHEA Grapalat" w:hAnsi="GHEA Grapalat"/>
          <w:color w:val="ADADAD" w:themeColor="background2" w:themeShade="BF"/>
          <w:sz w:val="28"/>
          <w:szCs w:val="20"/>
          <w:lang w:val="hy-AM"/>
        </w:rPr>
        <w:t xml:space="preserve"> </w:t>
      </w:r>
    </w:p>
    <w:p w14:paraId="593EA808" w14:textId="77777777" w:rsidR="00ED15DB" w:rsidRPr="00F17001" w:rsidRDefault="00ED15DB" w:rsidP="00082769">
      <w:pPr>
        <w:pStyle w:val="ListParagraph"/>
        <w:numPr>
          <w:ilvl w:val="0"/>
          <w:numId w:val="17"/>
        </w:numPr>
        <w:ind w:left="0" w:right="-22" w:firstLine="0"/>
        <w:jc w:val="both"/>
        <w:rPr>
          <w:rFonts w:ascii="GHEA Grapalat" w:hAnsi="GHEA Grapalat" w:cs="Sylfaen"/>
          <w:iCs/>
          <w:color w:val="auto"/>
          <w:lang w:val="hy-AM" w:eastAsia="en-GB"/>
        </w:rPr>
      </w:pPr>
      <w:r w:rsidRPr="00F17001">
        <w:rPr>
          <w:rFonts w:ascii="GHEA Grapalat" w:hAnsi="GHEA Grapalat" w:cs="Sylfaen"/>
          <w:iCs/>
          <w:color w:val="auto"/>
          <w:lang w:val="hy-AM" w:eastAsia="en-GB"/>
        </w:rPr>
        <w:t>Ղարաբաղից բռնի տեղահանված բնակչության համար 2027թ</w:t>
      </w:r>
      <w:r w:rsidRPr="00F17001">
        <w:rPr>
          <w:rFonts w:ascii="Cambria Math" w:hAnsi="Cambria Math" w:cs="Cambria Math"/>
          <w:iCs/>
          <w:color w:val="auto"/>
          <w:lang w:val="hy-AM" w:eastAsia="en-GB"/>
        </w:rPr>
        <w:t>․</w:t>
      </w:r>
      <w:r w:rsidRPr="00F17001">
        <w:rPr>
          <w:rFonts w:ascii="GHEA Grapalat" w:hAnsi="GHEA Grapalat" w:cs="Sylfaen"/>
          <w:iCs/>
          <w:color w:val="auto"/>
          <w:lang w:val="hy-AM" w:eastAsia="en-GB"/>
        </w:rPr>
        <w:t xml:space="preserve"> նախատեսվել են տարբեր օժանդակության ծրագրեր, այդ թվում</w:t>
      </w:r>
      <w:r w:rsidRPr="00F17001">
        <w:rPr>
          <w:rFonts w:ascii="Cambria Math" w:hAnsi="Cambria Math" w:cs="Cambria Math"/>
          <w:iCs/>
          <w:color w:val="auto"/>
          <w:lang w:val="hy-AM" w:eastAsia="en-GB"/>
        </w:rPr>
        <w:t>․</w:t>
      </w:r>
    </w:p>
    <w:p w14:paraId="53C12514" w14:textId="77777777" w:rsidR="00ED15DB" w:rsidRPr="00507805" w:rsidRDefault="00ED15DB" w:rsidP="00082769">
      <w:pPr>
        <w:pStyle w:val="ListParagraph"/>
        <w:numPr>
          <w:ilvl w:val="0"/>
          <w:numId w:val="17"/>
        </w:numPr>
        <w:ind w:left="0" w:right="-22" w:firstLine="0"/>
        <w:jc w:val="both"/>
        <w:rPr>
          <w:rFonts w:ascii="GHEA Grapalat" w:hAnsi="GHEA Grapalat"/>
          <w:lang w:val="hy-AM"/>
        </w:rPr>
      </w:pPr>
      <w:r w:rsidRPr="00F17001">
        <w:rPr>
          <w:rFonts w:ascii="GHEA Grapalat" w:hAnsi="GHEA Grapalat" w:cs="Arial"/>
          <w:lang w:val="hy-AM"/>
        </w:rPr>
        <w:t>Կրթության</w:t>
      </w:r>
      <w:r w:rsidRPr="00F17001">
        <w:rPr>
          <w:rFonts w:ascii="GHEA Grapalat" w:hAnsi="GHEA Grapalat"/>
          <w:lang w:val="hy-AM"/>
        </w:rPr>
        <w:t xml:space="preserve"> </w:t>
      </w:r>
      <w:r w:rsidRPr="00F17001">
        <w:rPr>
          <w:rFonts w:ascii="GHEA Grapalat" w:hAnsi="GHEA Grapalat" w:cs="Arial"/>
          <w:lang w:val="hy-AM"/>
        </w:rPr>
        <w:t>ոլորտի</w:t>
      </w:r>
      <w:r w:rsidRPr="00F17001">
        <w:rPr>
          <w:rFonts w:ascii="GHEA Grapalat" w:hAnsi="GHEA Grapalat"/>
          <w:lang w:val="hy-AM"/>
        </w:rPr>
        <w:t xml:space="preserve"> </w:t>
      </w:r>
      <w:r w:rsidRPr="00F17001">
        <w:rPr>
          <w:rFonts w:ascii="GHEA Grapalat" w:hAnsi="GHEA Grapalat" w:cs="Arial"/>
          <w:lang w:val="hy-AM"/>
        </w:rPr>
        <w:t>գծով՝</w:t>
      </w:r>
      <w:r w:rsidRPr="00F17001">
        <w:rPr>
          <w:rFonts w:ascii="GHEA Grapalat" w:hAnsi="GHEA Grapalat"/>
          <w:lang w:val="hy-AM"/>
        </w:rPr>
        <w:t xml:space="preserve"> 910.3 </w:t>
      </w:r>
      <w:r w:rsidRPr="00F17001">
        <w:rPr>
          <w:rFonts w:ascii="GHEA Grapalat" w:hAnsi="GHEA Grapalat" w:cs="Arial"/>
          <w:lang w:val="hy-AM"/>
        </w:rPr>
        <w:t>մլն</w:t>
      </w:r>
      <w:r w:rsidRPr="00F17001">
        <w:rPr>
          <w:rFonts w:ascii="GHEA Grapalat" w:hAnsi="GHEA Grapalat"/>
          <w:lang w:val="hy-AM"/>
        </w:rPr>
        <w:t xml:space="preserve"> </w:t>
      </w:r>
      <w:r w:rsidRPr="00F17001">
        <w:rPr>
          <w:rFonts w:ascii="GHEA Grapalat" w:hAnsi="GHEA Grapalat" w:cs="Arial"/>
          <w:lang w:val="hy-AM"/>
        </w:rPr>
        <w:t>դրամի</w:t>
      </w:r>
      <w:r w:rsidRPr="00F17001">
        <w:rPr>
          <w:rFonts w:ascii="GHEA Grapalat" w:hAnsi="GHEA Grapalat"/>
          <w:lang w:val="hy-AM"/>
        </w:rPr>
        <w:t xml:space="preserve"> </w:t>
      </w:r>
      <w:r w:rsidRPr="00F17001">
        <w:rPr>
          <w:rFonts w:ascii="GHEA Grapalat" w:hAnsi="GHEA Grapalat" w:cs="Arial"/>
          <w:lang w:val="hy-AM"/>
        </w:rPr>
        <w:t>չափով՝</w:t>
      </w:r>
      <w:r w:rsidRPr="00F17001">
        <w:rPr>
          <w:rFonts w:ascii="GHEA Grapalat" w:hAnsi="GHEA Grapalat"/>
          <w:lang w:val="hy-AM"/>
        </w:rPr>
        <w:t xml:space="preserve"> </w:t>
      </w:r>
      <w:r w:rsidRPr="00F17001">
        <w:rPr>
          <w:rFonts w:ascii="GHEA Grapalat" w:hAnsi="GHEA Grapalat" w:cs="Arial"/>
          <w:lang w:val="hy-AM"/>
        </w:rPr>
        <w:t>ՀՀ</w:t>
      </w:r>
      <w:r w:rsidRPr="00F17001">
        <w:rPr>
          <w:rFonts w:ascii="GHEA Grapalat" w:hAnsi="GHEA Grapalat"/>
          <w:lang w:val="hy-AM"/>
        </w:rPr>
        <w:t>-</w:t>
      </w:r>
      <w:r w:rsidRPr="00F17001">
        <w:rPr>
          <w:rFonts w:ascii="GHEA Grapalat" w:hAnsi="GHEA Grapalat" w:cs="Arial"/>
          <w:lang w:val="hy-AM"/>
        </w:rPr>
        <w:t>ում</w:t>
      </w:r>
      <w:r w:rsidRPr="00F17001">
        <w:rPr>
          <w:rFonts w:ascii="GHEA Grapalat" w:hAnsi="GHEA Grapalat"/>
          <w:lang w:val="hy-AM"/>
        </w:rPr>
        <w:t xml:space="preserve"> </w:t>
      </w:r>
      <w:r w:rsidRPr="00F17001">
        <w:rPr>
          <w:rFonts w:ascii="GHEA Grapalat" w:hAnsi="GHEA Grapalat" w:cs="Arial"/>
          <w:lang w:val="hy-AM"/>
        </w:rPr>
        <w:t>կրթություն</w:t>
      </w:r>
      <w:r w:rsidRPr="00F17001">
        <w:rPr>
          <w:rFonts w:ascii="GHEA Grapalat" w:hAnsi="GHEA Grapalat"/>
          <w:lang w:val="hy-AM"/>
        </w:rPr>
        <w:t xml:space="preserve"> </w:t>
      </w:r>
      <w:r w:rsidRPr="00F17001">
        <w:rPr>
          <w:rFonts w:ascii="GHEA Grapalat" w:hAnsi="GHEA Grapalat" w:cs="Arial"/>
          <w:lang w:val="hy-AM"/>
        </w:rPr>
        <w:t>ստացող</w:t>
      </w:r>
      <w:r w:rsidRPr="00F17001">
        <w:rPr>
          <w:rFonts w:ascii="GHEA Grapalat" w:hAnsi="GHEA Grapalat"/>
          <w:lang w:val="hy-AM"/>
        </w:rPr>
        <w:t xml:space="preserve"> </w:t>
      </w:r>
      <w:r w:rsidRPr="00F17001">
        <w:rPr>
          <w:rFonts w:ascii="GHEA Grapalat" w:hAnsi="GHEA Grapalat" w:cs="Arial"/>
          <w:lang w:val="hy-AM"/>
        </w:rPr>
        <w:t>ուսանողների</w:t>
      </w:r>
      <w:r w:rsidRPr="00F17001">
        <w:rPr>
          <w:rFonts w:ascii="GHEA Grapalat" w:hAnsi="GHEA Grapalat"/>
          <w:lang w:val="hy-AM"/>
        </w:rPr>
        <w:t xml:space="preserve"> </w:t>
      </w:r>
      <w:r w:rsidRPr="00F17001">
        <w:rPr>
          <w:rFonts w:ascii="GHEA Grapalat" w:hAnsi="GHEA Grapalat" w:cs="Arial"/>
          <w:lang w:val="hy-AM"/>
        </w:rPr>
        <w:t>ուսման</w:t>
      </w:r>
      <w:r w:rsidRPr="00F17001">
        <w:rPr>
          <w:rFonts w:ascii="GHEA Grapalat" w:hAnsi="GHEA Grapalat"/>
          <w:lang w:val="hy-AM"/>
        </w:rPr>
        <w:t xml:space="preserve"> </w:t>
      </w:r>
      <w:r w:rsidRPr="00F17001">
        <w:rPr>
          <w:rFonts w:ascii="GHEA Grapalat" w:hAnsi="GHEA Grapalat" w:cs="Arial"/>
          <w:lang w:val="hy-AM"/>
        </w:rPr>
        <w:t>վարձի</w:t>
      </w:r>
      <w:r w:rsidRPr="00F17001">
        <w:rPr>
          <w:rFonts w:ascii="GHEA Grapalat" w:hAnsi="GHEA Grapalat"/>
          <w:lang w:val="hy-AM"/>
        </w:rPr>
        <w:t xml:space="preserve"> </w:t>
      </w:r>
      <w:r w:rsidRPr="00F17001">
        <w:rPr>
          <w:rFonts w:ascii="GHEA Grapalat" w:hAnsi="GHEA Grapalat" w:cs="Arial"/>
          <w:lang w:val="hy-AM"/>
        </w:rPr>
        <w:t>փոխհատուցման</w:t>
      </w:r>
      <w:r w:rsidRPr="00F17001">
        <w:rPr>
          <w:rFonts w:ascii="GHEA Grapalat" w:hAnsi="GHEA Grapalat"/>
          <w:lang w:val="hy-AM"/>
        </w:rPr>
        <w:t xml:space="preserve"> </w:t>
      </w:r>
      <w:r w:rsidRPr="00F17001">
        <w:rPr>
          <w:rFonts w:ascii="GHEA Grapalat" w:hAnsi="GHEA Grapalat" w:cs="Arial"/>
          <w:lang w:val="hy-AM"/>
        </w:rPr>
        <w:t>նպատակով</w:t>
      </w:r>
      <w:r w:rsidRPr="00F17001">
        <w:rPr>
          <w:rFonts w:ascii="GHEA Grapalat" w:hAnsi="GHEA Grapalat"/>
          <w:lang w:val="hy-AM"/>
        </w:rPr>
        <w:t xml:space="preserve"> </w:t>
      </w:r>
      <w:r w:rsidRPr="00F17001">
        <w:rPr>
          <w:rFonts w:ascii="GHEA Grapalat" w:hAnsi="GHEA Grapalat" w:cs="Arial"/>
          <w:lang w:val="hy-AM"/>
        </w:rPr>
        <w:t>է</w:t>
      </w:r>
      <w:r w:rsidRPr="00F17001">
        <w:rPr>
          <w:rFonts w:ascii="GHEA Grapalat" w:hAnsi="GHEA Grapalat"/>
          <w:lang w:val="hy-AM"/>
        </w:rPr>
        <w:t>:</w:t>
      </w:r>
    </w:p>
    <w:p w14:paraId="33B858DE" w14:textId="77777777" w:rsidR="00ED15DB" w:rsidRPr="00507805" w:rsidRDefault="00ED15DB" w:rsidP="00082769">
      <w:pPr>
        <w:pStyle w:val="ListParagraph"/>
        <w:numPr>
          <w:ilvl w:val="0"/>
          <w:numId w:val="17"/>
        </w:numPr>
        <w:ind w:left="0" w:right="-22" w:firstLine="0"/>
        <w:jc w:val="both"/>
        <w:rPr>
          <w:rFonts w:ascii="GHEA Grapalat" w:hAnsi="GHEA Grapalat"/>
          <w:lang w:val="hy-AM"/>
        </w:rPr>
      </w:pPr>
      <w:r w:rsidRPr="00F17001">
        <w:rPr>
          <w:rFonts w:ascii="GHEA Grapalat" w:hAnsi="GHEA Grapalat" w:cs="Arial"/>
          <w:lang w:val="hy-AM"/>
        </w:rPr>
        <w:t>Աշխատանքի</w:t>
      </w:r>
      <w:r w:rsidRPr="00F17001">
        <w:rPr>
          <w:rFonts w:ascii="GHEA Grapalat" w:hAnsi="GHEA Grapalat"/>
          <w:lang w:val="hy-AM"/>
        </w:rPr>
        <w:t xml:space="preserve"> </w:t>
      </w:r>
      <w:r w:rsidRPr="00F17001">
        <w:rPr>
          <w:rFonts w:ascii="GHEA Grapalat" w:hAnsi="GHEA Grapalat" w:cs="Arial"/>
          <w:lang w:val="hy-AM"/>
        </w:rPr>
        <w:t>և</w:t>
      </w:r>
      <w:r w:rsidRPr="00F17001">
        <w:rPr>
          <w:rFonts w:ascii="GHEA Grapalat" w:hAnsi="GHEA Grapalat"/>
          <w:lang w:val="hy-AM"/>
        </w:rPr>
        <w:t xml:space="preserve"> </w:t>
      </w:r>
      <w:r w:rsidRPr="00F17001">
        <w:rPr>
          <w:rFonts w:ascii="GHEA Grapalat" w:hAnsi="GHEA Grapalat" w:cs="Arial"/>
          <w:lang w:val="hy-AM"/>
        </w:rPr>
        <w:t>սոցիալական</w:t>
      </w:r>
      <w:r w:rsidRPr="00F17001">
        <w:rPr>
          <w:rFonts w:ascii="GHEA Grapalat" w:hAnsi="GHEA Grapalat"/>
          <w:lang w:val="hy-AM"/>
        </w:rPr>
        <w:t xml:space="preserve"> </w:t>
      </w:r>
      <w:r w:rsidRPr="00F17001">
        <w:rPr>
          <w:rFonts w:ascii="GHEA Grapalat" w:hAnsi="GHEA Grapalat" w:cs="Arial"/>
          <w:lang w:val="hy-AM"/>
        </w:rPr>
        <w:t>պաշտպանության</w:t>
      </w:r>
      <w:r w:rsidRPr="00F17001">
        <w:rPr>
          <w:rFonts w:ascii="GHEA Grapalat" w:hAnsi="GHEA Grapalat"/>
          <w:lang w:val="hy-AM"/>
        </w:rPr>
        <w:t xml:space="preserve"> </w:t>
      </w:r>
      <w:r w:rsidRPr="00F17001">
        <w:rPr>
          <w:rFonts w:ascii="GHEA Grapalat" w:hAnsi="GHEA Grapalat" w:cs="Arial"/>
          <w:lang w:val="hy-AM"/>
        </w:rPr>
        <w:t>ոլորտի</w:t>
      </w:r>
      <w:r w:rsidRPr="00F17001">
        <w:rPr>
          <w:rFonts w:ascii="GHEA Grapalat" w:hAnsi="GHEA Grapalat"/>
          <w:lang w:val="hy-AM"/>
        </w:rPr>
        <w:t xml:space="preserve"> </w:t>
      </w:r>
      <w:r w:rsidRPr="00F17001">
        <w:rPr>
          <w:rFonts w:ascii="GHEA Grapalat" w:hAnsi="GHEA Grapalat" w:cs="Arial"/>
          <w:lang w:val="hy-AM"/>
        </w:rPr>
        <w:t>գծով՝</w:t>
      </w:r>
      <w:r w:rsidRPr="00F17001">
        <w:rPr>
          <w:rFonts w:ascii="GHEA Grapalat" w:hAnsi="GHEA Grapalat"/>
          <w:lang w:val="hy-AM"/>
        </w:rPr>
        <w:t xml:space="preserve"> 60,400.0 </w:t>
      </w:r>
      <w:r w:rsidRPr="00F17001">
        <w:rPr>
          <w:rFonts w:ascii="GHEA Grapalat" w:hAnsi="GHEA Grapalat" w:cs="Arial"/>
          <w:lang w:val="hy-AM"/>
        </w:rPr>
        <w:t>մլն</w:t>
      </w:r>
      <w:r w:rsidRPr="00F17001">
        <w:rPr>
          <w:rFonts w:ascii="GHEA Grapalat" w:hAnsi="GHEA Grapalat"/>
          <w:lang w:val="hy-AM"/>
        </w:rPr>
        <w:t xml:space="preserve"> </w:t>
      </w:r>
      <w:r w:rsidRPr="00F17001">
        <w:rPr>
          <w:rFonts w:ascii="GHEA Grapalat" w:hAnsi="GHEA Grapalat" w:cs="Arial"/>
          <w:lang w:val="hy-AM"/>
        </w:rPr>
        <w:t>դրամի</w:t>
      </w:r>
      <w:r w:rsidRPr="00F17001">
        <w:rPr>
          <w:rFonts w:ascii="GHEA Grapalat" w:hAnsi="GHEA Grapalat"/>
          <w:lang w:val="hy-AM"/>
        </w:rPr>
        <w:t xml:space="preserve"> </w:t>
      </w:r>
      <w:r w:rsidRPr="00F17001">
        <w:rPr>
          <w:rFonts w:ascii="GHEA Grapalat" w:hAnsi="GHEA Grapalat" w:cs="Arial"/>
          <w:lang w:val="hy-AM"/>
        </w:rPr>
        <w:t>չափով</w:t>
      </w:r>
      <w:r w:rsidRPr="00F17001">
        <w:rPr>
          <w:rFonts w:ascii="GHEA Grapalat" w:hAnsi="GHEA Grapalat"/>
          <w:lang w:val="hy-AM"/>
        </w:rPr>
        <w:t xml:space="preserve">, </w:t>
      </w:r>
      <w:r w:rsidRPr="00F17001">
        <w:rPr>
          <w:rFonts w:ascii="GHEA Grapalat" w:hAnsi="GHEA Grapalat" w:cs="Arial"/>
          <w:lang w:val="hy-AM"/>
        </w:rPr>
        <w:t>այդ</w:t>
      </w:r>
      <w:r w:rsidRPr="00F17001">
        <w:rPr>
          <w:rFonts w:ascii="GHEA Grapalat" w:hAnsi="GHEA Grapalat"/>
          <w:lang w:val="hy-AM"/>
        </w:rPr>
        <w:t xml:space="preserve"> </w:t>
      </w:r>
      <w:r w:rsidRPr="00F17001">
        <w:rPr>
          <w:rFonts w:ascii="GHEA Grapalat" w:hAnsi="GHEA Grapalat" w:cs="Arial"/>
          <w:lang w:val="hy-AM"/>
        </w:rPr>
        <w:t>թվում</w:t>
      </w:r>
      <w:r w:rsidRPr="00F17001">
        <w:rPr>
          <w:rFonts w:ascii="GHEA Grapalat" w:hAnsi="GHEA Grapalat"/>
          <w:lang w:val="hy-AM"/>
        </w:rPr>
        <w:t>.</w:t>
      </w:r>
    </w:p>
    <w:p w14:paraId="42360601" w14:textId="77777777" w:rsidR="00ED15DB" w:rsidRPr="00507805" w:rsidRDefault="00ED15DB" w:rsidP="00082769">
      <w:pPr>
        <w:pStyle w:val="ListParagraph"/>
        <w:numPr>
          <w:ilvl w:val="0"/>
          <w:numId w:val="17"/>
        </w:numPr>
        <w:ind w:left="0" w:right="-22" w:firstLine="0"/>
        <w:jc w:val="both"/>
        <w:rPr>
          <w:rFonts w:ascii="GHEA Grapalat" w:hAnsi="GHEA Grapalat"/>
          <w:lang w:val="hy-AM"/>
        </w:rPr>
      </w:pPr>
      <w:r w:rsidRPr="00F17001">
        <w:rPr>
          <w:rFonts w:ascii="GHEA Grapalat" w:hAnsi="GHEA Grapalat" w:cs="Arial"/>
          <w:lang w:val="hy-AM"/>
        </w:rPr>
        <w:t>Ղարաբաղից</w:t>
      </w:r>
      <w:r w:rsidRPr="00F17001">
        <w:rPr>
          <w:rFonts w:ascii="GHEA Grapalat" w:hAnsi="GHEA Grapalat"/>
          <w:lang w:val="hy-AM"/>
        </w:rPr>
        <w:t xml:space="preserve"> </w:t>
      </w:r>
      <w:r w:rsidRPr="00F17001">
        <w:rPr>
          <w:rFonts w:ascii="GHEA Grapalat" w:hAnsi="GHEA Grapalat" w:cs="Arial"/>
          <w:lang w:val="hy-AM"/>
        </w:rPr>
        <w:t>բռնի</w:t>
      </w:r>
      <w:r w:rsidRPr="00F17001">
        <w:rPr>
          <w:rFonts w:ascii="GHEA Grapalat" w:hAnsi="GHEA Grapalat"/>
          <w:lang w:val="hy-AM"/>
        </w:rPr>
        <w:t xml:space="preserve"> </w:t>
      </w:r>
      <w:r w:rsidRPr="00F17001">
        <w:rPr>
          <w:rFonts w:ascii="GHEA Grapalat" w:hAnsi="GHEA Grapalat" w:cs="Arial"/>
          <w:lang w:val="hy-AM"/>
        </w:rPr>
        <w:t>տեղահանվածներին</w:t>
      </w:r>
      <w:r w:rsidRPr="00F17001">
        <w:rPr>
          <w:rFonts w:ascii="GHEA Grapalat" w:hAnsi="GHEA Grapalat"/>
          <w:lang w:val="hy-AM"/>
        </w:rPr>
        <w:t xml:space="preserve"> </w:t>
      </w:r>
      <w:r w:rsidRPr="00F17001">
        <w:rPr>
          <w:rFonts w:ascii="GHEA Grapalat" w:hAnsi="GHEA Grapalat" w:cs="Arial"/>
          <w:lang w:val="hy-AM"/>
        </w:rPr>
        <w:t>կեցության</w:t>
      </w:r>
      <w:r w:rsidRPr="00F17001">
        <w:rPr>
          <w:rFonts w:ascii="GHEA Grapalat" w:hAnsi="GHEA Grapalat"/>
          <w:lang w:val="hy-AM"/>
        </w:rPr>
        <w:t xml:space="preserve"> </w:t>
      </w:r>
      <w:r w:rsidRPr="00F17001">
        <w:rPr>
          <w:rFonts w:ascii="GHEA Grapalat" w:hAnsi="GHEA Grapalat" w:cs="Arial"/>
          <w:lang w:val="hy-AM"/>
        </w:rPr>
        <w:t>և</w:t>
      </w:r>
      <w:r w:rsidRPr="00F17001">
        <w:rPr>
          <w:rFonts w:ascii="GHEA Grapalat" w:hAnsi="GHEA Grapalat"/>
          <w:lang w:val="hy-AM"/>
        </w:rPr>
        <w:t xml:space="preserve"> </w:t>
      </w:r>
      <w:r w:rsidRPr="00F17001">
        <w:rPr>
          <w:rFonts w:ascii="GHEA Grapalat" w:hAnsi="GHEA Grapalat" w:cs="Arial"/>
          <w:lang w:val="hy-AM"/>
        </w:rPr>
        <w:t>բնակարանային</w:t>
      </w:r>
      <w:r w:rsidRPr="00F17001">
        <w:rPr>
          <w:rFonts w:ascii="GHEA Grapalat" w:hAnsi="GHEA Grapalat"/>
          <w:lang w:val="hy-AM"/>
        </w:rPr>
        <w:t xml:space="preserve"> </w:t>
      </w:r>
      <w:r w:rsidRPr="00F17001">
        <w:rPr>
          <w:rFonts w:ascii="GHEA Grapalat" w:hAnsi="GHEA Grapalat" w:cs="Arial"/>
          <w:lang w:val="hy-AM"/>
        </w:rPr>
        <w:t>ապահովման</w:t>
      </w:r>
      <w:r w:rsidRPr="00F17001">
        <w:rPr>
          <w:rFonts w:ascii="GHEA Grapalat" w:hAnsi="GHEA Grapalat"/>
          <w:lang w:val="hy-AM"/>
        </w:rPr>
        <w:t xml:space="preserve"> </w:t>
      </w:r>
      <w:r w:rsidRPr="00F17001">
        <w:rPr>
          <w:rFonts w:ascii="GHEA Grapalat" w:hAnsi="GHEA Grapalat" w:cs="Arial"/>
          <w:lang w:val="hy-AM"/>
        </w:rPr>
        <w:t>պետական</w:t>
      </w:r>
      <w:r w:rsidRPr="00F17001">
        <w:rPr>
          <w:rFonts w:ascii="GHEA Grapalat" w:hAnsi="GHEA Grapalat"/>
          <w:lang w:val="hy-AM"/>
        </w:rPr>
        <w:t xml:space="preserve"> </w:t>
      </w:r>
      <w:r w:rsidRPr="00F17001">
        <w:rPr>
          <w:rFonts w:ascii="GHEA Grapalat" w:hAnsi="GHEA Grapalat" w:cs="Arial"/>
          <w:lang w:val="hy-AM"/>
        </w:rPr>
        <w:t>աջակցության</w:t>
      </w:r>
      <w:r w:rsidRPr="00F17001">
        <w:rPr>
          <w:rFonts w:ascii="GHEA Grapalat" w:hAnsi="GHEA Grapalat"/>
          <w:lang w:val="hy-AM"/>
        </w:rPr>
        <w:t xml:space="preserve"> </w:t>
      </w:r>
      <w:r w:rsidRPr="00F17001">
        <w:rPr>
          <w:rFonts w:ascii="GHEA Grapalat" w:hAnsi="GHEA Grapalat" w:cs="Arial"/>
          <w:lang w:val="hy-AM"/>
        </w:rPr>
        <w:t>ծախսերի</w:t>
      </w:r>
      <w:r w:rsidRPr="00F17001">
        <w:rPr>
          <w:rFonts w:ascii="GHEA Grapalat" w:hAnsi="GHEA Grapalat"/>
          <w:lang w:val="hy-AM"/>
        </w:rPr>
        <w:t xml:space="preserve"> </w:t>
      </w:r>
      <w:r w:rsidRPr="00F17001">
        <w:rPr>
          <w:rFonts w:ascii="GHEA Grapalat" w:hAnsi="GHEA Grapalat" w:cs="Arial"/>
          <w:lang w:val="hy-AM"/>
        </w:rPr>
        <w:t>գծով</w:t>
      </w:r>
      <w:r w:rsidRPr="00F17001">
        <w:rPr>
          <w:rFonts w:ascii="GHEA Grapalat" w:hAnsi="GHEA Grapalat"/>
          <w:lang w:val="hy-AM"/>
        </w:rPr>
        <w:t xml:space="preserve"> - 54,000</w:t>
      </w:r>
      <w:r w:rsidRPr="00F17001">
        <w:rPr>
          <w:rFonts w:ascii="Cambria Math" w:hAnsi="Cambria Math" w:cs="Cambria Math"/>
          <w:lang w:val="hy-AM"/>
        </w:rPr>
        <w:t>․</w:t>
      </w:r>
      <w:r w:rsidRPr="00F17001">
        <w:rPr>
          <w:rFonts w:ascii="GHEA Grapalat" w:hAnsi="GHEA Grapalat"/>
          <w:lang w:val="hy-AM"/>
        </w:rPr>
        <w:t xml:space="preserve">0 </w:t>
      </w:r>
      <w:r w:rsidRPr="00F17001">
        <w:rPr>
          <w:rFonts w:ascii="GHEA Grapalat" w:hAnsi="GHEA Grapalat" w:cs="Arial"/>
          <w:lang w:val="hy-AM"/>
        </w:rPr>
        <w:t>մլն</w:t>
      </w:r>
      <w:r w:rsidRPr="00F17001">
        <w:rPr>
          <w:rFonts w:ascii="GHEA Grapalat" w:hAnsi="GHEA Grapalat"/>
          <w:lang w:val="hy-AM"/>
        </w:rPr>
        <w:t xml:space="preserve"> </w:t>
      </w:r>
      <w:r w:rsidRPr="00F17001">
        <w:rPr>
          <w:rFonts w:ascii="GHEA Grapalat" w:hAnsi="GHEA Grapalat" w:cs="Arial"/>
          <w:lang w:val="hy-AM"/>
        </w:rPr>
        <w:t>դրամ</w:t>
      </w:r>
      <w:r w:rsidRPr="00F17001">
        <w:rPr>
          <w:rFonts w:ascii="GHEA Grapalat" w:hAnsi="GHEA Grapalat"/>
          <w:lang w:val="hy-AM"/>
        </w:rPr>
        <w:t>,</w:t>
      </w:r>
    </w:p>
    <w:p w14:paraId="2D912789" w14:textId="77777777" w:rsidR="00ED15DB" w:rsidRPr="00507805" w:rsidRDefault="00ED15DB" w:rsidP="00082769">
      <w:pPr>
        <w:pStyle w:val="ListParagraph"/>
        <w:numPr>
          <w:ilvl w:val="0"/>
          <w:numId w:val="17"/>
        </w:numPr>
        <w:ind w:left="0" w:right="-22" w:firstLine="0"/>
        <w:jc w:val="both"/>
        <w:rPr>
          <w:rFonts w:ascii="GHEA Grapalat" w:hAnsi="GHEA Grapalat"/>
          <w:lang w:val="hy-AM"/>
        </w:rPr>
      </w:pPr>
      <w:r w:rsidRPr="00F17001">
        <w:rPr>
          <w:rFonts w:ascii="GHEA Grapalat" w:hAnsi="GHEA Grapalat" w:cs="Arial"/>
          <w:lang w:val="hy-AM"/>
        </w:rPr>
        <w:t>Ղարաբաղի</w:t>
      </w:r>
      <w:r w:rsidRPr="00F17001">
        <w:rPr>
          <w:rFonts w:ascii="GHEA Grapalat" w:hAnsi="GHEA Grapalat"/>
          <w:lang w:val="hy-AM"/>
        </w:rPr>
        <w:t xml:space="preserve"> </w:t>
      </w:r>
      <w:r w:rsidRPr="00F17001">
        <w:rPr>
          <w:rFonts w:ascii="GHEA Grapalat" w:hAnsi="GHEA Grapalat" w:cs="Arial"/>
          <w:lang w:val="hy-AM"/>
        </w:rPr>
        <w:t>առանձին</w:t>
      </w:r>
      <w:r w:rsidRPr="00F17001">
        <w:rPr>
          <w:rFonts w:ascii="GHEA Grapalat" w:hAnsi="GHEA Grapalat"/>
          <w:lang w:val="hy-AM"/>
        </w:rPr>
        <w:t xml:space="preserve"> </w:t>
      </w:r>
      <w:r w:rsidRPr="00F17001">
        <w:rPr>
          <w:rFonts w:ascii="GHEA Grapalat" w:hAnsi="GHEA Grapalat" w:cs="Arial"/>
          <w:lang w:val="hy-AM"/>
        </w:rPr>
        <w:t>շրջաններից</w:t>
      </w:r>
      <w:r w:rsidRPr="00F17001">
        <w:rPr>
          <w:rFonts w:ascii="GHEA Grapalat" w:hAnsi="GHEA Grapalat"/>
          <w:lang w:val="hy-AM"/>
        </w:rPr>
        <w:t xml:space="preserve"> </w:t>
      </w:r>
      <w:r w:rsidRPr="00F17001">
        <w:rPr>
          <w:rFonts w:ascii="GHEA Grapalat" w:hAnsi="GHEA Grapalat" w:cs="Arial"/>
          <w:lang w:val="hy-AM"/>
        </w:rPr>
        <w:t>բռնի</w:t>
      </w:r>
      <w:r w:rsidRPr="00F17001">
        <w:rPr>
          <w:rFonts w:ascii="GHEA Grapalat" w:hAnsi="GHEA Grapalat"/>
          <w:lang w:val="hy-AM"/>
        </w:rPr>
        <w:t xml:space="preserve"> </w:t>
      </w:r>
      <w:r w:rsidRPr="00F17001">
        <w:rPr>
          <w:rFonts w:ascii="GHEA Grapalat" w:hAnsi="GHEA Grapalat" w:cs="Arial"/>
          <w:lang w:val="hy-AM"/>
        </w:rPr>
        <w:t>տեղահանված</w:t>
      </w:r>
      <w:r w:rsidRPr="00F17001">
        <w:rPr>
          <w:rFonts w:ascii="GHEA Grapalat" w:hAnsi="GHEA Grapalat"/>
          <w:lang w:val="hy-AM"/>
        </w:rPr>
        <w:t xml:space="preserve"> </w:t>
      </w:r>
      <w:r w:rsidRPr="00F17001">
        <w:rPr>
          <w:rFonts w:ascii="GHEA Grapalat" w:hAnsi="GHEA Grapalat" w:cs="Arial"/>
          <w:lang w:val="hy-AM"/>
        </w:rPr>
        <w:t>ընտանիքների</w:t>
      </w:r>
      <w:r w:rsidRPr="00F17001">
        <w:rPr>
          <w:rFonts w:ascii="GHEA Grapalat" w:hAnsi="GHEA Grapalat"/>
          <w:lang w:val="hy-AM"/>
        </w:rPr>
        <w:t xml:space="preserve"> </w:t>
      </w:r>
      <w:r w:rsidRPr="00F17001">
        <w:rPr>
          <w:rFonts w:ascii="GHEA Grapalat" w:hAnsi="GHEA Grapalat" w:cs="Arial"/>
          <w:lang w:val="hy-AM"/>
        </w:rPr>
        <w:t>համար</w:t>
      </w:r>
      <w:r w:rsidRPr="00F17001">
        <w:rPr>
          <w:rFonts w:ascii="GHEA Grapalat" w:hAnsi="GHEA Grapalat"/>
          <w:lang w:val="hy-AM"/>
        </w:rPr>
        <w:t xml:space="preserve"> </w:t>
      </w:r>
      <w:r w:rsidRPr="00F17001">
        <w:rPr>
          <w:rFonts w:ascii="GHEA Grapalat" w:hAnsi="GHEA Grapalat" w:cs="Arial"/>
          <w:lang w:val="hy-AM"/>
        </w:rPr>
        <w:t>բնակարանային</w:t>
      </w:r>
      <w:r w:rsidRPr="00F17001">
        <w:rPr>
          <w:rFonts w:ascii="GHEA Grapalat" w:hAnsi="GHEA Grapalat"/>
          <w:lang w:val="hy-AM"/>
        </w:rPr>
        <w:t xml:space="preserve"> </w:t>
      </w:r>
      <w:r w:rsidRPr="00F17001">
        <w:rPr>
          <w:rFonts w:ascii="GHEA Grapalat" w:hAnsi="GHEA Grapalat" w:cs="Arial"/>
          <w:lang w:val="hy-AM"/>
        </w:rPr>
        <w:t>մատչելիության</w:t>
      </w:r>
      <w:r w:rsidRPr="00F17001">
        <w:rPr>
          <w:rFonts w:ascii="GHEA Grapalat" w:hAnsi="GHEA Grapalat"/>
          <w:lang w:val="hy-AM"/>
        </w:rPr>
        <w:t xml:space="preserve"> </w:t>
      </w:r>
      <w:r w:rsidRPr="00F17001">
        <w:rPr>
          <w:rFonts w:ascii="GHEA Grapalat" w:hAnsi="GHEA Grapalat" w:cs="Arial"/>
          <w:lang w:val="hy-AM"/>
        </w:rPr>
        <w:t>ապահովման</w:t>
      </w:r>
      <w:r w:rsidRPr="00F17001">
        <w:rPr>
          <w:rFonts w:ascii="GHEA Grapalat" w:hAnsi="GHEA Grapalat"/>
          <w:lang w:val="hy-AM"/>
        </w:rPr>
        <w:t xml:space="preserve"> </w:t>
      </w:r>
      <w:r w:rsidRPr="00F17001">
        <w:rPr>
          <w:rFonts w:ascii="GHEA Grapalat" w:hAnsi="GHEA Grapalat" w:cs="Arial"/>
          <w:lang w:val="hy-AM"/>
        </w:rPr>
        <w:t>պետական</w:t>
      </w:r>
      <w:r w:rsidRPr="00F17001">
        <w:rPr>
          <w:rFonts w:ascii="GHEA Grapalat" w:hAnsi="GHEA Grapalat"/>
          <w:lang w:val="hy-AM"/>
        </w:rPr>
        <w:t xml:space="preserve"> </w:t>
      </w:r>
      <w:r w:rsidRPr="00F17001">
        <w:rPr>
          <w:rFonts w:ascii="GHEA Grapalat" w:hAnsi="GHEA Grapalat" w:cs="Arial"/>
          <w:lang w:val="hy-AM"/>
        </w:rPr>
        <w:t>աջակցության</w:t>
      </w:r>
      <w:r w:rsidRPr="00F17001">
        <w:rPr>
          <w:rFonts w:ascii="GHEA Grapalat" w:hAnsi="GHEA Grapalat"/>
          <w:lang w:val="hy-AM"/>
        </w:rPr>
        <w:t xml:space="preserve"> </w:t>
      </w:r>
      <w:r w:rsidRPr="00F17001">
        <w:rPr>
          <w:rFonts w:ascii="GHEA Grapalat" w:hAnsi="GHEA Grapalat" w:cs="Arial"/>
          <w:lang w:val="hy-AM"/>
        </w:rPr>
        <w:t>տրամադրման</w:t>
      </w:r>
      <w:r w:rsidRPr="00F17001">
        <w:rPr>
          <w:rFonts w:ascii="GHEA Grapalat" w:hAnsi="GHEA Grapalat"/>
          <w:lang w:val="hy-AM"/>
        </w:rPr>
        <w:t xml:space="preserve"> </w:t>
      </w:r>
      <w:r w:rsidRPr="00F17001">
        <w:rPr>
          <w:rFonts w:ascii="GHEA Grapalat" w:hAnsi="GHEA Grapalat" w:cs="Arial"/>
          <w:lang w:val="hy-AM"/>
        </w:rPr>
        <w:t>գծով</w:t>
      </w:r>
      <w:r w:rsidRPr="00F17001">
        <w:rPr>
          <w:rFonts w:ascii="GHEA Grapalat" w:hAnsi="GHEA Grapalat"/>
          <w:lang w:val="hy-AM"/>
        </w:rPr>
        <w:t xml:space="preserve"> - 6,400.0 </w:t>
      </w:r>
      <w:r w:rsidRPr="00F17001">
        <w:rPr>
          <w:rFonts w:ascii="GHEA Grapalat" w:hAnsi="GHEA Grapalat" w:cs="Arial"/>
          <w:lang w:val="hy-AM"/>
        </w:rPr>
        <w:t>մլն</w:t>
      </w:r>
      <w:r w:rsidRPr="00F17001">
        <w:rPr>
          <w:rFonts w:ascii="GHEA Grapalat" w:hAnsi="GHEA Grapalat"/>
          <w:lang w:val="hy-AM"/>
        </w:rPr>
        <w:t xml:space="preserve"> </w:t>
      </w:r>
      <w:r w:rsidRPr="00F17001">
        <w:rPr>
          <w:rFonts w:ascii="GHEA Grapalat" w:hAnsi="GHEA Grapalat" w:cs="Arial"/>
          <w:lang w:val="hy-AM"/>
        </w:rPr>
        <w:t>դրամ։</w:t>
      </w:r>
    </w:p>
    <w:p w14:paraId="34A67E13" w14:textId="77777777" w:rsidR="00ED15DB" w:rsidRPr="00507805" w:rsidRDefault="00ED15DB" w:rsidP="00082769">
      <w:pPr>
        <w:pStyle w:val="ListParagraph"/>
        <w:numPr>
          <w:ilvl w:val="0"/>
          <w:numId w:val="17"/>
        </w:numPr>
        <w:ind w:left="0" w:right="-22" w:firstLine="0"/>
        <w:jc w:val="both"/>
        <w:rPr>
          <w:rFonts w:ascii="GHEA Grapalat" w:hAnsi="GHEA Grapalat"/>
          <w:lang w:val="hy-AM"/>
        </w:rPr>
      </w:pPr>
      <w:r w:rsidRPr="00F17001">
        <w:rPr>
          <w:rFonts w:ascii="GHEA Grapalat" w:hAnsi="GHEA Grapalat" w:cs="Arial"/>
          <w:lang w:val="hy-AM"/>
        </w:rPr>
        <w:t>Ղարաբաղից</w:t>
      </w:r>
      <w:r w:rsidRPr="00F17001">
        <w:rPr>
          <w:rFonts w:ascii="GHEA Grapalat" w:hAnsi="GHEA Grapalat"/>
          <w:lang w:val="hy-AM"/>
        </w:rPr>
        <w:t xml:space="preserve"> </w:t>
      </w:r>
      <w:r w:rsidRPr="00F17001">
        <w:rPr>
          <w:rFonts w:ascii="GHEA Grapalat" w:hAnsi="GHEA Grapalat" w:cs="Arial"/>
          <w:lang w:val="hy-AM"/>
        </w:rPr>
        <w:t>բռնի</w:t>
      </w:r>
      <w:r w:rsidRPr="00F17001">
        <w:rPr>
          <w:rFonts w:ascii="GHEA Grapalat" w:hAnsi="GHEA Grapalat"/>
          <w:lang w:val="hy-AM"/>
        </w:rPr>
        <w:t xml:space="preserve"> </w:t>
      </w:r>
      <w:r w:rsidRPr="00F17001">
        <w:rPr>
          <w:rFonts w:ascii="GHEA Grapalat" w:hAnsi="GHEA Grapalat" w:cs="Arial"/>
          <w:lang w:val="hy-AM"/>
        </w:rPr>
        <w:t>տեղահանվածները</w:t>
      </w:r>
      <w:r w:rsidRPr="00F17001">
        <w:rPr>
          <w:rFonts w:ascii="GHEA Grapalat" w:hAnsi="GHEA Grapalat"/>
          <w:lang w:val="hy-AM"/>
        </w:rPr>
        <w:t xml:space="preserve"> </w:t>
      </w:r>
      <w:r w:rsidRPr="00F17001">
        <w:rPr>
          <w:rFonts w:ascii="GHEA Grapalat" w:hAnsi="GHEA Grapalat" w:cs="Arial"/>
          <w:lang w:val="hy-AM"/>
        </w:rPr>
        <w:t>ընդգրկված</w:t>
      </w:r>
      <w:r w:rsidRPr="00F17001">
        <w:rPr>
          <w:rFonts w:ascii="GHEA Grapalat" w:hAnsi="GHEA Grapalat"/>
          <w:lang w:val="hy-AM"/>
        </w:rPr>
        <w:t xml:space="preserve"> </w:t>
      </w:r>
      <w:r w:rsidRPr="00F17001">
        <w:rPr>
          <w:rFonts w:ascii="GHEA Grapalat" w:hAnsi="GHEA Grapalat" w:cs="Arial"/>
          <w:lang w:val="hy-AM"/>
        </w:rPr>
        <w:t>են</w:t>
      </w:r>
      <w:r w:rsidRPr="00F17001">
        <w:rPr>
          <w:rFonts w:ascii="GHEA Grapalat" w:hAnsi="GHEA Grapalat"/>
          <w:lang w:val="hy-AM"/>
        </w:rPr>
        <w:t xml:space="preserve"> </w:t>
      </w:r>
      <w:r w:rsidRPr="00F17001">
        <w:rPr>
          <w:rFonts w:ascii="GHEA Grapalat" w:hAnsi="GHEA Grapalat" w:cs="Arial"/>
          <w:lang w:val="hy-AM"/>
        </w:rPr>
        <w:t>նաև</w:t>
      </w:r>
      <w:r w:rsidRPr="00F17001">
        <w:rPr>
          <w:rFonts w:ascii="GHEA Grapalat" w:hAnsi="GHEA Grapalat"/>
          <w:lang w:val="hy-AM"/>
        </w:rPr>
        <w:t xml:space="preserve"> «</w:t>
      </w:r>
      <w:r w:rsidRPr="00F17001">
        <w:rPr>
          <w:rFonts w:ascii="GHEA Grapalat" w:hAnsi="GHEA Grapalat" w:cs="Arial"/>
          <w:lang w:val="hy-AM"/>
        </w:rPr>
        <w:t>Կենսաթոշակային</w:t>
      </w:r>
      <w:r w:rsidRPr="00F17001">
        <w:rPr>
          <w:rFonts w:ascii="GHEA Grapalat" w:hAnsi="GHEA Grapalat"/>
          <w:lang w:val="hy-AM"/>
        </w:rPr>
        <w:t xml:space="preserve"> </w:t>
      </w:r>
      <w:r w:rsidRPr="00F17001">
        <w:rPr>
          <w:rFonts w:ascii="GHEA Grapalat" w:hAnsi="GHEA Grapalat" w:cs="Arial"/>
          <w:lang w:val="hy-AM"/>
        </w:rPr>
        <w:t>ապահովություն</w:t>
      </w:r>
      <w:r w:rsidRPr="00F17001">
        <w:rPr>
          <w:rFonts w:ascii="GHEA Grapalat" w:hAnsi="GHEA Grapalat"/>
          <w:lang w:val="hy-AM"/>
        </w:rPr>
        <w:t>», «</w:t>
      </w:r>
      <w:r w:rsidRPr="00F17001">
        <w:rPr>
          <w:rFonts w:ascii="GHEA Grapalat" w:hAnsi="GHEA Grapalat" w:cs="Arial"/>
          <w:lang w:val="hy-AM"/>
        </w:rPr>
        <w:t>Ժողովրդագրական</w:t>
      </w:r>
      <w:r w:rsidRPr="00F17001">
        <w:rPr>
          <w:rFonts w:ascii="GHEA Grapalat" w:hAnsi="GHEA Grapalat"/>
          <w:lang w:val="hy-AM"/>
        </w:rPr>
        <w:t xml:space="preserve"> </w:t>
      </w:r>
      <w:r w:rsidRPr="00F17001">
        <w:rPr>
          <w:rFonts w:ascii="GHEA Grapalat" w:hAnsi="GHEA Grapalat" w:cs="Arial"/>
          <w:lang w:val="hy-AM"/>
        </w:rPr>
        <w:t>վիճակի</w:t>
      </w:r>
      <w:r w:rsidRPr="00F17001">
        <w:rPr>
          <w:rFonts w:ascii="GHEA Grapalat" w:hAnsi="GHEA Grapalat"/>
          <w:lang w:val="hy-AM"/>
        </w:rPr>
        <w:t xml:space="preserve"> </w:t>
      </w:r>
      <w:r w:rsidRPr="00F17001">
        <w:rPr>
          <w:rFonts w:ascii="GHEA Grapalat" w:hAnsi="GHEA Grapalat" w:cs="Arial"/>
          <w:lang w:val="hy-AM"/>
        </w:rPr>
        <w:t>բարելավում</w:t>
      </w:r>
      <w:r w:rsidRPr="00F17001">
        <w:rPr>
          <w:rFonts w:ascii="GHEA Grapalat" w:hAnsi="GHEA Grapalat"/>
          <w:lang w:val="hy-AM"/>
        </w:rPr>
        <w:t>», «</w:t>
      </w:r>
      <w:r w:rsidRPr="00F17001">
        <w:rPr>
          <w:rFonts w:ascii="GHEA Grapalat" w:hAnsi="GHEA Grapalat" w:cs="Arial"/>
          <w:lang w:val="hy-AM"/>
        </w:rPr>
        <w:t>Սոցիալական</w:t>
      </w:r>
      <w:r w:rsidRPr="00F17001">
        <w:rPr>
          <w:rFonts w:ascii="GHEA Grapalat" w:hAnsi="GHEA Grapalat"/>
          <w:lang w:val="hy-AM"/>
        </w:rPr>
        <w:t xml:space="preserve"> </w:t>
      </w:r>
      <w:r w:rsidRPr="00F17001">
        <w:rPr>
          <w:rFonts w:ascii="GHEA Grapalat" w:hAnsi="GHEA Grapalat" w:cs="Arial"/>
          <w:lang w:val="hy-AM"/>
        </w:rPr>
        <w:t>աջակցություն</w:t>
      </w:r>
      <w:r w:rsidRPr="00F17001">
        <w:rPr>
          <w:rFonts w:ascii="GHEA Grapalat" w:hAnsi="GHEA Grapalat"/>
          <w:lang w:val="hy-AM"/>
        </w:rPr>
        <w:t xml:space="preserve"> </w:t>
      </w:r>
      <w:r w:rsidRPr="00F17001">
        <w:rPr>
          <w:rFonts w:ascii="GHEA Grapalat" w:hAnsi="GHEA Grapalat" w:cs="Arial"/>
          <w:lang w:val="hy-AM"/>
        </w:rPr>
        <w:t>անաշխատունակության</w:t>
      </w:r>
      <w:r w:rsidRPr="00F17001">
        <w:rPr>
          <w:rFonts w:ascii="GHEA Grapalat" w:hAnsi="GHEA Grapalat"/>
          <w:lang w:val="hy-AM"/>
        </w:rPr>
        <w:t xml:space="preserve"> </w:t>
      </w:r>
      <w:r w:rsidRPr="00F17001">
        <w:rPr>
          <w:rFonts w:ascii="GHEA Grapalat" w:hAnsi="GHEA Grapalat" w:cs="Arial"/>
          <w:lang w:val="hy-AM"/>
        </w:rPr>
        <w:t>դեպքում</w:t>
      </w:r>
      <w:r w:rsidRPr="00F17001">
        <w:rPr>
          <w:rFonts w:ascii="GHEA Grapalat" w:hAnsi="GHEA Grapalat"/>
          <w:lang w:val="hy-AM"/>
        </w:rPr>
        <w:t>», «</w:t>
      </w:r>
      <w:r w:rsidRPr="00F17001">
        <w:rPr>
          <w:rFonts w:ascii="GHEA Grapalat" w:hAnsi="GHEA Grapalat" w:cs="Arial"/>
          <w:lang w:val="hy-AM"/>
        </w:rPr>
        <w:t>Անապահով</w:t>
      </w:r>
      <w:r w:rsidRPr="00F17001">
        <w:rPr>
          <w:rFonts w:ascii="GHEA Grapalat" w:hAnsi="GHEA Grapalat"/>
          <w:lang w:val="hy-AM"/>
        </w:rPr>
        <w:t xml:space="preserve"> </w:t>
      </w:r>
      <w:r w:rsidRPr="00F17001">
        <w:rPr>
          <w:rFonts w:ascii="GHEA Grapalat" w:hAnsi="GHEA Grapalat" w:cs="Arial"/>
          <w:lang w:val="hy-AM"/>
        </w:rPr>
        <w:t>սոցիալական</w:t>
      </w:r>
      <w:r w:rsidRPr="00F17001">
        <w:rPr>
          <w:rFonts w:ascii="GHEA Grapalat" w:hAnsi="GHEA Grapalat"/>
          <w:lang w:val="hy-AM"/>
        </w:rPr>
        <w:t xml:space="preserve"> </w:t>
      </w:r>
      <w:r w:rsidRPr="00F17001">
        <w:rPr>
          <w:rFonts w:ascii="GHEA Grapalat" w:hAnsi="GHEA Grapalat" w:cs="Arial"/>
          <w:lang w:val="hy-AM"/>
        </w:rPr>
        <w:t>խմբերին</w:t>
      </w:r>
      <w:r w:rsidRPr="00F17001">
        <w:rPr>
          <w:rFonts w:ascii="GHEA Grapalat" w:hAnsi="GHEA Grapalat"/>
          <w:lang w:val="hy-AM"/>
        </w:rPr>
        <w:t xml:space="preserve"> </w:t>
      </w:r>
      <w:r w:rsidRPr="00F17001">
        <w:rPr>
          <w:rFonts w:ascii="GHEA Grapalat" w:hAnsi="GHEA Grapalat" w:cs="Arial"/>
          <w:lang w:val="hy-AM"/>
        </w:rPr>
        <w:t>աջակցություն</w:t>
      </w:r>
      <w:r w:rsidRPr="00F17001">
        <w:rPr>
          <w:rFonts w:ascii="GHEA Grapalat" w:hAnsi="GHEA Grapalat"/>
          <w:lang w:val="hy-AM"/>
        </w:rPr>
        <w:t>», «</w:t>
      </w:r>
      <w:r w:rsidRPr="00F17001">
        <w:rPr>
          <w:rFonts w:ascii="GHEA Grapalat" w:hAnsi="GHEA Grapalat" w:cs="Arial"/>
          <w:lang w:val="hy-AM"/>
        </w:rPr>
        <w:t>Զբաղվածության</w:t>
      </w:r>
      <w:r w:rsidRPr="00F17001">
        <w:rPr>
          <w:rFonts w:ascii="GHEA Grapalat" w:hAnsi="GHEA Grapalat"/>
          <w:lang w:val="hy-AM"/>
        </w:rPr>
        <w:t xml:space="preserve">» </w:t>
      </w:r>
      <w:r w:rsidRPr="00F17001">
        <w:rPr>
          <w:rFonts w:ascii="GHEA Grapalat" w:hAnsi="GHEA Grapalat" w:cs="Arial"/>
          <w:lang w:val="hy-AM"/>
        </w:rPr>
        <w:t>ծրագրերում</w:t>
      </w:r>
      <w:r w:rsidRPr="00F17001">
        <w:rPr>
          <w:rFonts w:ascii="GHEA Grapalat" w:hAnsi="GHEA Grapalat"/>
          <w:lang w:val="hy-AM"/>
        </w:rPr>
        <w:t xml:space="preserve"> </w:t>
      </w:r>
      <w:r w:rsidRPr="00F17001">
        <w:rPr>
          <w:rFonts w:ascii="GHEA Grapalat" w:hAnsi="GHEA Grapalat" w:cs="Arial"/>
          <w:lang w:val="hy-AM"/>
        </w:rPr>
        <w:t>և</w:t>
      </w:r>
      <w:r w:rsidRPr="00F17001">
        <w:rPr>
          <w:rFonts w:ascii="GHEA Grapalat" w:hAnsi="GHEA Grapalat"/>
          <w:lang w:val="hy-AM"/>
        </w:rPr>
        <w:t xml:space="preserve"> </w:t>
      </w:r>
      <w:r w:rsidRPr="00F17001">
        <w:rPr>
          <w:rFonts w:ascii="GHEA Grapalat" w:hAnsi="GHEA Grapalat" w:cs="Arial"/>
          <w:lang w:val="hy-AM"/>
        </w:rPr>
        <w:t>սոցիալական</w:t>
      </w:r>
      <w:r w:rsidRPr="00F17001">
        <w:rPr>
          <w:rFonts w:ascii="GHEA Grapalat" w:hAnsi="GHEA Grapalat"/>
          <w:lang w:val="hy-AM"/>
        </w:rPr>
        <w:t xml:space="preserve"> </w:t>
      </w:r>
      <w:r w:rsidRPr="00F17001">
        <w:rPr>
          <w:rFonts w:ascii="GHEA Grapalat" w:hAnsi="GHEA Grapalat" w:cs="Arial"/>
          <w:lang w:val="hy-AM"/>
        </w:rPr>
        <w:t>ոլորտի</w:t>
      </w:r>
      <w:r w:rsidRPr="00F17001">
        <w:rPr>
          <w:rFonts w:ascii="GHEA Grapalat" w:hAnsi="GHEA Grapalat"/>
          <w:lang w:val="hy-AM"/>
        </w:rPr>
        <w:t xml:space="preserve"> </w:t>
      </w:r>
      <w:r w:rsidRPr="00F17001">
        <w:rPr>
          <w:rFonts w:ascii="GHEA Grapalat" w:hAnsi="GHEA Grapalat" w:cs="Arial"/>
          <w:lang w:val="hy-AM"/>
        </w:rPr>
        <w:t>մի</w:t>
      </w:r>
      <w:r w:rsidRPr="00F17001">
        <w:rPr>
          <w:rFonts w:ascii="GHEA Grapalat" w:hAnsi="GHEA Grapalat"/>
          <w:lang w:val="hy-AM"/>
        </w:rPr>
        <w:t xml:space="preserve"> </w:t>
      </w:r>
      <w:r w:rsidRPr="00F17001">
        <w:rPr>
          <w:rFonts w:ascii="GHEA Grapalat" w:hAnsi="GHEA Grapalat" w:cs="Arial"/>
          <w:lang w:val="hy-AM"/>
        </w:rPr>
        <w:t>շարք</w:t>
      </w:r>
      <w:r w:rsidRPr="00F17001">
        <w:rPr>
          <w:rFonts w:ascii="GHEA Grapalat" w:hAnsi="GHEA Grapalat"/>
          <w:lang w:val="hy-AM"/>
        </w:rPr>
        <w:t xml:space="preserve"> </w:t>
      </w:r>
      <w:r w:rsidRPr="00F17001">
        <w:rPr>
          <w:rFonts w:ascii="GHEA Grapalat" w:hAnsi="GHEA Grapalat" w:cs="Arial"/>
          <w:lang w:val="hy-AM"/>
        </w:rPr>
        <w:t>այլ</w:t>
      </w:r>
      <w:r w:rsidRPr="00F17001">
        <w:rPr>
          <w:rFonts w:ascii="GHEA Grapalat" w:hAnsi="GHEA Grapalat"/>
          <w:lang w:val="hy-AM"/>
        </w:rPr>
        <w:t xml:space="preserve"> </w:t>
      </w:r>
      <w:r w:rsidRPr="00F17001">
        <w:rPr>
          <w:rFonts w:ascii="GHEA Grapalat" w:hAnsi="GHEA Grapalat" w:cs="Arial"/>
          <w:lang w:val="hy-AM"/>
        </w:rPr>
        <w:t>միջոցառումներում</w:t>
      </w:r>
      <w:r w:rsidRPr="00F17001">
        <w:rPr>
          <w:rFonts w:ascii="GHEA Grapalat" w:hAnsi="GHEA Grapalat"/>
          <w:lang w:val="hy-AM"/>
        </w:rPr>
        <w:t>:</w:t>
      </w:r>
    </w:p>
    <w:p w14:paraId="6AE2CFAA" w14:textId="77777777" w:rsidR="000232DD" w:rsidRPr="000232DD" w:rsidRDefault="000232DD" w:rsidP="00082769">
      <w:pPr>
        <w:ind w:right="-22"/>
        <w:rPr>
          <w:lang w:val="hy-AM"/>
        </w:rPr>
      </w:pPr>
    </w:p>
    <w:p w14:paraId="709B6601" w14:textId="167755F3" w:rsidR="00D75267" w:rsidRPr="00CB300F" w:rsidRDefault="00D75267" w:rsidP="00082769">
      <w:pPr>
        <w:pStyle w:val="Heading2"/>
        <w:spacing w:before="120" w:after="120"/>
        <w:ind w:right="-22"/>
        <w:jc w:val="both"/>
        <w:rPr>
          <w:rFonts w:ascii="GHEA Grapalat" w:hAnsi="GHEA Grapalat"/>
          <w:color w:val="ADADAD" w:themeColor="background2" w:themeShade="BF"/>
          <w:sz w:val="28"/>
          <w:szCs w:val="20"/>
          <w:lang w:val="hy-AM"/>
        </w:rPr>
      </w:pPr>
      <w:bookmarkStart w:id="409" w:name="_Toc178356590"/>
      <w:bookmarkStart w:id="410" w:name="_Toc241687681"/>
      <w:r w:rsidRPr="00CB300F">
        <w:rPr>
          <w:rFonts w:ascii="GHEA Grapalat" w:hAnsi="GHEA Grapalat"/>
          <w:color w:val="ADADAD" w:themeColor="background2" w:themeShade="BF"/>
          <w:sz w:val="28"/>
          <w:szCs w:val="20"/>
          <w:lang w:val="hy-AM"/>
        </w:rPr>
        <w:t>ՀՀ 202</w:t>
      </w:r>
      <w:r w:rsidR="000232DD" w:rsidRPr="00CB300F">
        <w:rPr>
          <w:rFonts w:ascii="GHEA Grapalat" w:hAnsi="GHEA Grapalat"/>
          <w:color w:val="ADADAD" w:themeColor="background2" w:themeShade="BF"/>
          <w:sz w:val="28"/>
          <w:szCs w:val="20"/>
          <w:lang w:val="hy-AM"/>
        </w:rPr>
        <w:t>7</w:t>
      </w:r>
      <w:r w:rsidRPr="00CB300F">
        <w:rPr>
          <w:rFonts w:ascii="GHEA Grapalat" w:hAnsi="GHEA Grapalat"/>
          <w:color w:val="ADADAD" w:themeColor="background2" w:themeShade="BF"/>
          <w:sz w:val="28"/>
          <w:szCs w:val="20"/>
          <w:lang w:val="hy-AM"/>
        </w:rPr>
        <w:t xml:space="preserve"> ԹՎԱԿԱՆԻ ՊԵՏԱԿԱՆ ԲՅՈՒՋԵԻՑ ՀԱՄԱՅՆՔՆԵՐԻՆ ՏՐՎՈՂ ՀԱՏԿԱՑՈՒՄՆԵՐԸ</w:t>
      </w:r>
      <w:bookmarkEnd w:id="409"/>
      <w:bookmarkEnd w:id="410"/>
    </w:p>
    <w:p w14:paraId="095DFC96" w14:textId="77777777" w:rsidR="00D128F7" w:rsidRPr="000232DD" w:rsidRDefault="00D128F7" w:rsidP="00D128F7">
      <w:pPr>
        <w:tabs>
          <w:tab w:val="left" w:pos="0"/>
        </w:tabs>
        <w:jc w:val="both"/>
        <w:rPr>
          <w:rFonts w:ascii="GHEA Grapalat" w:hAnsi="GHEA Grapalat" w:cs="Sylfaen"/>
          <w:iCs/>
          <w:color w:val="auto"/>
          <w:lang w:val="hy-AM" w:eastAsia="en-GB"/>
        </w:rPr>
      </w:pPr>
      <w:bookmarkStart w:id="411" w:name="_Toc57631763"/>
      <w:bookmarkStart w:id="412" w:name="_Toc178350626"/>
      <w:bookmarkStart w:id="413" w:name="_Toc178612151"/>
      <w:bookmarkStart w:id="414" w:name="_Toc184110777"/>
      <w:bookmarkStart w:id="415" w:name="_Toc178356591"/>
      <w:r w:rsidRPr="000232DD">
        <w:rPr>
          <w:rFonts w:ascii="GHEA Grapalat" w:hAnsi="GHEA Grapalat" w:cs="Sylfaen"/>
          <w:iCs/>
          <w:color w:val="auto"/>
          <w:lang w:val="hy-AM" w:eastAsia="en-GB"/>
        </w:rPr>
        <w:t>2023–2029 թվականներին ՀՀ պետական բյուջեից համայնքների բյուջեներին տրամադրվող հատկացումների ընդհանուր ծավալը 2023 թվականի 152.1 մլրդ դրամից 2029 թվականին նախատեսվում է հասցնել 196.5 մլրդ դրամի՝ ավելանալով 44.4 մլրդ դրամով կամ 29.2 տոկոսով։ Հատկացումների կառուցվածքում էական փոփոխությունը վերաբերում է ֆինանսական համահարթեցման դոտացիաներին, որոնց ծավալը 2023 թվականի 69.8 մլրդ դրամից 2029 թվականին նախատեսվում է հասցնել 153.2 մլրդ դրամի՝ ավելանալով 83.4 մլրդ դրամով կամ ավելի քան կրկնապատկվելով։</w:t>
      </w:r>
    </w:p>
    <w:p w14:paraId="75AFBF96" w14:textId="77777777" w:rsidR="00D128F7" w:rsidRPr="000232DD" w:rsidRDefault="00D128F7" w:rsidP="00D128F7">
      <w:pPr>
        <w:tabs>
          <w:tab w:val="left" w:pos="0"/>
        </w:tabs>
        <w:jc w:val="both"/>
        <w:rPr>
          <w:rFonts w:ascii="GHEA Grapalat" w:hAnsi="GHEA Grapalat" w:cs="Sylfaen"/>
          <w:iCs/>
          <w:color w:val="auto"/>
          <w:lang w:val="hy-AM" w:eastAsia="en-GB"/>
        </w:rPr>
      </w:pPr>
      <w:r w:rsidRPr="000232DD">
        <w:rPr>
          <w:rFonts w:ascii="GHEA Grapalat" w:hAnsi="GHEA Grapalat" w:cs="Sylfaen"/>
          <w:iCs/>
          <w:color w:val="auto"/>
          <w:lang w:val="hy-AM" w:eastAsia="en-GB"/>
        </w:rPr>
        <w:t>2027–2029 թվականներին պետական բյուջեից ՀՀ համայնքներին տրամադրվող հատկացումները նախատեսվում են համապատասխանաբար 19</w:t>
      </w:r>
      <w:r>
        <w:rPr>
          <w:rFonts w:ascii="GHEA Grapalat" w:hAnsi="GHEA Grapalat" w:cs="Sylfaen"/>
          <w:iCs/>
          <w:color w:val="auto"/>
          <w:lang w:val="hy-AM" w:eastAsia="en-GB"/>
        </w:rPr>
        <w:t>1</w:t>
      </w:r>
      <w:r w:rsidRPr="000232DD">
        <w:rPr>
          <w:rFonts w:ascii="GHEA Grapalat" w:hAnsi="GHEA Grapalat" w:cs="Sylfaen"/>
          <w:iCs/>
          <w:color w:val="auto"/>
          <w:lang w:val="hy-AM" w:eastAsia="en-GB"/>
        </w:rPr>
        <w:t>.</w:t>
      </w:r>
      <w:r>
        <w:rPr>
          <w:rFonts w:ascii="GHEA Grapalat" w:hAnsi="GHEA Grapalat" w:cs="Sylfaen"/>
          <w:iCs/>
          <w:color w:val="auto"/>
          <w:lang w:val="hy-AM" w:eastAsia="en-GB"/>
        </w:rPr>
        <w:t>6</w:t>
      </w:r>
      <w:r w:rsidRPr="000232DD">
        <w:rPr>
          <w:rFonts w:ascii="GHEA Grapalat" w:hAnsi="GHEA Grapalat" w:cs="Sylfaen"/>
          <w:iCs/>
          <w:color w:val="auto"/>
          <w:lang w:val="hy-AM" w:eastAsia="en-GB"/>
        </w:rPr>
        <w:t xml:space="preserve"> մլրդ, 181.</w:t>
      </w:r>
      <w:r>
        <w:rPr>
          <w:rFonts w:ascii="GHEA Grapalat" w:hAnsi="GHEA Grapalat" w:cs="Sylfaen"/>
          <w:iCs/>
          <w:color w:val="auto"/>
          <w:lang w:val="hy-AM" w:eastAsia="en-GB"/>
        </w:rPr>
        <w:t>4</w:t>
      </w:r>
      <w:r w:rsidRPr="000232DD">
        <w:rPr>
          <w:rFonts w:ascii="GHEA Grapalat" w:hAnsi="GHEA Grapalat" w:cs="Sylfaen"/>
          <w:iCs/>
          <w:color w:val="auto"/>
          <w:lang w:val="hy-AM" w:eastAsia="en-GB"/>
        </w:rPr>
        <w:t xml:space="preserve"> մլրդ և 196.</w:t>
      </w:r>
      <w:r>
        <w:rPr>
          <w:rFonts w:ascii="GHEA Grapalat" w:hAnsi="GHEA Grapalat" w:cs="Sylfaen"/>
          <w:iCs/>
          <w:color w:val="auto"/>
          <w:lang w:val="hy-AM" w:eastAsia="en-GB"/>
        </w:rPr>
        <w:t>5</w:t>
      </w:r>
      <w:r w:rsidRPr="000232DD">
        <w:rPr>
          <w:rFonts w:ascii="GHEA Grapalat" w:hAnsi="GHEA Grapalat" w:cs="Sylfaen"/>
          <w:iCs/>
          <w:color w:val="auto"/>
          <w:lang w:val="hy-AM" w:eastAsia="en-GB"/>
        </w:rPr>
        <w:t xml:space="preserve"> մլրդ դրամի չափով։ Դրանք համապատասխան տարիներին կկազմեն պետական բյուջեի ընդհանուր ծախսերի համապատասխանաբար 4.7, 4.2 և 4.3 տոկոսը, իսկ ՀՆԱ-ի նկատմամբ՝ համապատասխանաբար 1.4, 1.2 և 1.2 տոկոսը։</w:t>
      </w:r>
    </w:p>
    <w:p w14:paraId="7255C710" w14:textId="77777777" w:rsidR="00D128F7" w:rsidRPr="000232DD" w:rsidRDefault="00D128F7" w:rsidP="00D128F7">
      <w:pPr>
        <w:tabs>
          <w:tab w:val="left" w:pos="0"/>
        </w:tabs>
        <w:jc w:val="both"/>
        <w:rPr>
          <w:rFonts w:ascii="GHEA Grapalat" w:hAnsi="GHEA Grapalat" w:cs="Sylfaen"/>
          <w:iCs/>
          <w:color w:val="auto"/>
          <w:lang w:val="hy-AM" w:eastAsia="en-GB"/>
        </w:rPr>
      </w:pPr>
      <w:r w:rsidRPr="000232DD">
        <w:rPr>
          <w:rFonts w:ascii="GHEA Grapalat" w:hAnsi="GHEA Grapalat" w:cs="Sylfaen"/>
          <w:iCs/>
          <w:color w:val="auto"/>
          <w:lang w:val="hy-AM" w:eastAsia="en-GB"/>
        </w:rPr>
        <w:t>Համայնքների բյուջեներին ֆինանսական համահարթեցման սկզբունքով դոտացիաների տրամադրման նպատակով նախատեսվում է հատկացնել 2027 թվականին՝ 121.5 մլրդ դրամ, 2028 թվականին՝ 136.0 մլրդ դրամ, իսկ 2029 թվականին՝ 153.2 մլրդ դրամ։ Նշված հատկացումները համապատասխան տարիներին կկազմեն պետական բյուջեի ընդհանուր ծախսերի համապատասխանաբար 3.0, 3.1 և 3.3 տոկոսը, իսկ ՀՆԱ-ի նկատմամբ՝ յուրաքանչյուր տարի 0.9 տոկոսը։</w:t>
      </w:r>
    </w:p>
    <w:p w14:paraId="5FC2AE77" w14:textId="77777777" w:rsidR="00D128F7" w:rsidRPr="000232DD" w:rsidRDefault="00D128F7" w:rsidP="00D128F7">
      <w:pPr>
        <w:tabs>
          <w:tab w:val="left" w:pos="0"/>
        </w:tabs>
        <w:jc w:val="both"/>
        <w:rPr>
          <w:rFonts w:ascii="GHEA Grapalat" w:hAnsi="GHEA Grapalat" w:cs="Sylfaen"/>
          <w:iCs/>
          <w:color w:val="auto"/>
          <w:lang w:val="hy-AM" w:eastAsia="en-GB"/>
        </w:rPr>
      </w:pPr>
      <w:r w:rsidRPr="000232DD">
        <w:rPr>
          <w:rFonts w:ascii="GHEA Grapalat" w:hAnsi="GHEA Grapalat" w:cs="Sylfaen"/>
          <w:iCs/>
          <w:color w:val="auto"/>
          <w:lang w:val="hy-AM" w:eastAsia="en-GB"/>
        </w:rPr>
        <w:t>Այլ դոտացիաների գծով 2027 թվականին նախատեսվում է տրամադրել 0.1 մլրդ դրամ, իսկ 2028 և 2029 թվականներին հատկացումներ չեն նախատեսվում։</w:t>
      </w:r>
    </w:p>
    <w:p w14:paraId="4AABFC99" w14:textId="77777777" w:rsidR="00D128F7" w:rsidRPr="000232DD" w:rsidRDefault="00D128F7" w:rsidP="00D128F7">
      <w:pPr>
        <w:tabs>
          <w:tab w:val="left" w:pos="0"/>
        </w:tabs>
        <w:jc w:val="both"/>
        <w:rPr>
          <w:rFonts w:ascii="GHEA Grapalat" w:hAnsi="GHEA Grapalat" w:cs="Sylfaen"/>
          <w:iCs/>
          <w:color w:val="auto"/>
          <w:lang w:val="hy-AM" w:eastAsia="en-GB"/>
        </w:rPr>
      </w:pPr>
      <w:r w:rsidRPr="005355FB">
        <w:rPr>
          <w:rFonts w:ascii="GHEA Grapalat" w:hAnsi="GHEA Grapalat" w:cs="Sylfaen"/>
          <w:iCs/>
          <w:color w:val="auto"/>
          <w:lang w:val="hy-AM" w:eastAsia="en-GB"/>
        </w:rPr>
        <w:t>Համայնքներին սուբվենցիաների գծով նախատեսվում է հատկացնել 2027 թվականին՝ 25.9 մլրդ դրամ, 2028 թվականին՝ 26.5 մլրդ դրամ, իսկ 2029 թվականին՝ 27.2 մլրդ դրամ։ Նշված հատկացումները համապատասխան տարիներին կկազմեն պետական բյուջեի ընդհանուր ծախսերի 0.6 տոկոսը և ՀՆԱ-ի նկատմամբ՝ 0.2 տոկոսը</w:t>
      </w:r>
      <w:r w:rsidRPr="000232DD">
        <w:rPr>
          <w:rFonts w:ascii="GHEA Grapalat" w:hAnsi="GHEA Grapalat" w:cs="Sylfaen"/>
          <w:iCs/>
          <w:color w:val="auto"/>
          <w:lang w:val="hy-AM" w:eastAsia="en-GB"/>
        </w:rPr>
        <w:t>։</w:t>
      </w:r>
    </w:p>
    <w:p w14:paraId="43064C9A" w14:textId="77777777" w:rsidR="00D128F7" w:rsidRPr="000232DD" w:rsidRDefault="00D128F7" w:rsidP="00D128F7">
      <w:pPr>
        <w:tabs>
          <w:tab w:val="left" w:pos="0"/>
        </w:tabs>
        <w:jc w:val="both"/>
        <w:rPr>
          <w:rFonts w:ascii="GHEA Grapalat" w:hAnsi="GHEA Grapalat" w:cs="Sylfaen"/>
          <w:iCs/>
          <w:color w:val="auto"/>
          <w:lang w:val="hy-AM" w:eastAsia="en-GB"/>
        </w:rPr>
      </w:pPr>
      <w:r w:rsidRPr="000232DD">
        <w:rPr>
          <w:rFonts w:ascii="GHEA Grapalat" w:hAnsi="GHEA Grapalat" w:cs="Sylfaen"/>
          <w:iCs/>
          <w:color w:val="auto"/>
          <w:lang w:val="hy-AM" w:eastAsia="en-GB"/>
        </w:rPr>
        <w:t>Պատվիրակված լիազորությունների ֆինանսավորման նպատակով համայնքներին նախատեսվում է տրամադրել 2027 թվականին՝ 5.0 մլրդ դրամ, 2028 թվականին՝ 5.5 մլրդ դրամ, իսկ 2029 թվականին՝ 5.5 մլրդ դրամ, որոնք համապատասխան տարիներին կկազմեն պետական բյուջեի ընդհանուր ծախսերի 0.1 տոկոսը։</w:t>
      </w:r>
    </w:p>
    <w:p w14:paraId="63B593AC" w14:textId="77777777" w:rsidR="00D128F7" w:rsidRPr="000232DD" w:rsidRDefault="00D128F7" w:rsidP="00D128F7">
      <w:pPr>
        <w:tabs>
          <w:tab w:val="left" w:pos="0"/>
        </w:tabs>
        <w:jc w:val="both"/>
        <w:rPr>
          <w:rFonts w:ascii="GHEA Grapalat" w:hAnsi="GHEA Grapalat" w:cs="Sylfaen"/>
          <w:iCs/>
          <w:color w:val="auto"/>
          <w:lang w:val="hy-AM" w:eastAsia="en-GB"/>
        </w:rPr>
      </w:pPr>
      <w:r w:rsidRPr="000232DD">
        <w:rPr>
          <w:rFonts w:ascii="GHEA Grapalat" w:hAnsi="GHEA Grapalat" w:cs="Sylfaen"/>
          <w:iCs/>
          <w:color w:val="auto"/>
          <w:lang w:val="hy-AM" w:eastAsia="en-GB"/>
        </w:rPr>
        <w:t>Բացի վերոնշյալ հատկացումներից, պետական բյուջեից համայնքներին նախատեսվում է տրամադրել նաև այլ հատկացումներ, որոնք ներառում են, մասնավորապես, համայնքներին տրամադրվող ենթակառուցվածքային և կրթական ծրագրերի ֆինանսավորումը։ Այլ հատկացումների գծով 2027 թվականին նախատեսվում է 39.1 մլրդ դրամ, 2028 թվականին՝ 13.4 մլրդ դրամ, իսկ 2029 թվականին՝ 10.6 մլրդ դրամ։ Դրանք համապատասխան տարիներին կկազմեն պետական բյուջեի ընդհանուր ծախսերի համապատասխանաբար 1.0, 0.3 և 0.2 տոկոսը, իսկ ՀՆԱ-ի նկատմամբ՝ համապատասխանաբար 0.3, 0.1 և 0.1 տոկոսը։</w:t>
      </w:r>
    </w:p>
    <w:p w14:paraId="47EF249F" w14:textId="0F719BDF" w:rsidR="00D128F7" w:rsidRPr="00E73A9A" w:rsidRDefault="00D128F7" w:rsidP="00E73A9A">
      <w:pPr>
        <w:pStyle w:val="Charts"/>
        <w:ind w:right="-22"/>
        <w:rPr>
          <w:b w:val="0"/>
          <w:bCs/>
          <w:color w:val="auto"/>
          <w:sz w:val="20"/>
          <w:szCs w:val="18"/>
        </w:rPr>
      </w:pPr>
      <w:bookmarkStart w:id="416" w:name="_Toc241602022"/>
      <w:r w:rsidRPr="00E73A9A">
        <w:rPr>
          <w:b w:val="0"/>
          <w:bCs/>
          <w:color w:val="auto"/>
          <w:sz w:val="20"/>
          <w:szCs w:val="18"/>
        </w:rPr>
        <w:t xml:space="preserve">Աղյուսակ </w:t>
      </w:r>
      <w:r w:rsidRPr="00E73A9A">
        <w:rPr>
          <w:b w:val="0"/>
          <w:bCs/>
          <w:color w:val="auto"/>
          <w:sz w:val="20"/>
          <w:szCs w:val="18"/>
        </w:rPr>
        <w:fldChar w:fldCharType="begin"/>
      </w:r>
      <w:r w:rsidRPr="00E73A9A">
        <w:rPr>
          <w:b w:val="0"/>
          <w:bCs/>
          <w:color w:val="auto"/>
          <w:sz w:val="20"/>
          <w:szCs w:val="18"/>
        </w:rPr>
        <w:instrText xml:space="preserve"> SEQ Աղյուսակ \* ARABIC </w:instrText>
      </w:r>
      <w:r w:rsidRPr="00E73A9A">
        <w:rPr>
          <w:b w:val="0"/>
          <w:bCs/>
          <w:color w:val="auto"/>
          <w:sz w:val="20"/>
          <w:szCs w:val="18"/>
        </w:rPr>
        <w:fldChar w:fldCharType="separate"/>
      </w:r>
      <w:r w:rsidR="00E46048">
        <w:rPr>
          <w:b w:val="0"/>
          <w:bCs/>
          <w:noProof/>
          <w:color w:val="auto"/>
          <w:sz w:val="20"/>
          <w:szCs w:val="18"/>
        </w:rPr>
        <w:t>9</w:t>
      </w:r>
      <w:r w:rsidRPr="00E73A9A">
        <w:rPr>
          <w:b w:val="0"/>
          <w:bCs/>
          <w:color w:val="auto"/>
          <w:sz w:val="20"/>
          <w:szCs w:val="18"/>
        </w:rPr>
        <w:fldChar w:fldCharType="end"/>
      </w:r>
      <w:r w:rsidRPr="00E73A9A">
        <w:rPr>
          <w:b w:val="0"/>
          <w:bCs/>
          <w:color w:val="auto"/>
          <w:sz w:val="20"/>
          <w:szCs w:val="18"/>
        </w:rPr>
        <w:t>7.  ՀՀ պետական բյուջեից ՀՀ համայնքների բյուջեներին տրվող հատկացումները</w:t>
      </w:r>
      <w:bookmarkEnd w:id="411"/>
      <w:r w:rsidRPr="00E73A9A">
        <w:rPr>
          <w:b w:val="0"/>
          <w:bCs/>
          <w:color w:val="auto"/>
          <w:sz w:val="20"/>
          <w:szCs w:val="18"/>
        </w:rPr>
        <w:t>, մլրդ դրամ</w:t>
      </w:r>
      <w:bookmarkEnd w:id="412"/>
      <w:bookmarkEnd w:id="413"/>
      <w:bookmarkEnd w:id="414"/>
      <w:bookmarkEnd w:id="416"/>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55"/>
        <w:gridCol w:w="805"/>
        <w:gridCol w:w="905"/>
        <w:gridCol w:w="720"/>
        <w:gridCol w:w="900"/>
        <w:gridCol w:w="900"/>
        <w:gridCol w:w="900"/>
        <w:gridCol w:w="990"/>
      </w:tblGrid>
      <w:tr w:rsidR="00D128F7" w:rsidRPr="000232DD" w14:paraId="20A0E16A" w14:textId="77777777" w:rsidTr="00DE6A4A">
        <w:trPr>
          <w:trHeight w:val="448"/>
        </w:trPr>
        <w:tc>
          <w:tcPr>
            <w:tcW w:w="3955" w:type="dxa"/>
            <w:vMerge w:val="restart"/>
            <w:shd w:val="clear" w:color="auto" w:fill="DAE9F7" w:themeFill="text2" w:themeFillTint="1A"/>
            <w:vAlign w:val="center"/>
          </w:tcPr>
          <w:p w14:paraId="3C5CBA42" w14:textId="77777777" w:rsidR="00D128F7" w:rsidRPr="000232DD" w:rsidRDefault="00D128F7" w:rsidP="00C03477">
            <w:pPr>
              <w:spacing w:before="0" w:after="0" w:line="240" w:lineRule="auto"/>
              <w:ind w:right="495"/>
              <w:rPr>
                <w:rFonts w:ascii="GHEA Grapalat" w:hAnsi="GHEA Grapalat"/>
                <w:bCs/>
                <w:color w:val="auto"/>
                <w:sz w:val="18"/>
                <w:szCs w:val="18"/>
                <w:lang w:val="ru-RU"/>
              </w:rPr>
            </w:pPr>
            <w:r w:rsidRPr="000232DD">
              <w:rPr>
                <w:rFonts w:ascii="GHEA Grapalat" w:hAnsi="GHEA Grapalat"/>
                <w:bCs/>
                <w:color w:val="auto"/>
                <w:sz w:val="18"/>
                <w:szCs w:val="18"/>
              </w:rPr>
              <w:t>Ցուցանիշներ</w:t>
            </w:r>
          </w:p>
        </w:tc>
        <w:tc>
          <w:tcPr>
            <w:tcW w:w="2430" w:type="dxa"/>
            <w:gridSpan w:val="3"/>
            <w:shd w:val="clear" w:color="auto" w:fill="DAE9F7" w:themeFill="text2" w:themeFillTint="1A"/>
            <w:vAlign w:val="center"/>
          </w:tcPr>
          <w:p w14:paraId="4C624F4A" w14:textId="77777777" w:rsidR="00D128F7" w:rsidRPr="000232DD" w:rsidRDefault="00D128F7" w:rsidP="00C03477">
            <w:pPr>
              <w:spacing w:before="0" w:after="0" w:line="240" w:lineRule="auto"/>
              <w:jc w:val="center"/>
              <w:rPr>
                <w:rFonts w:ascii="GHEA Grapalat" w:hAnsi="GHEA Grapalat"/>
                <w:bCs/>
                <w:color w:val="auto"/>
                <w:sz w:val="18"/>
                <w:szCs w:val="18"/>
              </w:rPr>
            </w:pPr>
            <w:r w:rsidRPr="000232DD">
              <w:rPr>
                <w:rFonts w:ascii="GHEA Grapalat" w:hAnsi="GHEA Grapalat"/>
                <w:bCs/>
                <w:color w:val="auto"/>
                <w:sz w:val="18"/>
                <w:szCs w:val="18"/>
              </w:rPr>
              <w:t>Փաստ</w:t>
            </w:r>
          </w:p>
        </w:tc>
        <w:tc>
          <w:tcPr>
            <w:tcW w:w="900" w:type="dxa"/>
            <w:shd w:val="clear" w:color="auto" w:fill="DAE9F7" w:themeFill="text2" w:themeFillTint="1A"/>
            <w:vAlign w:val="center"/>
          </w:tcPr>
          <w:p w14:paraId="7288B780" w14:textId="77777777" w:rsidR="00D128F7" w:rsidRPr="000232DD" w:rsidRDefault="00D128F7" w:rsidP="00C03477">
            <w:pPr>
              <w:spacing w:before="0" w:after="0" w:line="240" w:lineRule="auto"/>
              <w:jc w:val="center"/>
              <w:rPr>
                <w:rFonts w:ascii="GHEA Grapalat" w:hAnsi="GHEA Grapalat"/>
                <w:bCs/>
                <w:color w:val="auto"/>
                <w:sz w:val="18"/>
                <w:szCs w:val="18"/>
                <w:lang w:val="hy-AM"/>
              </w:rPr>
            </w:pPr>
            <w:r w:rsidRPr="000232DD">
              <w:rPr>
                <w:rFonts w:ascii="GHEA Grapalat" w:hAnsi="GHEA Grapalat"/>
                <w:bCs/>
                <w:color w:val="auto"/>
                <w:sz w:val="18"/>
                <w:szCs w:val="18"/>
              </w:rPr>
              <w:t>Բյուջե</w:t>
            </w:r>
          </w:p>
        </w:tc>
        <w:tc>
          <w:tcPr>
            <w:tcW w:w="2790" w:type="dxa"/>
            <w:gridSpan w:val="3"/>
            <w:shd w:val="clear" w:color="auto" w:fill="DAE9F7" w:themeFill="text2" w:themeFillTint="1A"/>
            <w:vAlign w:val="center"/>
          </w:tcPr>
          <w:p w14:paraId="01F49FBE" w14:textId="77777777" w:rsidR="00D128F7" w:rsidRPr="000232DD" w:rsidRDefault="00D128F7" w:rsidP="00C03477">
            <w:pPr>
              <w:spacing w:before="0" w:after="0" w:line="240" w:lineRule="auto"/>
              <w:jc w:val="center"/>
              <w:rPr>
                <w:rFonts w:ascii="GHEA Grapalat" w:hAnsi="GHEA Grapalat"/>
                <w:bCs/>
                <w:color w:val="auto"/>
                <w:sz w:val="18"/>
                <w:szCs w:val="18"/>
              </w:rPr>
            </w:pPr>
            <w:r w:rsidRPr="000232DD">
              <w:rPr>
                <w:rFonts w:ascii="GHEA Grapalat" w:hAnsi="GHEA Grapalat"/>
                <w:bCs/>
                <w:color w:val="auto"/>
                <w:sz w:val="18"/>
                <w:szCs w:val="18"/>
                <w:lang w:val="hy-AM"/>
              </w:rPr>
              <w:t>Ծ</w:t>
            </w:r>
            <w:r w:rsidRPr="000232DD">
              <w:rPr>
                <w:rFonts w:ascii="GHEA Grapalat" w:hAnsi="GHEA Grapalat"/>
                <w:bCs/>
                <w:color w:val="auto"/>
                <w:sz w:val="18"/>
                <w:szCs w:val="18"/>
              </w:rPr>
              <w:t>րագիր</w:t>
            </w:r>
          </w:p>
        </w:tc>
      </w:tr>
      <w:tr w:rsidR="00DE6A4A" w:rsidRPr="000232DD" w14:paraId="0C2FBF1A" w14:textId="77777777" w:rsidTr="00DE6A4A">
        <w:trPr>
          <w:trHeight w:val="360"/>
        </w:trPr>
        <w:tc>
          <w:tcPr>
            <w:tcW w:w="3955" w:type="dxa"/>
            <w:vMerge/>
            <w:shd w:val="clear" w:color="auto" w:fill="DAE9F7" w:themeFill="text2" w:themeFillTint="1A"/>
            <w:vAlign w:val="center"/>
          </w:tcPr>
          <w:p w14:paraId="56F46B7D" w14:textId="77777777" w:rsidR="00D128F7" w:rsidRPr="000232DD" w:rsidRDefault="00D128F7" w:rsidP="00C03477">
            <w:pPr>
              <w:spacing w:before="0" w:after="0" w:line="240" w:lineRule="auto"/>
              <w:ind w:right="429"/>
              <w:rPr>
                <w:rFonts w:ascii="GHEA Grapalat" w:hAnsi="GHEA Grapalat"/>
                <w:bCs/>
                <w:color w:val="auto"/>
                <w:sz w:val="18"/>
                <w:szCs w:val="18"/>
                <w:lang w:val="hy-AM"/>
              </w:rPr>
            </w:pPr>
          </w:p>
        </w:tc>
        <w:tc>
          <w:tcPr>
            <w:tcW w:w="805" w:type="dxa"/>
            <w:shd w:val="clear" w:color="auto" w:fill="DAE9F7" w:themeFill="text2" w:themeFillTint="1A"/>
            <w:vAlign w:val="center"/>
          </w:tcPr>
          <w:p w14:paraId="79CC6BEE" w14:textId="77777777" w:rsidR="00D128F7" w:rsidRPr="000232DD" w:rsidRDefault="00D128F7" w:rsidP="00C03477">
            <w:pPr>
              <w:spacing w:before="0" w:after="0" w:line="240" w:lineRule="auto"/>
              <w:jc w:val="center"/>
              <w:rPr>
                <w:rFonts w:ascii="GHEA Grapalat" w:hAnsi="GHEA Grapalat"/>
                <w:bCs/>
                <w:color w:val="auto"/>
                <w:sz w:val="18"/>
                <w:szCs w:val="18"/>
              </w:rPr>
            </w:pPr>
            <w:r w:rsidRPr="000232DD">
              <w:rPr>
                <w:rFonts w:ascii="GHEA Grapalat" w:hAnsi="GHEA Grapalat"/>
                <w:bCs/>
                <w:color w:val="auto"/>
                <w:sz w:val="18"/>
                <w:szCs w:val="18"/>
              </w:rPr>
              <w:t>2023</w:t>
            </w:r>
          </w:p>
        </w:tc>
        <w:tc>
          <w:tcPr>
            <w:tcW w:w="905" w:type="dxa"/>
            <w:shd w:val="clear" w:color="auto" w:fill="DAE9F7" w:themeFill="text2" w:themeFillTint="1A"/>
            <w:vAlign w:val="center"/>
          </w:tcPr>
          <w:p w14:paraId="32557B47" w14:textId="77777777" w:rsidR="00D128F7" w:rsidRPr="000232DD" w:rsidRDefault="00D128F7" w:rsidP="00C03477">
            <w:pPr>
              <w:spacing w:before="0" w:after="0" w:line="240" w:lineRule="auto"/>
              <w:jc w:val="center"/>
              <w:rPr>
                <w:rFonts w:ascii="GHEA Grapalat" w:hAnsi="GHEA Grapalat"/>
                <w:bCs/>
                <w:color w:val="auto"/>
                <w:sz w:val="18"/>
                <w:szCs w:val="18"/>
              </w:rPr>
            </w:pPr>
            <w:r w:rsidRPr="000232DD">
              <w:rPr>
                <w:rFonts w:ascii="GHEA Grapalat" w:hAnsi="GHEA Grapalat"/>
                <w:bCs/>
                <w:color w:val="auto"/>
                <w:sz w:val="18"/>
                <w:szCs w:val="18"/>
              </w:rPr>
              <w:t>2024</w:t>
            </w:r>
          </w:p>
        </w:tc>
        <w:tc>
          <w:tcPr>
            <w:tcW w:w="720" w:type="dxa"/>
            <w:shd w:val="clear" w:color="auto" w:fill="DAE9F7" w:themeFill="text2" w:themeFillTint="1A"/>
            <w:vAlign w:val="center"/>
          </w:tcPr>
          <w:p w14:paraId="14672957" w14:textId="77777777" w:rsidR="00D128F7" w:rsidRPr="000232DD" w:rsidRDefault="00D128F7" w:rsidP="00C03477">
            <w:pPr>
              <w:spacing w:before="0" w:after="0" w:line="240" w:lineRule="auto"/>
              <w:jc w:val="center"/>
              <w:rPr>
                <w:rFonts w:ascii="GHEA Grapalat" w:hAnsi="GHEA Grapalat"/>
                <w:bCs/>
                <w:color w:val="auto"/>
                <w:sz w:val="18"/>
                <w:szCs w:val="18"/>
              </w:rPr>
            </w:pPr>
            <w:r w:rsidRPr="000232DD">
              <w:rPr>
                <w:rFonts w:ascii="GHEA Grapalat" w:hAnsi="GHEA Grapalat"/>
                <w:bCs/>
                <w:color w:val="auto"/>
                <w:sz w:val="18"/>
                <w:szCs w:val="18"/>
              </w:rPr>
              <w:t>2025</w:t>
            </w:r>
          </w:p>
        </w:tc>
        <w:tc>
          <w:tcPr>
            <w:tcW w:w="900" w:type="dxa"/>
            <w:shd w:val="clear" w:color="auto" w:fill="DAE9F7" w:themeFill="text2" w:themeFillTint="1A"/>
            <w:vAlign w:val="center"/>
          </w:tcPr>
          <w:p w14:paraId="54A99A36" w14:textId="77777777" w:rsidR="00D128F7" w:rsidRPr="000232DD" w:rsidRDefault="00D128F7" w:rsidP="00C03477">
            <w:pPr>
              <w:spacing w:before="0" w:after="0" w:line="240" w:lineRule="auto"/>
              <w:jc w:val="center"/>
              <w:rPr>
                <w:rFonts w:ascii="GHEA Grapalat" w:hAnsi="GHEA Grapalat"/>
                <w:bCs/>
                <w:color w:val="auto"/>
                <w:sz w:val="18"/>
                <w:szCs w:val="18"/>
                <w:lang w:val="hy-AM"/>
              </w:rPr>
            </w:pPr>
            <w:r w:rsidRPr="000232DD">
              <w:rPr>
                <w:rFonts w:ascii="GHEA Grapalat" w:hAnsi="GHEA Grapalat"/>
                <w:bCs/>
                <w:color w:val="auto"/>
                <w:sz w:val="18"/>
                <w:szCs w:val="18"/>
                <w:lang w:val="hy-AM"/>
              </w:rPr>
              <w:t>2026</w:t>
            </w:r>
          </w:p>
        </w:tc>
        <w:tc>
          <w:tcPr>
            <w:tcW w:w="900" w:type="dxa"/>
            <w:shd w:val="clear" w:color="auto" w:fill="DAE9F7" w:themeFill="text2" w:themeFillTint="1A"/>
            <w:vAlign w:val="center"/>
          </w:tcPr>
          <w:p w14:paraId="098DFEE2" w14:textId="77777777" w:rsidR="00D128F7" w:rsidRPr="000232DD" w:rsidRDefault="00D128F7" w:rsidP="00C03477">
            <w:pPr>
              <w:spacing w:before="0" w:after="0" w:line="240" w:lineRule="auto"/>
              <w:jc w:val="center"/>
              <w:rPr>
                <w:rFonts w:ascii="GHEA Grapalat" w:hAnsi="GHEA Grapalat"/>
                <w:bCs/>
                <w:color w:val="auto"/>
                <w:sz w:val="18"/>
                <w:szCs w:val="18"/>
                <w:lang w:val="hy-AM"/>
              </w:rPr>
            </w:pPr>
            <w:r w:rsidRPr="000232DD">
              <w:rPr>
                <w:rFonts w:ascii="GHEA Grapalat" w:hAnsi="GHEA Grapalat"/>
                <w:bCs/>
                <w:color w:val="auto"/>
                <w:sz w:val="18"/>
                <w:szCs w:val="18"/>
                <w:lang w:val="hy-AM"/>
              </w:rPr>
              <w:t>2027</w:t>
            </w:r>
          </w:p>
        </w:tc>
        <w:tc>
          <w:tcPr>
            <w:tcW w:w="900" w:type="dxa"/>
            <w:shd w:val="clear" w:color="auto" w:fill="DAE9F7" w:themeFill="text2" w:themeFillTint="1A"/>
            <w:vAlign w:val="center"/>
          </w:tcPr>
          <w:p w14:paraId="2777E1D8" w14:textId="77777777" w:rsidR="00D128F7" w:rsidRPr="000232DD" w:rsidRDefault="00D128F7" w:rsidP="00C03477">
            <w:pPr>
              <w:spacing w:before="0" w:after="0" w:line="240" w:lineRule="auto"/>
              <w:jc w:val="center"/>
              <w:rPr>
                <w:rFonts w:ascii="GHEA Grapalat" w:hAnsi="GHEA Grapalat"/>
                <w:bCs/>
                <w:color w:val="auto"/>
                <w:sz w:val="18"/>
                <w:szCs w:val="18"/>
                <w:lang w:val="hy-AM"/>
              </w:rPr>
            </w:pPr>
            <w:r w:rsidRPr="000232DD">
              <w:rPr>
                <w:rFonts w:ascii="GHEA Grapalat" w:hAnsi="GHEA Grapalat"/>
                <w:bCs/>
                <w:color w:val="auto"/>
                <w:sz w:val="18"/>
                <w:szCs w:val="18"/>
                <w:lang w:val="hy-AM"/>
              </w:rPr>
              <w:t>2028</w:t>
            </w:r>
          </w:p>
        </w:tc>
        <w:tc>
          <w:tcPr>
            <w:tcW w:w="990" w:type="dxa"/>
            <w:shd w:val="clear" w:color="auto" w:fill="DAE9F7" w:themeFill="text2" w:themeFillTint="1A"/>
            <w:vAlign w:val="center"/>
          </w:tcPr>
          <w:p w14:paraId="3D1FE8B8" w14:textId="77777777" w:rsidR="00D128F7" w:rsidRPr="000232DD" w:rsidRDefault="00D128F7" w:rsidP="00C03477">
            <w:pPr>
              <w:spacing w:before="0" w:after="0" w:line="240" w:lineRule="auto"/>
              <w:jc w:val="center"/>
              <w:rPr>
                <w:rFonts w:ascii="GHEA Grapalat" w:hAnsi="GHEA Grapalat"/>
                <w:bCs/>
                <w:color w:val="auto"/>
                <w:sz w:val="18"/>
                <w:szCs w:val="18"/>
                <w:lang w:val="hy-AM"/>
              </w:rPr>
            </w:pPr>
            <w:r w:rsidRPr="000232DD">
              <w:rPr>
                <w:rFonts w:ascii="GHEA Grapalat" w:hAnsi="GHEA Grapalat"/>
                <w:bCs/>
                <w:color w:val="auto"/>
                <w:sz w:val="18"/>
                <w:szCs w:val="18"/>
                <w:lang w:val="hy-AM"/>
              </w:rPr>
              <w:t>2029</w:t>
            </w:r>
          </w:p>
        </w:tc>
      </w:tr>
      <w:tr w:rsidR="00D128F7" w:rsidRPr="000232DD" w14:paraId="2ACE7C35" w14:textId="77777777" w:rsidTr="00DE6A4A">
        <w:trPr>
          <w:trHeight w:val="360"/>
        </w:trPr>
        <w:tc>
          <w:tcPr>
            <w:tcW w:w="3955" w:type="dxa"/>
            <w:shd w:val="clear" w:color="auto" w:fill="auto"/>
          </w:tcPr>
          <w:p w14:paraId="1EC2FD46" w14:textId="77777777" w:rsidR="00D128F7" w:rsidRPr="000232DD" w:rsidRDefault="00D128F7" w:rsidP="00C03477">
            <w:pPr>
              <w:spacing w:before="0" w:after="0" w:line="240" w:lineRule="auto"/>
              <w:ind w:right="429"/>
              <w:rPr>
                <w:rFonts w:ascii="GHEA Grapalat" w:hAnsi="GHEA Grapalat"/>
                <w:color w:val="auto"/>
                <w:sz w:val="18"/>
                <w:szCs w:val="18"/>
                <w:lang w:val="hy-AM"/>
              </w:rPr>
            </w:pPr>
            <w:r w:rsidRPr="000232DD">
              <w:rPr>
                <w:rFonts w:ascii="GHEA Grapalat" w:hAnsi="GHEA Grapalat"/>
                <w:color w:val="auto"/>
                <w:sz w:val="18"/>
                <w:szCs w:val="18"/>
              </w:rPr>
              <w:t>ԸՆԴԱՄԵՆԸ</w:t>
            </w:r>
          </w:p>
        </w:tc>
        <w:tc>
          <w:tcPr>
            <w:tcW w:w="805" w:type="dxa"/>
            <w:shd w:val="clear" w:color="auto" w:fill="auto"/>
            <w:vAlign w:val="center"/>
          </w:tcPr>
          <w:p w14:paraId="397B1C14"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152.1</w:t>
            </w:r>
          </w:p>
        </w:tc>
        <w:tc>
          <w:tcPr>
            <w:tcW w:w="905" w:type="dxa"/>
            <w:shd w:val="clear" w:color="auto" w:fill="auto"/>
            <w:vAlign w:val="center"/>
          </w:tcPr>
          <w:p w14:paraId="42F10734"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155.2</w:t>
            </w:r>
          </w:p>
        </w:tc>
        <w:tc>
          <w:tcPr>
            <w:tcW w:w="720" w:type="dxa"/>
            <w:shd w:val="clear" w:color="auto" w:fill="auto"/>
            <w:vAlign w:val="center"/>
          </w:tcPr>
          <w:p w14:paraId="33AE2ADC" w14:textId="77777777" w:rsidR="00D128F7" w:rsidRPr="000232DD" w:rsidRDefault="00D128F7" w:rsidP="00C03477">
            <w:pPr>
              <w:spacing w:before="0" w:after="0" w:line="240" w:lineRule="auto"/>
              <w:jc w:val="right"/>
              <w:rPr>
                <w:rFonts w:ascii="Arial Narrow" w:hAnsi="Arial Narrow"/>
                <w:color w:val="auto"/>
                <w:sz w:val="18"/>
                <w:szCs w:val="18"/>
                <w:lang w:val="hy-AM"/>
              </w:rPr>
            </w:pPr>
            <w:r w:rsidRPr="000232DD">
              <w:rPr>
                <w:rFonts w:ascii="Arial Narrow" w:hAnsi="Arial Narrow"/>
                <w:color w:val="auto"/>
                <w:sz w:val="18"/>
                <w:szCs w:val="18"/>
              </w:rPr>
              <w:t>156.5</w:t>
            </w:r>
          </w:p>
        </w:tc>
        <w:tc>
          <w:tcPr>
            <w:tcW w:w="900" w:type="dxa"/>
            <w:shd w:val="clear" w:color="auto" w:fill="auto"/>
            <w:vAlign w:val="center"/>
          </w:tcPr>
          <w:p w14:paraId="3BAF1303" w14:textId="77777777" w:rsidR="00D128F7" w:rsidRPr="000232DD" w:rsidRDefault="00D128F7" w:rsidP="00C03477">
            <w:pPr>
              <w:spacing w:before="0" w:after="0" w:line="240" w:lineRule="auto"/>
              <w:jc w:val="right"/>
              <w:rPr>
                <w:rFonts w:ascii="Arial Narrow" w:hAnsi="Arial Narrow"/>
                <w:color w:val="auto"/>
                <w:sz w:val="18"/>
                <w:szCs w:val="18"/>
                <w:lang w:val="ru-RU"/>
              </w:rPr>
            </w:pPr>
            <w:r w:rsidRPr="000232DD">
              <w:rPr>
                <w:rFonts w:ascii="Arial Narrow" w:hAnsi="Arial Narrow"/>
                <w:color w:val="auto"/>
                <w:sz w:val="18"/>
                <w:szCs w:val="18"/>
              </w:rPr>
              <w:t>177.4</w:t>
            </w:r>
          </w:p>
        </w:tc>
        <w:tc>
          <w:tcPr>
            <w:tcW w:w="900" w:type="dxa"/>
            <w:shd w:val="clear" w:color="auto" w:fill="FFFFFF" w:themeFill="background1"/>
            <w:vAlign w:val="center"/>
          </w:tcPr>
          <w:p w14:paraId="467932CE" w14:textId="77777777" w:rsidR="00D128F7" w:rsidRPr="000232DD" w:rsidRDefault="00D128F7" w:rsidP="00C03477">
            <w:pPr>
              <w:spacing w:before="0" w:after="0" w:line="240" w:lineRule="auto"/>
              <w:jc w:val="right"/>
              <w:rPr>
                <w:rFonts w:ascii="Arial Narrow" w:hAnsi="Arial Narrow"/>
                <w:bCs/>
                <w:color w:val="auto"/>
                <w:sz w:val="18"/>
                <w:szCs w:val="18"/>
                <w:lang w:val="hy-AM"/>
              </w:rPr>
            </w:pPr>
            <w:r w:rsidRPr="000232DD">
              <w:rPr>
                <w:rFonts w:ascii="Arial Narrow" w:hAnsi="Arial Narrow"/>
                <w:bCs/>
                <w:color w:val="auto"/>
                <w:sz w:val="18"/>
                <w:szCs w:val="18"/>
                <w:lang w:val="hy-AM"/>
              </w:rPr>
              <w:t>191.6</w:t>
            </w:r>
          </w:p>
        </w:tc>
        <w:tc>
          <w:tcPr>
            <w:tcW w:w="900" w:type="dxa"/>
            <w:vAlign w:val="center"/>
          </w:tcPr>
          <w:p w14:paraId="329EE513"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181.4</w:t>
            </w:r>
          </w:p>
        </w:tc>
        <w:tc>
          <w:tcPr>
            <w:tcW w:w="990" w:type="dxa"/>
            <w:shd w:val="clear" w:color="auto" w:fill="auto"/>
            <w:vAlign w:val="center"/>
          </w:tcPr>
          <w:p w14:paraId="14C6D462" w14:textId="77777777" w:rsidR="00D128F7" w:rsidRPr="000232DD" w:rsidRDefault="00D128F7" w:rsidP="00C03477">
            <w:pPr>
              <w:spacing w:before="0" w:after="0" w:line="240" w:lineRule="auto"/>
              <w:jc w:val="right"/>
              <w:rPr>
                <w:rFonts w:ascii="Arial Narrow" w:hAnsi="Arial Narrow"/>
                <w:bCs/>
                <w:color w:val="auto"/>
                <w:sz w:val="18"/>
                <w:szCs w:val="18"/>
              </w:rPr>
            </w:pPr>
            <w:r w:rsidRPr="000232DD">
              <w:rPr>
                <w:rFonts w:ascii="Arial Narrow" w:hAnsi="Arial Narrow"/>
                <w:bCs/>
                <w:color w:val="auto"/>
                <w:sz w:val="18"/>
                <w:szCs w:val="18"/>
              </w:rPr>
              <w:t>196.5</w:t>
            </w:r>
          </w:p>
        </w:tc>
      </w:tr>
      <w:tr w:rsidR="00D128F7" w:rsidRPr="000232DD" w14:paraId="59B69EE0" w14:textId="77777777" w:rsidTr="00DE6A4A">
        <w:trPr>
          <w:trHeight w:val="360"/>
        </w:trPr>
        <w:tc>
          <w:tcPr>
            <w:tcW w:w="3955" w:type="dxa"/>
            <w:shd w:val="clear" w:color="auto" w:fill="auto"/>
          </w:tcPr>
          <w:p w14:paraId="4E7FD778" w14:textId="77777777" w:rsidR="00D128F7" w:rsidRPr="000232DD" w:rsidRDefault="00D128F7" w:rsidP="00C03477">
            <w:pPr>
              <w:spacing w:before="0" w:after="0" w:line="240" w:lineRule="auto"/>
              <w:ind w:right="495"/>
              <w:rPr>
                <w:rFonts w:ascii="GHEA Grapalat" w:hAnsi="GHEA Grapalat"/>
                <w:color w:val="auto"/>
                <w:sz w:val="18"/>
                <w:szCs w:val="18"/>
              </w:rPr>
            </w:pPr>
            <w:r w:rsidRPr="000232DD">
              <w:rPr>
                <w:rFonts w:ascii="GHEA Grapalat" w:hAnsi="GHEA Grapalat"/>
                <w:color w:val="auto"/>
                <w:sz w:val="18"/>
                <w:szCs w:val="18"/>
              </w:rPr>
              <w:t>Ֆինանսական համահարթեց</w:t>
            </w:r>
            <w:r w:rsidRPr="000232DD">
              <w:rPr>
                <w:rFonts w:ascii="GHEA Grapalat" w:hAnsi="GHEA Grapalat"/>
                <w:color w:val="auto"/>
                <w:sz w:val="18"/>
                <w:szCs w:val="18"/>
              </w:rPr>
              <w:softHyphen/>
            </w:r>
            <w:r w:rsidRPr="000232DD">
              <w:rPr>
                <w:rFonts w:ascii="GHEA Grapalat" w:hAnsi="GHEA Grapalat"/>
                <w:color w:val="auto"/>
                <w:sz w:val="18"/>
                <w:szCs w:val="18"/>
              </w:rPr>
              <w:softHyphen/>
              <w:t xml:space="preserve">ման դոտացիաներ </w:t>
            </w:r>
          </w:p>
        </w:tc>
        <w:tc>
          <w:tcPr>
            <w:tcW w:w="805" w:type="dxa"/>
            <w:shd w:val="clear" w:color="auto" w:fill="auto"/>
            <w:vAlign w:val="center"/>
          </w:tcPr>
          <w:p w14:paraId="1979E4BF"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69.8</w:t>
            </w:r>
          </w:p>
        </w:tc>
        <w:tc>
          <w:tcPr>
            <w:tcW w:w="905" w:type="dxa"/>
            <w:shd w:val="clear" w:color="auto" w:fill="auto"/>
            <w:vAlign w:val="center"/>
          </w:tcPr>
          <w:p w14:paraId="7449382B"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85.3</w:t>
            </w:r>
          </w:p>
        </w:tc>
        <w:tc>
          <w:tcPr>
            <w:tcW w:w="720" w:type="dxa"/>
            <w:shd w:val="clear" w:color="auto" w:fill="auto"/>
            <w:vAlign w:val="center"/>
          </w:tcPr>
          <w:p w14:paraId="37FCC015"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98.2</w:t>
            </w:r>
          </w:p>
        </w:tc>
        <w:tc>
          <w:tcPr>
            <w:tcW w:w="900" w:type="dxa"/>
            <w:shd w:val="clear" w:color="auto" w:fill="auto"/>
            <w:vAlign w:val="center"/>
          </w:tcPr>
          <w:p w14:paraId="7661C635"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107.9</w:t>
            </w:r>
          </w:p>
        </w:tc>
        <w:tc>
          <w:tcPr>
            <w:tcW w:w="900" w:type="dxa"/>
            <w:shd w:val="clear" w:color="auto" w:fill="FFFFFF" w:themeFill="background1"/>
            <w:vAlign w:val="center"/>
          </w:tcPr>
          <w:p w14:paraId="1FFDE4A1"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121.5</w:t>
            </w:r>
          </w:p>
        </w:tc>
        <w:tc>
          <w:tcPr>
            <w:tcW w:w="900" w:type="dxa"/>
            <w:vAlign w:val="center"/>
          </w:tcPr>
          <w:p w14:paraId="6A38B440"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136</w:t>
            </w:r>
          </w:p>
        </w:tc>
        <w:tc>
          <w:tcPr>
            <w:tcW w:w="990" w:type="dxa"/>
            <w:shd w:val="clear" w:color="auto" w:fill="auto"/>
            <w:vAlign w:val="center"/>
          </w:tcPr>
          <w:p w14:paraId="1C67EB32" w14:textId="77777777" w:rsidR="00D128F7" w:rsidRPr="000232DD" w:rsidRDefault="00D128F7" w:rsidP="00C03477">
            <w:pPr>
              <w:spacing w:before="0" w:after="0" w:line="240" w:lineRule="auto"/>
              <w:jc w:val="right"/>
              <w:rPr>
                <w:rFonts w:ascii="Arial Narrow" w:hAnsi="Arial Narrow"/>
                <w:bCs/>
                <w:color w:val="auto"/>
                <w:sz w:val="18"/>
                <w:szCs w:val="18"/>
              </w:rPr>
            </w:pPr>
            <w:r w:rsidRPr="000232DD">
              <w:rPr>
                <w:rFonts w:ascii="Arial Narrow" w:hAnsi="Arial Narrow" w:cs="Calibri"/>
                <w:bCs/>
                <w:color w:val="auto"/>
                <w:sz w:val="18"/>
                <w:szCs w:val="18"/>
              </w:rPr>
              <w:t>153.2</w:t>
            </w:r>
          </w:p>
        </w:tc>
      </w:tr>
      <w:tr w:rsidR="00D128F7" w:rsidRPr="000232DD" w14:paraId="3557D6D3" w14:textId="77777777" w:rsidTr="00DE6A4A">
        <w:trPr>
          <w:trHeight w:val="360"/>
        </w:trPr>
        <w:tc>
          <w:tcPr>
            <w:tcW w:w="3955" w:type="dxa"/>
            <w:shd w:val="clear" w:color="auto" w:fill="auto"/>
          </w:tcPr>
          <w:p w14:paraId="4DF9DCAD" w14:textId="77777777" w:rsidR="00D128F7" w:rsidRPr="000232DD" w:rsidRDefault="00D128F7" w:rsidP="00C03477">
            <w:pPr>
              <w:spacing w:before="0" w:after="0" w:line="240" w:lineRule="auto"/>
              <w:ind w:right="495"/>
              <w:rPr>
                <w:rFonts w:ascii="GHEA Grapalat" w:hAnsi="GHEA Grapalat"/>
                <w:color w:val="auto"/>
                <w:sz w:val="18"/>
                <w:szCs w:val="18"/>
              </w:rPr>
            </w:pPr>
            <w:r w:rsidRPr="000232DD">
              <w:rPr>
                <w:rFonts w:ascii="GHEA Grapalat" w:hAnsi="GHEA Grapalat"/>
                <w:color w:val="auto"/>
                <w:sz w:val="18"/>
                <w:szCs w:val="18"/>
              </w:rPr>
              <w:t>Այլ դոտացիաներ</w:t>
            </w:r>
          </w:p>
        </w:tc>
        <w:tc>
          <w:tcPr>
            <w:tcW w:w="805" w:type="dxa"/>
            <w:shd w:val="clear" w:color="auto" w:fill="auto"/>
            <w:vAlign w:val="center"/>
          </w:tcPr>
          <w:p w14:paraId="0593C8DF"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0.2</w:t>
            </w:r>
          </w:p>
        </w:tc>
        <w:tc>
          <w:tcPr>
            <w:tcW w:w="905" w:type="dxa"/>
            <w:shd w:val="clear" w:color="auto" w:fill="auto"/>
            <w:vAlign w:val="center"/>
          </w:tcPr>
          <w:p w14:paraId="118DB555"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5.1</w:t>
            </w:r>
          </w:p>
        </w:tc>
        <w:tc>
          <w:tcPr>
            <w:tcW w:w="720" w:type="dxa"/>
            <w:shd w:val="clear" w:color="auto" w:fill="auto"/>
            <w:vAlign w:val="center"/>
          </w:tcPr>
          <w:p w14:paraId="047238B4"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0</w:t>
            </w:r>
          </w:p>
        </w:tc>
        <w:tc>
          <w:tcPr>
            <w:tcW w:w="900" w:type="dxa"/>
            <w:shd w:val="clear" w:color="auto" w:fill="auto"/>
            <w:vAlign w:val="center"/>
          </w:tcPr>
          <w:p w14:paraId="2CF5F50F"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0.2</w:t>
            </w:r>
          </w:p>
        </w:tc>
        <w:tc>
          <w:tcPr>
            <w:tcW w:w="900" w:type="dxa"/>
            <w:shd w:val="clear" w:color="auto" w:fill="FFFFFF" w:themeFill="background1"/>
            <w:vAlign w:val="center"/>
          </w:tcPr>
          <w:p w14:paraId="72C7059B"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0.1</w:t>
            </w:r>
          </w:p>
        </w:tc>
        <w:tc>
          <w:tcPr>
            <w:tcW w:w="900" w:type="dxa"/>
            <w:vAlign w:val="center"/>
          </w:tcPr>
          <w:p w14:paraId="582EFE3F"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0</w:t>
            </w:r>
          </w:p>
        </w:tc>
        <w:tc>
          <w:tcPr>
            <w:tcW w:w="990" w:type="dxa"/>
            <w:shd w:val="clear" w:color="auto" w:fill="auto"/>
            <w:vAlign w:val="center"/>
          </w:tcPr>
          <w:p w14:paraId="1DDCA94E" w14:textId="77777777" w:rsidR="00D128F7" w:rsidRPr="000232DD" w:rsidRDefault="00D128F7" w:rsidP="00C03477">
            <w:pPr>
              <w:spacing w:before="0" w:after="0" w:line="240" w:lineRule="auto"/>
              <w:jc w:val="right"/>
              <w:rPr>
                <w:rFonts w:ascii="Arial Narrow" w:hAnsi="Arial Narrow"/>
                <w:bCs/>
                <w:color w:val="auto"/>
                <w:sz w:val="18"/>
                <w:szCs w:val="18"/>
              </w:rPr>
            </w:pPr>
            <w:r w:rsidRPr="000232DD">
              <w:rPr>
                <w:rFonts w:ascii="Arial Narrow" w:hAnsi="Arial Narrow" w:cs="Calibri"/>
                <w:bCs/>
                <w:color w:val="auto"/>
                <w:sz w:val="18"/>
                <w:szCs w:val="18"/>
              </w:rPr>
              <w:t>0</w:t>
            </w:r>
          </w:p>
        </w:tc>
      </w:tr>
      <w:tr w:rsidR="00D128F7" w:rsidRPr="000232DD" w14:paraId="601B820B" w14:textId="77777777" w:rsidTr="00DE6A4A">
        <w:trPr>
          <w:trHeight w:val="360"/>
        </w:trPr>
        <w:tc>
          <w:tcPr>
            <w:tcW w:w="3955" w:type="dxa"/>
            <w:shd w:val="clear" w:color="auto" w:fill="auto"/>
          </w:tcPr>
          <w:p w14:paraId="05D92D0E" w14:textId="77777777" w:rsidR="00D128F7" w:rsidRPr="000232DD" w:rsidRDefault="00D128F7" w:rsidP="00C03477">
            <w:pPr>
              <w:spacing w:before="0" w:after="0" w:line="240" w:lineRule="auto"/>
              <w:ind w:right="429"/>
              <w:rPr>
                <w:rFonts w:ascii="GHEA Grapalat" w:hAnsi="GHEA Grapalat"/>
                <w:color w:val="auto"/>
                <w:sz w:val="18"/>
                <w:szCs w:val="18"/>
              </w:rPr>
            </w:pPr>
            <w:r w:rsidRPr="000232DD">
              <w:rPr>
                <w:rFonts w:ascii="GHEA Grapalat" w:hAnsi="GHEA Grapalat"/>
                <w:color w:val="auto"/>
                <w:sz w:val="18"/>
                <w:szCs w:val="18"/>
              </w:rPr>
              <w:t xml:space="preserve">Սուբվենցիաներ </w:t>
            </w:r>
          </w:p>
        </w:tc>
        <w:tc>
          <w:tcPr>
            <w:tcW w:w="805" w:type="dxa"/>
            <w:shd w:val="clear" w:color="auto" w:fill="auto"/>
            <w:vAlign w:val="center"/>
          </w:tcPr>
          <w:p w14:paraId="77A221BD"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39.5</w:t>
            </w:r>
          </w:p>
        </w:tc>
        <w:tc>
          <w:tcPr>
            <w:tcW w:w="905" w:type="dxa"/>
            <w:shd w:val="clear" w:color="auto" w:fill="auto"/>
            <w:vAlign w:val="center"/>
          </w:tcPr>
          <w:p w14:paraId="21F53D95"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34.8</w:t>
            </w:r>
          </w:p>
        </w:tc>
        <w:tc>
          <w:tcPr>
            <w:tcW w:w="720" w:type="dxa"/>
            <w:shd w:val="clear" w:color="auto" w:fill="auto"/>
            <w:vAlign w:val="center"/>
          </w:tcPr>
          <w:p w14:paraId="58484296"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20.9</w:t>
            </w:r>
          </w:p>
        </w:tc>
        <w:tc>
          <w:tcPr>
            <w:tcW w:w="900" w:type="dxa"/>
            <w:shd w:val="clear" w:color="auto" w:fill="auto"/>
            <w:vAlign w:val="center"/>
          </w:tcPr>
          <w:p w14:paraId="672F5CF1"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23.3</w:t>
            </w:r>
          </w:p>
        </w:tc>
        <w:tc>
          <w:tcPr>
            <w:tcW w:w="900" w:type="dxa"/>
            <w:shd w:val="clear" w:color="auto" w:fill="FFFFFF" w:themeFill="background1"/>
            <w:vAlign w:val="center"/>
          </w:tcPr>
          <w:p w14:paraId="1F0D6B56" w14:textId="77777777" w:rsidR="00D128F7" w:rsidRPr="000232DD" w:rsidRDefault="00D128F7" w:rsidP="00C03477">
            <w:pPr>
              <w:spacing w:before="0" w:after="0" w:line="240" w:lineRule="auto"/>
              <w:jc w:val="right"/>
              <w:rPr>
                <w:rFonts w:ascii="Arial Narrow" w:hAnsi="Arial Narrow" w:cs="Calibri"/>
                <w:bCs/>
                <w:color w:val="auto"/>
                <w:sz w:val="18"/>
                <w:szCs w:val="18"/>
                <w:lang w:val="hy-AM"/>
              </w:rPr>
            </w:pPr>
            <w:r w:rsidRPr="000232DD">
              <w:rPr>
                <w:rFonts w:ascii="Arial Narrow" w:hAnsi="Arial Narrow"/>
                <w:color w:val="auto"/>
                <w:sz w:val="18"/>
                <w:szCs w:val="18"/>
                <w:lang w:val="hy-AM"/>
              </w:rPr>
              <w:t>25.9</w:t>
            </w:r>
          </w:p>
        </w:tc>
        <w:tc>
          <w:tcPr>
            <w:tcW w:w="900" w:type="dxa"/>
            <w:vAlign w:val="center"/>
          </w:tcPr>
          <w:p w14:paraId="60DB774A"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26.5</w:t>
            </w:r>
          </w:p>
        </w:tc>
        <w:tc>
          <w:tcPr>
            <w:tcW w:w="990" w:type="dxa"/>
            <w:shd w:val="clear" w:color="auto" w:fill="auto"/>
            <w:vAlign w:val="center"/>
          </w:tcPr>
          <w:p w14:paraId="5E7C42CC" w14:textId="77777777" w:rsidR="00D128F7" w:rsidRPr="000232DD" w:rsidRDefault="00D128F7" w:rsidP="00C03477">
            <w:pPr>
              <w:spacing w:before="0" w:after="0" w:line="240" w:lineRule="auto"/>
              <w:jc w:val="right"/>
              <w:rPr>
                <w:rFonts w:ascii="Arial Narrow" w:hAnsi="Arial Narrow"/>
                <w:bCs/>
                <w:color w:val="auto"/>
                <w:sz w:val="18"/>
                <w:szCs w:val="18"/>
              </w:rPr>
            </w:pPr>
            <w:r w:rsidRPr="000232DD">
              <w:rPr>
                <w:rFonts w:ascii="Arial Narrow" w:hAnsi="Arial Narrow"/>
                <w:bCs/>
                <w:color w:val="auto"/>
                <w:sz w:val="18"/>
                <w:szCs w:val="18"/>
              </w:rPr>
              <w:t>27.2</w:t>
            </w:r>
          </w:p>
        </w:tc>
      </w:tr>
      <w:tr w:rsidR="00D128F7" w:rsidRPr="000232DD" w14:paraId="5B68B6D2" w14:textId="77777777" w:rsidTr="00DE6A4A">
        <w:trPr>
          <w:trHeight w:val="360"/>
        </w:trPr>
        <w:tc>
          <w:tcPr>
            <w:tcW w:w="3955" w:type="dxa"/>
            <w:shd w:val="clear" w:color="auto" w:fill="auto"/>
          </w:tcPr>
          <w:p w14:paraId="1A58DC74" w14:textId="77777777" w:rsidR="00D128F7" w:rsidRPr="000232DD" w:rsidRDefault="00D128F7" w:rsidP="00C03477">
            <w:pPr>
              <w:spacing w:before="0" w:after="0" w:line="240" w:lineRule="auto"/>
              <w:ind w:right="495"/>
              <w:rPr>
                <w:rFonts w:ascii="GHEA Grapalat" w:hAnsi="GHEA Grapalat"/>
                <w:color w:val="auto"/>
                <w:sz w:val="18"/>
                <w:szCs w:val="18"/>
              </w:rPr>
            </w:pPr>
            <w:r w:rsidRPr="000232DD">
              <w:rPr>
                <w:rFonts w:ascii="GHEA Grapalat" w:hAnsi="GHEA Grapalat"/>
                <w:color w:val="auto"/>
                <w:sz w:val="18"/>
                <w:szCs w:val="18"/>
              </w:rPr>
              <w:t>ընթացիկ սուբվենցիաներ</w:t>
            </w:r>
          </w:p>
        </w:tc>
        <w:tc>
          <w:tcPr>
            <w:tcW w:w="805" w:type="dxa"/>
            <w:shd w:val="clear" w:color="auto" w:fill="auto"/>
            <w:vAlign w:val="center"/>
          </w:tcPr>
          <w:p w14:paraId="5E0E1CAA"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7.7</w:t>
            </w:r>
          </w:p>
        </w:tc>
        <w:tc>
          <w:tcPr>
            <w:tcW w:w="905" w:type="dxa"/>
            <w:shd w:val="clear" w:color="auto" w:fill="auto"/>
            <w:vAlign w:val="center"/>
          </w:tcPr>
          <w:p w14:paraId="5E6E8D62"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1</w:t>
            </w:r>
          </w:p>
        </w:tc>
        <w:tc>
          <w:tcPr>
            <w:tcW w:w="720" w:type="dxa"/>
            <w:shd w:val="clear" w:color="auto" w:fill="auto"/>
            <w:vAlign w:val="center"/>
          </w:tcPr>
          <w:p w14:paraId="5232CA75"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1</w:t>
            </w:r>
          </w:p>
        </w:tc>
        <w:tc>
          <w:tcPr>
            <w:tcW w:w="900" w:type="dxa"/>
            <w:shd w:val="clear" w:color="auto" w:fill="auto"/>
            <w:vAlign w:val="center"/>
          </w:tcPr>
          <w:p w14:paraId="018DCCE4"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2.1</w:t>
            </w:r>
          </w:p>
        </w:tc>
        <w:tc>
          <w:tcPr>
            <w:tcW w:w="900" w:type="dxa"/>
            <w:shd w:val="clear" w:color="auto" w:fill="FFFFFF" w:themeFill="background1"/>
            <w:vAlign w:val="center"/>
          </w:tcPr>
          <w:p w14:paraId="37F9E6E6"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2.1</w:t>
            </w:r>
          </w:p>
        </w:tc>
        <w:tc>
          <w:tcPr>
            <w:tcW w:w="900" w:type="dxa"/>
            <w:vAlign w:val="center"/>
          </w:tcPr>
          <w:p w14:paraId="091BD582"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2.9</w:t>
            </w:r>
          </w:p>
        </w:tc>
        <w:tc>
          <w:tcPr>
            <w:tcW w:w="990" w:type="dxa"/>
            <w:shd w:val="clear" w:color="auto" w:fill="auto"/>
            <w:vAlign w:val="center"/>
          </w:tcPr>
          <w:p w14:paraId="0BDA93E7" w14:textId="77777777" w:rsidR="00D128F7" w:rsidRPr="000232DD" w:rsidRDefault="00D128F7" w:rsidP="00C03477">
            <w:pPr>
              <w:spacing w:before="0" w:after="0" w:line="240" w:lineRule="auto"/>
              <w:jc w:val="right"/>
              <w:rPr>
                <w:rFonts w:ascii="Arial Narrow" w:hAnsi="Arial Narrow"/>
                <w:bCs/>
                <w:color w:val="auto"/>
                <w:sz w:val="18"/>
                <w:szCs w:val="18"/>
              </w:rPr>
            </w:pPr>
            <w:r w:rsidRPr="000232DD">
              <w:rPr>
                <w:rFonts w:ascii="Arial Narrow" w:hAnsi="Arial Narrow" w:cs="Calibri"/>
                <w:color w:val="auto"/>
                <w:sz w:val="18"/>
                <w:szCs w:val="18"/>
              </w:rPr>
              <w:t>2.9</w:t>
            </w:r>
          </w:p>
        </w:tc>
      </w:tr>
      <w:tr w:rsidR="00D128F7" w:rsidRPr="000232DD" w14:paraId="78783CCD" w14:textId="77777777" w:rsidTr="00DE6A4A">
        <w:trPr>
          <w:trHeight w:val="360"/>
        </w:trPr>
        <w:tc>
          <w:tcPr>
            <w:tcW w:w="3955" w:type="dxa"/>
            <w:shd w:val="clear" w:color="auto" w:fill="auto"/>
          </w:tcPr>
          <w:p w14:paraId="5B3A6F14" w14:textId="77777777" w:rsidR="00D128F7" w:rsidRPr="000232DD" w:rsidRDefault="00D128F7" w:rsidP="00C03477">
            <w:pPr>
              <w:spacing w:before="0" w:after="0" w:line="240" w:lineRule="auto"/>
              <w:ind w:right="495"/>
              <w:rPr>
                <w:rFonts w:ascii="GHEA Grapalat" w:hAnsi="GHEA Grapalat"/>
                <w:color w:val="auto"/>
                <w:sz w:val="18"/>
                <w:szCs w:val="18"/>
              </w:rPr>
            </w:pPr>
            <w:r w:rsidRPr="000232DD">
              <w:rPr>
                <w:rFonts w:ascii="GHEA Grapalat" w:hAnsi="GHEA Grapalat"/>
                <w:color w:val="auto"/>
                <w:sz w:val="18"/>
                <w:szCs w:val="18"/>
              </w:rPr>
              <w:t>կապիտալ սուբվենցիաներ</w:t>
            </w:r>
          </w:p>
        </w:tc>
        <w:tc>
          <w:tcPr>
            <w:tcW w:w="805" w:type="dxa"/>
            <w:shd w:val="clear" w:color="auto" w:fill="auto"/>
            <w:vAlign w:val="center"/>
          </w:tcPr>
          <w:p w14:paraId="6BC43578"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31.8</w:t>
            </w:r>
          </w:p>
        </w:tc>
        <w:tc>
          <w:tcPr>
            <w:tcW w:w="905" w:type="dxa"/>
            <w:shd w:val="clear" w:color="auto" w:fill="auto"/>
            <w:vAlign w:val="center"/>
          </w:tcPr>
          <w:p w14:paraId="61442950"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33.8</w:t>
            </w:r>
          </w:p>
        </w:tc>
        <w:tc>
          <w:tcPr>
            <w:tcW w:w="720" w:type="dxa"/>
            <w:shd w:val="clear" w:color="auto" w:fill="auto"/>
            <w:vAlign w:val="center"/>
          </w:tcPr>
          <w:p w14:paraId="0EF1D17C"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19.9</w:t>
            </w:r>
          </w:p>
        </w:tc>
        <w:tc>
          <w:tcPr>
            <w:tcW w:w="900" w:type="dxa"/>
            <w:shd w:val="clear" w:color="auto" w:fill="auto"/>
            <w:vAlign w:val="center"/>
          </w:tcPr>
          <w:p w14:paraId="6DFE3957"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21.2</w:t>
            </w:r>
          </w:p>
        </w:tc>
        <w:tc>
          <w:tcPr>
            <w:tcW w:w="900" w:type="dxa"/>
            <w:shd w:val="clear" w:color="auto" w:fill="FFFFFF" w:themeFill="background1"/>
            <w:vAlign w:val="center"/>
          </w:tcPr>
          <w:p w14:paraId="4CEAC0C1"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23.8</w:t>
            </w:r>
          </w:p>
        </w:tc>
        <w:tc>
          <w:tcPr>
            <w:tcW w:w="900" w:type="dxa"/>
            <w:vAlign w:val="center"/>
          </w:tcPr>
          <w:p w14:paraId="64F19995"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23.6</w:t>
            </w:r>
          </w:p>
        </w:tc>
        <w:tc>
          <w:tcPr>
            <w:tcW w:w="990" w:type="dxa"/>
            <w:shd w:val="clear" w:color="auto" w:fill="auto"/>
            <w:vAlign w:val="center"/>
          </w:tcPr>
          <w:p w14:paraId="239DD16E" w14:textId="77777777" w:rsidR="00D128F7" w:rsidRPr="000232DD" w:rsidRDefault="00D128F7" w:rsidP="00C03477">
            <w:pPr>
              <w:spacing w:before="0" w:after="0" w:line="240" w:lineRule="auto"/>
              <w:jc w:val="right"/>
              <w:rPr>
                <w:rFonts w:ascii="Arial Narrow" w:hAnsi="Arial Narrow"/>
                <w:bCs/>
                <w:color w:val="auto"/>
                <w:sz w:val="18"/>
                <w:szCs w:val="18"/>
              </w:rPr>
            </w:pPr>
            <w:r w:rsidRPr="000232DD">
              <w:rPr>
                <w:rFonts w:ascii="Arial Narrow" w:hAnsi="Arial Narrow" w:cs="Calibri"/>
                <w:color w:val="auto"/>
                <w:sz w:val="18"/>
                <w:szCs w:val="18"/>
              </w:rPr>
              <w:t>24.3</w:t>
            </w:r>
          </w:p>
        </w:tc>
      </w:tr>
      <w:tr w:rsidR="00D128F7" w:rsidRPr="000232DD" w14:paraId="677F1E96" w14:textId="77777777" w:rsidTr="00DE6A4A">
        <w:trPr>
          <w:trHeight w:val="360"/>
        </w:trPr>
        <w:tc>
          <w:tcPr>
            <w:tcW w:w="3955" w:type="dxa"/>
            <w:shd w:val="clear" w:color="auto" w:fill="auto"/>
          </w:tcPr>
          <w:p w14:paraId="37C18E7E" w14:textId="77777777" w:rsidR="00D128F7" w:rsidRPr="000232DD" w:rsidRDefault="00D128F7" w:rsidP="00C03477">
            <w:pPr>
              <w:spacing w:before="0" w:after="0" w:line="240" w:lineRule="auto"/>
              <w:ind w:right="429"/>
              <w:rPr>
                <w:rFonts w:ascii="GHEA Grapalat" w:hAnsi="GHEA Grapalat"/>
                <w:color w:val="auto"/>
                <w:sz w:val="18"/>
                <w:szCs w:val="18"/>
              </w:rPr>
            </w:pPr>
            <w:r w:rsidRPr="000232DD">
              <w:rPr>
                <w:rFonts w:ascii="GHEA Grapalat" w:hAnsi="GHEA Grapalat"/>
                <w:color w:val="auto"/>
                <w:sz w:val="18"/>
                <w:szCs w:val="18"/>
              </w:rPr>
              <w:t>Պատվիրակված լիազորությունների ֆինանսավորում</w:t>
            </w:r>
          </w:p>
        </w:tc>
        <w:tc>
          <w:tcPr>
            <w:tcW w:w="805" w:type="dxa"/>
            <w:shd w:val="clear" w:color="auto" w:fill="auto"/>
            <w:vAlign w:val="center"/>
          </w:tcPr>
          <w:p w14:paraId="178441BB"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4.5</w:t>
            </w:r>
          </w:p>
        </w:tc>
        <w:tc>
          <w:tcPr>
            <w:tcW w:w="905" w:type="dxa"/>
            <w:shd w:val="clear" w:color="auto" w:fill="auto"/>
            <w:vAlign w:val="center"/>
          </w:tcPr>
          <w:p w14:paraId="47DA6120"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3.6</w:t>
            </w:r>
          </w:p>
        </w:tc>
        <w:tc>
          <w:tcPr>
            <w:tcW w:w="720" w:type="dxa"/>
            <w:shd w:val="clear" w:color="auto" w:fill="auto"/>
            <w:vAlign w:val="center"/>
          </w:tcPr>
          <w:p w14:paraId="1FCCD953"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5.4</w:t>
            </w:r>
          </w:p>
        </w:tc>
        <w:tc>
          <w:tcPr>
            <w:tcW w:w="900" w:type="dxa"/>
            <w:shd w:val="clear" w:color="auto" w:fill="auto"/>
            <w:vAlign w:val="center"/>
          </w:tcPr>
          <w:p w14:paraId="10BA10AF"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5.8</w:t>
            </w:r>
          </w:p>
        </w:tc>
        <w:tc>
          <w:tcPr>
            <w:tcW w:w="900" w:type="dxa"/>
            <w:shd w:val="clear" w:color="auto" w:fill="FFFFFF" w:themeFill="background1"/>
            <w:vAlign w:val="center"/>
          </w:tcPr>
          <w:p w14:paraId="4D1EC0A5"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5</w:t>
            </w:r>
          </w:p>
        </w:tc>
        <w:tc>
          <w:tcPr>
            <w:tcW w:w="900" w:type="dxa"/>
            <w:vAlign w:val="center"/>
          </w:tcPr>
          <w:p w14:paraId="2FD16730"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5.5</w:t>
            </w:r>
          </w:p>
        </w:tc>
        <w:tc>
          <w:tcPr>
            <w:tcW w:w="990" w:type="dxa"/>
            <w:shd w:val="clear" w:color="auto" w:fill="auto"/>
            <w:vAlign w:val="center"/>
          </w:tcPr>
          <w:p w14:paraId="0F706FD6" w14:textId="77777777" w:rsidR="00D128F7" w:rsidRPr="000232DD" w:rsidRDefault="00D128F7" w:rsidP="00C03477">
            <w:pPr>
              <w:spacing w:before="0" w:after="0" w:line="240" w:lineRule="auto"/>
              <w:jc w:val="right"/>
              <w:rPr>
                <w:rFonts w:ascii="Arial Narrow" w:hAnsi="Arial Narrow"/>
                <w:bCs/>
                <w:color w:val="auto"/>
                <w:sz w:val="18"/>
                <w:szCs w:val="18"/>
              </w:rPr>
            </w:pPr>
            <w:r w:rsidRPr="000232DD">
              <w:rPr>
                <w:rFonts w:ascii="Arial Narrow" w:hAnsi="Arial Narrow" w:cs="Calibri"/>
                <w:bCs/>
                <w:color w:val="auto"/>
                <w:sz w:val="18"/>
                <w:szCs w:val="18"/>
              </w:rPr>
              <w:t>5.5</w:t>
            </w:r>
          </w:p>
        </w:tc>
      </w:tr>
      <w:tr w:rsidR="00D128F7" w:rsidRPr="000232DD" w14:paraId="41F14C6E" w14:textId="77777777" w:rsidTr="00DE6A4A">
        <w:trPr>
          <w:trHeight w:val="360"/>
        </w:trPr>
        <w:tc>
          <w:tcPr>
            <w:tcW w:w="3955" w:type="dxa"/>
            <w:shd w:val="clear" w:color="auto" w:fill="auto"/>
            <w:vAlign w:val="center"/>
          </w:tcPr>
          <w:p w14:paraId="12C54307" w14:textId="77777777" w:rsidR="00D128F7" w:rsidRPr="000232DD" w:rsidRDefault="00D128F7" w:rsidP="00C03477">
            <w:pPr>
              <w:spacing w:before="0" w:after="0" w:line="240" w:lineRule="auto"/>
              <w:ind w:right="429"/>
              <w:rPr>
                <w:rFonts w:ascii="GHEA Grapalat" w:hAnsi="GHEA Grapalat"/>
                <w:color w:val="auto"/>
                <w:sz w:val="18"/>
                <w:szCs w:val="18"/>
              </w:rPr>
            </w:pPr>
            <w:r w:rsidRPr="000232DD">
              <w:rPr>
                <w:rFonts w:ascii="GHEA Grapalat" w:hAnsi="GHEA Grapalat"/>
                <w:color w:val="auto"/>
                <w:sz w:val="18"/>
                <w:szCs w:val="18"/>
              </w:rPr>
              <w:t>Այլ հատկացումներ</w:t>
            </w:r>
          </w:p>
        </w:tc>
        <w:tc>
          <w:tcPr>
            <w:tcW w:w="805" w:type="dxa"/>
            <w:shd w:val="clear" w:color="auto" w:fill="auto"/>
            <w:vAlign w:val="center"/>
          </w:tcPr>
          <w:p w14:paraId="34A9118D"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38.1</w:t>
            </w:r>
          </w:p>
        </w:tc>
        <w:tc>
          <w:tcPr>
            <w:tcW w:w="905" w:type="dxa"/>
            <w:shd w:val="clear" w:color="auto" w:fill="auto"/>
            <w:vAlign w:val="center"/>
          </w:tcPr>
          <w:p w14:paraId="551315EE"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26.4</w:t>
            </w:r>
          </w:p>
        </w:tc>
        <w:tc>
          <w:tcPr>
            <w:tcW w:w="720" w:type="dxa"/>
            <w:shd w:val="clear" w:color="auto" w:fill="auto"/>
            <w:vAlign w:val="center"/>
          </w:tcPr>
          <w:p w14:paraId="583D1EC8"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32</w:t>
            </w:r>
          </w:p>
        </w:tc>
        <w:tc>
          <w:tcPr>
            <w:tcW w:w="900" w:type="dxa"/>
            <w:shd w:val="clear" w:color="auto" w:fill="auto"/>
            <w:vAlign w:val="center"/>
          </w:tcPr>
          <w:p w14:paraId="3BD2B7E5" w14:textId="77777777" w:rsidR="00D128F7" w:rsidRPr="000232DD" w:rsidRDefault="00D128F7" w:rsidP="00C03477">
            <w:pPr>
              <w:spacing w:before="0" w:after="0" w:line="240" w:lineRule="auto"/>
              <w:jc w:val="right"/>
              <w:rPr>
                <w:rFonts w:ascii="Arial Narrow" w:hAnsi="Arial Narrow"/>
                <w:color w:val="auto"/>
                <w:sz w:val="18"/>
                <w:szCs w:val="18"/>
              </w:rPr>
            </w:pPr>
            <w:r w:rsidRPr="000232DD">
              <w:rPr>
                <w:rFonts w:ascii="Arial Narrow" w:hAnsi="Arial Narrow"/>
                <w:color w:val="auto"/>
                <w:sz w:val="18"/>
                <w:szCs w:val="18"/>
              </w:rPr>
              <w:t>40.2</w:t>
            </w:r>
          </w:p>
        </w:tc>
        <w:tc>
          <w:tcPr>
            <w:tcW w:w="900" w:type="dxa"/>
            <w:shd w:val="clear" w:color="auto" w:fill="FFFFFF" w:themeFill="background1"/>
            <w:vAlign w:val="center"/>
          </w:tcPr>
          <w:p w14:paraId="1DE5B2D8"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39.1</w:t>
            </w:r>
          </w:p>
        </w:tc>
        <w:tc>
          <w:tcPr>
            <w:tcW w:w="900" w:type="dxa"/>
            <w:vAlign w:val="center"/>
          </w:tcPr>
          <w:p w14:paraId="100ADC77" w14:textId="77777777" w:rsidR="00D128F7" w:rsidRPr="000232DD" w:rsidRDefault="00D128F7" w:rsidP="00C03477">
            <w:pPr>
              <w:spacing w:before="0" w:after="0" w:line="240" w:lineRule="auto"/>
              <w:jc w:val="right"/>
              <w:rPr>
                <w:rFonts w:ascii="Arial Narrow" w:hAnsi="Arial Narrow" w:cs="Calibri"/>
                <w:bCs/>
                <w:color w:val="auto"/>
                <w:sz w:val="18"/>
                <w:szCs w:val="18"/>
              </w:rPr>
            </w:pPr>
            <w:r w:rsidRPr="000232DD">
              <w:rPr>
                <w:rFonts w:ascii="Arial Narrow" w:hAnsi="Arial Narrow"/>
                <w:color w:val="auto"/>
                <w:sz w:val="18"/>
                <w:szCs w:val="18"/>
              </w:rPr>
              <w:t>13.4</w:t>
            </w:r>
          </w:p>
        </w:tc>
        <w:tc>
          <w:tcPr>
            <w:tcW w:w="990" w:type="dxa"/>
            <w:shd w:val="clear" w:color="auto" w:fill="auto"/>
            <w:vAlign w:val="center"/>
          </w:tcPr>
          <w:p w14:paraId="0BB88C76" w14:textId="77777777" w:rsidR="00D128F7" w:rsidRPr="000232DD" w:rsidRDefault="00D128F7" w:rsidP="00C03477">
            <w:pPr>
              <w:spacing w:before="0" w:after="0" w:line="240" w:lineRule="auto"/>
              <w:jc w:val="right"/>
              <w:rPr>
                <w:rFonts w:ascii="Arial Narrow" w:hAnsi="Arial Narrow"/>
                <w:bCs/>
                <w:color w:val="auto"/>
                <w:sz w:val="18"/>
                <w:szCs w:val="18"/>
              </w:rPr>
            </w:pPr>
            <w:r w:rsidRPr="000232DD">
              <w:rPr>
                <w:rFonts w:ascii="Arial Narrow" w:hAnsi="Arial Narrow" w:cs="Calibri"/>
                <w:bCs/>
                <w:color w:val="auto"/>
                <w:sz w:val="18"/>
                <w:szCs w:val="18"/>
              </w:rPr>
              <w:t>10.6</w:t>
            </w:r>
          </w:p>
        </w:tc>
      </w:tr>
    </w:tbl>
    <w:p w14:paraId="610DEF53" w14:textId="77777777" w:rsidR="00D128F7" w:rsidRPr="000232DD" w:rsidRDefault="00D128F7" w:rsidP="00D128F7">
      <w:pPr>
        <w:rPr>
          <w:color w:val="auto"/>
        </w:rPr>
      </w:pPr>
    </w:p>
    <w:p w14:paraId="6EA33B69" w14:textId="77777777" w:rsidR="00D128F7" w:rsidRPr="00605ABE" w:rsidRDefault="00D128F7" w:rsidP="00D128F7"/>
    <w:p w14:paraId="4780E830" w14:textId="71A6DC72" w:rsidR="0052459E" w:rsidRPr="001226F0" w:rsidRDefault="0052459E" w:rsidP="00082769">
      <w:pPr>
        <w:pStyle w:val="Heading2"/>
        <w:spacing w:before="120" w:after="120"/>
        <w:ind w:right="-22"/>
        <w:jc w:val="both"/>
        <w:rPr>
          <w:rFonts w:ascii="GHEA Grapalat" w:hAnsi="GHEA Grapalat"/>
          <w:color w:val="ADADAD" w:themeColor="background2" w:themeShade="BF"/>
          <w:sz w:val="28"/>
          <w:szCs w:val="20"/>
          <w:lang w:val="hy-AM"/>
        </w:rPr>
      </w:pPr>
      <w:bookmarkStart w:id="417" w:name="_Toc241687682"/>
      <w:r w:rsidRPr="001226F0">
        <w:rPr>
          <w:rFonts w:ascii="GHEA Grapalat" w:hAnsi="GHEA Grapalat"/>
          <w:color w:val="ADADAD" w:themeColor="background2" w:themeShade="BF"/>
          <w:sz w:val="28"/>
          <w:szCs w:val="20"/>
          <w:lang w:val="hy-AM"/>
        </w:rPr>
        <w:t>202</w:t>
      </w:r>
      <w:r w:rsidR="003C0F62" w:rsidRPr="001226F0">
        <w:rPr>
          <w:rFonts w:ascii="GHEA Grapalat" w:hAnsi="GHEA Grapalat"/>
          <w:color w:val="ADADAD" w:themeColor="background2" w:themeShade="BF"/>
          <w:sz w:val="28"/>
          <w:szCs w:val="20"/>
          <w:lang w:val="hy-AM"/>
        </w:rPr>
        <w:t>7</w:t>
      </w:r>
      <w:r w:rsidRPr="001226F0">
        <w:rPr>
          <w:rFonts w:ascii="GHEA Grapalat" w:hAnsi="GHEA Grapalat"/>
          <w:color w:val="ADADAD" w:themeColor="background2" w:themeShade="BF"/>
          <w:sz w:val="28"/>
          <w:szCs w:val="20"/>
          <w:lang w:val="hy-AM"/>
        </w:rPr>
        <w:t xml:space="preserve"> ԹՎԱԿԱՆԻ ԲՅՈՒՋԵԻ ԱՌԱՋՆԱՀԵՐԹՈՒԹՅՈՒՆՆԵՐԸ</w:t>
      </w:r>
      <w:bookmarkEnd w:id="415"/>
      <w:bookmarkEnd w:id="417"/>
    </w:p>
    <w:p w14:paraId="3AADE057" w14:textId="77777777" w:rsidR="003C0F62" w:rsidRPr="00507805" w:rsidRDefault="003C0F62" w:rsidP="00082769">
      <w:pPr>
        <w:pStyle w:val="BodyText1"/>
        <w:ind w:left="0" w:right="-22"/>
        <w:rPr>
          <w:lang w:val="hy-AM"/>
        </w:rPr>
      </w:pPr>
      <w:r w:rsidRPr="00507805">
        <w:rPr>
          <w:lang w:val="hy-AM"/>
        </w:rPr>
        <w:t>ՀՀ կառավարության ծրագրին համապատասխան ծախսային քաղաքականության արդյունավետության բարձրացման տեսանկյունից միջնաժամկետ ժամանակահատվածում կարևորվում է հանրային ֆինանսների նպատակային, խնայողաբար և ա</w:t>
      </w:r>
      <w:r>
        <w:rPr>
          <w:lang w:val="hy-AM"/>
        </w:rPr>
        <w:t>ր</w:t>
      </w:r>
      <w:r w:rsidRPr="00507805">
        <w:rPr>
          <w:lang w:val="hy-AM"/>
        </w:rPr>
        <w:t>դյունավետ օգտագործումը, ինչի արդյունքում ՀՀ պետական բյուջեի ծախսերի կառուցվածքում աստիճանաբար հնարավորության սահմաններում կմեծանա մարդկային կապիտալին և ենթակառուցվածքներին ուղղվող ծախսերի տեսակարար կշիռը:</w:t>
      </w:r>
    </w:p>
    <w:p w14:paraId="3B843D60" w14:textId="1354C4FA" w:rsidR="003C0F62" w:rsidRPr="00507805" w:rsidRDefault="003C0F62" w:rsidP="00082769">
      <w:pPr>
        <w:pStyle w:val="BodyText1"/>
        <w:ind w:left="0" w:right="-22"/>
        <w:rPr>
          <w:lang w:val="hy-AM"/>
        </w:rPr>
      </w:pPr>
      <w:r w:rsidRPr="00507805">
        <w:rPr>
          <w:lang w:val="hy-AM"/>
        </w:rPr>
        <w:t xml:space="preserve">2027թ. բյուջեի 6-րդ հավելվածով ներկայացվել են ծախսային առաջնահերթությունները՝ </w:t>
      </w:r>
      <w:r w:rsidR="001A427C">
        <w:rPr>
          <w:lang w:val="hy-AM"/>
        </w:rPr>
        <w:t>233.9</w:t>
      </w:r>
      <w:r w:rsidRPr="00507805">
        <w:rPr>
          <w:lang w:val="hy-AM"/>
        </w:rPr>
        <w:t xml:space="preserve"> մլրդ դրամի չափով: </w:t>
      </w:r>
    </w:p>
    <w:p w14:paraId="241DCFCF" w14:textId="45A32149" w:rsidR="001226F0" w:rsidRPr="00AA44BC" w:rsidRDefault="001226F0" w:rsidP="001226F0">
      <w:pPr>
        <w:pStyle w:val="BodyText1"/>
        <w:ind w:left="0"/>
        <w:rPr>
          <w:lang w:val="hy-AM"/>
        </w:rPr>
      </w:pPr>
      <w:r w:rsidRPr="00646265">
        <w:rPr>
          <w:lang w:val="hy-AM"/>
        </w:rPr>
        <w:t>ԲԳԿ-ների կողմից ներկայացված առաջնահերթությունները 2027թ. բյուջեում լրացուցիչ ֆինանսական միջոցների առկայության պայմաններում (Հայաստանի Հանրապետության տնտեսական զարգացման բարենպաստ միջավայրի և այլ գործոններով պայմանավորված), ինչպես նաև 2027թ ընթացքում բյուջեով նախատեսված ծախսերի կրճատման, ծախսային ուղղությունների գծով հնարավոր գերակայությունների (առաջնահերթությունների) փոփոխման արդյունքում վերաբաշխումների (փոխատեղումների), խնայողությունների առկայության, Հայաստանի Հանրապետության օրենսդրությամբ սահմանված կարգով Հայաստանի Հանրապետության պետական բյուջեի դեֆիցիտի սահմանաչափի ավելացման պարագայում</w:t>
      </w:r>
      <w:r w:rsidR="00646265">
        <w:rPr>
          <w:lang w:val="hy-AM"/>
        </w:rPr>
        <w:t>:</w:t>
      </w:r>
    </w:p>
    <w:p w14:paraId="0AA3BA83" w14:textId="77777777" w:rsidR="00B43595" w:rsidRPr="003C0F62" w:rsidRDefault="00B43595" w:rsidP="00082769">
      <w:pPr>
        <w:ind w:right="-22"/>
        <w:jc w:val="both"/>
        <w:rPr>
          <w:rFonts w:ascii="GHEA Grapalat" w:eastAsia="Times New Roman" w:hAnsi="GHEA Grapalat" w:cs="Times New Roman"/>
          <w:color w:val="auto"/>
          <w:szCs w:val="20"/>
          <w:lang w:val="hy-AM"/>
        </w:rPr>
      </w:pPr>
    </w:p>
    <w:p w14:paraId="5A1FB906" w14:textId="77777777" w:rsidR="002F7FFC" w:rsidRPr="001226F0" w:rsidRDefault="002F7FFC" w:rsidP="00082769">
      <w:pPr>
        <w:pStyle w:val="Heading2"/>
        <w:spacing w:before="120" w:after="120"/>
        <w:ind w:right="-22"/>
        <w:jc w:val="both"/>
        <w:rPr>
          <w:rFonts w:ascii="GHEA Grapalat" w:hAnsi="GHEA Grapalat"/>
          <w:color w:val="ADADAD" w:themeColor="background2" w:themeShade="BF"/>
          <w:sz w:val="28"/>
          <w:szCs w:val="20"/>
          <w:lang w:val="hy-AM"/>
        </w:rPr>
      </w:pPr>
      <w:bookmarkStart w:id="418" w:name="_Toc209625771"/>
      <w:bookmarkStart w:id="419" w:name="_Toc241687683"/>
      <w:r w:rsidRPr="001226F0">
        <w:rPr>
          <w:rFonts w:ascii="GHEA Grapalat" w:hAnsi="GHEA Grapalat"/>
          <w:color w:val="ADADAD" w:themeColor="background2" w:themeShade="BF"/>
          <w:sz w:val="28"/>
          <w:szCs w:val="20"/>
          <w:lang w:val="hy-AM"/>
        </w:rPr>
        <w:t>ՈԼՈՐՏԱՅԻՆ ԾԱԽՍԵՐԻ ՀԻՄՆԱԿԱՆ ՈՒՂՂՈՒԹՅՈՒՆՆԵՐԸ</w:t>
      </w:r>
      <w:bookmarkEnd w:id="418"/>
      <w:bookmarkEnd w:id="419"/>
    </w:p>
    <w:p w14:paraId="1AF95533" w14:textId="4DF48984" w:rsidR="003F46A3" w:rsidRPr="001A37EE" w:rsidRDefault="003F46A3" w:rsidP="00082769">
      <w:pPr>
        <w:pStyle w:val="BodytextBullets"/>
        <w:numPr>
          <w:ilvl w:val="0"/>
          <w:numId w:val="0"/>
        </w:numPr>
        <w:ind w:right="-22"/>
        <w:rPr>
          <w:szCs w:val="22"/>
          <w:lang w:val="hy-AM"/>
        </w:rPr>
      </w:pPr>
      <w:r w:rsidRPr="001A37EE">
        <w:rPr>
          <w:szCs w:val="22"/>
          <w:lang w:val="hy-AM"/>
        </w:rPr>
        <w:t>ՀՀ կառավարության ծրագրի առաջնահերթություններին համահունչ 202</w:t>
      </w:r>
      <w:r w:rsidR="00985F8E">
        <w:rPr>
          <w:szCs w:val="22"/>
          <w:lang w:val="hy-AM"/>
        </w:rPr>
        <w:t>7</w:t>
      </w:r>
      <w:r w:rsidRPr="001A37EE">
        <w:rPr>
          <w:szCs w:val="22"/>
          <w:lang w:val="hy-AM"/>
        </w:rPr>
        <w:t xml:space="preserve"> թվականին  կիրականացվեն սոցիալական, կրթական, առողջապահական, տնտեսական աջակցության, ենթակառուցվածքային բնույթի մի շարք առաջնահերթ միջոցառումներ, որոնց արդյունքում ի թիվս այլ թիրախների, կապահովվի հետևյալ առանցքային թիրախների իրագործումը.</w:t>
      </w:r>
    </w:p>
    <w:p w14:paraId="6A463627" w14:textId="44857AB8" w:rsidR="003F46A3" w:rsidRPr="00763057" w:rsidRDefault="00C32E1A" w:rsidP="00082769">
      <w:pPr>
        <w:pStyle w:val="BodytextBullets"/>
        <w:ind w:left="0" w:right="-22" w:firstLine="0"/>
        <w:rPr>
          <w:szCs w:val="22"/>
          <w:lang w:val="hy-AM"/>
        </w:rPr>
      </w:pPr>
      <w:r w:rsidRPr="00763057">
        <w:rPr>
          <w:szCs w:val="22"/>
          <w:lang w:val="hy-AM"/>
        </w:rPr>
        <w:t>կ</w:t>
      </w:r>
      <w:r w:rsidR="00F7470E" w:rsidRPr="00763057">
        <w:rPr>
          <w:szCs w:val="22"/>
          <w:lang w:val="hy-AM"/>
        </w:rPr>
        <w:t xml:space="preserve">շարունակվի </w:t>
      </w:r>
      <w:r w:rsidR="003F46A3" w:rsidRPr="00763057">
        <w:rPr>
          <w:szCs w:val="22"/>
          <w:lang w:val="hy-AM"/>
        </w:rPr>
        <w:t>առողջապահության համընդհանուր ապահովագրության համակարգ</w:t>
      </w:r>
      <w:r w:rsidR="00F7470E" w:rsidRPr="00763057">
        <w:rPr>
          <w:szCs w:val="22"/>
          <w:lang w:val="hy-AM"/>
        </w:rPr>
        <w:t>ի փուլային ներդրումը</w:t>
      </w:r>
      <w:r w:rsidR="003F46A3" w:rsidRPr="00763057">
        <w:rPr>
          <w:szCs w:val="22"/>
          <w:lang w:val="hy-AM"/>
        </w:rPr>
        <w:t xml:space="preserve">.  </w:t>
      </w:r>
    </w:p>
    <w:p w14:paraId="229871F4" w14:textId="3BD19473" w:rsidR="003F46A3" w:rsidRPr="00763057" w:rsidRDefault="003F46A3" w:rsidP="00082769">
      <w:pPr>
        <w:pStyle w:val="BodytextBullets"/>
        <w:ind w:left="0" w:right="-22" w:firstLine="0"/>
        <w:rPr>
          <w:szCs w:val="22"/>
          <w:lang w:val="hy-AM"/>
        </w:rPr>
      </w:pPr>
      <w:r w:rsidRPr="00763057">
        <w:rPr>
          <w:szCs w:val="22"/>
          <w:lang w:val="hy-AM"/>
        </w:rPr>
        <w:t>կշարունակվի Ղարաբաղից ՀՀ բռնի տեղահանված անձանց կեցության, այդ թվում բնակարանային ապահովման և այլ ծախսերը հոգալու համար սոցիալական աջակցության ծրագիրը՝ 5</w:t>
      </w:r>
      <w:r w:rsidR="00B31FF3" w:rsidRPr="00763057">
        <w:rPr>
          <w:szCs w:val="22"/>
          <w:lang w:val="hy-AM"/>
        </w:rPr>
        <w:t>4</w:t>
      </w:r>
      <w:r w:rsidRPr="00763057">
        <w:rPr>
          <w:szCs w:val="22"/>
          <w:lang w:val="hy-AM"/>
        </w:rPr>
        <w:t xml:space="preserve"> մլրդ դրամի չափով.</w:t>
      </w:r>
    </w:p>
    <w:p w14:paraId="509438EA" w14:textId="3957761D" w:rsidR="003F46A3" w:rsidRPr="00763057" w:rsidRDefault="003F46A3" w:rsidP="00082769">
      <w:pPr>
        <w:pStyle w:val="BodytextBullets"/>
        <w:ind w:left="0" w:right="-22" w:firstLine="0"/>
        <w:rPr>
          <w:szCs w:val="22"/>
          <w:lang w:val="hy-AM"/>
        </w:rPr>
      </w:pPr>
      <w:r w:rsidRPr="00763057">
        <w:rPr>
          <w:szCs w:val="22"/>
          <w:lang w:val="hy-AM"/>
        </w:rPr>
        <w:t>կշարունակվի անհուսալի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աջակցության ծրագիրը: 202</w:t>
      </w:r>
      <w:r w:rsidR="00207A8B" w:rsidRPr="00763057">
        <w:rPr>
          <w:szCs w:val="22"/>
          <w:lang w:val="hy-AM"/>
        </w:rPr>
        <w:t>7</w:t>
      </w:r>
      <w:r w:rsidRPr="00763057">
        <w:rPr>
          <w:szCs w:val="22"/>
          <w:lang w:val="hy-AM"/>
        </w:rPr>
        <w:t xml:space="preserve">թ. պետական բյուջեով ծրագրի գծով նախատեսվել է </w:t>
      </w:r>
      <w:r w:rsidR="00207A8B" w:rsidRPr="00763057">
        <w:rPr>
          <w:szCs w:val="22"/>
          <w:lang w:val="hy-AM"/>
        </w:rPr>
        <w:t>1</w:t>
      </w:r>
      <w:r w:rsidRPr="00763057">
        <w:rPr>
          <w:szCs w:val="22"/>
          <w:lang w:val="hy-AM"/>
        </w:rPr>
        <w:t>.</w:t>
      </w:r>
      <w:r w:rsidR="00207A8B" w:rsidRPr="00763057">
        <w:rPr>
          <w:szCs w:val="22"/>
          <w:lang w:val="hy-AM"/>
        </w:rPr>
        <w:t>6</w:t>
      </w:r>
      <w:r w:rsidRPr="00763057">
        <w:rPr>
          <w:szCs w:val="22"/>
          <w:lang w:val="hy-AM"/>
        </w:rPr>
        <w:t xml:space="preserve"> մլրդ դրամ.</w:t>
      </w:r>
    </w:p>
    <w:p w14:paraId="6158477E" w14:textId="42A403EE" w:rsidR="003F46A3" w:rsidRPr="00763057" w:rsidRDefault="003F46A3" w:rsidP="00082769">
      <w:pPr>
        <w:pStyle w:val="BodytextBullets"/>
        <w:ind w:left="0" w:right="-22" w:firstLine="0"/>
        <w:rPr>
          <w:szCs w:val="22"/>
          <w:lang w:val="hy-AM"/>
        </w:rPr>
      </w:pPr>
      <w:r w:rsidRPr="00763057">
        <w:rPr>
          <w:szCs w:val="22"/>
          <w:lang w:val="hy-AM"/>
        </w:rPr>
        <w:t>շարունակվելու է անկանխիկ եղանակով վճարումներից կենսաթոշակառուներին հետվճարի տրամադրումը, որի գծով 202</w:t>
      </w:r>
      <w:r w:rsidR="00207A8B" w:rsidRPr="00763057">
        <w:rPr>
          <w:szCs w:val="22"/>
          <w:lang w:val="hy-AM"/>
        </w:rPr>
        <w:t>7</w:t>
      </w:r>
      <w:r w:rsidRPr="00763057">
        <w:rPr>
          <w:szCs w:val="22"/>
          <w:lang w:val="hy-AM"/>
        </w:rPr>
        <w:t xml:space="preserve">թ. պետական բյուջեով նախատեսվել է </w:t>
      </w:r>
      <w:r w:rsidR="00207A8B" w:rsidRPr="00763057">
        <w:rPr>
          <w:szCs w:val="22"/>
          <w:lang w:val="hy-AM"/>
        </w:rPr>
        <w:t>6</w:t>
      </w:r>
      <w:r w:rsidRPr="00763057">
        <w:rPr>
          <w:szCs w:val="22"/>
          <w:lang w:val="hy-AM"/>
        </w:rPr>
        <w:t>0.0 մլրդ դրամ, որը 202</w:t>
      </w:r>
      <w:r w:rsidR="00207A8B" w:rsidRPr="00763057">
        <w:rPr>
          <w:szCs w:val="22"/>
          <w:lang w:val="hy-AM"/>
        </w:rPr>
        <w:t>6</w:t>
      </w:r>
      <w:r w:rsidRPr="00763057">
        <w:rPr>
          <w:szCs w:val="22"/>
          <w:lang w:val="hy-AM"/>
        </w:rPr>
        <w:t xml:space="preserve">թ. բյուջեի նկատմամբ  ավելի է </w:t>
      </w:r>
      <w:r w:rsidR="00207A8B" w:rsidRPr="00763057">
        <w:rPr>
          <w:szCs w:val="22"/>
          <w:lang w:val="hy-AM"/>
        </w:rPr>
        <w:t>40</w:t>
      </w:r>
      <w:r w:rsidR="00207A8B" w:rsidRPr="00763057">
        <w:rPr>
          <w:rFonts w:ascii="Cambria Math" w:hAnsi="Cambria Math"/>
          <w:szCs w:val="22"/>
          <w:lang w:val="hy-AM"/>
        </w:rPr>
        <w:t>․0</w:t>
      </w:r>
      <w:r w:rsidRPr="00763057">
        <w:rPr>
          <w:szCs w:val="22"/>
          <w:lang w:val="hy-AM"/>
        </w:rPr>
        <w:t xml:space="preserve"> մլրդ դրամով.</w:t>
      </w:r>
    </w:p>
    <w:p w14:paraId="12BB887D" w14:textId="7053A5DE" w:rsidR="003F46A3" w:rsidRPr="00763057" w:rsidRDefault="003F46A3" w:rsidP="00082769">
      <w:pPr>
        <w:pStyle w:val="BodytextBullets"/>
        <w:ind w:left="0" w:right="-22" w:firstLine="0"/>
        <w:rPr>
          <w:szCs w:val="22"/>
          <w:lang w:val="hy-AM"/>
        </w:rPr>
      </w:pPr>
      <w:r w:rsidRPr="00763057">
        <w:rPr>
          <w:szCs w:val="22"/>
          <w:lang w:val="hy-AM"/>
        </w:rPr>
        <w:t>«Ակադեմիական քաղաք» Ծրագրի իրականացման նպատակով 202</w:t>
      </w:r>
      <w:r w:rsidR="0080024B" w:rsidRPr="00763057">
        <w:rPr>
          <w:szCs w:val="22"/>
          <w:lang w:val="hy-AM"/>
        </w:rPr>
        <w:t>7</w:t>
      </w:r>
      <w:r w:rsidRPr="00763057">
        <w:rPr>
          <w:szCs w:val="22"/>
          <w:lang w:val="hy-AM"/>
        </w:rPr>
        <w:t xml:space="preserve"> թվականին նախատեսվել է </w:t>
      </w:r>
      <w:r w:rsidR="0080024B" w:rsidRPr="00763057">
        <w:rPr>
          <w:szCs w:val="22"/>
          <w:lang w:val="hy-AM"/>
        </w:rPr>
        <w:t>6.8</w:t>
      </w:r>
      <w:r w:rsidRPr="00763057">
        <w:rPr>
          <w:szCs w:val="22"/>
          <w:lang w:val="hy-AM"/>
        </w:rPr>
        <w:t xml:space="preserve"> մլրդ դրամ, որի շրջանակներում </w:t>
      </w:r>
      <w:r w:rsidR="0080024B" w:rsidRPr="00763057">
        <w:rPr>
          <w:szCs w:val="22"/>
          <w:lang w:val="hy-AM"/>
        </w:rPr>
        <w:t xml:space="preserve">իրականացվելու են </w:t>
      </w:r>
      <w:r w:rsidRPr="00763057">
        <w:rPr>
          <w:szCs w:val="22"/>
          <w:lang w:val="hy-AM"/>
        </w:rPr>
        <w:t>կառուցման աշխատանքները, միջազգային խորհրդատվական ծառայությունների ձեռքբերումն ու պայմանագրերի սպասարկումը.</w:t>
      </w:r>
    </w:p>
    <w:p w14:paraId="3F6FE379" w14:textId="77777777" w:rsidR="003F46A3" w:rsidRPr="00763057" w:rsidRDefault="003F46A3" w:rsidP="00082769">
      <w:pPr>
        <w:pStyle w:val="BodytextBullets"/>
        <w:ind w:left="0" w:right="-22" w:firstLine="0"/>
        <w:rPr>
          <w:szCs w:val="22"/>
          <w:lang w:val="hy-AM"/>
        </w:rPr>
      </w:pPr>
      <w:r w:rsidRPr="00763057">
        <w:rPr>
          <w:szCs w:val="22"/>
          <w:lang w:val="hy-AM"/>
        </w:rPr>
        <w:t>հանրակրթական դպրոցների ուսուցիչների, նախնական և միջին մասնագիտական, արտադպրոցական ուսումնական հաստատությունների, մանկավարժահոգեբանական աջակցության կենտրոնների մանկավարժական աշխատողների ատեստավորման արդյունքում կապահովվի վերջիններիս աշխատավարձերի աճը.</w:t>
      </w:r>
    </w:p>
    <w:p w14:paraId="42767E69" w14:textId="2223C257" w:rsidR="003F46A3" w:rsidRPr="00763057" w:rsidRDefault="0080024B" w:rsidP="00082769">
      <w:pPr>
        <w:pStyle w:val="BodytextBullets"/>
        <w:ind w:left="0" w:right="-22" w:firstLine="0"/>
        <w:rPr>
          <w:szCs w:val="22"/>
          <w:lang w:val="hy-AM"/>
        </w:rPr>
      </w:pPr>
      <w:r w:rsidRPr="00763057">
        <w:rPr>
          <w:szCs w:val="22"/>
          <w:lang w:val="hy-AM"/>
        </w:rPr>
        <w:t>կիրականացվեն</w:t>
      </w:r>
      <w:r w:rsidR="003F46A3" w:rsidRPr="00763057">
        <w:rPr>
          <w:szCs w:val="22"/>
          <w:lang w:val="hy-AM"/>
        </w:rPr>
        <w:t xml:space="preserve"> թվով </w:t>
      </w:r>
      <w:r w:rsidRPr="00763057">
        <w:rPr>
          <w:szCs w:val="22"/>
          <w:lang w:val="hy-AM"/>
        </w:rPr>
        <w:t xml:space="preserve">159 </w:t>
      </w:r>
      <w:r w:rsidR="003F46A3" w:rsidRPr="00763057">
        <w:rPr>
          <w:szCs w:val="22"/>
          <w:lang w:val="hy-AM"/>
        </w:rPr>
        <w:t xml:space="preserve">դպրոցների և </w:t>
      </w:r>
      <w:r w:rsidRPr="00763057">
        <w:rPr>
          <w:szCs w:val="22"/>
          <w:lang w:val="hy-AM"/>
        </w:rPr>
        <w:t>4</w:t>
      </w:r>
      <w:r w:rsidR="003F46A3" w:rsidRPr="00763057">
        <w:rPr>
          <w:szCs w:val="22"/>
          <w:lang w:val="hy-AM"/>
        </w:rPr>
        <w:t xml:space="preserve"> մանկապարտեզների կառուցման, հիմնանորոգման և վերանորոգման աշխատանքները՝ ապահովելով նաև դրանց հագեցումը անհրաժեշտ գույքով և սարքավորումներով.</w:t>
      </w:r>
    </w:p>
    <w:p w14:paraId="379CB41D" w14:textId="0D811D90" w:rsidR="0080024B" w:rsidRPr="008504CE" w:rsidRDefault="0080024B" w:rsidP="00082769">
      <w:pPr>
        <w:pStyle w:val="BodytextBullets"/>
        <w:ind w:left="0" w:right="-22" w:firstLine="0"/>
        <w:rPr>
          <w:szCs w:val="22"/>
          <w:lang w:val="hy-AM"/>
        </w:rPr>
      </w:pPr>
      <w:r w:rsidRPr="00763057">
        <w:rPr>
          <w:szCs w:val="22"/>
          <w:lang w:val="hy-AM"/>
        </w:rPr>
        <w:t xml:space="preserve">Կիրականացվեն աշխատանքներ մարզական կառույցների, այդ թվում ֆուտբոլի դաշտերի, </w:t>
      </w:r>
      <w:r w:rsidRPr="008504CE">
        <w:rPr>
          <w:szCs w:val="22"/>
          <w:lang w:val="hy-AM"/>
        </w:rPr>
        <w:t>կառուցման, հիմնանորոգման գծով</w:t>
      </w:r>
      <w:r w:rsidRPr="008504CE">
        <w:rPr>
          <w:rFonts w:ascii="Cambria Math" w:hAnsi="Cambria Math" w:cs="Cambria Math"/>
          <w:szCs w:val="22"/>
          <w:lang w:val="hy-AM"/>
        </w:rPr>
        <w:t>․</w:t>
      </w:r>
    </w:p>
    <w:p w14:paraId="2CFCE88C" w14:textId="77777777" w:rsidR="008504CE" w:rsidRPr="008504CE" w:rsidRDefault="008504CE" w:rsidP="008504CE">
      <w:pPr>
        <w:pStyle w:val="BodytextBullets"/>
        <w:ind w:left="0" w:right="357" w:firstLine="0"/>
        <w:rPr>
          <w:rFonts w:eastAsiaTheme="majorEastAsia" w:cstheme="majorBidi"/>
          <w:bCs/>
          <w:kern w:val="24"/>
          <w:szCs w:val="22"/>
          <w:lang w:val="hy-AM"/>
        </w:rPr>
      </w:pPr>
      <w:r w:rsidRPr="008504CE">
        <w:rPr>
          <w:rFonts w:eastAsiaTheme="majorEastAsia" w:cstheme="majorBidi"/>
          <w:bCs/>
          <w:kern w:val="24"/>
          <w:szCs w:val="22"/>
          <w:lang w:val="hy-AM"/>
        </w:rPr>
        <w:t>կիրականացվեն շուրջ 260 կմ երկարությամբ միջպետական, հանրապետական և մարզային նշանակության ավտոմոբիլային ճանապարհների և 8 տրանսպորտային օբյեկտների հիմնանորոգման, 120 կմ միջին նորոգման, 20 կմ այլ նշանակության ճանապարհների հիմնանորոգման, 4,429.8 կմ ամառային և 5,393.5 կմ ձմեռային պահպանման, ինչպես նաև 3 թունելների և 5 կամուրջների պահպանման ու շահագործման աշխատանքներ.</w:t>
      </w:r>
    </w:p>
    <w:p w14:paraId="7D71FDAD" w14:textId="77777777" w:rsidR="008504CE" w:rsidRPr="008504CE" w:rsidRDefault="008504CE" w:rsidP="008504CE">
      <w:pPr>
        <w:pStyle w:val="BodytextBullets"/>
        <w:ind w:left="0" w:right="357" w:firstLine="0"/>
        <w:rPr>
          <w:rFonts w:eastAsiaTheme="majorEastAsia" w:cstheme="majorBidi"/>
          <w:bCs/>
          <w:kern w:val="24"/>
          <w:szCs w:val="22"/>
          <w:lang w:val="hy-AM"/>
        </w:rPr>
      </w:pPr>
      <w:r w:rsidRPr="008504CE">
        <w:rPr>
          <w:rFonts w:eastAsiaTheme="majorEastAsia" w:cstheme="majorBidi"/>
          <w:bCs/>
          <w:kern w:val="24"/>
          <w:szCs w:val="22"/>
          <w:lang w:val="hy-AM"/>
        </w:rPr>
        <w:t>վարկային միջոցներով հիմնականում կշարունակվեն Հյուսիս-Հարավ ճանապարհային միջանցքի Քաջարան-Ագարակ 32կմ հատվածների, Քաջարանի թունելի և մոտեցումների շինարարությունը, Սիսիան-Քաջարան 60կմ ճանապարհահատվածի հողերի օտարման և տարաբնակեցման ծրագրի իրականացումը և կառուցման/վերակառուցման աշխատանքները, մասնավորապես՝ Սիսիան-Քաջարան 60կմ-ի Հյուսիսային ենթահատվածի (ԱԶԲ-ի և ԵՆԲ-ի ֆինանսավորում), Հարավային ենթահատվածի (ՎԶԵԲ-ի և ԵՆԲ-ի ֆինանսավորում), ինչպես նաև Բարգուշատի թունելի կառուցման աշխատանքները: Միաժամանակ կմեկնարկեն ԱԶԲ աջակցությամբ իրականացվող «Դիմակայուն և ներառական ճանապարհային հատվածի բարելավման ծրագիր 2» ծրագրով Դիլիջանի և Պուշկին թունելների</w:t>
      </w:r>
      <w:r w:rsidRPr="008504CE">
        <w:rPr>
          <w:rFonts w:ascii="Calibri" w:eastAsiaTheme="majorEastAsia" w:hAnsi="Calibri" w:cs="Calibri"/>
          <w:bCs/>
          <w:kern w:val="24"/>
          <w:szCs w:val="22"/>
          <w:lang w:val="hy-AM"/>
        </w:rPr>
        <w:t> </w:t>
      </w:r>
      <w:r w:rsidRPr="008504CE">
        <w:rPr>
          <w:rFonts w:eastAsiaTheme="majorEastAsia" w:cstheme="majorBidi"/>
          <w:bCs/>
          <w:kern w:val="24"/>
          <w:szCs w:val="22"/>
          <w:lang w:val="hy-AM"/>
        </w:rPr>
        <w:t xml:space="preserve"> հիմնանորոգման շրջանակներում հողերի օտարման գործընթացը.</w:t>
      </w:r>
    </w:p>
    <w:p w14:paraId="191DC63E" w14:textId="47BFF16D" w:rsidR="008504CE" w:rsidRPr="008504CE" w:rsidRDefault="008504CE" w:rsidP="008504CE">
      <w:pPr>
        <w:pStyle w:val="BodytextBullets"/>
        <w:ind w:left="0" w:right="357" w:firstLine="0"/>
        <w:rPr>
          <w:szCs w:val="22"/>
          <w:lang w:val="hy-AM"/>
        </w:rPr>
      </w:pPr>
      <w:r w:rsidRPr="008504CE">
        <w:rPr>
          <w:szCs w:val="22"/>
          <w:lang w:val="hy-AM"/>
        </w:rPr>
        <w:t>կմեկնարկեն առաջնահերթության կարգով ընտրված վերականգնման ենթակա պոմպակայանները էներգաարդյունավետ տեխնոլոգիաներով վերազինման տեխնիկատնտե</w:t>
      </w:r>
      <w:r w:rsidRPr="008504CE">
        <w:rPr>
          <w:szCs w:val="22"/>
          <w:lang w:val="hy-AM"/>
        </w:rPr>
        <w:softHyphen/>
        <w:t>սական ուսումնասիրման, նախագծային ծառայությունների ձեռքբերման և վերազինման աշխատանքները, ինչը հնարավորություն կտա նվազեցնել Էլեկտրաէներգիայի ծախսը</w:t>
      </w:r>
      <w:r w:rsidR="00177C18">
        <w:rPr>
          <w:szCs w:val="22"/>
          <w:lang w:val="hy-AM"/>
        </w:rPr>
        <w:t>,</w:t>
      </w:r>
    </w:p>
    <w:p w14:paraId="264AFDAF" w14:textId="77777777" w:rsidR="008504CE" w:rsidRPr="008504CE" w:rsidRDefault="008504CE" w:rsidP="008504CE">
      <w:pPr>
        <w:pStyle w:val="BodytextBullets"/>
        <w:ind w:left="0" w:right="357" w:firstLine="0"/>
        <w:rPr>
          <w:szCs w:val="22"/>
          <w:lang w:val="hy-AM"/>
        </w:rPr>
      </w:pPr>
      <w:r w:rsidRPr="008504CE">
        <w:rPr>
          <w:szCs w:val="22"/>
          <w:lang w:val="hy-AM"/>
        </w:rPr>
        <w:t>կշարունակվեն հանրապետության մի շարք համայնքների բնակավայրերի ջրամատակարարման և ջրահեռացման համակարգերի հիմնանորոգման և կառուցման, այդ թվում՝ ՀՀ կառավարության և «Վեոլիա Ջուր» ՓԲԸ-ի միջև կնքված Վարձակալության պայմանագրի շրջանակներում պարտադիր կապիտալ աշխատանքների ծրագրով նախատեսված աշխատանքները,</w:t>
      </w:r>
    </w:p>
    <w:p w14:paraId="25F2EF27" w14:textId="323E7436" w:rsidR="008504CE" w:rsidRPr="008504CE" w:rsidRDefault="008504CE" w:rsidP="008504CE">
      <w:pPr>
        <w:pStyle w:val="BodytextBullets"/>
        <w:ind w:left="0" w:right="357" w:firstLine="0"/>
        <w:rPr>
          <w:szCs w:val="22"/>
          <w:lang w:val="hy-AM"/>
        </w:rPr>
      </w:pPr>
      <w:r w:rsidRPr="008504CE">
        <w:rPr>
          <w:szCs w:val="22"/>
          <w:lang w:val="hy-AM"/>
        </w:rPr>
        <w:t xml:space="preserve">կմեկնարկեն </w:t>
      </w:r>
      <w:r w:rsidR="00DA4702">
        <w:rPr>
          <w:szCs w:val="22"/>
          <w:lang w:val="hy-AM"/>
        </w:rPr>
        <w:t>Ս</w:t>
      </w:r>
      <w:r w:rsidRPr="008504CE">
        <w:rPr>
          <w:szCs w:val="22"/>
          <w:lang w:val="hy-AM"/>
        </w:rPr>
        <w:t>ևանա լճի ավազանի բնակավայրերի կեղտաջրերի կառավարման համապարփակ ներդրումային ծրագրի 1-ին փուլի՝ «Գավառ», «Մարտունի» և «Վարդենիս» կեղտաջրերի մաքրման կայանների արդիականացման (այդ թվում՝ նախագծերի ձեռքբերման) աշխատանքները</w:t>
      </w:r>
      <w:r w:rsidR="00177C18">
        <w:rPr>
          <w:szCs w:val="22"/>
          <w:lang w:val="hy-AM"/>
        </w:rPr>
        <w:t>,</w:t>
      </w:r>
    </w:p>
    <w:p w14:paraId="73CD7711" w14:textId="53CE5A93" w:rsidR="008504CE" w:rsidRPr="008504CE" w:rsidRDefault="008504CE" w:rsidP="008504CE">
      <w:pPr>
        <w:pStyle w:val="BodytextBullets"/>
        <w:ind w:left="0" w:right="357" w:firstLine="0"/>
        <w:rPr>
          <w:rFonts w:eastAsiaTheme="majorEastAsia" w:cstheme="majorBidi"/>
          <w:bCs/>
          <w:kern w:val="24"/>
          <w:szCs w:val="22"/>
          <w:lang w:val="hy-AM"/>
        </w:rPr>
      </w:pPr>
      <w:r w:rsidRPr="008504CE">
        <w:rPr>
          <w:rFonts w:eastAsiaTheme="majorEastAsia" w:cstheme="majorBidi"/>
          <w:bCs/>
          <w:kern w:val="24"/>
          <w:szCs w:val="22"/>
          <w:lang w:val="hy-AM"/>
        </w:rPr>
        <w:t>կշարունակվի պետական աջակցության տրամադրումը բարձր տեխնոլոգիաների ոլորտում գործունեություն իրականացնող տնտեսավարող սուբյեկտներին՝ նոր աշխատողների ներգրավման, վերապատրաստման և աշխատանքային միգրանտների համար</w:t>
      </w:r>
      <w:r w:rsidR="00E35C70">
        <w:rPr>
          <w:rFonts w:eastAsiaTheme="majorEastAsia" w:cstheme="majorBidi"/>
          <w:bCs/>
          <w:kern w:val="24"/>
          <w:szCs w:val="22"/>
          <w:lang w:val="hy-AM"/>
        </w:rPr>
        <w:t>,</w:t>
      </w:r>
    </w:p>
    <w:p w14:paraId="2C5DC774" w14:textId="238E8734" w:rsidR="008504CE" w:rsidRPr="008504CE" w:rsidRDefault="008504CE" w:rsidP="008504CE">
      <w:pPr>
        <w:pStyle w:val="BodytextBullets"/>
        <w:ind w:left="0" w:right="-22" w:firstLine="0"/>
        <w:rPr>
          <w:rFonts w:eastAsia="Times New Roman" w:cs="Arial"/>
          <w:szCs w:val="22"/>
          <w:lang w:val="hy-AM"/>
        </w:rPr>
      </w:pPr>
      <w:r w:rsidRPr="008504CE">
        <w:rPr>
          <w:rFonts w:eastAsia="Times New Roman" w:cs="Times New Roman"/>
          <w:bCs/>
          <w:kern w:val="24"/>
          <w:szCs w:val="22"/>
          <w:lang w:val="hy-AM"/>
        </w:rPr>
        <w:t xml:space="preserve">Կշարունակվեն գյուղատնտեսության ոլորտում իրականացվող աջակցության ծրագրերի </w:t>
      </w:r>
      <w:r w:rsidRPr="008504CE">
        <w:rPr>
          <w:rFonts w:eastAsia="Times New Roman" w:cs="Arial"/>
          <w:szCs w:val="22"/>
          <w:lang w:val="hy-AM"/>
        </w:rPr>
        <w:t>(անասնաբուծության ճյուղում իրականացվող ներդրումային ծրագրեր, գարնանացան մշակաբույսերի մշակության հիմնական աշխատանքներ, ինտենսիվ այգեգործության զարգացման ծախսեր, գյուղատնտեսական տեխնիկայի և սարքավորումների լիզինգ աջակ</w:t>
      </w:r>
      <w:r w:rsidR="00E35C70">
        <w:rPr>
          <w:rFonts w:eastAsia="Times New Roman" w:cs="Arial"/>
          <w:szCs w:val="22"/>
          <w:lang w:val="hy-AM"/>
        </w:rPr>
        <w:t>ցություն և այլն) ֆինանսավորումը,</w:t>
      </w:r>
    </w:p>
    <w:p w14:paraId="24B985C8" w14:textId="4887E803" w:rsidR="008504CE" w:rsidRPr="008504CE" w:rsidRDefault="008504CE" w:rsidP="008504CE">
      <w:pPr>
        <w:pStyle w:val="BodytextBullets"/>
        <w:ind w:left="0" w:right="357" w:firstLine="0"/>
        <w:rPr>
          <w:rFonts w:eastAsiaTheme="majorEastAsia" w:cstheme="majorBidi"/>
          <w:bCs/>
          <w:kern w:val="24"/>
          <w:szCs w:val="22"/>
          <w:lang w:val="hy-AM"/>
        </w:rPr>
      </w:pPr>
      <w:r w:rsidRPr="008504CE">
        <w:rPr>
          <w:rFonts w:eastAsiaTheme="majorEastAsia" w:cstheme="majorBidi"/>
          <w:bCs/>
          <w:kern w:val="24"/>
          <w:szCs w:val="22"/>
          <w:lang w:val="hy-AM"/>
        </w:rPr>
        <w:t>կշարունակվի ավիացիայի աջակցության հաստատված ծրագրով ֆինանսական օժանդակության տրամադրումը այն ավիաընկերություններին, որոնք կփոխադրեն օդային ուղևորներին նոր ուղղություններից Երևանի «Զվարթնոց» և Գյումրու «Շիրակ» օդանավակայաններ</w:t>
      </w:r>
      <w:r w:rsidR="00E35C70">
        <w:rPr>
          <w:rFonts w:eastAsiaTheme="majorEastAsia" w:cstheme="majorBidi"/>
          <w:bCs/>
          <w:kern w:val="24"/>
          <w:szCs w:val="22"/>
          <w:lang w:val="hy-AM"/>
        </w:rPr>
        <w:t>,</w:t>
      </w:r>
    </w:p>
    <w:p w14:paraId="7C4E1EEC" w14:textId="387EF9F5" w:rsidR="008504CE" w:rsidRPr="008504CE" w:rsidRDefault="008504CE" w:rsidP="008504CE">
      <w:pPr>
        <w:pStyle w:val="BodytextBullets"/>
        <w:ind w:left="0" w:right="357" w:firstLine="0"/>
        <w:rPr>
          <w:rFonts w:eastAsiaTheme="majorEastAsia" w:cstheme="majorBidi"/>
          <w:bCs/>
          <w:kern w:val="24"/>
          <w:szCs w:val="22"/>
          <w:lang w:val="hy-AM"/>
        </w:rPr>
      </w:pPr>
      <w:r w:rsidRPr="008504CE">
        <w:rPr>
          <w:rFonts w:eastAsiaTheme="majorEastAsia" w:cstheme="majorBidi"/>
          <w:bCs/>
          <w:kern w:val="24"/>
          <w:szCs w:val="22"/>
          <w:lang w:val="hy-AM"/>
        </w:rPr>
        <w:t>կշարունակվի բնակարանների և անհատական բնակելի տների էներգաարդյունավետ վերանորոգման աշխատանքների պետական աջակցության ծրագրով 34555 շահառուների կողմից արդեն իսկ ներգրավված վարկերի տոկոսադրույքների սուբսիդավորումը</w:t>
      </w:r>
      <w:r w:rsidR="00E35C70">
        <w:rPr>
          <w:rFonts w:eastAsiaTheme="majorEastAsia" w:cstheme="majorBidi"/>
          <w:bCs/>
          <w:kern w:val="24"/>
          <w:szCs w:val="22"/>
          <w:lang w:val="hy-AM"/>
        </w:rPr>
        <w:t>,</w:t>
      </w:r>
    </w:p>
    <w:p w14:paraId="76D6A346" w14:textId="2128072D" w:rsidR="003F46A3" w:rsidRPr="008504CE" w:rsidRDefault="008504CE" w:rsidP="008504CE">
      <w:pPr>
        <w:pStyle w:val="BodytextBullets"/>
        <w:ind w:left="0" w:right="357" w:firstLine="0"/>
        <w:rPr>
          <w:rFonts w:eastAsiaTheme="majorEastAsia" w:cstheme="majorBidi"/>
          <w:bCs/>
          <w:kern w:val="24"/>
          <w:szCs w:val="22"/>
          <w:lang w:val="hy-AM"/>
        </w:rPr>
      </w:pPr>
      <w:r w:rsidRPr="008504CE">
        <w:rPr>
          <w:rFonts w:eastAsiaTheme="majorEastAsia" w:cstheme="majorBidi"/>
          <w:bCs/>
          <w:kern w:val="24"/>
          <w:szCs w:val="22"/>
          <w:lang w:val="hy-AM"/>
        </w:rPr>
        <w:t>կշարունակվի ՀՀ կառավարության կողմից համաֆինանսավորման սկզբունքով համայնքներում մասնակցային բյուջետավորմամբ սուբվենցիոն ծրագրերի իրականացումը</w:t>
      </w:r>
      <w:r w:rsidR="00E35C70">
        <w:rPr>
          <w:rFonts w:eastAsiaTheme="majorEastAsia" w:cstheme="majorBidi"/>
          <w:bCs/>
          <w:kern w:val="24"/>
          <w:szCs w:val="22"/>
          <w:lang w:val="hy-AM"/>
        </w:rPr>
        <w:t>,</w:t>
      </w:r>
    </w:p>
    <w:p w14:paraId="2342A02E" w14:textId="007982FC" w:rsidR="003F46A3" w:rsidRPr="00763057" w:rsidRDefault="00F17F92" w:rsidP="00082769">
      <w:pPr>
        <w:pStyle w:val="BodytextBullets"/>
        <w:ind w:left="0" w:right="-22" w:firstLine="0"/>
        <w:rPr>
          <w:rFonts w:eastAsia="Times New Roman" w:cs="Arial"/>
          <w:bCs/>
          <w:szCs w:val="22"/>
          <w:lang w:val="hy-AM"/>
        </w:rPr>
      </w:pPr>
      <w:r w:rsidRPr="00763057">
        <w:rPr>
          <w:rFonts w:eastAsiaTheme="majorEastAsia" w:cstheme="majorBidi"/>
          <w:bCs/>
          <w:kern w:val="24"/>
          <w:szCs w:val="22"/>
          <w:lang w:val="hy-AM"/>
        </w:rPr>
        <w:t xml:space="preserve">կշարունակվի </w:t>
      </w:r>
      <w:r w:rsidRPr="00763057">
        <w:rPr>
          <w:rFonts w:eastAsia="Times New Roman" w:cs="Arial"/>
          <w:bCs/>
          <w:szCs w:val="22"/>
          <w:lang w:val="hy-AM"/>
        </w:rPr>
        <w:t>օրե</w:t>
      </w:r>
      <w:r w:rsidR="00DA4702">
        <w:rPr>
          <w:rFonts w:eastAsia="Times New Roman" w:cs="Arial"/>
          <w:bCs/>
          <w:szCs w:val="22"/>
          <w:lang w:val="hy-AM"/>
        </w:rPr>
        <w:t>ն</w:t>
      </w:r>
      <w:r w:rsidRPr="00763057">
        <w:rPr>
          <w:rFonts w:eastAsia="Times New Roman" w:cs="Arial"/>
          <w:bCs/>
          <w:szCs w:val="22"/>
          <w:lang w:val="hy-AM"/>
        </w:rPr>
        <w:t xml:space="preserve">սդրությամբ սահմանված ուղղություններով անկանխիկ եղանակով սոցիալական ծախսեր կատարած` հայտարարատու համարվող ֆիզիկական անձանց ծախսերի փոխհատուցումը, </w:t>
      </w:r>
      <w:r w:rsidRPr="00763057">
        <w:rPr>
          <w:rFonts w:eastAsiaTheme="majorEastAsia" w:cstheme="majorBidi"/>
          <w:bCs/>
          <w:kern w:val="24"/>
          <w:szCs w:val="22"/>
          <w:lang w:val="hy-AM"/>
        </w:rPr>
        <w:t>որի գծով 2</w:t>
      </w:r>
      <w:r w:rsidRPr="00763057">
        <w:rPr>
          <w:rFonts w:eastAsia="Times New Roman" w:cs="Arial"/>
          <w:bCs/>
          <w:szCs w:val="22"/>
          <w:lang w:val="hy-AM"/>
        </w:rPr>
        <w:t>027</w:t>
      </w:r>
      <w:r w:rsidR="00910273">
        <w:rPr>
          <w:rFonts w:eastAsia="Times New Roman" w:cs="Arial"/>
          <w:bCs/>
          <w:szCs w:val="22"/>
          <w:lang w:val="hy-AM"/>
        </w:rPr>
        <w:t xml:space="preserve"> </w:t>
      </w:r>
      <w:r w:rsidRPr="00763057">
        <w:rPr>
          <w:rFonts w:eastAsia="Times New Roman" w:cs="Arial"/>
          <w:bCs/>
          <w:szCs w:val="22"/>
          <w:lang w:val="hy-AM"/>
        </w:rPr>
        <w:t>թ</w:t>
      </w:r>
      <w:r w:rsidR="00F7470E" w:rsidRPr="00763057">
        <w:rPr>
          <w:rFonts w:eastAsia="Times New Roman" w:cs="Arial"/>
          <w:bCs/>
          <w:szCs w:val="22"/>
          <w:lang w:val="hy-AM"/>
        </w:rPr>
        <w:t>վականին</w:t>
      </w:r>
      <w:r w:rsidRPr="00763057">
        <w:rPr>
          <w:rFonts w:eastAsia="Times New Roman" w:cs="Arial"/>
          <w:bCs/>
          <w:szCs w:val="22"/>
          <w:lang w:val="hy-AM"/>
        </w:rPr>
        <w:t xml:space="preserve"> </w:t>
      </w:r>
      <w:r w:rsidRPr="00763057">
        <w:rPr>
          <w:rFonts w:eastAsiaTheme="majorEastAsia" w:cstheme="majorBidi"/>
          <w:bCs/>
          <w:kern w:val="24"/>
          <w:szCs w:val="22"/>
          <w:lang w:val="hy-AM"/>
        </w:rPr>
        <w:t>նախատեսվում է</w:t>
      </w:r>
      <w:r w:rsidR="003F46A3" w:rsidRPr="00763057">
        <w:rPr>
          <w:rFonts w:eastAsia="Times New Roman" w:cs="Arial"/>
          <w:bCs/>
          <w:szCs w:val="22"/>
          <w:lang w:val="hy-AM"/>
        </w:rPr>
        <w:t xml:space="preserve"> </w:t>
      </w:r>
      <w:r w:rsidRPr="00763057">
        <w:rPr>
          <w:rFonts w:eastAsia="Times New Roman" w:cs="Arial"/>
          <w:bCs/>
          <w:szCs w:val="22"/>
          <w:lang w:val="hy-AM"/>
        </w:rPr>
        <w:t>22</w:t>
      </w:r>
      <w:r w:rsidR="003F46A3" w:rsidRPr="00763057">
        <w:rPr>
          <w:rFonts w:eastAsia="Times New Roman" w:cs="Arial"/>
          <w:bCs/>
          <w:szCs w:val="22"/>
          <w:lang w:val="hy-AM"/>
        </w:rPr>
        <w:t xml:space="preserve"> մլրդ դրամ</w:t>
      </w:r>
      <w:r w:rsidRPr="00763057">
        <w:rPr>
          <w:rFonts w:eastAsia="Times New Roman" w:cs="Arial"/>
          <w:bCs/>
          <w:szCs w:val="22"/>
          <w:lang w:val="hy-AM"/>
        </w:rPr>
        <w:t>՝ 2026թ</w:t>
      </w:r>
      <w:r w:rsidR="003F46A3" w:rsidRPr="00763057">
        <w:rPr>
          <w:rFonts w:eastAsia="Times New Roman" w:cs="Arial"/>
          <w:bCs/>
          <w:szCs w:val="22"/>
          <w:lang w:val="hy-AM"/>
        </w:rPr>
        <w:t>.</w:t>
      </w:r>
      <w:r w:rsidRPr="00763057">
        <w:rPr>
          <w:rFonts w:eastAsia="Times New Roman" w:cs="Arial"/>
          <w:bCs/>
          <w:szCs w:val="22"/>
          <w:lang w:val="hy-AM"/>
        </w:rPr>
        <w:t xml:space="preserve"> 10 մլրդ դրամի դիմաց</w:t>
      </w:r>
      <w:r w:rsidR="00EC4679">
        <w:rPr>
          <w:rFonts w:ascii="Cambria Math" w:eastAsia="Times New Roman" w:hAnsi="Cambria Math" w:cs="Arial"/>
          <w:bCs/>
          <w:szCs w:val="22"/>
          <w:lang w:val="hy-AM"/>
        </w:rPr>
        <w:t>,</w:t>
      </w:r>
    </w:p>
    <w:p w14:paraId="754A9F30" w14:textId="02B0A4E7" w:rsidR="003F46A3" w:rsidRPr="00763057" w:rsidRDefault="00F7470E" w:rsidP="00082769">
      <w:pPr>
        <w:pStyle w:val="BodytextBullets"/>
        <w:ind w:left="0" w:right="-22" w:firstLine="0"/>
        <w:rPr>
          <w:rFonts w:eastAsia="Times New Roman" w:cs="Arial"/>
          <w:bCs/>
          <w:szCs w:val="22"/>
          <w:lang w:val="hy-AM"/>
        </w:rPr>
      </w:pPr>
      <w:r w:rsidRPr="00763057">
        <w:rPr>
          <w:rFonts w:eastAsiaTheme="majorEastAsia" w:cstheme="majorBidi"/>
          <w:bCs/>
          <w:kern w:val="24"/>
          <w:szCs w:val="22"/>
          <w:lang w:val="hy-AM"/>
        </w:rPr>
        <w:t>կշարունակվի</w:t>
      </w:r>
      <w:r w:rsidRPr="00763057">
        <w:rPr>
          <w:rFonts w:eastAsia="Times New Roman" w:cs="Arial"/>
          <w:bCs/>
          <w:szCs w:val="22"/>
          <w:lang w:val="hy-AM"/>
        </w:rPr>
        <w:t xml:space="preserve"> Arca ազգային վճարահաշվային համակարգով անկանխիկ վճարումներից հետվճարի տրամադրումը, </w:t>
      </w:r>
      <w:r w:rsidRPr="00763057">
        <w:rPr>
          <w:rFonts w:eastAsiaTheme="majorEastAsia" w:cstheme="majorBidi"/>
          <w:bCs/>
          <w:kern w:val="24"/>
          <w:szCs w:val="22"/>
          <w:lang w:val="hy-AM"/>
        </w:rPr>
        <w:t>որի գծով 2</w:t>
      </w:r>
      <w:r w:rsidRPr="00763057">
        <w:rPr>
          <w:rFonts w:eastAsia="Times New Roman" w:cs="Arial"/>
          <w:bCs/>
          <w:szCs w:val="22"/>
          <w:lang w:val="hy-AM"/>
        </w:rPr>
        <w:t xml:space="preserve">027թվականին </w:t>
      </w:r>
      <w:r w:rsidRPr="00763057">
        <w:rPr>
          <w:rFonts w:eastAsiaTheme="majorEastAsia" w:cstheme="majorBidi"/>
          <w:bCs/>
          <w:kern w:val="24"/>
          <w:szCs w:val="22"/>
          <w:lang w:val="hy-AM"/>
        </w:rPr>
        <w:t>նախատեսվում է</w:t>
      </w:r>
      <w:r w:rsidRPr="00763057">
        <w:rPr>
          <w:rFonts w:eastAsia="Times New Roman" w:cs="Arial"/>
          <w:bCs/>
          <w:szCs w:val="22"/>
          <w:lang w:val="hy-AM"/>
        </w:rPr>
        <w:t xml:space="preserve"> </w:t>
      </w:r>
      <w:r w:rsidR="003F46A3" w:rsidRPr="00763057">
        <w:rPr>
          <w:rFonts w:eastAsia="Times New Roman" w:cs="Arial"/>
          <w:bCs/>
          <w:szCs w:val="22"/>
          <w:lang w:val="hy-AM"/>
        </w:rPr>
        <w:t>3.5 մլրդ դրամ</w:t>
      </w:r>
      <w:r w:rsidRPr="00763057">
        <w:rPr>
          <w:rFonts w:eastAsia="Times New Roman" w:cs="Arial"/>
          <w:bCs/>
          <w:szCs w:val="22"/>
          <w:lang w:val="hy-AM"/>
        </w:rPr>
        <w:t>, նախատեսվել է 2026 թվականի մակարդակին համապատասխան</w:t>
      </w:r>
      <w:r w:rsidR="003F46A3" w:rsidRPr="00763057">
        <w:rPr>
          <w:szCs w:val="22"/>
          <w:lang w:val="hy-AM"/>
        </w:rPr>
        <w:t xml:space="preserve">: </w:t>
      </w:r>
    </w:p>
    <w:p w14:paraId="4AC9E9A0" w14:textId="77777777" w:rsidR="003F46A3" w:rsidRPr="001A37EE" w:rsidRDefault="003F46A3" w:rsidP="00082769">
      <w:pPr>
        <w:pStyle w:val="BodytextBullets"/>
        <w:numPr>
          <w:ilvl w:val="0"/>
          <w:numId w:val="0"/>
        </w:numPr>
        <w:ind w:right="-22"/>
        <w:rPr>
          <w:color w:val="0E2841" w:themeColor="text2"/>
          <w:sz w:val="24"/>
          <w:lang w:val="hy-AM"/>
        </w:rPr>
      </w:pPr>
      <w:r w:rsidRPr="001A37EE">
        <w:rPr>
          <w:lang w:val="hy-AM"/>
        </w:rPr>
        <w:t>Ոլորտային ծախսերն ըստ բյուջետային գլխավոր կարգադրիչների ներկայացված են հավելված N 1</w:t>
      </w:r>
      <w:r>
        <w:rPr>
          <w:lang w:val="hy-AM"/>
        </w:rPr>
        <w:t>-</w:t>
      </w:r>
      <w:r w:rsidRPr="001A37EE">
        <w:rPr>
          <w:lang w:val="hy-AM"/>
        </w:rPr>
        <w:t>ում:</w:t>
      </w:r>
    </w:p>
    <w:p w14:paraId="5AA9AA6B" w14:textId="77777777" w:rsidR="00B43595" w:rsidRPr="001226F0" w:rsidRDefault="00B43595" w:rsidP="00082769">
      <w:pPr>
        <w:ind w:right="-22"/>
        <w:jc w:val="both"/>
        <w:rPr>
          <w:rFonts w:ascii="GHEA Grapalat" w:eastAsia="Times New Roman" w:hAnsi="GHEA Grapalat" w:cs="Times New Roman"/>
          <w:color w:val="ADADAD" w:themeColor="background2" w:themeShade="BF"/>
          <w:szCs w:val="20"/>
          <w:lang w:val="af-ZA"/>
        </w:rPr>
      </w:pPr>
    </w:p>
    <w:p w14:paraId="2A2C4F6D" w14:textId="77777777" w:rsidR="002F7FFC" w:rsidRPr="001754FD" w:rsidRDefault="002F7FFC" w:rsidP="001754FD">
      <w:pPr>
        <w:pStyle w:val="Heading2"/>
        <w:spacing w:before="120" w:after="120"/>
        <w:ind w:right="-22"/>
        <w:jc w:val="both"/>
        <w:rPr>
          <w:rFonts w:ascii="GHEA Grapalat" w:hAnsi="GHEA Grapalat"/>
          <w:color w:val="auto"/>
          <w:sz w:val="28"/>
          <w:szCs w:val="20"/>
          <w:lang w:val="hy-AM"/>
        </w:rPr>
      </w:pPr>
      <w:bookmarkStart w:id="420" w:name="_Toc178356593"/>
      <w:bookmarkStart w:id="421" w:name="_Toc57655473"/>
      <w:bookmarkStart w:id="422" w:name="_Toc183801089"/>
      <w:bookmarkStart w:id="423" w:name="_Toc209625772"/>
      <w:bookmarkStart w:id="424" w:name="_Toc241687684"/>
      <w:r w:rsidRPr="001226F0">
        <w:rPr>
          <w:rFonts w:ascii="GHEA Grapalat" w:hAnsi="GHEA Grapalat"/>
          <w:color w:val="ADADAD" w:themeColor="background2" w:themeShade="BF"/>
          <w:sz w:val="28"/>
          <w:szCs w:val="20"/>
          <w:lang w:val="hy-AM"/>
        </w:rPr>
        <w:t>ՊԵՏԱԿԱՆ ԻՇԽԱՆՈՒԹՅԱՆ ՄԱՐՄԻՆՆԵՐԻ ՊԱՀՊԱՆՄԱՆ ԾԱԽՍԵՐ</w:t>
      </w:r>
      <w:bookmarkEnd w:id="420"/>
      <w:bookmarkEnd w:id="421"/>
      <w:bookmarkEnd w:id="422"/>
      <w:bookmarkEnd w:id="423"/>
      <w:bookmarkEnd w:id="424"/>
    </w:p>
    <w:p w14:paraId="00EFBFF9" w14:textId="77777777" w:rsidR="002F7FFC" w:rsidRPr="000232DD" w:rsidRDefault="002F7FFC" w:rsidP="00082769">
      <w:pPr>
        <w:pStyle w:val="BodyText1"/>
        <w:spacing w:before="0" w:after="0"/>
        <w:ind w:left="0" w:right="-22"/>
        <w:rPr>
          <w:color w:val="auto"/>
          <w:lang w:val="hy-AM"/>
        </w:rPr>
      </w:pPr>
      <w:r w:rsidRPr="000232DD">
        <w:rPr>
          <w:color w:val="auto"/>
          <w:lang w:val="hy-AM"/>
        </w:rPr>
        <w:t>Ոլորտը</w:t>
      </w:r>
      <w:r w:rsidRPr="000232DD">
        <w:rPr>
          <w:color w:val="auto"/>
          <w:lang w:val="af-ZA"/>
        </w:rPr>
        <w:t xml:space="preserve"> </w:t>
      </w:r>
      <w:r w:rsidRPr="000232DD">
        <w:rPr>
          <w:color w:val="auto"/>
          <w:lang w:val="hy-AM"/>
        </w:rPr>
        <w:t>ներառում</w:t>
      </w:r>
      <w:r w:rsidRPr="000232DD">
        <w:rPr>
          <w:color w:val="auto"/>
          <w:lang w:val="af-ZA"/>
        </w:rPr>
        <w:t xml:space="preserve"> </w:t>
      </w:r>
      <w:r w:rsidRPr="000232DD">
        <w:rPr>
          <w:color w:val="auto"/>
          <w:lang w:val="hy-AM"/>
        </w:rPr>
        <w:t>է</w:t>
      </w:r>
      <w:r w:rsidRPr="000232DD">
        <w:rPr>
          <w:color w:val="auto"/>
          <w:lang w:val="af-ZA"/>
        </w:rPr>
        <w:t xml:space="preserve"> </w:t>
      </w:r>
      <w:r w:rsidRPr="000232DD">
        <w:rPr>
          <w:color w:val="auto"/>
          <w:lang w:val="hy-AM"/>
        </w:rPr>
        <w:t>Սահմանադրությամբ</w:t>
      </w:r>
      <w:r w:rsidRPr="000232DD">
        <w:rPr>
          <w:color w:val="auto"/>
          <w:lang w:val="af-ZA"/>
        </w:rPr>
        <w:t xml:space="preserve"> </w:t>
      </w:r>
      <w:r w:rsidRPr="000232DD">
        <w:rPr>
          <w:color w:val="auto"/>
          <w:lang w:val="hy-AM"/>
        </w:rPr>
        <w:t>և</w:t>
      </w:r>
      <w:r w:rsidRPr="000232DD">
        <w:rPr>
          <w:color w:val="auto"/>
          <w:lang w:val="af-ZA"/>
        </w:rPr>
        <w:t xml:space="preserve"> </w:t>
      </w:r>
      <w:r w:rsidRPr="000232DD">
        <w:rPr>
          <w:color w:val="auto"/>
          <w:lang w:val="hy-AM"/>
        </w:rPr>
        <w:t>օրենքով</w:t>
      </w:r>
      <w:r w:rsidRPr="000232DD">
        <w:rPr>
          <w:color w:val="auto"/>
          <w:lang w:val="af-ZA"/>
        </w:rPr>
        <w:t xml:space="preserve"> </w:t>
      </w:r>
      <w:r w:rsidRPr="000232DD">
        <w:rPr>
          <w:color w:val="auto"/>
          <w:lang w:val="hy-AM"/>
        </w:rPr>
        <w:t>ստեղծված</w:t>
      </w:r>
      <w:r w:rsidRPr="000232DD">
        <w:rPr>
          <w:color w:val="auto"/>
          <w:lang w:val="af-ZA"/>
        </w:rPr>
        <w:t xml:space="preserve"> </w:t>
      </w:r>
      <w:r w:rsidRPr="000232DD">
        <w:rPr>
          <w:color w:val="auto"/>
          <w:lang w:val="hy-AM"/>
        </w:rPr>
        <w:t>պետական</w:t>
      </w:r>
      <w:r w:rsidRPr="000232DD">
        <w:rPr>
          <w:color w:val="auto"/>
          <w:lang w:val="af-ZA"/>
        </w:rPr>
        <w:t xml:space="preserve"> </w:t>
      </w:r>
      <w:r w:rsidRPr="000232DD">
        <w:rPr>
          <w:color w:val="auto"/>
          <w:lang w:val="hy-AM"/>
        </w:rPr>
        <w:t>մարմինների</w:t>
      </w:r>
      <w:r w:rsidRPr="000232DD">
        <w:rPr>
          <w:color w:val="auto"/>
          <w:lang w:val="af-ZA"/>
        </w:rPr>
        <w:t xml:space="preserve"> </w:t>
      </w:r>
      <w:r w:rsidRPr="000232DD">
        <w:rPr>
          <w:color w:val="auto"/>
          <w:lang w:val="hy-AM"/>
        </w:rPr>
        <w:t>պահպանմանն</w:t>
      </w:r>
      <w:r w:rsidRPr="000232DD">
        <w:rPr>
          <w:color w:val="auto"/>
          <w:lang w:val="af-ZA"/>
        </w:rPr>
        <w:t xml:space="preserve"> </w:t>
      </w:r>
      <w:r w:rsidRPr="000232DD">
        <w:rPr>
          <w:color w:val="auto"/>
          <w:lang w:val="hy-AM"/>
        </w:rPr>
        <w:t>ուղղված</w:t>
      </w:r>
      <w:r w:rsidRPr="000232DD">
        <w:rPr>
          <w:color w:val="auto"/>
          <w:lang w:val="af-ZA"/>
        </w:rPr>
        <w:t xml:space="preserve"> </w:t>
      </w:r>
      <w:r w:rsidRPr="000232DD">
        <w:rPr>
          <w:color w:val="auto"/>
          <w:lang w:val="hy-AM"/>
        </w:rPr>
        <w:t>բյուջետային</w:t>
      </w:r>
      <w:r w:rsidRPr="000232DD">
        <w:rPr>
          <w:color w:val="auto"/>
          <w:lang w:val="af-ZA"/>
        </w:rPr>
        <w:t xml:space="preserve"> </w:t>
      </w:r>
      <w:r w:rsidRPr="000232DD">
        <w:rPr>
          <w:color w:val="auto"/>
          <w:lang w:val="hy-AM"/>
        </w:rPr>
        <w:t>ծրագրերի</w:t>
      </w:r>
      <w:r w:rsidRPr="000232DD">
        <w:rPr>
          <w:color w:val="auto"/>
          <w:lang w:val="af-ZA"/>
        </w:rPr>
        <w:t xml:space="preserve"> </w:t>
      </w:r>
      <w:r w:rsidRPr="000232DD">
        <w:rPr>
          <w:color w:val="auto"/>
          <w:lang w:val="hy-AM"/>
        </w:rPr>
        <w:t>ու</w:t>
      </w:r>
      <w:r w:rsidRPr="000232DD">
        <w:rPr>
          <w:color w:val="auto"/>
          <w:lang w:val="af-ZA"/>
        </w:rPr>
        <w:t xml:space="preserve"> </w:t>
      </w:r>
      <w:r w:rsidRPr="000232DD">
        <w:rPr>
          <w:color w:val="auto"/>
          <w:lang w:val="hy-AM"/>
        </w:rPr>
        <w:t>միջոցառումների</w:t>
      </w:r>
      <w:r w:rsidRPr="000232DD">
        <w:rPr>
          <w:color w:val="auto"/>
          <w:lang w:val="af-ZA"/>
        </w:rPr>
        <w:t xml:space="preserve"> </w:t>
      </w:r>
      <w:r w:rsidRPr="000232DD">
        <w:rPr>
          <w:color w:val="auto"/>
          <w:lang w:val="hy-AM"/>
        </w:rPr>
        <w:t>շրջանակը</w:t>
      </w:r>
      <w:r w:rsidRPr="000232DD">
        <w:rPr>
          <w:color w:val="auto"/>
          <w:lang w:val="af-ZA"/>
        </w:rPr>
        <w:t xml:space="preserve">, </w:t>
      </w:r>
      <w:r w:rsidRPr="000232DD">
        <w:rPr>
          <w:color w:val="auto"/>
          <w:lang w:val="hy-AM"/>
        </w:rPr>
        <w:t>որն</w:t>
      </w:r>
      <w:r w:rsidRPr="000232DD">
        <w:rPr>
          <w:color w:val="auto"/>
          <w:lang w:val="af-ZA"/>
        </w:rPr>
        <w:t xml:space="preserve"> </w:t>
      </w:r>
      <w:r w:rsidRPr="000232DD">
        <w:rPr>
          <w:color w:val="auto"/>
          <w:lang w:val="hy-AM"/>
        </w:rPr>
        <w:t>ընդգրկում</w:t>
      </w:r>
      <w:r w:rsidRPr="000232DD">
        <w:rPr>
          <w:color w:val="auto"/>
          <w:lang w:val="af-ZA"/>
        </w:rPr>
        <w:t xml:space="preserve"> </w:t>
      </w:r>
      <w:r w:rsidRPr="000232DD">
        <w:rPr>
          <w:color w:val="auto"/>
          <w:lang w:val="hy-AM"/>
        </w:rPr>
        <w:t>է</w:t>
      </w:r>
      <w:r w:rsidRPr="000232DD">
        <w:rPr>
          <w:color w:val="auto"/>
          <w:lang w:val="af-ZA"/>
        </w:rPr>
        <w:t xml:space="preserve"> </w:t>
      </w:r>
      <w:r w:rsidRPr="000232DD">
        <w:rPr>
          <w:color w:val="auto"/>
          <w:lang w:val="hy-AM"/>
        </w:rPr>
        <w:t>պետական</w:t>
      </w:r>
      <w:r w:rsidRPr="000232DD">
        <w:rPr>
          <w:color w:val="auto"/>
          <w:lang w:val="af-ZA"/>
        </w:rPr>
        <w:t xml:space="preserve"> </w:t>
      </w:r>
      <w:r w:rsidRPr="000232DD">
        <w:rPr>
          <w:color w:val="auto"/>
          <w:lang w:val="hy-AM"/>
        </w:rPr>
        <w:t>իշխանության</w:t>
      </w:r>
      <w:r w:rsidRPr="000232DD">
        <w:rPr>
          <w:color w:val="auto"/>
          <w:lang w:val="af-ZA"/>
        </w:rPr>
        <w:t xml:space="preserve"> </w:t>
      </w:r>
      <w:r w:rsidRPr="000232DD">
        <w:rPr>
          <w:color w:val="auto"/>
          <w:lang w:val="hy-AM"/>
        </w:rPr>
        <w:t>մարմինների</w:t>
      </w:r>
      <w:r w:rsidRPr="000232DD">
        <w:rPr>
          <w:color w:val="auto"/>
          <w:lang w:val="af-ZA"/>
        </w:rPr>
        <w:t xml:space="preserve"> (</w:t>
      </w:r>
      <w:r w:rsidRPr="000232DD">
        <w:rPr>
          <w:color w:val="auto"/>
          <w:lang w:val="hy-AM"/>
        </w:rPr>
        <w:t>օրենսդիր</w:t>
      </w:r>
      <w:r w:rsidRPr="000232DD">
        <w:rPr>
          <w:color w:val="auto"/>
          <w:lang w:val="af-ZA"/>
        </w:rPr>
        <w:t xml:space="preserve">, </w:t>
      </w:r>
      <w:r w:rsidRPr="000232DD">
        <w:rPr>
          <w:color w:val="auto"/>
          <w:lang w:val="hy-AM"/>
        </w:rPr>
        <w:t>գործադիր</w:t>
      </w:r>
      <w:r w:rsidRPr="000232DD">
        <w:rPr>
          <w:color w:val="auto"/>
          <w:lang w:val="af-ZA"/>
        </w:rPr>
        <w:t xml:space="preserve"> </w:t>
      </w:r>
      <w:r w:rsidRPr="000232DD">
        <w:rPr>
          <w:color w:val="auto"/>
          <w:lang w:val="hy-AM"/>
        </w:rPr>
        <w:t>և</w:t>
      </w:r>
      <w:r w:rsidRPr="000232DD">
        <w:rPr>
          <w:color w:val="auto"/>
          <w:lang w:val="af-ZA"/>
        </w:rPr>
        <w:t xml:space="preserve"> </w:t>
      </w:r>
      <w:r w:rsidRPr="000232DD">
        <w:rPr>
          <w:color w:val="auto"/>
          <w:lang w:val="hy-AM"/>
        </w:rPr>
        <w:t>դատական</w:t>
      </w:r>
      <w:r w:rsidRPr="000232DD">
        <w:rPr>
          <w:color w:val="auto"/>
          <w:lang w:val="af-ZA"/>
        </w:rPr>
        <w:t xml:space="preserve">), </w:t>
      </w:r>
      <w:r w:rsidRPr="000232DD">
        <w:rPr>
          <w:color w:val="auto"/>
          <w:lang w:val="hy-AM"/>
        </w:rPr>
        <w:t>Սահմանադրությամբ</w:t>
      </w:r>
      <w:r w:rsidRPr="000232DD">
        <w:rPr>
          <w:color w:val="auto"/>
          <w:lang w:val="af-ZA"/>
        </w:rPr>
        <w:t xml:space="preserve"> </w:t>
      </w:r>
      <w:r w:rsidRPr="000232DD">
        <w:rPr>
          <w:color w:val="auto"/>
          <w:lang w:val="hy-AM"/>
        </w:rPr>
        <w:t>և</w:t>
      </w:r>
      <w:r w:rsidRPr="000232DD">
        <w:rPr>
          <w:color w:val="auto"/>
          <w:lang w:val="af-ZA"/>
        </w:rPr>
        <w:t xml:space="preserve"> </w:t>
      </w:r>
      <w:r w:rsidRPr="000232DD">
        <w:rPr>
          <w:color w:val="auto"/>
          <w:lang w:val="hy-AM"/>
        </w:rPr>
        <w:t>օրենքով</w:t>
      </w:r>
      <w:r w:rsidRPr="000232DD">
        <w:rPr>
          <w:color w:val="auto"/>
          <w:lang w:val="af-ZA"/>
        </w:rPr>
        <w:t xml:space="preserve"> </w:t>
      </w:r>
      <w:r w:rsidRPr="000232DD">
        <w:rPr>
          <w:color w:val="auto"/>
          <w:lang w:val="hy-AM"/>
        </w:rPr>
        <w:t>ստեղծված</w:t>
      </w:r>
      <w:r w:rsidRPr="000232DD">
        <w:rPr>
          <w:color w:val="auto"/>
          <w:lang w:val="af-ZA"/>
        </w:rPr>
        <w:t xml:space="preserve"> </w:t>
      </w:r>
      <w:r w:rsidRPr="000232DD">
        <w:rPr>
          <w:color w:val="auto"/>
          <w:lang w:val="hy-AM"/>
        </w:rPr>
        <w:t>ինքնավար</w:t>
      </w:r>
      <w:r w:rsidRPr="000232DD">
        <w:rPr>
          <w:color w:val="auto"/>
          <w:lang w:val="af-ZA"/>
        </w:rPr>
        <w:t xml:space="preserve"> </w:t>
      </w:r>
      <w:r w:rsidRPr="000232DD">
        <w:rPr>
          <w:color w:val="auto"/>
          <w:lang w:val="hy-AM"/>
        </w:rPr>
        <w:t>և</w:t>
      </w:r>
      <w:r w:rsidRPr="000232DD">
        <w:rPr>
          <w:color w:val="auto"/>
          <w:lang w:val="af-ZA"/>
        </w:rPr>
        <w:t xml:space="preserve"> </w:t>
      </w:r>
      <w:r w:rsidRPr="000232DD">
        <w:rPr>
          <w:color w:val="auto"/>
          <w:lang w:val="hy-AM"/>
        </w:rPr>
        <w:t>անկախ</w:t>
      </w:r>
      <w:r w:rsidRPr="000232DD">
        <w:rPr>
          <w:color w:val="auto"/>
          <w:lang w:val="af-ZA"/>
        </w:rPr>
        <w:t xml:space="preserve"> </w:t>
      </w:r>
      <w:r w:rsidRPr="000232DD">
        <w:rPr>
          <w:color w:val="auto"/>
          <w:lang w:val="hy-AM"/>
        </w:rPr>
        <w:t>մարմինների</w:t>
      </w:r>
      <w:r w:rsidRPr="000232DD">
        <w:rPr>
          <w:color w:val="auto"/>
          <w:lang w:val="af-ZA"/>
        </w:rPr>
        <w:t xml:space="preserve"> </w:t>
      </w:r>
      <w:r w:rsidRPr="000232DD">
        <w:rPr>
          <w:color w:val="auto"/>
          <w:lang w:val="hy-AM"/>
        </w:rPr>
        <w:t>ընթացիկ</w:t>
      </w:r>
      <w:r w:rsidRPr="000232DD">
        <w:rPr>
          <w:color w:val="auto"/>
          <w:lang w:val="af-ZA"/>
        </w:rPr>
        <w:t xml:space="preserve"> </w:t>
      </w:r>
      <w:r w:rsidRPr="000232DD">
        <w:rPr>
          <w:color w:val="auto"/>
          <w:lang w:val="hy-AM"/>
        </w:rPr>
        <w:t>գործունեության հետ ուղղակիորեն կապված պահպանման,</w:t>
      </w:r>
      <w:r w:rsidRPr="000232DD">
        <w:rPr>
          <w:color w:val="auto"/>
          <w:lang w:val="af-ZA"/>
        </w:rPr>
        <w:t xml:space="preserve"> </w:t>
      </w:r>
      <w:r w:rsidRPr="000232DD">
        <w:rPr>
          <w:color w:val="auto"/>
          <w:lang w:val="hy-AM"/>
        </w:rPr>
        <w:t xml:space="preserve">անձնակազմի վերապատրաստման, վարչական շենքերի և շինությունների ձեռքբերման, կառուցման, կապիտալ վերանորոգման, տրանսպորտային միջոցների ձեռքբերման, ինչպես նաև տեխնիկական հագեցվածությանն ուղղվող ծախսերը: </w:t>
      </w:r>
    </w:p>
    <w:p w14:paraId="08A46FDA" w14:textId="1BFA98BD" w:rsidR="002F7FFC" w:rsidRPr="000232DD" w:rsidRDefault="002F7FFC" w:rsidP="00082769">
      <w:pPr>
        <w:pStyle w:val="BodyText1"/>
        <w:spacing w:before="0" w:after="0"/>
        <w:ind w:left="0" w:right="-22"/>
        <w:rPr>
          <w:color w:val="auto"/>
          <w:lang w:val="hy-AM"/>
        </w:rPr>
      </w:pPr>
      <w:r w:rsidRPr="000232DD">
        <w:rPr>
          <w:color w:val="auto"/>
          <w:lang w:val="hy-AM"/>
        </w:rPr>
        <w:t>Պետական իշխանության մարմինների (բացառությամբ ուժային մարմինների) պահպանման ծախսերի ընդհանուր գումարը ՀՀ 2027 թվականի պետական բյուջեում ծրագրավորված է 19</w:t>
      </w:r>
      <w:r w:rsidR="00D02CB8">
        <w:rPr>
          <w:color w:val="auto"/>
          <w:lang w:val="hy-AM"/>
        </w:rPr>
        <w:t>1</w:t>
      </w:r>
      <w:r w:rsidRPr="000232DD">
        <w:rPr>
          <w:color w:val="auto"/>
          <w:lang w:val="hy-AM"/>
        </w:rPr>
        <w:t>,</w:t>
      </w:r>
      <w:r w:rsidR="00D02CB8">
        <w:rPr>
          <w:color w:val="auto"/>
          <w:lang w:val="hy-AM"/>
        </w:rPr>
        <w:t>065</w:t>
      </w:r>
      <w:r w:rsidRPr="000232DD">
        <w:rPr>
          <w:color w:val="auto"/>
          <w:lang w:val="hy-AM"/>
        </w:rPr>
        <w:t>.4 մլն դրամի չափով, որը 2025 թվականի բյուջետային տարվա փաստացի և 2026 թվականի բյուջետային տարվա համար հաստատված համապատասխան ցուցանիշների նկատմամբ կազմում է համապատասխանաբար՝ 112.9 և 112.0 տոկոս: Նշված ցուցանիշների համեմատությունը արտացոլված է սույն բացատրագրի N 2 աղյուսակում:</w:t>
      </w:r>
    </w:p>
    <w:p w14:paraId="2763C11C" w14:textId="4AB01157" w:rsidR="002F7FFC" w:rsidRPr="000232DD" w:rsidRDefault="002F7FFC" w:rsidP="00082769">
      <w:pPr>
        <w:pStyle w:val="BodyText1"/>
        <w:spacing w:before="0" w:after="0"/>
        <w:ind w:left="0" w:right="-22"/>
        <w:rPr>
          <w:color w:val="auto"/>
          <w:lang w:val="hy-AM"/>
        </w:rPr>
      </w:pPr>
      <w:r w:rsidRPr="000232DD">
        <w:rPr>
          <w:color w:val="auto"/>
          <w:lang w:val="hy-AM"/>
        </w:rPr>
        <w:t>ՀՀ 2027 թվականի պետական բյուջեում ծրագրավորված պետական իշխանության մարմինների պահպանման ընթացիկ ծախսերը նախատեսվել են 18</w:t>
      </w:r>
      <w:r w:rsidR="006C3D21">
        <w:rPr>
          <w:color w:val="auto"/>
          <w:lang w:val="hy-AM"/>
        </w:rPr>
        <w:t>5</w:t>
      </w:r>
      <w:r w:rsidRPr="000232DD">
        <w:rPr>
          <w:color w:val="auto"/>
          <w:lang w:val="hy-AM"/>
        </w:rPr>
        <w:t>,</w:t>
      </w:r>
      <w:r w:rsidR="006C3D21">
        <w:rPr>
          <w:color w:val="auto"/>
          <w:lang w:val="hy-AM"/>
        </w:rPr>
        <w:t>399</w:t>
      </w:r>
      <w:r w:rsidRPr="000232DD">
        <w:rPr>
          <w:color w:val="auto"/>
          <w:lang w:val="hy-AM"/>
        </w:rPr>
        <w:t>.</w:t>
      </w:r>
      <w:r w:rsidR="006C3D21">
        <w:rPr>
          <w:color w:val="auto"/>
          <w:lang w:val="hy-AM"/>
        </w:rPr>
        <w:t>7</w:t>
      </w:r>
      <w:r w:rsidRPr="000232DD">
        <w:rPr>
          <w:color w:val="auto"/>
          <w:lang w:val="hy-AM"/>
        </w:rPr>
        <w:t xml:space="preserve"> մլն դրամի չափով, իսկ ոչ ֆինանսական (կապիտալ) ակտիվների գծով ծախսերը նախատեսվել են 5,665.7 մլն դրամի չափով:</w:t>
      </w:r>
    </w:p>
    <w:p w14:paraId="38F41604" w14:textId="77777777" w:rsidR="002F7FFC" w:rsidRPr="000232DD" w:rsidRDefault="002F7FFC" w:rsidP="00082769">
      <w:pPr>
        <w:pStyle w:val="BodyText1"/>
        <w:spacing w:before="0" w:after="0"/>
        <w:ind w:left="0" w:right="-22"/>
        <w:rPr>
          <w:color w:val="auto"/>
          <w:lang w:val="hy-AM"/>
        </w:rPr>
      </w:pPr>
      <w:r w:rsidRPr="000232DD">
        <w:rPr>
          <w:color w:val="auto"/>
          <w:lang w:val="hy-AM"/>
        </w:rPr>
        <w:t xml:space="preserve">Պետական իշխանության մարմինների պահպանման ծախսերը ծրագրավորելիս դիտարկվում է Կառավարության ծրագրով նախանշված ուղղություններին և նպատակներին դրանց համապատասխանությունը, ինչպես նաև հաշվի են առնվում պետական կառավարման համակարգի ինստիտուցիոնալ բարեփոխումները՝ համաձայն առանձին ոլորտների ռազմավարական ծրագրերի: </w:t>
      </w:r>
    </w:p>
    <w:p w14:paraId="06FD7A8D" w14:textId="77777777" w:rsidR="002F7FFC" w:rsidRPr="000232DD" w:rsidRDefault="002F7FFC" w:rsidP="00082769">
      <w:pPr>
        <w:pStyle w:val="BodyText1"/>
        <w:spacing w:before="0" w:after="0"/>
        <w:ind w:left="0" w:right="-22"/>
        <w:rPr>
          <w:color w:val="auto"/>
          <w:lang w:val="hy-AM"/>
        </w:rPr>
      </w:pPr>
      <w:r w:rsidRPr="000232DD">
        <w:rPr>
          <w:color w:val="auto"/>
          <w:lang w:val="hy-AM"/>
        </w:rPr>
        <w:t>Պետական իշխանության մարմինների պահպանման ծախսերի ծրագրավորման առանձնահատկությունները.</w:t>
      </w:r>
    </w:p>
    <w:p w14:paraId="45531BFC" w14:textId="77777777" w:rsidR="002F7FFC" w:rsidRPr="000232DD" w:rsidRDefault="002F7FFC" w:rsidP="00082769">
      <w:pPr>
        <w:pStyle w:val="BodyText1"/>
        <w:spacing w:before="0" w:after="0"/>
        <w:ind w:left="0" w:right="-22"/>
        <w:rPr>
          <w:color w:val="auto"/>
          <w:lang w:val="hy-AM"/>
        </w:rPr>
      </w:pPr>
      <w:r w:rsidRPr="000232DD">
        <w:rPr>
          <w:color w:val="auto"/>
          <w:lang w:val="hy-AM"/>
        </w:rPr>
        <w:t>Պետական իշխանության մարմինների պահպանման ծախսերը ՀՀ 2027 թվականի պետական բյուջեում գլխավորապես ծրագրավորվել են հիմք ընդունելով ՀՀ կառավարության 2026 թվականի հուլիսի 2-ի N 985-Ն որոշմամբ հաստատված Հայաստանի Հանրապետության 2027-2029 թվականների պետական ՄԺԾԾ ցուցանիշները, ինչպես նաև, ըստ անհրաժեշտության, կատարվել են փոփոխություններ՝ պայմանավորված ՄԺԾԾ-ի ընդունումից հետո պահպանման ծախսերին առնչվող օրենսդրական և իրավական ակտերում կատարված փոփոխություններով:</w:t>
      </w:r>
    </w:p>
    <w:p w14:paraId="20656532" w14:textId="77777777" w:rsidR="002F7FFC" w:rsidRPr="000232DD" w:rsidRDefault="002F7FFC" w:rsidP="00082769">
      <w:pPr>
        <w:pStyle w:val="BodyText1"/>
        <w:spacing w:before="0" w:after="0"/>
        <w:ind w:left="0" w:right="-22"/>
        <w:rPr>
          <w:color w:val="auto"/>
          <w:lang w:val="hy-AM"/>
        </w:rPr>
      </w:pPr>
      <w:r w:rsidRPr="000232DD">
        <w:rPr>
          <w:color w:val="auto"/>
          <w:lang w:val="hy-AM"/>
        </w:rPr>
        <w:t>2027 թվականին, ինչպես նախորդ տարի՝ հաշվի առնելով առանձին պաշտոն զբաղեցնող անձանց սահմանված պաշտոնային դրույքաչափի նկատմամբ հավելման կամ հավելավճարի բարձր տոկոսը, համապատասխան մարմինների պահպանման ծախսերում պարգևատրման միջոցներ չեն նախատեսվել հետևյալ պաշտոն զբաղեցնող անձանց համար՝ Սահմանադրական դատարանի դատավորների, Բարձրագույն դատական խորհրդի անդամների, Վճռաբեկ, վերաքննիչ, ինչպես նաև առաջին ատյանի մասնագիտացված և ընդհանուր իրավասության դատարանների դատավորների, դատախազների, Քննչական կոմիտեի ինքնավար պաշտոն զբաղեցնող անձանց, Հակակոռուպցիոն կոմիտեի ինքնավար պաշտոն զբաղեցնող և օպերատիվ-հետախուզական գործառույթ իրականացնող անձանց համար:</w:t>
      </w:r>
    </w:p>
    <w:p w14:paraId="6CE7F00D" w14:textId="77777777" w:rsidR="002F7FFC" w:rsidRPr="000232DD" w:rsidRDefault="002F7FFC" w:rsidP="00082769">
      <w:pPr>
        <w:pStyle w:val="BodyText1"/>
        <w:spacing w:before="0" w:after="0"/>
        <w:ind w:left="0" w:right="-22"/>
        <w:rPr>
          <w:color w:val="auto"/>
          <w:lang w:val="hy-AM"/>
        </w:rPr>
      </w:pPr>
      <w:r w:rsidRPr="000232DD">
        <w:rPr>
          <w:color w:val="auto"/>
          <w:lang w:val="hy-AM"/>
        </w:rPr>
        <w:t xml:space="preserve">ՀՀ 2027 թվականի պետական բյուջեում պետական իշխանության մարմինների պահպանման ծախսերը հաշվարկելիս հաշվի են առնվել ինչպես նոր ստեղծված մարմնի, մասնավորապես Տեղեկատվական համակարգերի կարգավորման հանձնաժողովի, այնպես էլ  կառուցվածքային և գործառութային կարգավորումների արդյունքում ՀՀ վարչապետի որոշմամբ հաստատված համապատասխան մարմինների աշխատողների առավելագույն թվաքանակի փոփոխությունները։ </w:t>
      </w:r>
    </w:p>
    <w:p w14:paraId="18F1081A" w14:textId="77777777" w:rsidR="002F7FFC" w:rsidRPr="000232DD" w:rsidRDefault="002F7FFC" w:rsidP="00082769">
      <w:pPr>
        <w:pStyle w:val="BodyText1"/>
        <w:spacing w:before="0" w:after="0"/>
        <w:ind w:left="0" w:right="-22"/>
        <w:rPr>
          <w:color w:val="auto"/>
          <w:lang w:val="hy-AM"/>
        </w:rPr>
      </w:pPr>
      <w:r w:rsidRPr="000232DD">
        <w:rPr>
          <w:color w:val="auto"/>
          <w:lang w:val="hy-AM"/>
        </w:rPr>
        <w:t xml:space="preserve">ՀՀ 2027 թվականի պետական բյուջեում պետական իշխանության մարմինների պահպանման ծախսերը հաշվարկվել են հիմք ընդունելով 21760 հաստիքային միավորների քանակը, որը 2026 թվականի համեմատ ավելի է 305 միավորով, որից 270-ը Տեղեկատվական համակարգերի կարգավորման հանձնաժողովի թվաքանակն է:  </w:t>
      </w:r>
    </w:p>
    <w:p w14:paraId="71D09E24" w14:textId="77777777" w:rsidR="002F7FFC" w:rsidRPr="000232DD" w:rsidRDefault="002F7FFC" w:rsidP="00082769">
      <w:pPr>
        <w:pStyle w:val="BodyText1"/>
        <w:spacing w:before="0" w:after="0"/>
        <w:ind w:left="0" w:right="-22"/>
        <w:rPr>
          <w:color w:val="auto"/>
          <w:lang w:val="hy-AM"/>
        </w:rPr>
      </w:pPr>
      <w:r w:rsidRPr="000232DD">
        <w:rPr>
          <w:color w:val="auto"/>
          <w:lang w:val="hy-AM"/>
        </w:rPr>
        <w:t>ՀՀ պետական իշխանության մարմինների (բացառությամբ ուժային մարմինների) աշխատողների թվաքանակի փոփոխությունը արտացոլված է սույն բացատրագրի N 2ա աղյուսակում:</w:t>
      </w:r>
    </w:p>
    <w:p w14:paraId="0B04564B" w14:textId="4D92F758" w:rsidR="00801F7E" w:rsidRDefault="00801F7E" w:rsidP="00082769">
      <w:pPr>
        <w:spacing w:before="0" w:after="160" w:line="278" w:lineRule="auto"/>
        <w:ind w:right="-22"/>
        <w:rPr>
          <w:rFonts w:ascii="GHEA Grapalat" w:eastAsia="Times New Roman" w:hAnsi="GHEA Grapalat" w:cs="Times New Roman"/>
          <w:color w:val="auto"/>
          <w:szCs w:val="20"/>
          <w:lang w:val="af-ZA"/>
        </w:rPr>
      </w:pPr>
      <w:r>
        <w:rPr>
          <w:rFonts w:ascii="GHEA Grapalat" w:eastAsia="Times New Roman" w:hAnsi="GHEA Grapalat" w:cs="Times New Roman"/>
          <w:color w:val="auto"/>
          <w:szCs w:val="20"/>
          <w:lang w:val="af-ZA"/>
        </w:rPr>
        <w:br w:type="page"/>
      </w:r>
    </w:p>
    <w:p w14:paraId="4636C389" w14:textId="77777777" w:rsidR="00B43595" w:rsidRPr="000232DD" w:rsidRDefault="00B43595" w:rsidP="00082769">
      <w:pPr>
        <w:ind w:right="-22"/>
        <w:outlineLvl w:val="0"/>
        <w:rPr>
          <w:rFonts w:ascii="GHEA Grapalat" w:eastAsia="Times New Roman" w:hAnsi="GHEA Grapalat" w:cs="Times New Roman"/>
          <w:b/>
          <w:color w:val="auto"/>
          <w:sz w:val="30"/>
          <w:szCs w:val="20"/>
          <w:lang w:val="hy-AM"/>
        </w:rPr>
      </w:pPr>
      <w:bookmarkStart w:id="425" w:name="_Toc241687685"/>
      <w:r w:rsidRPr="000232DD">
        <w:rPr>
          <w:rFonts w:ascii="GHEA Grapalat" w:eastAsia="Times New Roman" w:hAnsi="GHEA Grapalat" w:cs="Times New Roman"/>
          <w:b/>
          <w:color w:val="auto"/>
          <w:sz w:val="30"/>
          <w:szCs w:val="20"/>
          <w:lang w:val="hy-AM"/>
        </w:rPr>
        <w:t>ՎԵՐԼՈՒԾՈՒԹՅՈՒՆՆԵՐ</w:t>
      </w:r>
      <w:bookmarkEnd w:id="425"/>
    </w:p>
    <w:p w14:paraId="3DF829A0" w14:textId="77777777" w:rsidR="00B43595" w:rsidRPr="001226F0" w:rsidRDefault="00B43595" w:rsidP="00082769">
      <w:pPr>
        <w:pStyle w:val="Heading2"/>
        <w:spacing w:before="120" w:after="120"/>
        <w:ind w:right="-22"/>
        <w:jc w:val="both"/>
        <w:rPr>
          <w:rFonts w:ascii="GHEA Grapalat" w:hAnsi="GHEA Grapalat"/>
          <w:color w:val="ADADAD" w:themeColor="background2" w:themeShade="BF"/>
          <w:sz w:val="28"/>
          <w:szCs w:val="20"/>
          <w:lang w:val="hy-AM"/>
        </w:rPr>
      </w:pPr>
      <w:bookmarkStart w:id="426" w:name="_Toc178356616"/>
      <w:bookmarkStart w:id="427" w:name="_Toc209625774"/>
      <w:bookmarkStart w:id="428" w:name="_Toc210126110"/>
      <w:bookmarkStart w:id="429" w:name="_Toc241687686"/>
      <w:bookmarkStart w:id="430" w:name="_Toc83972892"/>
      <w:r w:rsidRPr="001226F0">
        <w:rPr>
          <w:rFonts w:ascii="GHEA Grapalat" w:hAnsi="GHEA Grapalat"/>
          <w:color w:val="ADADAD" w:themeColor="background2" w:themeShade="BF"/>
          <w:sz w:val="28"/>
          <w:szCs w:val="20"/>
          <w:lang w:val="hy-AM"/>
        </w:rPr>
        <w:t>1. ՀԱՅԱՍՏԱՆԻ ՀԱՆՐԱՊԵՏՈՒԹՅԱՆ ՊԵՏԱԿԱՆ ՊԱՐՏՔԸ</w:t>
      </w:r>
      <w:bookmarkEnd w:id="426"/>
      <w:bookmarkEnd w:id="427"/>
      <w:bookmarkEnd w:id="428"/>
      <w:bookmarkEnd w:id="429"/>
    </w:p>
    <w:p w14:paraId="6711B5D2" w14:textId="77777777" w:rsidR="001C55F2" w:rsidRDefault="001C55F2" w:rsidP="001C55F2">
      <w:pPr>
        <w:pStyle w:val="BodyText1"/>
        <w:ind w:left="0"/>
        <w:contextualSpacing/>
        <w:rPr>
          <w:lang w:val="hy-AM"/>
        </w:rPr>
      </w:pPr>
      <w:bookmarkStart w:id="431" w:name="_Toc178350627"/>
      <w:bookmarkStart w:id="432" w:name="_Toc178612152"/>
      <w:bookmarkStart w:id="433" w:name="_Toc184110778"/>
      <w:bookmarkStart w:id="434" w:name="_Toc83650399"/>
      <w:bookmarkStart w:id="435" w:name="_Toc83972894"/>
      <w:bookmarkStart w:id="436" w:name="_Toc178356618"/>
      <w:bookmarkStart w:id="437" w:name="_Toc209625776"/>
      <w:bookmarkEnd w:id="430"/>
      <w:r w:rsidRPr="004A3C1A">
        <w:rPr>
          <w:lang w:val="hy-AM"/>
        </w:rPr>
        <w:t>Կանխատեսումների համաձայն 202</w:t>
      </w:r>
      <w:r w:rsidRPr="00E9431D">
        <w:rPr>
          <w:lang w:val="hy-AM"/>
        </w:rPr>
        <w:t>6</w:t>
      </w:r>
      <w:r w:rsidRPr="004A3C1A">
        <w:rPr>
          <w:lang w:val="hy-AM"/>
        </w:rPr>
        <w:t xml:space="preserve"> թվականի դեկտեմբերի 31-ի դրությամբ պետական պարտքը կկազմի 5,</w:t>
      </w:r>
      <w:r w:rsidRPr="00E9431D">
        <w:rPr>
          <w:lang w:val="hy-AM"/>
        </w:rPr>
        <w:t>804</w:t>
      </w:r>
      <w:r w:rsidRPr="004A3C1A">
        <w:rPr>
          <w:lang w:val="hy-AM"/>
        </w:rPr>
        <w:t xml:space="preserve"> մլրդ դրամ կամ ՀՆԱ-ի </w:t>
      </w:r>
      <w:r w:rsidRPr="00E9431D">
        <w:rPr>
          <w:lang w:val="hy-AM"/>
        </w:rPr>
        <w:t>46.6</w:t>
      </w:r>
      <w:r w:rsidRPr="004A3C1A">
        <w:rPr>
          <w:lang w:val="hy-AM"/>
        </w:rPr>
        <w:t>%-ը, իսկ 202</w:t>
      </w:r>
      <w:r w:rsidRPr="00E9431D">
        <w:rPr>
          <w:lang w:val="hy-AM"/>
        </w:rPr>
        <w:t>9</w:t>
      </w:r>
      <w:r w:rsidRPr="004A3C1A">
        <w:rPr>
          <w:lang w:val="hy-AM"/>
        </w:rPr>
        <w:t xml:space="preserve"> թվականի տարեվերջին այն կկազմի </w:t>
      </w:r>
      <w:r>
        <w:rPr>
          <w:lang w:val="hy-AM"/>
        </w:rPr>
        <w:t>7,</w:t>
      </w:r>
      <w:r w:rsidRPr="00E9431D">
        <w:rPr>
          <w:lang w:val="hy-AM"/>
        </w:rPr>
        <w:t>5</w:t>
      </w:r>
      <w:r w:rsidRPr="001C55F2">
        <w:rPr>
          <w:lang w:val="hy-AM"/>
        </w:rPr>
        <w:t>44</w:t>
      </w:r>
      <w:r w:rsidRPr="004A3C1A">
        <w:rPr>
          <w:lang w:val="hy-AM"/>
        </w:rPr>
        <w:t xml:space="preserve"> մլրդ դրամ կամ ՀՆԱ-ի </w:t>
      </w:r>
      <w:r w:rsidRPr="00E9431D">
        <w:rPr>
          <w:lang w:val="hy-AM"/>
        </w:rPr>
        <w:t>46.</w:t>
      </w:r>
      <w:r w:rsidRPr="001C55F2">
        <w:rPr>
          <w:lang w:val="hy-AM"/>
        </w:rPr>
        <w:t>5</w:t>
      </w:r>
      <w:r w:rsidRPr="004A3C1A">
        <w:rPr>
          <w:lang w:val="hy-AM"/>
        </w:rPr>
        <w:t>%-ը:</w:t>
      </w:r>
    </w:p>
    <w:p w14:paraId="2D79208B" w14:textId="77777777" w:rsidR="001C55F2" w:rsidRPr="00E7557A" w:rsidRDefault="001C55F2" w:rsidP="001C55F2">
      <w:pPr>
        <w:pStyle w:val="BodyText1"/>
        <w:ind w:left="0"/>
        <w:contextualSpacing/>
        <w:rPr>
          <w:lang w:val="hy-AM"/>
        </w:rPr>
      </w:pPr>
      <w:r w:rsidRPr="00E7557A">
        <w:rPr>
          <w:lang w:val="hy-AM"/>
        </w:rPr>
        <w:t xml:space="preserve">2025 թվականի դեկտեմբերի 17-ին ընդունվել </w:t>
      </w:r>
      <w:r w:rsidRPr="00DE541A">
        <w:rPr>
          <w:lang w:val="hy-AM"/>
        </w:rPr>
        <w:t xml:space="preserve">և 2026 </w:t>
      </w:r>
      <w:r w:rsidRPr="00E9431D">
        <w:rPr>
          <w:color w:val="000000" w:themeColor="text1"/>
          <w:lang w:val="hy-AM"/>
        </w:rPr>
        <w:t xml:space="preserve">թվականի հունվարի 8-ին ուժի </w:t>
      </w:r>
      <w:r w:rsidRPr="00DE541A">
        <w:rPr>
          <w:lang w:val="hy-AM"/>
        </w:rPr>
        <w:t xml:space="preserve">մեջ է մտել </w:t>
      </w:r>
      <w:r w:rsidRPr="00E7557A">
        <w:rPr>
          <w:lang w:val="hy-AM"/>
        </w:rPr>
        <w:t xml:space="preserve">«Պետական պարտքի մասին» Հայաստանի Հանրապետության </w:t>
      </w:r>
      <w:r w:rsidRPr="00DE541A">
        <w:rPr>
          <w:lang w:val="hy-AM"/>
        </w:rPr>
        <w:t xml:space="preserve">նոր </w:t>
      </w:r>
      <w:r w:rsidRPr="00E7557A">
        <w:rPr>
          <w:lang w:val="hy-AM"/>
        </w:rPr>
        <w:t>օրենք</w:t>
      </w:r>
      <w:r w:rsidRPr="00DE541A">
        <w:rPr>
          <w:lang w:val="hy-AM"/>
        </w:rPr>
        <w:t>ը</w:t>
      </w:r>
      <w:r w:rsidRPr="00E7557A">
        <w:rPr>
          <w:lang w:val="hy-AM"/>
        </w:rPr>
        <w:t xml:space="preserve">, որով պետական պարտքի կազմում ներառվում են ՀՀ կառավարության և ՀՀ համայնքների պարտքը։ </w:t>
      </w:r>
      <w:r>
        <w:rPr>
          <w:lang w:val="hy-AM"/>
        </w:rPr>
        <w:t>Օրենսդրական փոփոխությամբ ՀՀ կառավարության պարտքի կազմից հանվել են երաշխիքները, ուստի 2</w:t>
      </w:r>
      <w:r w:rsidRPr="00E7557A">
        <w:rPr>
          <w:lang w:val="hy-AM"/>
        </w:rPr>
        <w:t xml:space="preserve">025 թվականի հետ ցուցանիշների </w:t>
      </w:r>
      <w:r>
        <w:rPr>
          <w:lang w:val="hy-AM"/>
        </w:rPr>
        <w:t xml:space="preserve">հետ </w:t>
      </w:r>
      <w:r w:rsidRPr="00E7557A">
        <w:rPr>
          <w:lang w:val="hy-AM"/>
        </w:rPr>
        <w:t xml:space="preserve">համադրելիությունն ապահովելու նպատակով </w:t>
      </w:r>
      <w:r>
        <w:rPr>
          <w:lang w:val="hy-AM"/>
        </w:rPr>
        <w:t xml:space="preserve">ստորև ներկայացվող </w:t>
      </w:r>
      <w:r w:rsidRPr="00E7557A">
        <w:rPr>
          <w:lang w:val="hy-AM"/>
        </w:rPr>
        <w:t xml:space="preserve">2025 թվականի պետական պարտքի </w:t>
      </w:r>
      <w:r>
        <w:rPr>
          <w:lang w:val="hy-AM"/>
        </w:rPr>
        <w:t>ցուցանիշները չեն ներառում</w:t>
      </w:r>
      <w:r w:rsidRPr="00E7557A">
        <w:rPr>
          <w:lang w:val="hy-AM"/>
        </w:rPr>
        <w:t xml:space="preserve"> պետական երաշխիքները։</w:t>
      </w:r>
    </w:p>
    <w:p w14:paraId="1AE23383" w14:textId="77777777" w:rsidR="001C55F2" w:rsidRPr="00E73A9A" w:rsidRDefault="001C55F2" w:rsidP="00E73A9A">
      <w:pPr>
        <w:pStyle w:val="Charts"/>
        <w:ind w:right="-22"/>
        <w:rPr>
          <w:b w:val="0"/>
          <w:bCs/>
          <w:color w:val="auto"/>
          <w:sz w:val="20"/>
          <w:szCs w:val="18"/>
        </w:rPr>
      </w:pPr>
      <w:r w:rsidRPr="00E73A9A">
        <w:rPr>
          <w:b w:val="0"/>
          <w:bCs/>
          <w:color w:val="auto"/>
          <w:sz w:val="20"/>
          <w:szCs w:val="18"/>
        </w:rPr>
        <w:t>Աղյուսակ 18. Պետական պարտքի կառուցվածքը</w:t>
      </w:r>
      <w:bookmarkEnd w:id="431"/>
      <w:r w:rsidRPr="00E73A9A">
        <w:rPr>
          <w:b w:val="0"/>
          <w:bCs/>
          <w:color w:val="auto"/>
          <w:sz w:val="20"/>
          <w:szCs w:val="18"/>
        </w:rPr>
        <w:t>, մլրդ դրամ</w:t>
      </w:r>
      <w:bookmarkEnd w:id="432"/>
      <w:bookmarkEnd w:id="433"/>
    </w:p>
    <w:tbl>
      <w:tblPr>
        <w:tblW w:w="10595" w:type="dxa"/>
        <w:tblInd w:w="-152" w:type="dxa"/>
        <w:tblLook w:val="04A0" w:firstRow="1" w:lastRow="0" w:firstColumn="1" w:lastColumn="0" w:noHBand="0" w:noVBand="1"/>
      </w:tblPr>
      <w:tblGrid>
        <w:gridCol w:w="4442"/>
        <w:gridCol w:w="1253"/>
        <w:gridCol w:w="1156"/>
        <w:gridCol w:w="1172"/>
        <w:gridCol w:w="1335"/>
        <w:gridCol w:w="1237"/>
      </w:tblGrid>
      <w:tr w:rsidR="001C55F2" w:rsidRPr="000A20D2" w14:paraId="67AE798F" w14:textId="77777777" w:rsidTr="00873AE6">
        <w:trPr>
          <w:trHeight w:val="263"/>
        </w:trPr>
        <w:tc>
          <w:tcPr>
            <w:tcW w:w="4442" w:type="dxa"/>
            <w:tcBorders>
              <w:top w:val="single" w:sz="8" w:space="0" w:color="E1E1E3"/>
              <w:left w:val="single" w:sz="8" w:space="0" w:color="E1E1E3"/>
              <w:bottom w:val="single" w:sz="8" w:space="0" w:color="E1E1E3"/>
              <w:right w:val="single" w:sz="8" w:space="0" w:color="E1E1E3"/>
            </w:tcBorders>
            <w:shd w:val="clear" w:color="000000" w:fill="D5DCE4"/>
            <w:vAlign w:val="center"/>
            <w:hideMark/>
          </w:tcPr>
          <w:p w14:paraId="72DEF936" w14:textId="77777777" w:rsidR="001C55F2" w:rsidRPr="005A0714" w:rsidRDefault="001C55F2" w:rsidP="00873AE6">
            <w:pPr>
              <w:spacing w:before="0" w:after="0" w:line="240" w:lineRule="auto"/>
              <w:rPr>
                <w:rFonts w:ascii="Calibri" w:eastAsia="Times New Roman" w:hAnsi="Calibri" w:cs="Calibri"/>
                <w:color w:val="404040"/>
                <w:sz w:val="18"/>
                <w:szCs w:val="18"/>
                <w:lang w:val="hy-AM"/>
              </w:rPr>
            </w:pPr>
            <w:bookmarkStart w:id="438" w:name="_Toc146798600"/>
            <w:r w:rsidRPr="005A0714">
              <w:rPr>
                <w:rFonts w:ascii="Calibri" w:eastAsia="Times New Roman" w:hAnsi="Calibri" w:cs="Calibri"/>
                <w:color w:val="404040"/>
                <w:sz w:val="18"/>
                <w:szCs w:val="18"/>
                <w:lang w:val="hy-AM"/>
              </w:rPr>
              <w:t> </w:t>
            </w:r>
          </w:p>
        </w:tc>
        <w:tc>
          <w:tcPr>
            <w:tcW w:w="1253" w:type="dxa"/>
            <w:tcBorders>
              <w:top w:val="single" w:sz="8" w:space="0" w:color="E1E1E3"/>
              <w:left w:val="nil"/>
              <w:bottom w:val="single" w:sz="8" w:space="0" w:color="E1E1E3"/>
              <w:right w:val="single" w:sz="8" w:space="0" w:color="E1E1E3"/>
            </w:tcBorders>
            <w:shd w:val="clear" w:color="000000" w:fill="D5DCE4"/>
            <w:vAlign w:val="center"/>
            <w:hideMark/>
          </w:tcPr>
          <w:p w14:paraId="6F0B778A" w14:textId="77777777" w:rsidR="001C55F2" w:rsidRPr="000A20D2" w:rsidRDefault="001C55F2" w:rsidP="00873AE6">
            <w:pPr>
              <w:spacing w:before="0" w:after="0" w:line="240" w:lineRule="auto"/>
              <w:jc w:val="center"/>
              <w:rPr>
                <w:rFonts w:ascii="GHEA Grapalat" w:eastAsia="Times New Roman" w:hAnsi="GHEA Grapalat" w:cs="Times New Roman"/>
                <w:b/>
                <w:bCs/>
                <w:color w:val="404040"/>
                <w:sz w:val="18"/>
                <w:szCs w:val="18"/>
              </w:rPr>
            </w:pPr>
            <w:r>
              <w:rPr>
                <w:rFonts w:ascii="GHEA Grapalat" w:hAnsi="GHEA Grapalat"/>
                <w:b/>
                <w:bCs/>
                <w:color w:val="404040"/>
                <w:sz w:val="18"/>
                <w:szCs w:val="18"/>
              </w:rPr>
              <w:t>31.12.2025</w:t>
            </w:r>
          </w:p>
        </w:tc>
        <w:tc>
          <w:tcPr>
            <w:tcW w:w="1156" w:type="dxa"/>
            <w:tcBorders>
              <w:top w:val="single" w:sz="8" w:space="0" w:color="E1E1E3"/>
              <w:left w:val="nil"/>
              <w:bottom w:val="single" w:sz="8" w:space="0" w:color="E1E1E3"/>
              <w:right w:val="single" w:sz="8" w:space="0" w:color="E1E1E3"/>
            </w:tcBorders>
            <w:shd w:val="clear" w:color="000000" w:fill="D5DCE4"/>
            <w:vAlign w:val="center"/>
            <w:hideMark/>
          </w:tcPr>
          <w:p w14:paraId="25F5CAC4" w14:textId="77777777" w:rsidR="001C55F2" w:rsidRPr="000A20D2" w:rsidRDefault="001C55F2" w:rsidP="00873AE6">
            <w:pPr>
              <w:spacing w:before="0" w:after="0" w:line="240" w:lineRule="auto"/>
              <w:jc w:val="center"/>
              <w:rPr>
                <w:rFonts w:ascii="GHEA Grapalat" w:eastAsia="Times New Roman" w:hAnsi="GHEA Grapalat" w:cs="Times New Roman"/>
                <w:b/>
                <w:bCs/>
                <w:color w:val="404040"/>
                <w:sz w:val="18"/>
                <w:szCs w:val="18"/>
              </w:rPr>
            </w:pPr>
            <w:r>
              <w:rPr>
                <w:rFonts w:ascii="GHEA Grapalat" w:hAnsi="GHEA Grapalat"/>
                <w:b/>
                <w:bCs/>
                <w:color w:val="404040"/>
                <w:sz w:val="18"/>
                <w:szCs w:val="18"/>
              </w:rPr>
              <w:t>31.12.2026</w:t>
            </w:r>
          </w:p>
        </w:tc>
        <w:tc>
          <w:tcPr>
            <w:tcW w:w="1172" w:type="dxa"/>
            <w:tcBorders>
              <w:top w:val="single" w:sz="8" w:space="0" w:color="E1E1E3"/>
              <w:left w:val="nil"/>
              <w:bottom w:val="single" w:sz="8" w:space="0" w:color="E1E1E3"/>
              <w:right w:val="single" w:sz="8" w:space="0" w:color="E1E1E3"/>
            </w:tcBorders>
            <w:shd w:val="clear" w:color="000000" w:fill="D5DCE4"/>
            <w:vAlign w:val="center"/>
            <w:hideMark/>
          </w:tcPr>
          <w:p w14:paraId="61708EC1" w14:textId="77777777" w:rsidR="001C55F2" w:rsidRPr="000A20D2" w:rsidRDefault="001C55F2" w:rsidP="00873AE6">
            <w:pPr>
              <w:spacing w:before="0" w:after="0" w:line="240" w:lineRule="auto"/>
              <w:jc w:val="center"/>
              <w:rPr>
                <w:rFonts w:ascii="GHEA Grapalat" w:eastAsia="Times New Roman" w:hAnsi="GHEA Grapalat" w:cs="Times New Roman"/>
                <w:b/>
                <w:bCs/>
                <w:color w:val="404040"/>
                <w:sz w:val="18"/>
                <w:szCs w:val="18"/>
              </w:rPr>
            </w:pPr>
            <w:r>
              <w:rPr>
                <w:rFonts w:ascii="GHEA Grapalat" w:hAnsi="GHEA Grapalat"/>
                <w:b/>
                <w:bCs/>
                <w:color w:val="404040"/>
                <w:sz w:val="18"/>
                <w:szCs w:val="18"/>
              </w:rPr>
              <w:t>31.12.2027</w:t>
            </w:r>
          </w:p>
        </w:tc>
        <w:tc>
          <w:tcPr>
            <w:tcW w:w="1335" w:type="dxa"/>
            <w:tcBorders>
              <w:top w:val="single" w:sz="8" w:space="0" w:color="E1E1E3"/>
              <w:left w:val="nil"/>
              <w:bottom w:val="single" w:sz="8" w:space="0" w:color="E1E1E3"/>
              <w:right w:val="single" w:sz="8" w:space="0" w:color="E1E1E3"/>
            </w:tcBorders>
            <w:shd w:val="clear" w:color="000000" w:fill="D5DCE4"/>
            <w:vAlign w:val="center"/>
            <w:hideMark/>
          </w:tcPr>
          <w:p w14:paraId="36215BE1" w14:textId="77777777" w:rsidR="001C55F2" w:rsidRPr="000A20D2" w:rsidRDefault="001C55F2" w:rsidP="00873AE6">
            <w:pPr>
              <w:spacing w:before="0" w:after="0" w:line="240" w:lineRule="auto"/>
              <w:jc w:val="center"/>
              <w:rPr>
                <w:rFonts w:ascii="GHEA Grapalat" w:eastAsia="Times New Roman" w:hAnsi="GHEA Grapalat" w:cs="Times New Roman"/>
                <w:b/>
                <w:bCs/>
                <w:color w:val="404040"/>
                <w:sz w:val="18"/>
                <w:szCs w:val="18"/>
              </w:rPr>
            </w:pPr>
            <w:r>
              <w:rPr>
                <w:rFonts w:ascii="GHEA Grapalat" w:hAnsi="GHEA Grapalat"/>
                <w:b/>
                <w:bCs/>
                <w:color w:val="404040"/>
                <w:sz w:val="18"/>
                <w:szCs w:val="18"/>
              </w:rPr>
              <w:t>31.12.2028</w:t>
            </w:r>
          </w:p>
        </w:tc>
        <w:tc>
          <w:tcPr>
            <w:tcW w:w="1237" w:type="dxa"/>
            <w:tcBorders>
              <w:top w:val="single" w:sz="8" w:space="0" w:color="E1E1E3"/>
              <w:left w:val="nil"/>
              <w:bottom w:val="single" w:sz="8" w:space="0" w:color="E1E1E3"/>
              <w:right w:val="single" w:sz="8" w:space="0" w:color="E1E1E3"/>
            </w:tcBorders>
            <w:shd w:val="clear" w:color="000000" w:fill="D5DCE4"/>
            <w:vAlign w:val="center"/>
            <w:hideMark/>
          </w:tcPr>
          <w:p w14:paraId="38CE9171" w14:textId="77777777" w:rsidR="001C55F2" w:rsidRPr="000A20D2" w:rsidRDefault="001C55F2" w:rsidP="00873AE6">
            <w:pPr>
              <w:spacing w:before="0" w:after="0" w:line="240" w:lineRule="auto"/>
              <w:jc w:val="center"/>
              <w:rPr>
                <w:rFonts w:ascii="GHEA Grapalat" w:eastAsia="Times New Roman" w:hAnsi="GHEA Grapalat" w:cs="Times New Roman"/>
                <w:b/>
                <w:bCs/>
                <w:color w:val="404040"/>
                <w:sz w:val="18"/>
                <w:szCs w:val="18"/>
              </w:rPr>
            </w:pPr>
            <w:r>
              <w:rPr>
                <w:rFonts w:ascii="GHEA Grapalat" w:hAnsi="GHEA Grapalat"/>
                <w:b/>
                <w:bCs/>
                <w:color w:val="404040"/>
                <w:sz w:val="18"/>
                <w:szCs w:val="18"/>
              </w:rPr>
              <w:t>31.12.2029</w:t>
            </w:r>
          </w:p>
        </w:tc>
      </w:tr>
      <w:tr w:rsidR="001C55F2" w:rsidRPr="000A20D2" w14:paraId="05A14E58"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2B7A572A" w14:textId="77777777" w:rsidR="001C55F2" w:rsidRPr="000A20D2" w:rsidRDefault="001C55F2" w:rsidP="00873AE6">
            <w:pPr>
              <w:spacing w:before="0" w:after="0" w:line="240" w:lineRule="auto"/>
              <w:rPr>
                <w:rFonts w:ascii="GHEA Grapalat" w:eastAsia="Times New Roman" w:hAnsi="GHEA Grapalat" w:cs="Times New Roman"/>
                <w:b/>
                <w:bCs/>
                <w:color w:val="404040"/>
                <w:sz w:val="18"/>
                <w:szCs w:val="18"/>
              </w:rPr>
            </w:pPr>
            <w:r w:rsidRPr="000A20D2">
              <w:rPr>
                <w:rFonts w:ascii="GHEA Grapalat" w:eastAsia="Times New Roman" w:hAnsi="GHEA Grapalat" w:cs="Times New Roman"/>
                <w:b/>
                <w:bCs/>
                <w:color w:val="404040"/>
                <w:sz w:val="18"/>
                <w:szCs w:val="18"/>
              </w:rPr>
              <w:t>ՀՀ պետական պարտք</w:t>
            </w:r>
          </w:p>
        </w:tc>
        <w:tc>
          <w:tcPr>
            <w:tcW w:w="1253" w:type="dxa"/>
            <w:tcBorders>
              <w:top w:val="nil"/>
              <w:left w:val="nil"/>
              <w:bottom w:val="single" w:sz="8" w:space="0" w:color="E1E1E3"/>
              <w:right w:val="single" w:sz="8" w:space="0" w:color="E1E1E3"/>
            </w:tcBorders>
            <w:shd w:val="clear" w:color="auto" w:fill="auto"/>
            <w:vAlign w:val="center"/>
            <w:hideMark/>
          </w:tcPr>
          <w:p w14:paraId="0F6EB589" w14:textId="77777777" w:rsidR="001C55F2" w:rsidRPr="009A214C" w:rsidRDefault="001C55F2" w:rsidP="00873AE6">
            <w:pPr>
              <w:spacing w:before="0" w:after="0" w:line="240" w:lineRule="auto"/>
              <w:jc w:val="center"/>
              <w:rPr>
                <w:rFonts w:ascii="GHEA Grapalat" w:hAnsi="GHEA Grapalat"/>
                <w:b/>
                <w:bCs/>
                <w:color w:val="404040"/>
                <w:sz w:val="18"/>
                <w:szCs w:val="18"/>
              </w:rPr>
            </w:pPr>
            <w:r w:rsidRPr="009A214C">
              <w:rPr>
                <w:rFonts w:ascii="GHEA Grapalat" w:hAnsi="GHEA Grapalat"/>
                <w:b/>
                <w:bCs/>
                <w:color w:val="404040"/>
                <w:sz w:val="18"/>
                <w:szCs w:val="18"/>
              </w:rPr>
              <w:t>5,303.2</w:t>
            </w:r>
          </w:p>
        </w:tc>
        <w:tc>
          <w:tcPr>
            <w:tcW w:w="1156" w:type="dxa"/>
            <w:tcBorders>
              <w:top w:val="nil"/>
              <w:left w:val="nil"/>
              <w:bottom w:val="single" w:sz="8" w:space="0" w:color="E1E1E3"/>
              <w:right w:val="single" w:sz="8" w:space="0" w:color="E1E1E3"/>
            </w:tcBorders>
            <w:shd w:val="clear" w:color="auto" w:fill="auto"/>
            <w:vAlign w:val="center"/>
            <w:hideMark/>
          </w:tcPr>
          <w:p w14:paraId="253702FE" w14:textId="77777777" w:rsidR="001C55F2" w:rsidRPr="009A214C" w:rsidRDefault="001C55F2" w:rsidP="00873AE6">
            <w:pPr>
              <w:spacing w:before="0" w:after="0" w:line="240" w:lineRule="auto"/>
              <w:jc w:val="center"/>
              <w:rPr>
                <w:rFonts w:ascii="GHEA Grapalat" w:hAnsi="GHEA Grapalat"/>
                <w:b/>
                <w:bCs/>
                <w:color w:val="404040"/>
                <w:sz w:val="18"/>
                <w:szCs w:val="18"/>
              </w:rPr>
            </w:pPr>
            <w:r w:rsidRPr="009A214C">
              <w:rPr>
                <w:rFonts w:ascii="GHEA Grapalat" w:hAnsi="GHEA Grapalat"/>
                <w:b/>
                <w:bCs/>
                <w:color w:val="404040"/>
                <w:sz w:val="18"/>
                <w:szCs w:val="18"/>
              </w:rPr>
              <w:t>5,804.2</w:t>
            </w:r>
          </w:p>
        </w:tc>
        <w:tc>
          <w:tcPr>
            <w:tcW w:w="1172" w:type="dxa"/>
            <w:tcBorders>
              <w:top w:val="nil"/>
              <w:left w:val="nil"/>
              <w:bottom w:val="single" w:sz="8" w:space="0" w:color="E1E1E3"/>
              <w:right w:val="single" w:sz="8" w:space="0" w:color="E1E1E3"/>
            </w:tcBorders>
            <w:shd w:val="clear" w:color="auto" w:fill="auto"/>
            <w:vAlign w:val="center"/>
            <w:hideMark/>
          </w:tcPr>
          <w:p w14:paraId="4A7A82EB" w14:textId="77777777" w:rsidR="001C55F2" w:rsidRPr="009A214C" w:rsidRDefault="001C55F2" w:rsidP="00873AE6">
            <w:pPr>
              <w:spacing w:before="0" w:after="0" w:line="240" w:lineRule="auto"/>
              <w:jc w:val="center"/>
              <w:rPr>
                <w:rFonts w:ascii="GHEA Grapalat" w:hAnsi="GHEA Grapalat"/>
                <w:b/>
                <w:bCs/>
                <w:color w:val="404040"/>
                <w:sz w:val="18"/>
                <w:szCs w:val="18"/>
              </w:rPr>
            </w:pPr>
            <w:r w:rsidRPr="009A214C">
              <w:rPr>
                <w:rFonts w:ascii="GHEA Grapalat" w:hAnsi="GHEA Grapalat"/>
                <w:b/>
                <w:bCs/>
                <w:color w:val="404040"/>
                <w:sz w:val="18"/>
                <w:szCs w:val="18"/>
              </w:rPr>
              <w:t>6,450.4</w:t>
            </w:r>
          </w:p>
        </w:tc>
        <w:tc>
          <w:tcPr>
            <w:tcW w:w="1335" w:type="dxa"/>
            <w:tcBorders>
              <w:top w:val="nil"/>
              <w:left w:val="nil"/>
              <w:bottom w:val="single" w:sz="8" w:space="0" w:color="E1E1E3"/>
              <w:right w:val="single" w:sz="8" w:space="0" w:color="E1E1E3"/>
            </w:tcBorders>
            <w:shd w:val="clear" w:color="auto" w:fill="auto"/>
            <w:vAlign w:val="center"/>
            <w:hideMark/>
          </w:tcPr>
          <w:p w14:paraId="58FD577F" w14:textId="77777777" w:rsidR="001C55F2" w:rsidRPr="009A214C" w:rsidRDefault="001C55F2" w:rsidP="00873AE6">
            <w:pPr>
              <w:spacing w:before="0" w:after="0" w:line="240" w:lineRule="auto"/>
              <w:jc w:val="center"/>
              <w:rPr>
                <w:rFonts w:ascii="GHEA Grapalat" w:hAnsi="GHEA Grapalat"/>
                <w:b/>
                <w:bCs/>
                <w:color w:val="404040"/>
                <w:sz w:val="18"/>
                <w:szCs w:val="18"/>
              </w:rPr>
            </w:pPr>
            <w:r w:rsidRPr="009A214C">
              <w:rPr>
                <w:rFonts w:ascii="GHEA Grapalat" w:hAnsi="GHEA Grapalat"/>
                <w:b/>
                <w:bCs/>
                <w:color w:val="404040"/>
                <w:sz w:val="18"/>
                <w:szCs w:val="18"/>
              </w:rPr>
              <w:t>7,038.4</w:t>
            </w:r>
          </w:p>
        </w:tc>
        <w:tc>
          <w:tcPr>
            <w:tcW w:w="1237" w:type="dxa"/>
            <w:tcBorders>
              <w:top w:val="nil"/>
              <w:left w:val="nil"/>
              <w:bottom w:val="single" w:sz="8" w:space="0" w:color="E1E1E3"/>
              <w:right w:val="single" w:sz="8" w:space="0" w:color="E1E1E3"/>
            </w:tcBorders>
            <w:shd w:val="clear" w:color="auto" w:fill="auto"/>
            <w:vAlign w:val="center"/>
            <w:hideMark/>
          </w:tcPr>
          <w:p w14:paraId="0A129315" w14:textId="77777777" w:rsidR="001C55F2" w:rsidRPr="009A214C" w:rsidRDefault="001C55F2" w:rsidP="00873AE6">
            <w:pPr>
              <w:spacing w:before="0" w:after="0" w:line="240" w:lineRule="auto"/>
              <w:jc w:val="center"/>
              <w:rPr>
                <w:rFonts w:ascii="GHEA Grapalat" w:hAnsi="GHEA Grapalat"/>
                <w:b/>
                <w:bCs/>
                <w:color w:val="404040"/>
                <w:sz w:val="18"/>
                <w:szCs w:val="18"/>
              </w:rPr>
            </w:pPr>
            <w:r w:rsidRPr="009A214C">
              <w:rPr>
                <w:rFonts w:ascii="GHEA Grapalat" w:hAnsi="GHEA Grapalat"/>
                <w:b/>
                <w:bCs/>
                <w:color w:val="404040"/>
                <w:sz w:val="18"/>
                <w:szCs w:val="18"/>
              </w:rPr>
              <w:t>7,543.7</w:t>
            </w:r>
          </w:p>
        </w:tc>
      </w:tr>
      <w:tr w:rsidR="001C55F2" w:rsidRPr="000A20D2" w14:paraId="6DB73910"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184744E9"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այդ թվում`</w:t>
            </w:r>
          </w:p>
        </w:tc>
        <w:tc>
          <w:tcPr>
            <w:tcW w:w="1253" w:type="dxa"/>
            <w:tcBorders>
              <w:top w:val="nil"/>
              <w:left w:val="nil"/>
              <w:bottom w:val="single" w:sz="8" w:space="0" w:color="E1E1E3"/>
              <w:right w:val="single" w:sz="8" w:space="0" w:color="E1E1E3"/>
            </w:tcBorders>
            <w:shd w:val="clear" w:color="auto" w:fill="auto"/>
            <w:vAlign w:val="center"/>
            <w:hideMark/>
          </w:tcPr>
          <w:p w14:paraId="012B684E" w14:textId="77777777" w:rsidR="001C55F2" w:rsidRPr="009A214C" w:rsidRDefault="001C55F2" w:rsidP="00873AE6">
            <w:pPr>
              <w:spacing w:before="0" w:after="0" w:line="240" w:lineRule="auto"/>
              <w:jc w:val="center"/>
              <w:rPr>
                <w:rFonts w:ascii="GHEA Grapalat" w:hAnsi="GHEA Grapalat"/>
                <w:bCs/>
                <w:color w:val="404040"/>
                <w:sz w:val="18"/>
                <w:szCs w:val="18"/>
              </w:rPr>
            </w:pPr>
          </w:p>
        </w:tc>
        <w:tc>
          <w:tcPr>
            <w:tcW w:w="1156" w:type="dxa"/>
            <w:tcBorders>
              <w:top w:val="nil"/>
              <w:left w:val="nil"/>
              <w:bottom w:val="single" w:sz="8" w:space="0" w:color="E1E1E3"/>
              <w:right w:val="single" w:sz="8" w:space="0" w:color="E1E1E3"/>
            </w:tcBorders>
            <w:shd w:val="clear" w:color="auto" w:fill="auto"/>
            <w:vAlign w:val="center"/>
            <w:hideMark/>
          </w:tcPr>
          <w:p w14:paraId="794D1AA6" w14:textId="77777777" w:rsidR="001C55F2" w:rsidRPr="009A214C" w:rsidRDefault="001C55F2" w:rsidP="00873AE6">
            <w:pPr>
              <w:spacing w:before="0" w:after="0" w:line="240" w:lineRule="auto"/>
              <w:jc w:val="center"/>
              <w:rPr>
                <w:rFonts w:ascii="GHEA Grapalat" w:hAnsi="GHEA Grapalat"/>
                <w:bCs/>
                <w:color w:val="404040"/>
                <w:sz w:val="18"/>
                <w:szCs w:val="18"/>
              </w:rPr>
            </w:pPr>
          </w:p>
        </w:tc>
        <w:tc>
          <w:tcPr>
            <w:tcW w:w="1172" w:type="dxa"/>
            <w:tcBorders>
              <w:top w:val="nil"/>
              <w:left w:val="nil"/>
              <w:bottom w:val="single" w:sz="8" w:space="0" w:color="E1E1E3"/>
              <w:right w:val="single" w:sz="8" w:space="0" w:color="E1E1E3"/>
            </w:tcBorders>
            <w:shd w:val="clear" w:color="auto" w:fill="auto"/>
            <w:vAlign w:val="center"/>
            <w:hideMark/>
          </w:tcPr>
          <w:p w14:paraId="1E0459DB" w14:textId="77777777" w:rsidR="001C55F2" w:rsidRPr="009A214C" w:rsidRDefault="001C55F2" w:rsidP="00873AE6">
            <w:pPr>
              <w:spacing w:before="0" w:after="0" w:line="240" w:lineRule="auto"/>
              <w:jc w:val="center"/>
              <w:rPr>
                <w:rFonts w:ascii="GHEA Grapalat" w:hAnsi="GHEA Grapalat"/>
                <w:bCs/>
                <w:color w:val="404040"/>
                <w:sz w:val="18"/>
                <w:szCs w:val="18"/>
              </w:rPr>
            </w:pPr>
          </w:p>
        </w:tc>
        <w:tc>
          <w:tcPr>
            <w:tcW w:w="1335" w:type="dxa"/>
            <w:tcBorders>
              <w:top w:val="nil"/>
              <w:left w:val="nil"/>
              <w:bottom w:val="single" w:sz="8" w:space="0" w:color="E1E1E3"/>
              <w:right w:val="single" w:sz="8" w:space="0" w:color="E1E1E3"/>
            </w:tcBorders>
            <w:shd w:val="clear" w:color="auto" w:fill="auto"/>
            <w:vAlign w:val="center"/>
            <w:hideMark/>
          </w:tcPr>
          <w:p w14:paraId="27F7D5D7" w14:textId="77777777" w:rsidR="001C55F2" w:rsidRPr="009A214C" w:rsidRDefault="001C55F2" w:rsidP="00873AE6">
            <w:pPr>
              <w:spacing w:before="0" w:after="0" w:line="240" w:lineRule="auto"/>
              <w:jc w:val="center"/>
              <w:rPr>
                <w:rFonts w:ascii="GHEA Grapalat" w:hAnsi="GHEA Grapalat"/>
                <w:bCs/>
                <w:color w:val="404040"/>
                <w:sz w:val="18"/>
                <w:szCs w:val="18"/>
              </w:rPr>
            </w:pPr>
          </w:p>
        </w:tc>
        <w:tc>
          <w:tcPr>
            <w:tcW w:w="1237" w:type="dxa"/>
            <w:tcBorders>
              <w:top w:val="nil"/>
              <w:left w:val="nil"/>
              <w:bottom w:val="single" w:sz="8" w:space="0" w:color="E1E1E3"/>
              <w:right w:val="single" w:sz="8" w:space="0" w:color="E1E1E3"/>
            </w:tcBorders>
            <w:shd w:val="clear" w:color="auto" w:fill="auto"/>
            <w:vAlign w:val="center"/>
            <w:hideMark/>
          </w:tcPr>
          <w:p w14:paraId="69D3642E" w14:textId="77777777" w:rsidR="001C55F2" w:rsidRPr="009A214C" w:rsidRDefault="001C55F2" w:rsidP="00873AE6">
            <w:pPr>
              <w:spacing w:before="0" w:after="0" w:line="240" w:lineRule="auto"/>
              <w:jc w:val="center"/>
              <w:rPr>
                <w:rFonts w:ascii="GHEA Grapalat" w:hAnsi="GHEA Grapalat"/>
                <w:bCs/>
                <w:color w:val="404040"/>
                <w:sz w:val="18"/>
                <w:szCs w:val="18"/>
              </w:rPr>
            </w:pPr>
          </w:p>
        </w:tc>
      </w:tr>
      <w:tr w:rsidR="001C55F2" w:rsidRPr="000A20D2" w14:paraId="69A76872"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2914FA6C" w14:textId="77777777" w:rsidR="001C55F2" w:rsidRPr="000A20D2" w:rsidRDefault="001C55F2" w:rsidP="00873AE6">
            <w:pPr>
              <w:spacing w:before="0" w:after="0" w:line="240" w:lineRule="auto"/>
              <w:rPr>
                <w:rFonts w:ascii="GHEA Grapalat" w:eastAsia="Times New Roman" w:hAnsi="GHEA Grapalat" w:cs="Times New Roman"/>
                <w:i/>
                <w:iCs/>
                <w:color w:val="404040"/>
                <w:sz w:val="18"/>
                <w:szCs w:val="18"/>
              </w:rPr>
            </w:pPr>
            <w:r w:rsidRPr="000A20D2">
              <w:rPr>
                <w:rFonts w:ascii="GHEA Grapalat" w:eastAsia="Times New Roman" w:hAnsi="GHEA Grapalat" w:cs="Times New Roman"/>
                <w:i/>
                <w:iCs/>
                <w:color w:val="404040"/>
                <w:sz w:val="18"/>
                <w:szCs w:val="18"/>
              </w:rPr>
              <w:t>արտաքին պետական պարտք</w:t>
            </w:r>
          </w:p>
        </w:tc>
        <w:tc>
          <w:tcPr>
            <w:tcW w:w="1253" w:type="dxa"/>
            <w:tcBorders>
              <w:top w:val="nil"/>
              <w:left w:val="nil"/>
              <w:bottom w:val="single" w:sz="8" w:space="0" w:color="E1E1E3"/>
              <w:right w:val="single" w:sz="8" w:space="0" w:color="E1E1E3"/>
            </w:tcBorders>
            <w:shd w:val="clear" w:color="auto" w:fill="auto"/>
            <w:vAlign w:val="center"/>
            <w:hideMark/>
          </w:tcPr>
          <w:p w14:paraId="24D7D262" w14:textId="77777777" w:rsidR="001C55F2" w:rsidRPr="009A214C" w:rsidRDefault="001C55F2" w:rsidP="00873AE6">
            <w:pPr>
              <w:spacing w:before="0" w:after="0" w:line="240" w:lineRule="auto"/>
              <w:jc w:val="center"/>
              <w:rPr>
                <w:rFonts w:ascii="GHEA Grapalat" w:hAnsi="GHEA Grapalat"/>
                <w:bCs/>
                <w:i/>
                <w:color w:val="404040"/>
                <w:sz w:val="18"/>
                <w:szCs w:val="18"/>
              </w:rPr>
            </w:pPr>
            <w:r w:rsidRPr="009A214C">
              <w:rPr>
                <w:rFonts w:ascii="GHEA Grapalat" w:hAnsi="GHEA Grapalat"/>
                <w:bCs/>
                <w:i/>
                <w:color w:val="404040"/>
                <w:sz w:val="18"/>
                <w:szCs w:val="18"/>
              </w:rPr>
              <w:t>2,497.0</w:t>
            </w:r>
          </w:p>
        </w:tc>
        <w:tc>
          <w:tcPr>
            <w:tcW w:w="1156" w:type="dxa"/>
            <w:tcBorders>
              <w:top w:val="nil"/>
              <w:left w:val="nil"/>
              <w:bottom w:val="single" w:sz="8" w:space="0" w:color="E1E1E3"/>
              <w:right w:val="single" w:sz="8" w:space="0" w:color="E1E1E3"/>
            </w:tcBorders>
            <w:shd w:val="clear" w:color="auto" w:fill="auto"/>
            <w:vAlign w:val="center"/>
            <w:hideMark/>
          </w:tcPr>
          <w:p w14:paraId="06AEC894" w14:textId="77777777" w:rsidR="001C55F2" w:rsidRPr="009A214C" w:rsidRDefault="001C55F2" w:rsidP="00873AE6">
            <w:pPr>
              <w:spacing w:before="0" w:after="0" w:line="240" w:lineRule="auto"/>
              <w:jc w:val="center"/>
              <w:rPr>
                <w:rFonts w:ascii="GHEA Grapalat" w:hAnsi="GHEA Grapalat"/>
                <w:bCs/>
                <w:i/>
                <w:color w:val="404040"/>
                <w:sz w:val="18"/>
                <w:szCs w:val="18"/>
              </w:rPr>
            </w:pPr>
            <w:r w:rsidRPr="009A214C">
              <w:rPr>
                <w:rFonts w:ascii="GHEA Grapalat" w:hAnsi="GHEA Grapalat"/>
                <w:bCs/>
                <w:i/>
                <w:color w:val="404040"/>
                <w:sz w:val="18"/>
                <w:szCs w:val="18"/>
              </w:rPr>
              <w:t>2,680.3</w:t>
            </w:r>
          </w:p>
        </w:tc>
        <w:tc>
          <w:tcPr>
            <w:tcW w:w="1172" w:type="dxa"/>
            <w:tcBorders>
              <w:top w:val="nil"/>
              <w:left w:val="nil"/>
              <w:bottom w:val="single" w:sz="8" w:space="0" w:color="E1E1E3"/>
              <w:right w:val="single" w:sz="8" w:space="0" w:color="E1E1E3"/>
            </w:tcBorders>
            <w:shd w:val="clear" w:color="auto" w:fill="auto"/>
            <w:vAlign w:val="center"/>
            <w:hideMark/>
          </w:tcPr>
          <w:p w14:paraId="7A519A79" w14:textId="77777777" w:rsidR="001C55F2" w:rsidRPr="009A214C" w:rsidRDefault="001C55F2" w:rsidP="00873AE6">
            <w:pPr>
              <w:spacing w:before="0" w:after="0" w:line="240" w:lineRule="auto"/>
              <w:jc w:val="center"/>
              <w:rPr>
                <w:rFonts w:ascii="GHEA Grapalat" w:hAnsi="GHEA Grapalat"/>
                <w:bCs/>
                <w:i/>
                <w:color w:val="404040"/>
                <w:sz w:val="18"/>
                <w:szCs w:val="18"/>
              </w:rPr>
            </w:pPr>
            <w:r w:rsidRPr="009A214C">
              <w:rPr>
                <w:rFonts w:ascii="GHEA Grapalat" w:hAnsi="GHEA Grapalat"/>
                <w:bCs/>
                <w:i/>
                <w:color w:val="404040"/>
                <w:sz w:val="18"/>
                <w:szCs w:val="18"/>
              </w:rPr>
              <w:t>3,061.4</w:t>
            </w:r>
          </w:p>
        </w:tc>
        <w:tc>
          <w:tcPr>
            <w:tcW w:w="1335" w:type="dxa"/>
            <w:tcBorders>
              <w:top w:val="nil"/>
              <w:left w:val="nil"/>
              <w:bottom w:val="single" w:sz="8" w:space="0" w:color="E1E1E3"/>
              <w:right w:val="single" w:sz="8" w:space="0" w:color="E1E1E3"/>
            </w:tcBorders>
            <w:shd w:val="clear" w:color="auto" w:fill="auto"/>
            <w:vAlign w:val="center"/>
            <w:hideMark/>
          </w:tcPr>
          <w:p w14:paraId="27A00374" w14:textId="77777777" w:rsidR="001C55F2" w:rsidRPr="009A214C" w:rsidRDefault="001C55F2" w:rsidP="00873AE6">
            <w:pPr>
              <w:spacing w:before="0" w:after="0" w:line="240" w:lineRule="auto"/>
              <w:jc w:val="center"/>
              <w:rPr>
                <w:rFonts w:ascii="GHEA Grapalat" w:hAnsi="GHEA Grapalat"/>
                <w:bCs/>
                <w:i/>
                <w:color w:val="404040"/>
                <w:sz w:val="18"/>
                <w:szCs w:val="18"/>
              </w:rPr>
            </w:pPr>
            <w:r w:rsidRPr="009A214C">
              <w:rPr>
                <w:rFonts w:ascii="GHEA Grapalat" w:hAnsi="GHEA Grapalat"/>
                <w:bCs/>
                <w:i/>
                <w:color w:val="404040"/>
                <w:sz w:val="18"/>
                <w:szCs w:val="18"/>
              </w:rPr>
              <w:t>3,412.8</w:t>
            </w:r>
          </w:p>
        </w:tc>
        <w:tc>
          <w:tcPr>
            <w:tcW w:w="1237" w:type="dxa"/>
            <w:tcBorders>
              <w:top w:val="nil"/>
              <w:left w:val="nil"/>
              <w:bottom w:val="single" w:sz="8" w:space="0" w:color="E1E1E3"/>
              <w:right w:val="single" w:sz="8" w:space="0" w:color="E1E1E3"/>
            </w:tcBorders>
            <w:shd w:val="clear" w:color="auto" w:fill="auto"/>
            <w:vAlign w:val="center"/>
            <w:hideMark/>
          </w:tcPr>
          <w:p w14:paraId="40B13768" w14:textId="77777777" w:rsidR="001C55F2" w:rsidRPr="009A214C" w:rsidRDefault="001C55F2" w:rsidP="00873AE6">
            <w:pPr>
              <w:spacing w:before="0" w:after="0" w:line="240" w:lineRule="auto"/>
              <w:jc w:val="center"/>
              <w:rPr>
                <w:rFonts w:ascii="GHEA Grapalat" w:hAnsi="GHEA Grapalat"/>
                <w:bCs/>
                <w:i/>
                <w:color w:val="404040"/>
                <w:sz w:val="18"/>
                <w:szCs w:val="18"/>
              </w:rPr>
            </w:pPr>
            <w:r w:rsidRPr="009A214C">
              <w:rPr>
                <w:rFonts w:ascii="GHEA Grapalat" w:hAnsi="GHEA Grapalat"/>
                <w:bCs/>
                <w:i/>
                <w:color w:val="404040"/>
                <w:sz w:val="18"/>
                <w:szCs w:val="18"/>
              </w:rPr>
              <w:t>3,694.6</w:t>
            </w:r>
          </w:p>
        </w:tc>
      </w:tr>
      <w:tr w:rsidR="001C55F2" w:rsidRPr="000A20D2" w14:paraId="744C66AD" w14:textId="77777777" w:rsidTr="00873AE6">
        <w:trPr>
          <w:trHeight w:val="304"/>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565ECB2F"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որից`</w:t>
            </w:r>
          </w:p>
        </w:tc>
        <w:tc>
          <w:tcPr>
            <w:tcW w:w="1253" w:type="dxa"/>
            <w:tcBorders>
              <w:top w:val="nil"/>
              <w:left w:val="nil"/>
              <w:bottom w:val="single" w:sz="8" w:space="0" w:color="E1E1E3"/>
              <w:right w:val="single" w:sz="8" w:space="0" w:color="E1E1E3"/>
            </w:tcBorders>
            <w:shd w:val="clear" w:color="auto" w:fill="auto"/>
            <w:vAlign w:val="center"/>
            <w:hideMark/>
          </w:tcPr>
          <w:p w14:paraId="0DA5A7E3" w14:textId="77777777" w:rsidR="001C55F2" w:rsidRPr="009A214C" w:rsidRDefault="001C55F2" w:rsidP="00873AE6">
            <w:pPr>
              <w:spacing w:before="0" w:after="0" w:line="240" w:lineRule="auto"/>
              <w:jc w:val="center"/>
              <w:rPr>
                <w:rFonts w:ascii="GHEA Grapalat" w:hAnsi="GHEA Grapalat"/>
                <w:bCs/>
                <w:color w:val="404040"/>
                <w:sz w:val="18"/>
                <w:szCs w:val="18"/>
              </w:rPr>
            </w:pPr>
          </w:p>
        </w:tc>
        <w:tc>
          <w:tcPr>
            <w:tcW w:w="1156" w:type="dxa"/>
            <w:tcBorders>
              <w:top w:val="nil"/>
              <w:left w:val="nil"/>
              <w:bottom w:val="single" w:sz="8" w:space="0" w:color="E1E1E3"/>
              <w:right w:val="single" w:sz="8" w:space="0" w:color="E1E1E3"/>
            </w:tcBorders>
            <w:shd w:val="clear" w:color="auto" w:fill="auto"/>
            <w:vAlign w:val="center"/>
            <w:hideMark/>
          </w:tcPr>
          <w:p w14:paraId="272672D4" w14:textId="77777777" w:rsidR="001C55F2" w:rsidRPr="009A214C" w:rsidRDefault="001C55F2" w:rsidP="00873AE6">
            <w:pPr>
              <w:spacing w:before="0" w:after="0" w:line="240" w:lineRule="auto"/>
              <w:jc w:val="center"/>
              <w:rPr>
                <w:rFonts w:ascii="GHEA Grapalat" w:hAnsi="GHEA Grapalat"/>
                <w:bCs/>
                <w:color w:val="404040"/>
                <w:sz w:val="18"/>
                <w:szCs w:val="18"/>
              </w:rPr>
            </w:pPr>
          </w:p>
        </w:tc>
        <w:tc>
          <w:tcPr>
            <w:tcW w:w="1172" w:type="dxa"/>
            <w:tcBorders>
              <w:top w:val="nil"/>
              <w:left w:val="nil"/>
              <w:bottom w:val="single" w:sz="8" w:space="0" w:color="E1E1E3"/>
              <w:right w:val="single" w:sz="8" w:space="0" w:color="E1E1E3"/>
            </w:tcBorders>
            <w:shd w:val="clear" w:color="auto" w:fill="auto"/>
            <w:vAlign w:val="center"/>
            <w:hideMark/>
          </w:tcPr>
          <w:p w14:paraId="090FEDCF" w14:textId="77777777" w:rsidR="001C55F2" w:rsidRPr="009A214C" w:rsidRDefault="001C55F2" w:rsidP="00873AE6">
            <w:pPr>
              <w:spacing w:before="0" w:after="0" w:line="240" w:lineRule="auto"/>
              <w:jc w:val="center"/>
              <w:rPr>
                <w:rFonts w:ascii="GHEA Grapalat" w:hAnsi="GHEA Grapalat"/>
                <w:bCs/>
                <w:color w:val="404040"/>
                <w:sz w:val="18"/>
                <w:szCs w:val="18"/>
              </w:rPr>
            </w:pPr>
          </w:p>
        </w:tc>
        <w:tc>
          <w:tcPr>
            <w:tcW w:w="1335" w:type="dxa"/>
            <w:tcBorders>
              <w:top w:val="nil"/>
              <w:left w:val="nil"/>
              <w:bottom w:val="single" w:sz="8" w:space="0" w:color="E1E1E3"/>
              <w:right w:val="single" w:sz="8" w:space="0" w:color="E1E1E3"/>
            </w:tcBorders>
            <w:shd w:val="clear" w:color="auto" w:fill="auto"/>
            <w:vAlign w:val="center"/>
            <w:hideMark/>
          </w:tcPr>
          <w:p w14:paraId="4322D9EB" w14:textId="77777777" w:rsidR="001C55F2" w:rsidRPr="009A214C" w:rsidRDefault="001C55F2" w:rsidP="00873AE6">
            <w:pPr>
              <w:spacing w:before="0" w:after="0" w:line="240" w:lineRule="auto"/>
              <w:jc w:val="center"/>
              <w:rPr>
                <w:rFonts w:ascii="GHEA Grapalat" w:hAnsi="GHEA Grapalat"/>
                <w:bCs/>
                <w:color w:val="404040"/>
                <w:sz w:val="18"/>
                <w:szCs w:val="18"/>
              </w:rPr>
            </w:pPr>
          </w:p>
        </w:tc>
        <w:tc>
          <w:tcPr>
            <w:tcW w:w="1237" w:type="dxa"/>
            <w:tcBorders>
              <w:top w:val="nil"/>
              <w:left w:val="nil"/>
              <w:bottom w:val="single" w:sz="8" w:space="0" w:color="E1E1E3"/>
              <w:right w:val="single" w:sz="8" w:space="0" w:color="E1E1E3"/>
            </w:tcBorders>
            <w:shd w:val="clear" w:color="auto" w:fill="auto"/>
            <w:vAlign w:val="center"/>
            <w:hideMark/>
          </w:tcPr>
          <w:p w14:paraId="2B0EDD4C" w14:textId="77777777" w:rsidR="001C55F2" w:rsidRPr="009A214C" w:rsidRDefault="001C55F2" w:rsidP="00873AE6">
            <w:pPr>
              <w:spacing w:before="0" w:after="0" w:line="240" w:lineRule="auto"/>
              <w:jc w:val="center"/>
              <w:rPr>
                <w:rFonts w:ascii="GHEA Grapalat" w:hAnsi="GHEA Grapalat"/>
                <w:bCs/>
                <w:color w:val="404040"/>
                <w:sz w:val="18"/>
                <w:szCs w:val="18"/>
              </w:rPr>
            </w:pPr>
          </w:p>
        </w:tc>
      </w:tr>
      <w:tr w:rsidR="001C55F2" w:rsidRPr="000A20D2" w14:paraId="650AD054" w14:textId="77777777" w:rsidTr="00873AE6">
        <w:trPr>
          <w:trHeight w:val="304"/>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320BF249"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 xml:space="preserve">ՀՀ կառավարության արտաքին պարտք </w:t>
            </w:r>
          </w:p>
        </w:tc>
        <w:tc>
          <w:tcPr>
            <w:tcW w:w="1253" w:type="dxa"/>
            <w:tcBorders>
              <w:top w:val="nil"/>
              <w:left w:val="nil"/>
              <w:bottom w:val="single" w:sz="8" w:space="0" w:color="E1E1E3"/>
              <w:right w:val="single" w:sz="8" w:space="0" w:color="E1E1E3"/>
            </w:tcBorders>
            <w:shd w:val="clear" w:color="auto" w:fill="auto"/>
            <w:vAlign w:val="center"/>
            <w:hideMark/>
          </w:tcPr>
          <w:p w14:paraId="0F5AA2AE"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2,493.8</w:t>
            </w:r>
          </w:p>
        </w:tc>
        <w:tc>
          <w:tcPr>
            <w:tcW w:w="1156" w:type="dxa"/>
            <w:tcBorders>
              <w:top w:val="nil"/>
              <w:left w:val="nil"/>
              <w:bottom w:val="single" w:sz="8" w:space="0" w:color="E1E1E3"/>
              <w:right w:val="single" w:sz="8" w:space="0" w:color="E1E1E3"/>
            </w:tcBorders>
            <w:shd w:val="clear" w:color="auto" w:fill="auto"/>
            <w:vAlign w:val="center"/>
            <w:hideMark/>
          </w:tcPr>
          <w:p w14:paraId="231F9D9E"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2,677.1</w:t>
            </w:r>
          </w:p>
        </w:tc>
        <w:tc>
          <w:tcPr>
            <w:tcW w:w="1172" w:type="dxa"/>
            <w:tcBorders>
              <w:top w:val="nil"/>
              <w:left w:val="nil"/>
              <w:bottom w:val="single" w:sz="8" w:space="0" w:color="E1E1E3"/>
              <w:right w:val="single" w:sz="8" w:space="0" w:color="E1E1E3"/>
            </w:tcBorders>
            <w:shd w:val="clear" w:color="auto" w:fill="auto"/>
            <w:vAlign w:val="center"/>
            <w:hideMark/>
          </w:tcPr>
          <w:p w14:paraId="0EEE76EA"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3,058.3</w:t>
            </w:r>
          </w:p>
        </w:tc>
        <w:tc>
          <w:tcPr>
            <w:tcW w:w="1335" w:type="dxa"/>
            <w:tcBorders>
              <w:top w:val="nil"/>
              <w:left w:val="nil"/>
              <w:bottom w:val="single" w:sz="8" w:space="0" w:color="E1E1E3"/>
              <w:right w:val="single" w:sz="8" w:space="0" w:color="E1E1E3"/>
            </w:tcBorders>
            <w:shd w:val="clear" w:color="auto" w:fill="auto"/>
            <w:vAlign w:val="center"/>
            <w:hideMark/>
          </w:tcPr>
          <w:p w14:paraId="6D54B18B"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3,409.7</w:t>
            </w:r>
          </w:p>
        </w:tc>
        <w:tc>
          <w:tcPr>
            <w:tcW w:w="1237" w:type="dxa"/>
            <w:tcBorders>
              <w:top w:val="nil"/>
              <w:left w:val="nil"/>
              <w:bottom w:val="single" w:sz="8" w:space="0" w:color="E1E1E3"/>
              <w:right w:val="single" w:sz="8" w:space="0" w:color="E1E1E3"/>
            </w:tcBorders>
            <w:shd w:val="clear" w:color="auto" w:fill="auto"/>
            <w:vAlign w:val="center"/>
            <w:hideMark/>
          </w:tcPr>
          <w:p w14:paraId="652C06B9"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3,691.6</w:t>
            </w:r>
          </w:p>
        </w:tc>
      </w:tr>
      <w:tr w:rsidR="001C55F2" w:rsidRPr="000A20D2" w14:paraId="3E836693" w14:textId="77777777" w:rsidTr="00873AE6">
        <w:trPr>
          <w:trHeight w:val="304"/>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6AE720A5"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 xml:space="preserve">ՀՀ համայնքների արտաքին պարտք </w:t>
            </w:r>
          </w:p>
        </w:tc>
        <w:tc>
          <w:tcPr>
            <w:tcW w:w="1253" w:type="dxa"/>
            <w:tcBorders>
              <w:top w:val="nil"/>
              <w:left w:val="nil"/>
              <w:bottom w:val="single" w:sz="8" w:space="0" w:color="E1E1E3"/>
              <w:right w:val="single" w:sz="8" w:space="0" w:color="E1E1E3"/>
            </w:tcBorders>
            <w:shd w:val="clear" w:color="auto" w:fill="auto"/>
            <w:vAlign w:val="center"/>
            <w:hideMark/>
          </w:tcPr>
          <w:p w14:paraId="3FDC5CFE"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3.1</w:t>
            </w:r>
          </w:p>
        </w:tc>
        <w:tc>
          <w:tcPr>
            <w:tcW w:w="1156" w:type="dxa"/>
            <w:tcBorders>
              <w:top w:val="nil"/>
              <w:left w:val="nil"/>
              <w:bottom w:val="single" w:sz="8" w:space="0" w:color="E1E1E3"/>
              <w:right w:val="single" w:sz="8" w:space="0" w:color="E1E1E3"/>
            </w:tcBorders>
            <w:shd w:val="clear" w:color="auto" w:fill="auto"/>
            <w:vAlign w:val="center"/>
            <w:hideMark/>
          </w:tcPr>
          <w:p w14:paraId="03E84A47"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3.2</w:t>
            </w:r>
          </w:p>
        </w:tc>
        <w:tc>
          <w:tcPr>
            <w:tcW w:w="1172" w:type="dxa"/>
            <w:tcBorders>
              <w:top w:val="nil"/>
              <w:left w:val="nil"/>
              <w:bottom w:val="single" w:sz="8" w:space="0" w:color="E1E1E3"/>
              <w:right w:val="single" w:sz="8" w:space="0" w:color="E1E1E3"/>
            </w:tcBorders>
            <w:shd w:val="clear" w:color="auto" w:fill="auto"/>
            <w:vAlign w:val="center"/>
            <w:hideMark/>
          </w:tcPr>
          <w:p w14:paraId="01763CA5"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3.1</w:t>
            </w:r>
          </w:p>
        </w:tc>
        <w:tc>
          <w:tcPr>
            <w:tcW w:w="1335" w:type="dxa"/>
            <w:tcBorders>
              <w:top w:val="nil"/>
              <w:left w:val="nil"/>
              <w:bottom w:val="single" w:sz="8" w:space="0" w:color="E1E1E3"/>
              <w:right w:val="single" w:sz="8" w:space="0" w:color="E1E1E3"/>
            </w:tcBorders>
            <w:shd w:val="clear" w:color="auto" w:fill="auto"/>
            <w:vAlign w:val="center"/>
            <w:hideMark/>
          </w:tcPr>
          <w:p w14:paraId="300137EB"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3.0</w:t>
            </w:r>
          </w:p>
        </w:tc>
        <w:tc>
          <w:tcPr>
            <w:tcW w:w="1237" w:type="dxa"/>
            <w:tcBorders>
              <w:top w:val="nil"/>
              <w:left w:val="nil"/>
              <w:bottom w:val="single" w:sz="8" w:space="0" w:color="E1E1E3"/>
              <w:right w:val="single" w:sz="8" w:space="0" w:color="E1E1E3"/>
            </w:tcBorders>
            <w:shd w:val="clear" w:color="auto" w:fill="auto"/>
            <w:vAlign w:val="center"/>
            <w:hideMark/>
          </w:tcPr>
          <w:p w14:paraId="39CB1222"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3.0</w:t>
            </w:r>
          </w:p>
        </w:tc>
      </w:tr>
      <w:tr w:rsidR="001C55F2" w:rsidRPr="000A20D2" w14:paraId="65EC7C2F"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5202EAD2" w14:textId="77777777" w:rsidR="001C55F2" w:rsidRPr="000A20D2" w:rsidRDefault="001C55F2" w:rsidP="00873AE6">
            <w:pPr>
              <w:spacing w:before="0" w:after="0" w:line="240" w:lineRule="auto"/>
              <w:rPr>
                <w:rFonts w:ascii="GHEA Grapalat" w:eastAsia="Times New Roman" w:hAnsi="GHEA Grapalat" w:cs="Times New Roman"/>
                <w:i/>
                <w:iCs/>
                <w:color w:val="404040"/>
                <w:sz w:val="18"/>
                <w:szCs w:val="18"/>
              </w:rPr>
            </w:pPr>
            <w:r w:rsidRPr="000A20D2">
              <w:rPr>
                <w:rFonts w:ascii="GHEA Grapalat" w:eastAsia="Times New Roman" w:hAnsi="GHEA Grapalat" w:cs="Times New Roman"/>
                <w:i/>
                <w:iCs/>
                <w:color w:val="404040"/>
                <w:sz w:val="18"/>
                <w:szCs w:val="18"/>
              </w:rPr>
              <w:t>ներքին պետական պարտք</w:t>
            </w:r>
          </w:p>
        </w:tc>
        <w:tc>
          <w:tcPr>
            <w:tcW w:w="1253" w:type="dxa"/>
            <w:tcBorders>
              <w:top w:val="nil"/>
              <w:left w:val="nil"/>
              <w:bottom w:val="single" w:sz="8" w:space="0" w:color="E1E1E3"/>
              <w:right w:val="single" w:sz="8" w:space="0" w:color="E1E1E3"/>
            </w:tcBorders>
            <w:shd w:val="clear" w:color="auto" w:fill="auto"/>
            <w:vAlign w:val="center"/>
            <w:hideMark/>
          </w:tcPr>
          <w:p w14:paraId="54F756D3" w14:textId="77777777" w:rsidR="001C55F2" w:rsidRPr="009A214C" w:rsidRDefault="001C55F2" w:rsidP="00873AE6">
            <w:pPr>
              <w:spacing w:before="0" w:after="0" w:line="240" w:lineRule="auto"/>
              <w:jc w:val="center"/>
              <w:rPr>
                <w:rFonts w:ascii="GHEA Grapalat" w:hAnsi="GHEA Grapalat"/>
                <w:bCs/>
                <w:i/>
                <w:color w:val="404040"/>
                <w:sz w:val="18"/>
                <w:szCs w:val="18"/>
              </w:rPr>
            </w:pPr>
            <w:r w:rsidRPr="009A214C">
              <w:rPr>
                <w:rFonts w:ascii="GHEA Grapalat" w:hAnsi="GHEA Grapalat"/>
                <w:bCs/>
                <w:i/>
                <w:color w:val="404040"/>
                <w:sz w:val="18"/>
                <w:szCs w:val="18"/>
              </w:rPr>
              <w:t>2,806.2</w:t>
            </w:r>
          </w:p>
        </w:tc>
        <w:tc>
          <w:tcPr>
            <w:tcW w:w="1156" w:type="dxa"/>
            <w:tcBorders>
              <w:top w:val="nil"/>
              <w:left w:val="nil"/>
              <w:bottom w:val="single" w:sz="8" w:space="0" w:color="E1E1E3"/>
              <w:right w:val="single" w:sz="8" w:space="0" w:color="E1E1E3"/>
            </w:tcBorders>
            <w:shd w:val="clear" w:color="auto" w:fill="auto"/>
            <w:vAlign w:val="center"/>
            <w:hideMark/>
          </w:tcPr>
          <w:p w14:paraId="2FCAC301" w14:textId="77777777" w:rsidR="001C55F2" w:rsidRPr="009A214C" w:rsidRDefault="001C55F2" w:rsidP="00873AE6">
            <w:pPr>
              <w:spacing w:before="0" w:after="0" w:line="240" w:lineRule="auto"/>
              <w:jc w:val="center"/>
              <w:rPr>
                <w:rFonts w:ascii="GHEA Grapalat" w:hAnsi="GHEA Grapalat"/>
                <w:bCs/>
                <w:i/>
                <w:color w:val="404040"/>
                <w:sz w:val="18"/>
                <w:szCs w:val="18"/>
              </w:rPr>
            </w:pPr>
            <w:r w:rsidRPr="009A214C">
              <w:rPr>
                <w:rFonts w:ascii="GHEA Grapalat" w:hAnsi="GHEA Grapalat"/>
                <w:bCs/>
                <w:i/>
                <w:color w:val="404040"/>
                <w:sz w:val="18"/>
                <w:szCs w:val="18"/>
              </w:rPr>
              <w:t>3,123.9</w:t>
            </w:r>
          </w:p>
        </w:tc>
        <w:tc>
          <w:tcPr>
            <w:tcW w:w="1172" w:type="dxa"/>
            <w:tcBorders>
              <w:top w:val="nil"/>
              <w:left w:val="nil"/>
              <w:bottom w:val="single" w:sz="8" w:space="0" w:color="E1E1E3"/>
              <w:right w:val="single" w:sz="8" w:space="0" w:color="E1E1E3"/>
            </w:tcBorders>
            <w:shd w:val="clear" w:color="auto" w:fill="auto"/>
            <w:vAlign w:val="center"/>
            <w:hideMark/>
          </w:tcPr>
          <w:p w14:paraId="10A7DBDA" w14:textId="77777777" w:rsidR="001C55F2" w:rsidRPr="009A214C" w:rsidRDefault="001C55F2" w:rsidP="00873AE6">
            <w:pPr>
              <w:spacing w:before="0" w:after="0" w:line="240" w:lineRule="auto"/>
              <w:jc w:val="center"/>
              <w:rPr>
                <w:rFonts w:ascii="GHEA Grapalat" w:hAnsi="GHEA Grapalat"/>
                <w:bCs/>
                <w:i/>
                <w:color w:val="404040"/>
                <w:sz w:val="18"/>
                <w:szCs w:val="18"/>
              </w:rPr>
            </w:pPr>
            <w:r w:rsidRPr="009A214C">
              <w:rPr>
                <w:rFonts w:ascii="GHEA Grapalat" w:hAnsi="GHEA Grapalat"/>
                <w:bCs/>
                <w:i/>
                <w:color w:val="404040"/>
                <w:sz w:val="18"/>
                <w:szCs w:val="18"/>
              </w:rPr>
              <w:t>3,389.0</w:t>
            </w:r>
          </w:p>
        </w:tc>
        <w:tc>
          <w:tcPr>
            <w:tcW w:w="1335" w:type="dxa"/>
            <w:tcBorders>
              <w:top w:val="nil"/>
              <w:left w:val="nil"/>
              <w:bottom w:val="single" w:sz="8" w:space="0" w:color="E1E1E3"/>
              <w:right w:val="single" w:sz="8" w:space="0" w:color="E1E1E3"/>
            </w:tcBorders>
            <w:shd w:val="clear" w:color="auto" w:fill="auto"/>
            <w:vAlign w:val="center"/>
            <w:hideMark/>
          </w:tcPr>
          <w:p w14:paraId="12A9EF8C" w14:textId="77777777" w:rsidR="001C55F2" w:rsidRPr="009A214C" w:rsidRDefault="001C55F2" w:rsidP="00873AE6">
            <w:pPr>
              <w:spacing w:before="0" w:after="0" w:line="240" w:lineRule="auto"/>
              <w:jc w:val="center"/>
              <w:rPr>
                <w:rFonts w:ascii="GHEA Grapalat" w:hAnsi="GHEA Grapalat"/>
                <w:bCs/>
                <w:i/>
                <w:color w:val="404040"/>
                <w:sz w:val="18"/>
                <w:szCs w:val="18"/>
              </w:rPr>
            </w:pPr>
            <w:r w:rsidRPr="009A214C">
              <w:rPr>
                <w:rFonts w:ascii="GHEA Grapalat" w:hAnsi="GHEA Grapalat"/>
                <w:bCs/>
                <w:i/>
                <w:color w:val="404040"/>
                <w:sz w:val="18"/>
                <w:szCs w:val="18"/>
              </w:rPr>
              <w:t>3,625.7</w:t>
            </w:r>
          </w:p>
        </w:tc>
        <w:tc>
          <w:tcPr>
            <w:tcW w:w="1237" w:type="dxa"/>
            <w:tcBorders>
              <w:top w:val="nil"/>
              <w:left w:val="nil"/>
              <w:bottom w:val="single" w:sz="8" w:space="0" w:color="E1E1E3"/>
              <w:right w:val="single" w:sz="8" w:space="0" w:color="E1E1E3"/>
            </w:tcBorders>
            <w:shd w:val="clear" w:color="auto" w:fill="auto"/>
            <w:vAlign w:val="center"/>
            <w:hideMark/>
          </w:tcPr>
          <w:p w14:paraId="1C578DED" w14:textId="77777777" w:rsidR="001C55F2" w:rsidRPr="009A214C" w:rsidRDefault="001C55F2" w:rsidP="00873AE6">
            <w:pPr>
              <w:spacing w:before="0" w:after="0" w:line="240" w:lineRule="auto"/>
              <w:jc w:val="center"/>
              <w:rPr>
                <w:rFonts w:ascii="GHEA Grapalat" w:hAnsi="GHEA Grapalat"/>
                <w:bCs/>
                <w:i/>
                <w:color w:val="404040"/>
                <w:sz w:val="18"/>
                <w:szCs w:val="18"/>
              </w:rPr>
            </w:pPr>
            <w:r w:rsidRPr="009A214C">
              <w:rPr>
                <w:rFonts w:ascii="GHEA Grapalat" w:hAnsi="GHEA Grapalat"/>
                <w:bCs/>
                <w:i/>
                <w:color w:val="404040"/>
                <w:sz w:val="18"/>
                <w:szCs w:val="18"/>
              </w:rPr>
              <w:t>3,849.1</w:t>
            </w:r>
          </w:p>
        </w:tc>
      </w:tr>
      <w:tr w:rsidR="001C55F2" w:rsidRPr="000A20D2" w14:paraId="7410798B"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3C651507"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որից`</w:t>
            </w:r>
          </w:p>
        </w:tc>
        <w:tc>
          <w:tcPr>
            <w:tcW w:w="1253" w:type="dxa"/>
            <w:tcBorders>
              <w:top w:val="nil"/>
              <w:left w:val="nil"/>
              <w:bottom w:val="single" w:sz="8" w:space="0" w:color="E1E1E3"/>
              <w:right w:val="single" w:sz="8" w:space="0" w:color="E1E1E3"/>
            </w:tcBorders>
            <w:shd w:val="clear" w:color="auto" w:fill="auto"/>
            <w:vAlign w:val="center"/>
            <w:hideMark/>
          </w:tcPr>
          <w:p w14:paraId="0CE49459" w14:textId="77777777" w:rsidR="001C55F2" w:rsidRPr="009A214C" w:rsidRDefault="001C55F2" w:rsidP="00873AE6">
            <w:pPr>
              <w:spacing w:before="0" w:after="0" w:line="240" w:lineRule="auto"/>
              <w:jc w:val="center"/>
              <w:rPr>
                <w:rFonts w:ascii="GHEA Grapalat" w:hAnsi="GHEA Grapalat"/>
                <w:bCs/>
                <w:color w:val="404040"/>
                <w:sz w:val="18"/>
                <w:szCs w:val="18"/>
              </w:rPr>
            </w:pPr>
          </w:p>
        </w:tc>
        <w:tc>
          <w:tcPr>
            <w:tcW w:w="1156" w:type="dxa"/>
            <w:tcBorders>
              <w:top w:val="nil"/>
              <w:left w:val="nil"/>
              <w:bottom w:val="single" w:sz="8" w:space="0" w:color="E1E1E3"/>
              <w:right w:val="single" w:sz="8" w:space="0" w:color="E1E1E3"/>
            </w:tcBorders>
            <w:shd w:val="clear" w:color="auto" w:fill="auto"/>
            <w:vAlign w:val="center"/>
            <w:hideMark/>
          </w:tcPr>
          <w:p w14:paraId="381BD5E7" w14:textId="77777777" w:rsidR="001C55F2" w:rsidRPr="009A214C" w:rsidRDefault="001C55F2" w:rsidP="00873AE6">
            <w:pPr>
              <w:spacing w:before="0" w:after="0" w:line="240" w:lineRule="auto"/>
              <w:jc w:val="center"/>
              <w:rPr>
                <w:rFonts w:ascii="GHEA Grapalat" w:hAnsi="GHEA Grapalat"/>
                <w:bCs/>
                <w:color w:val="404040"/>
                <w:sz w:val="18"/>
                <w:szCs w:val="18"/>
              </w:rPr>
            </w:pPr>
          </w:p>
        </w:tc>
        <w:tc>
          <w:tcPr>
            <w:tcW w:w="1172" w:type="dxa"/>
            <w:tcBorders>
              <w:top w:val="nil"/>
              <w:left w:val="nil"/>
              <w:bottom w:val="single" w:sz="8" w:space="0" w:color="E1E1E3"/>
              <w:right w:val="single" w:sz="8" w:space="0" w:color="E1E1E3"/>
            </w:tcBorders>
            <w:shd w:val="clear" w:color="auto" w:fill="auto"/>
            <w:vAlign w:val="center"/>
            <w:hideMark/>
          </w:tcPr>
          <w:p w14:paraId="1EE9C1E8" w14:textId="77777777" w:rsidR="001C55F2" w:rsidRPr="009A214C" w:rsidRDefault="001C55F2" w:rsidP="00873AE6">
            <w:pPr>
              <w:spacing w:before="0" w:after="0" w:line="240" w:lineRule="auto"/>
              <w:jc w:val="center"/>
              <w:rPr>
                <w:rFonts w:ascii="GHEA Grapalat" w:hAnsi="GHEA Grapalat"/>
                <w:bCs/>
                <w:color w:val="404040"/>
                <w:sz w:val="18"/>
                <w:szCs w:val="18"/>
              </w:rPr>
            </w:pPr>
          </w:p>
        </w:tc>
        <w:tc>
          <w:tcPr>
            <w:tcW w:w="1335" w:type="dxa"/>
            <w:tcBorders>
              <w:top w:val="nil"/>
              <w:left w:val="nil"/>
              <w:bottom w:val="single" w:sz="8" w:space="0" w:color="E1E1E3"/>
              <w:right w:val="single" w:sz="8" w:space="0" w:color="E1E1E3"/>
            </w:tcBorders>
            <w:shd w:val="clear" w:color="auto" w:fill="auto"/>
            <w:vAlign w:val="center"/>
            <w:hideMark/>
          </w:tcPr>
          <w:p w14:paraId="08C0A399" w14:textId="77777777" w:rsidR="001C55F2" w:rsidRPr="009A214C" w:rsidRDefault="001C55F2" w:rsidP="00873AE6">
            <w:pPr>
              <w:spacing w:before="0" w:after="0" w:line="240" w:lineRule="auto"/>
              <w:jc w:val="center"/>
              <w:rPr>
                <w:rFonts w:ascii="GHEA Grapalat" w:hAnsi="GHEA Grapalat"/>
                <w:bCs/>
                <w:color w:val="404040"/>
                <w:sz w:val="18"/>
                <w:szCs w:val="18"/>
              </w:rPr>
            </w:pPr>
          </w:p>
        </w:tc>
        <w:tc>
          <w:tcPr>
            <w:tcW w:w="1237" w:type="dxa"/>
            <w:tcBorders>
              <w:top w:val="nil"/>
              <w:left w:val="nil"/>
              <w:bottom w:val="single" w:sz="8" w:space="0" w:color="E1E1E3"/>
              <w:right w:val="single" w:sz="8" w:space="0" w:color="E1E1E3"/>
            </w:tcBorders>
            <w:shd w:val="clear" w:color="auto" w:fill="auto"/>
            <w:vAlign w:val="center"/>
            <w:hideMark/>
          </w:tcPr>
          <w:p w14:paraId="6150CE8A" w14:textId="77777777" w:rsidR="001C55F2" w:rsidRPr="009A214C" w:rsidRDefault="001C55F2" w:rsidP="00873AE6">
            <w:pPr>
              <w:spacing w:before="0" w:after="0" w:line="240" w:lineRule="auto"/>
              <w:jc w:val="center"/>
              <w:rPr>
                <w:rFonts w:ascii="GHEA Grapalat" w:hAnsi="GHEA Grapalat"/>
                <w:bCs/>
                <w:color w:val="404040"/>
                <w:sz w:val="18"/>
                <w:szCs w:val="18"/>
              </w:rPr>
            </w:pPr>
          </w:p>
        </w:tc>
      </w:tr>
      <w:tr w:rsidR="001C55F2" w:rsidRPr="000A20D2" w14:paraId="411CD359"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3713BB8A"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ՀՀ կառավարության ներքին պարտք</w:t>
            </w:r>
          </w:p>
        </w:tc>
        <w:tc>
          <w:tcPr>
            <w:tcW w:w="1253" w:type="dxa"/>
            <w:tcBorders>
              <w:top w:val="nil"/>
              <w:left w:val="nil"/>
              <w:bottom w:val="single" w:sz="8" w:space="0" w:color="E1E1E3"/>
              <w:right w:val="single" w:sz="8" w:space="0" w:color="E1E1E3"/>
            </w:tcBorders>
            <w:shd w:val="clear" w:color="auto" w:fill="auto"/>
            <w:vAlign w:val="center"/>
            <w:hideMark/>
          </w:tcPr>
          <w:p w14:paraId="0B0E624C"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2,806.2</w:t>
            </w:r>
          </w:p>
        </w:tc>
        <w:tc>
          <w:tcPr>
            <w:tcW w:w="1156" w:type="dxa"/>
            <w:tcBorders>
              <w:top w:val="nil"/>
              <w:left w:val="nil"/>
              <w:bottom w:val="single" w:sz="8" w:space="0" w:color="E1E1E3"/>
              <w:right w:val="single" w:sz="8" w:space="0" w:color="E1E1E3"/>
            </w:tcBorders>
            <w:shd w:val="clear" w:color="auto" w:fill="auto"/>
            <w:vAlign w:val="center"/>
            <w:hideMark/>
          </w:tcPr>
          <w:p w14:paraId="41DDA3D3"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3,123.7</w:t>
            </w:r>
          </w:p>
        </w:tc>
        <w:tc>
          <w:tcPr>
            <w:tcW w:w="1172" w:type="dxa"/>
            <w:tcBorders>
              <w:top w:val="nil"/>
              <w:left w:val="nil"/>
              <w:bottom w:val="single" w:sz="8" w:space="0" w:color="E1E1E3"/>
              <w:right w:val="single" w:sz="8" w:space="0" w:color="E1E1E3"/>
            </w:tcBorders>
            <w:shd w:val="clear" w:color="auto" w:fill="auto"/>
            <w:vAlign w:val="center"/>
            <w:hideMark/>
          </w:tcPr>
          <w:p w14:paraId="6EE2A18D"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3,388.9</w:t>
            </w:r>
          </w:p>
        </w:tc>
        <w:tc>
          <w:tcPr>
            <w:tcW w:w="1335" w:type="dxa"/>
            <w:tcBorders>
              <w:top w:val="nil"/>
              <w:left w:val="nil"/>
              <w:bottom w:val="single" w:sz="8" w:space="0" w:color="E1E1E3"/>
              <w:right w:val="single" w:sz="8" w:space="0" w:color="E1E1E3"/>
            </w:tcBorders>
            <w:shd w:val="clear" w:color="auto" w:fill="auto"/>
            <w:vAlign w:val="center"/>
            <w:hideMark/>
          </w:tcPr>
          <w:p w14:paraId="075C9E81"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3,625.5</w:t>
            </w:r>
          </w:p>
        </w:tc>
        <w:tc>
          <w:tcPr>
            <w:tcW w:w="1237" w:type="dxa"/>
            <w:tcBorders>
              <w:top w:val="nil"/>
              <w:left w:val="nil"/>
              <w:bottom w:val="single" w:sz="8" w:space="0" w:color="E1E1E3"/>
              <w:right w:val="single" w:sz="8" w:space="0" w:color="E1E1E3"/>
            </w:tcBorders>
            <w:shd w:val="clear" w:color="auto" w:fill="auto"/>
            <w:vAlign w:val="center"/>
            <w:hideMark/>
          </w:tcPr>
          <w:p w14:paraId="07396D25"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3,849.0</w:t>
            </w:r>
          </w:p>
        </w:tc>
      </w:tr>
      <w:tr w:rsidR="001C55F2" w:rsidRPr="000A20D2" w14:paraId="4DB33460"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09E4CBEF"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 xml:space="preserve">ՀՀ համայնքների ներքին պարտք </w:t>
            </w:r>
          </w:p>
        </w:tc>
        <w:tc>
          <w:tcPr>
            <w:tcW w:w="1253" w:type="dxa"/>
            <w:tcBorders>
              <w:top w:val="nil"/>
              <w:left w:val="nil"/>
              <w:bottom w:val="single" w:sz="8" w:space="0" w:color="E1E1E3"/>
              <w:right w:val="single" w:sz="8" w:space="0" w:color="E1E1E3"/>
            </w:tcBorders>
            <w:shd w:val="clear" w:color="auto" w:fill="auto"/>
            <w:vAlign w:val="center"/>
            <w:hideMark/>
          </w:tcPr>
          <w:p w14:paraId="2970580F"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0.1</w:t>
            </w:r>
          </w:p>
        </w:tc>
        <w:tc>
          <w:tcPr>
            <w:tcW w:w="1156" w:type="dxa"/>
            <w:tcBorders>
              <w:top w:val="nil"/>
              <w:left w:val="nil"/>
              <w:bottom w:val="single" w:sz="8" w:space="0" w:color="E1E1E3"/>
              <w:right w:val="single" w:sz="8" w:space="0" w:color="E1E1E3"/>
            </w:tcBorders>
            <w:shd w:val="clear" w:color="auto" w:fill="auto"/>
            <w:vAlign w:val="center"/>
            <w:hideMark/>
          </w:tcPr>
          <w:p w14:paraId="55EEEED2"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0.1</w:t>
            </w:r>
          </w:p>
        </w:tc>
        <w:tc>
          <w:tcPr>
            <w:tcW w:w="1172" w:type="dxa"/>
            <w:tcBorders>
              <w:top w:val="nil"/>
              <w:left w:val="nil"/>
              <w:bottom w:val="single" w:sz="8" w:space="0" w:color="E1E1E3"/>
              <w:right w:val="single" w:sz="8" w:space="0" w:color="E1E1E3"/>
            </w:tcBorders>
            <w:shd w:val="clear" w:color="auto" w:fill="auto"/>
            <w:vAlign w:val="center"/>
            <w:hideMark/>
          </w:tcPr>
          <w:p w14:paraId="4A4CD10B"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0.1</w:t>
            </w:r>
          </w:p>
        </w:tc>
        <w:tc>
          <w:tcPr>
            <w:tcW w:w="1335" w:type="dxa"/>
            <w:tcBorders>
              <w:top w:val="nil"/>
              <w:left w:val="nil"/>
              <w:bottom w:val="single" w:sz="8" w:space="0" w:color="E1E1E3"/>
              <w:right w:val="single" w:sz="8" w:space="0" w:color="E1E1E3"/>
            </w:tcBorders>
            <w:shd w:val="clear" w:color="auto" w:fill="auto"/>
            <w:vAlign w:val="center"/>
            <w:hideMark/>
          </w:tcPr>
          <w:p w14:paraId="7FFC7C44"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0.1</w:t>
            </w:r>
          </w:p>
        </w:tc>
        <w:tc>
          <w:tcPr>
            <w:tcW w:w="1237" w:type="dxa"/>
            <w:tcBorders>
              <w:top w:val="nil"/>
              <w:left w:val="nil"/>
              <w:bottom w:val="single" w:sz="8" w:space="0" w:color="E1E1E3"/>
              <w:right w:val="single" w:sz="8" w:space="0" w:color="E1E1E3"/>
            </w:tcBorders>
            <w:shd w:val="clear" w:color="auto" w:fill="auto"/>
            <w:vAlign w:val="center"/>
            <w:hideMark/>
          </w:tcPr>
          <w:p w14:paraId="143844C7" w14:textId="77777777" w:rsidR="001C55F2" w:rsidRPr="009A214C" w:rsidRDefault="001C55F2" w:rsidP="00873AE6">
            <w:pPr>
              <w:spacing w:before="0" w:after="0" w:line="240" w:lineRule="auto"/>
              <w:jc w:val="center"/>
              <w:rPr>
                <w:rFonts w:ascii="GHEA Grapalat" w:hAnsi="GHEA Grapalat"/>
                <w:bCs/>
                <w:color w:val="404040"/>
                <w:sz w:val="18"/>
                <w:szCs w:val="18"/>
              </w:rPr>
            </w:pPr>
            <w:r w:rsidRPr="009A214C">
              <w:rPr>
                <w:rFonts w:ascii="GHEA Grapalat" w:hAnsi="GHEA Grapalat"/>
                <w:bCs/>
                <w:color w:val="404040"/>
                <w:sz w:val="18"/>
                <w:szCs w:val="18"/>
              </w:rPr>
              <w:t>0.1</w:t>
            </w:r>
          </w:p>
        </w:tc>
      </w:tr>
      <w:tr w:rsidR="001C55F2" w:rsidRPr="000A20D2" w14:paraId="622FEA78"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000000" w:fill="D5DCE4"/>
            <w:vAlign w:val="center"/>
            <w:hideMark/>
          </w:tcPr>
          <w:p w14:paraId="6EED158C"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տոկոսներով ՀՆԱ-ի նկատմամբ</w:t>
            </w:r>
          </w:p>
        </w:tc>
        <w:tc>
          <w:tcPr>
            <w:tcW w:w="1253" w:type="dxa"/>
            <w:tcBorders>
              <w:top w:val="nil"/>
              <w:left w:val="nil"/>
              <w:bottom w:val="single" w:sz="8" w:space="0" w:color="E1E1E3"/>
              <w:right w:val="single" w:sz="8" w:space="0" w:color="E1E1E3"/>
            </w:tcBorders>
            <w:shd w:val="clear" w:color="000000" w:fill="D5DCE4"/>
            <w:vAlign w:val="center"/>
            <w:hideMark/>
          </w:tcPr>
          <w:p w14:paraId="1860916D" w14:textId="77777777" w:rsidR="001C55F2" w:rsidRPr="000A20D2" w:rsidRDefault="001C55F2" w:rsidP="00873AE6">
            <w:pPr>
              <w:spacing w:before="0" w:after="0" w:line="240" w:lineRule="auto"/>
              <w:jc w:val="right"/>
              <w:rPr>
                <w:rFonts w:ascii="GHEA Grapalat" w:eastAsia="Times New Roman" w:hAnsi="GHEA Grapalat" w:cs="Times New Roman"/>
                <w:color w:val="404040"/>
                <w:sz w:val="18"/>
                <w:szCs w:val="18"/>
              </w:rPr>
            </w:pPr>
            <w:r>
              <w:rPr>
                <w:rFonts w:ascii="Calibri" w:hAnsi="Calibri" w:cs="Calibri"/>
                <w:color w:val="404040"/>
                <w:sz w:val="18"/>
                <w:szCs w:val="18"/>
              </w:rPr>
              <w:t> </w:t>
            </w:r>
          </w:p>
        </w:tc>
        <w:tc>
          <w:tcPr>
            <w:tcW w:w="1156" w:type="dxa"/>
            <w:tcBorders>
              <w:top w:val="nil"/>
              <w:left w:val="nil"/>
              <w:bottom w:val="single" w:sz="8" w:space="0" w:color="E1E1E3"/>
              <w:right w:val="single" w:sz="8" w:space="0" w:color="E1E1E3"/>
            </w:tcBorders>
            <w:shd w:val="clear" w:color="000000" w:fill="D5DCE4"/>
            <w:vAlign w:val="center"/>
            <w:hideMark/>
          </w:tcPr>
          <w:p w14:paraId="4BB7B5EC" w14:textId="77777777" w:rsidR="001C55F2" w:rsidRPr="000A20D2" w:rsidRDefault="001C55F2" w:rsidP="00873AE6">
            <w:pPr>
              <w:spacing w:before="0" w:after="0" w:line="240" w:lineRule="auto"/>
              <w:jc w:val="right"/>
              <w:rPr>
                <w:rFonts w:ascii="GHEA Grapalat" w:eastAsia="Times New Roman" w:hAnsi="GHEA Grapalat" w:cs="Times New Roman"/>
                <w:color w:val="404040"/>
                <w:sz w:val="18"/>
                <w:szCs w:val="18"/>
              </w:rPr>
            </w:pPr>
            <w:r>
              <w:rPr>
                <w:rFonts w:ascii="Calibri" w:hAnsi="Calibri" w:cs="Calibri"/>
                <w:color w:val="404040"/>
                <w:sz w:val="18"/>
                <w:szCs w:val="18"/>
              </w:rPr>
              <w:t> </w:t>
            </w:r>
          </w:p>
        </w:tc>
        <w:tc>
          <w:tcPr>
            <w:tcW w:w="1172" w:type="dxa"/>
            <w:tcBorders>
              <w:top w:val="nil"/>
              <w:left w:val="nil"/>
              <w:bottom w:val="single" w:sz="8" w:space="0" w:color="E1E1E3"/>
              <w:right w:val="single" w:sz="8" w:space="0" w:color="E1E1E3"/>
            </w:tcBorders>
            <w:shd w:val="clear" w:color="000000" w:fill="D5DCE4"/>
            <w:vAlign w:val="center"/>
            <w:hideMark/>
          </w:tcPr>
          <w:p w14:paraId="61CB08D5" w14:textId="77777777" w:rsidR="001C55F2" w:rsidRPr="000A20D2" w:rsidRDefault="001C55F2" w:rsidP="00873AE6">
            <w:pPr>
              <w:spacing w:before="0" w:after="0" w:line="240" w:lineRule="auto"/>
              <w:jc w:val="right"/>
              <w:rPr>
                <w:rFonts w:ascii="GHEA Grapalat" w:eastAsia="Times New Roman" w:hAnsi="GHEA Grapalat" w:cs="Times New Roman"/>
                <w:color w:val="404040"/>
                <w:sz w:val="18"/>
                <w:szCs w:val="18"/>
              </w:rPr>
            </w:pPr>
            <w:r>
              <w:rPr>
                <w:rFonts w:ascii="Calibri" w:hAnsi="Calibri" w:cs="Calibri"/>
                <w:color w:val="404040"/>
                <w:sz w:val="18"/>
                <w:szCs w:val="18"/>
              </w:rPr>
              <w:t> </w:t>
            </w:r>
          </w:p>
        </w:tc>
        <w:tc>
          <w:tcPr>
            <w:tcW w:w="1335" w:type="dxa"/>
            <w:tcBorders>
              <w:top w:val="nil"/>
              <w:left w:val="nil"/>
              <w:bottom w:val="single" w:sz="8" w:space="0" w:color="E1E1E3"/>
              <w:right w:val="single" w:sz="8" w:space="0" w:color="E1E1E3"/>
            </w:tcBorders>
            <w:shd w:val="clear" w:color="000000" w:fill="D5DCE4"/>
            <w:vAlign w:val="center"/>
            <w:hideMark/>
          </w:tcPr>
          <w:p w14:paraId="451EB503" w14:textId="77777777" w:rsidR="001C55F2" w:rsidRPr="000A20D2" w:rsidRDefault="001C55F2" w:rsidP="00873AE6">
            <w:pPr>
              <w:spacing w:before="0" w:after="0" w:line="240" w:lineRule="auto"/>
              <w:jc w:val="right"/>
              <w:rPr>
                <w:rFonts w:ascii="GHEA Grapalat" w:eastAsia="Times New Roman" w:hAnsi="GHEA Grapalat" w:cs="Times New Roman"/>
                <w:color w:val="404040"/>
                <w:sz w:val="18"/>
                <w:szCs w:val="18"/>
              </w:rPr>
            </w:pPr>
            <w:r>
              <w:rPr>
                <w:rFonts w:ascii="Calibri" w:hAnsi="Calibri" w:cs="Calibri"/>
                <w:color w:val="404040"/>
                <w:sz w:val="18"/>
                <w:szCs w:val="18"/>
              </w:rPr>
              <w:t> </w:t>
            </w:r>
          </w:p>
        </w:tc>
        <w:tc>
          <w:tcPr>
            <w:tcW w:w="1237" w:type="dxa"/>
            <w:tcBorders>
              <w:top w:val="nil"/>
              <w:left w:val="nil"/>
              <w:bottom w:val="single" w:sz="8" w:space="0" w:color="E1E1E3"/>
              <w:right w:val="single" w:sz="8" w:space="0" w:color="E1E1E3"/>
            </w:tcBorders>
            <w:shd w:val="clear" w:color="000000" w:fill="D5DCE4"/>
            <w:vAlign w:val="center"/>
            <w:hideMark/>
          </w:tcPr>
          <w:p w14:paraId="46130191" w14:textId="77777777" w:rsidR="001C55F2" w:rsidRPr="000A20D2" w:rsidRDefault="001C55F2" w:rsidP="00873AE6">
            <w:pPr>
              <w:spacing w:before="0" w:after="0" w:line="240" w:lineRule="auto"/>
              <w:jc w:val="right"/>
              <w:rPr>
                <w:rFonts w:ascii="GHEA Grapalat" w:eastAsia="Times New Roman" w:hAnsi="GHEA Grapalat" w:cs="Times New Roman"/>
                <w:color w:val="404040"/>
                <w:sz w:val="18"/>
                <w:szCs w:val="18"/>
              </w:rPr>
            </w:pPr>
            <w:r>
              <w:rPr>
                <w:rFonts w:ascii="Calibri" w:hAnsi="Calibri" w:cs="Calibri"/>
                <w:color w:val="404040"/>
                <w:sz w:val="18"/>
                <w:szCs w:val="18"/>
              </w:rPr>
              <w:t> </w:t>
            </w:r>
          </w:p>
        </w:tc>
      </w:tr>
      <w:tr w:rsidR="001C55F2" w:rsidRPr="000A20D2" w14:paraId="09A53A77"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6342F2C8" w14:textId="77777777" w:rsidR="001C55F2" w:rsidRPr="000A20D2" w:rsidRDefault="001C55F2" w:rsidP="00873AE6">
            <w:pPr>
              <w:spacing w:before="0" w:after="0" w:line="240" w:lineRule="auto"/>
              <w:rPr>
                <w:rFonts w:ascii="GHEA Grapalat" w:eastAsia="Times New Roman" w:hAnsi="GHEA Grapalat" w:cs="Times New Roman"/>
                <w:b/>
                <w:bCs/>
                <w:color w:val="404040"/>
                <w:sz w:val="18"/>
                <w:szCs w:val="18"/>
              </w:rPr>
            </w:pPr>
            <w:r w:rsidRPr="000A20D2">
              <w:rPr>
                <w:rFonts w:ascii="GHEA Grapalat" w:eastAsia="Times New Roman" w:hAnsi="GHEA Grapalat" w:cs="Times New Roman"/>
                <w:b/>
                <w:bCs/>
                <w:color w:val="404040"/>
                <w:sz w:val="18"/>
                <w:szCs w:val="18"/>
              </w:rPr>
              <w:t>ՀՀ պետական պարտք</w:t>
            </w:r>
          </w:p>
        </w:tc>
        <w:tc>
          <w:tcPr>
            <w:tcW w:w="1253" w:type="dxa"/>
            <w:tcBorders>
              <w:top w:val="nil"/>
              <w:left w:val="nil"/>
              <w:bottom w:val="single" w:sz="8" w:space="0" w:color="E1E1E3"/>
              <w:right w:val="single" w:sz="8" w:space="0" w:color="E1E1E3"/>
            </w:tcBorders>
            <w:shd w:val="clear" w:color="auto" w:fill="auto"/>
            <w:vAlign w:val="center"/>
            <w:hideMark/>
          </w:tcPr>
          <w:p w14:paraId="1A68BFCB" w14:textId="77777777" w:rsidR="001C55F2" w:rsidRPr="009A214C" w:rsidRDefault="001C55F2" w:rsidP="00873AE6">
            <w:pPr>
              <w:spacing w:before="0" w:after="0" w:line="240" w:lineRule="auto"/>
              <w:jc w:val="center"/>
              <w:rPr>
                <w:rFonts w:ascii="GHEA Grapalat" w:hAnsi="GHEA Grapalat"/>
                <w:b/>
                <w:bCs/>
                <w:color w:val="auto"/>
                <w:sz w:val="18"/>
                <w:szCs w:val="18"/>
              </w:rPr>
            </w:pPr>
            <w:r w:rsidRPr="009A214C">
              <w:rPr>
                <w:rFonts w:ascii="GHEA Grapalat" w:hAnsi="GHEA Grapalat"/>
                <w:b/>
                <w:bCs/>
                <w:color w:val="auto"/>
                <w:sz w:val="18"/>
                <w:szCs w:val="18"/>
              </w:rPr>
              <w:t>46.8</w:t>
            </w:r>
          </w:p>
        </w:tc>
        <w:tc>
          <w:tcPr>
            <w:tcW w:w="1156" w:type="dxa"/>
            <w:tcBorders>
              <w:top w:val="nil"/>
              <w:left w:val="nil"/>
              <w:bottom w:val="single" w:sz="8" w:space="0" w:color="E1E1E3"/>
              <w:right w:val="single" w:sz="8" w:space="0" w:color="E1E1E3"/>
            </w:tcBorders>
            <w:shd w:val="clear" w:color="auto" w:fill="auto"/>
            <w:vAlign w:val="center"/>
            <w:hideMark/>
          </w:tcPr>
          <w:p w14:paraId="3F92A01E" w14:textId="77777777" w:rsidR="001C55F2" w:rsidRPr="009A214C" w:rsidRDefault="001C55F2" w:rsidP="00873AE6">
            <w:pPr>
              <w:spacing w:before="0" w:after="0" w:line="240" w:lineRule="auto"/>
              <w:jc w:val="center"/>
              <w:rPr>
                <w:rFonts w:ascii="GHEA Grapalat" w:hAnsi="GHEA Grapalat"/>
                <w:b/>
                <w:bCs/>
                <w:color w:val="auto"/>
                <w:sz w:val="18"/>
                <w:szCs w:val="18"/>
              </w:rPr>
            </w:pPr>
            <w:r w:rsidRPr="009A214C">
              <w:rPr>
                <w:rFonts w:ascii="GHEA Grapalat" w:hAnsi="GHEA Grapalat"/>
                <w:b/>
                <w:bCs/>
                <w:color w:val="auto"/>
                <w:sz w:val="18"/>
                <w:szCs w:val="18"/>
              </w:rPr>
              <w:t>46.6</w:t>
            </w:r>
          </w:p>
        </w:tc>
        <w:tc>
          <w:tcPr>
            <w:tcW w:w="1172" w:type="dxa"/>
            <w:tcBorders>
              <w:top w:val="nil"/>
              <w:left w:val="nil"/>
              <w:bottom w:val="single" w:sz="8" w:space="0" w:color="E1E1E3"/>
              <w:right w:val="single" w:sz="8" w:space="0" w:color="E1E1E3"/>
            </w:tcBorders>
            <w:shd w:val="clear" w:color="auto" w:fill="auto"/>
            <w:vAlign w:val="center"/>
            <w:hideMark/>
          </w:tcPr>
          <w:p w14:paraId="771582C6" w14:textId="77777777" w:rsidR="001C55F2" w:rsidRPr="009A214C" w:rsidRDefault="001C55F2" w:rsidP="00873AE6">
            <w:pPr>
              <w:spacing w:before="0" w:after="0" w:line="240" w:lineRule="auto"/>
              <w:jc w:val="center"/>
              <w:rPr>
                <w:rFonts w:ascii="GHEA Grapalat" w:hAnsi="GHEA Grapalat"/>
                <w:b/>
                <w:bCs/>
                <w:color w:val="auto"/>
                <w:sz w:val="18"/>
                <w:szCs w:val="18"/>
              </w:rPr>
            </w:pPr>
            <w:r w:rsidRPr="009A214C">
              <w:rPr>
                <w:rFonts w:ascii="GHEA Grapalat" w:hAnsi="GHEA Grapalat"/>
                <w:b/>
                <w:bCs/>
                <w:color w:val="auto"/>
                <w:sz w:val="18"/>
                <w:szCs w:val="18"/>
              </w:rPr>
              <w:t>47.4</w:t>
            </w:r>
          </w:p>
        </w:tc>
        <w:tc>
          <w:tcPr>
            <w:tcW w:w="1335" w:type="dxa"/>
            <w:tcBorders>
              <w:top w:val="nil"/>
              <w:left w:val="nil"/>
              <w:bottom w:val="single" w:sz="8" w:space="0" w:color="E1E1E3"/>
              <w:right w:val="single" w:sz="8" w:space="0" w:color="E1E1E3"/>
            </w:tcBorders>
            <w:shd w:val="clear" w:color="auto" w:fill="auto"/>
            <w:vAlign w:val="center"/>
            <w:hideMark/>
          </w:tcPr>
          <w:p w14:paraId="0F46EB01" w14:textId="77777777" w:rsidR="001C55F2" w:rsidRPr="009A214C" w:rsidRDefault="001C55F2" w:rsidP="00873AE6">
            <w:pPr>
              <w:spacing w:before="0" w:after="0" w:line="240" w:lineRule="auto"/>
              <w:jc w:val="center"/>
              <w:rPr>
                <w:rFonts w:ascii="GHEA Grapalat" w:hAnsi="GHEA Grapalat"/>
                <w:b/>
                <w:bCs/>
                <w:color w:val="auto"/>
                <w:sz w:val="18"/>
                <w:szCs w:val="18"/>
              </w:rPr>
            </w:pPr>
            <w:r w:rsidRPr="009A214C">
              <w:rPr>
                <w:rFonts w:ascii="GHEA Grapalat" w:hAnsi="GHEA Grapalat"/>
                <w:b/>
                <w:bCs/>
                <w:color w:val="auto"/>
                <w:sz w:val="18"/>
                <w:szCs w:val="18"/>
              </w:rPr>
              <w:t>47.3</w:t>
            </w:r>
          </w:p>
        </w:tc>
        <w:tc>
          <w:tcPr>
            <w:tcW w:w="1237" w:type="dxa"/>
            <w:tcBorders>
              <w:top w:val="nil"/>
              <w:left w:val="nil"/>
              <w:bottom w:val="single" w:sz="8" w:space="0" w:color="E1E1E3"/>
              <w:right w:val="single" w:sz="8" w:space="0" w:color="E1E1E3"/>
            </w:tcBorders>
            <w:shd w:val="clear" w:color="auto" w:fill="auto"/>
            <w:vAlign w:val="center"/>
            <w:hideMark/>
          </w:tcPr>
          <w:p w14:paraId="2EB24F9E" w14:textId="77777777" w:rsidR="001C55F2" w:rsidRPr="009A214C" w:rsidRDefault="001C55F2" w:rsidP="00873AE6">
            <w:pPr>
              <w:spacing w:before="0" w:after="0" w:line="240" w:lineRule="auto"/>
              <w:jc w:val="center"/>
              <w:rPr>
                <w:rFonts w:ascii="GHEA Grapalat" w:hAnsi="GHEA Grapalat"/>
                <w:b/>
                <w:bCs/>
                <w:color w:val="auto"/>
                <w:sz w:val="18"/>
                <w:szCs w:val="18"/>
              </w:rPr>
            </w:pPr>
            <w:r w:rsidRPr="009A214C">
              <w:rPr>
                <w:rFonts w:ascii="GHEA Grapalat" w:hAnsi="GHEA Grapalat"/>
                <w:b/>
                <w:bCs/>
                <w:color w:val="auto"/>
                <w:sz w:val="18"/>
                <w:szCs w:val="18"/>
              </w:rPr>
              <w:t>46.5</w:t>
            </w:r>
          </w:p>
        </w:tc>
      </w:tr>
      <w:tr w:rsidR="001C55F2" w:rsidRPr="000A20D2" w14:paraId="69984679"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22C0A772"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այդ թվում`</w:t>
            </w:r>
          </w:p>
        </w:tc>
        <w:tc>
          <w:tcPr>
            <w:tcW w:w="1253" w:type="dxa"/>
            <w:tcBorders>
              <w:top w:val="nil"/>
              <w:left w:val="nil"/>
              <w:bottom w:val="single" w:sz="8" w:space="0" w:color="E1E1E3"/>
              <w:right w:val="single" w:sz="8" w:space="0" w:color="E1E1E3"/>
            </w:tcBorders>
            <w:shd w:val="clear" w:color="auto" w:fill="auto"/>
            <w:vAlign w:val="center"/>
            <w:hideMark/>
          </w:tcPr>
          <w:p w14:paraId="53E48D71" w14:textId="77777777" w:rsidR="001C55F2" w:rsidRPr="009A214C" w:rsidRDefault="001C55F2" w:rsidP="00873AE6">
            <w:pPr>
              <w:spacing w:before="0" w:after="0" w:line="240" w:lineRule="auto"/>
              <w:jc w:val="center"/>
              <w:rPr>
                <w:rFonts w:ascii="GHEA Grapalat" w:hAnsi="GHEA Grapalat"/>
                <w:b/>
                <w:bCs/>
                <w:color w:val="auto"/>
                <w:sz w:val="18"/>
                <w:szCs w:val="18"/>
              </w:rPr>
            </w:pPr>
          </w:p>
        </w:tc>
        <w:tc>
          <w:tcPr>
            <w:tcW w:w="1156" w:type="dxa"/>
            <w:tcBorders>
              <w:top w:val="nil"/>
              <w:left w:val="nil"/>
              <w:bottom w:val="single" w:sz="8" w:space="0" w:color="E1E1E3"/>
              <w:right w:val="single" w:sz="8" w:space="0" w:color="E1E1E3"/>
            </w:tcBorders>
            <w:shd w:val="clear" w:color="auto" w:fill="auto"/>
            <w:vAlign w:val="center"/>
            <w:hideMark/>
          </w:tcPr>
          <w:p w14:paraId="0212F767" w14:textId="77777777" w:rsidR="001C55F2" w:rsidRPr="009A214C" w:rsidRDefault="001C55F2" w:rsidP="00873AE6">
            <w:pPr>
              <w:spacing w:before="0" w:after="0" w:line="240" w:lineRule="auto"/>
              <w:jc w:val="center"/>
              <w:rPr>
                <w:rFonts w:ascii="GHEA Grapalat" w:hAnsi="GHEA Grapalat"/>
                <w:b/>
                <w:bCs/>
                <w:color w:val="auto"/>
                <w:sz w:val="18"/>
                <w:szCs w:val="18"/>
              </w:rPr>
            </w:pPr>
          </w:p>
        </w:tc>
        <w:tc>
          <w:tcPr>
            <w:tcW w:w="1172" w:type="dxa"/>
            <w:tcBorders>
              <w:top w:val="nil"/>
              <w:left w:val="nil"/>
              <w:bottom w:val="single" w:sz="8" w:space="0" w:color="E1E1E3"/>
              <w:right w:val="single" w:sz="8" w:space="0" w:color="E1E1E3"/>
            </w:tcBorders>
            <w:shd w:val="clear" w:color="auto" w:fill="auto"/>
            <w:vAlign w:val="center"/>
            <w:hideMark/>
          </w:tcPr>
          <w:p w14:paraId="2CA9EB9B" w14:textId="77777777" w:rsidR="001C55F2" w:rsidRPr="009A214C" w:rsidRDefault="001C55F2" w:rsidP="00873AE6">
            <w:pPr>
              <w:spacing w:before="0" w:after="0" w:line="240" w:lineRule="auto"/>
              <w:jc w:val="center"/>
              <w:rPr>
                <w:rFonts w:ascii="GHEA Grapalat" w:hAnsi="GHEA Grapalat"/>
                <w:b/>
                <w:bCs/>
                <w:color w:val="auto"/>
                <w:sz w:val="18"/>
                <w:szCs w:val="18"/>
              </w:rPr>
            </w:pPr>
          </w:p>
        </w:tc>
        <w:tc>
          <w:tcPr>
            <w:tcW w:w="1335" w:type="dxa"/>
            <w:tcBorders>
              <w:top w:val="nil"/>
              <w:left w:val="nil"/>
              <w:bottom w:val="single" w:sz="8" w:space="0" w:color="E1E1E3"/>
              <w:right w:val="single" w:sz="8" w:space="0" w:color="E1E1E3"/>
            </w:tcBorders>
            <w:shd w:val="clear" w:color="auto" w:fill="auto"/>
            <w:vAlign w:val="center"/>
            <w:hideMark/>
          </w:tcPr>
          <w:p w14:paraId="0DC07434" w14:textId="77777777" w:rsidR="001C55F2" w:rsidRPr="009A214C" w:rsidRDefault="001C55F2" w:rsidP="00873AE6">
            <w:pPr>
              <w:spacing w:before="0" w:after="0" w:line="240" w:lineRule="auto"/>
              <w:jc w:val="center"/>
              <w:rPr>
                <w:rFonts w:ascii="GHEA Grapalat" w:hAnsi="GHEA Grapalat"/>
                <w:b/>
                <w:bCs/>
                <w:color w:val="auto"/>
                <w:sz w:val="18"/>
                <w:szCs w:val="18"/>
              </w:rPr>
            </w:pPr>
          </w:p>
        </w:tc>
        <w:tc>
          <w:tcPr>
            <w:tcW w:w="1237" w:type="dxa"/>
            <w:tcBorders>
              <w:top w:val="nil"/>
              <w:left w:val="nil"/>
              <w:bottom w:val="single" w:sz="8" w:space="0" w:color="E1E1E3"/>
              <w:right w:val="single" w:sz="8" w:space="0" w:color="E1E1E3"/>
            </w:tcBorders>
            <w:shd w:val="clear" w:color="auto" w:fill="auto"/>
            <w:vAlign w:val="center"/>
            <w:hideMark/>
          </w:tcPr>
          <w:p w14:paraId="2B369FAC" w14:textId="77777777" w:rsidR="001C55F2" w:rsidRPr="009A214C" w:rsidRDefault="001C55F2" w:rsidP="00873AE6">
            <w:pPr>
              <w:spacing w:before="0" w:after="0" w:line="240" w:lineRule="auto"/>
              <w:jc w:val="center"/>
              <w:rPr>
                <w:rFonts w:ascii="GHEA Grapalat" w:hAnsi="GHEA Grapalat"/>
                <w:b/>
                <w:bCs/>
                <w:color w:val="auto"/>
                <w:sz w:val="18"/>
                <w:szCs w:val="18"/>
              </w:rPr>
            </w:pPr>
          </w:p>
        </w:tc>
      </w:tr>
      <w:tr w:rsidR="001C55F2" w:rsidRPr="000A20D2" w14:paraId="1C03E0D2"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11D48A9E" w14:textId="77777777" w:rsidR="001C55F2" w:rsidRPr="000A20D2" w:rsidRDefault="001C55F2" w:rsidP="00873AE6">
            <w:pPr>
              <w:spacing w:before="0" w:after="0" w:line="240" w:lineRule="auto"/>
              <w:rPr>
                <w:rFonts w:ascii="GHEA Grapalat" w:eastAsia="Times New Roman" w:hAnsi="GHEA Grapalat" w:cs="Times New Roman"/>
                <w:i/>
                <w:iCs/>
                <w:color w:val="404040"/>
                <w:sz w:val="18"/>
                <w:szCs w:val="18"/>
              </w:rPr>
            </w:pPr>
            <w:r w:rsidRPr="000A20D2">
              <w:rPr>
                <w:rFonts w:ascii="GHEA Grapalat" w:eastAsia="Times New Roman" w:hAnsi="GHEA Grapalat" w:cs="Times New Roman"/>
                <w:i/>
                <w:iCs/>
                <w:color w:val="404040"/>
                <w:sz w:val="18"/>
                <w:szCs w:val="18"/>
              </w:rPr>
              <w:t>արտաքին պետական պարտք</w:t>
            </w:r>
          </w:p>
        </w:tc>
        <w:tc>
          <w:tcPr>
            <w:tcW w:w="1253" w:type="dxa"/>
            <w:tcBorders>
              <w:top w:val="nil"/>
              <w:left w:val="nil"/>
              <w:bottom w:val="single" w:sz="8" w:space="0" w:color="E1E1E3"/>
              <w:right w:val="single" w:sz="8" w:space="0" w:color="E1E1E3"/>
            </w:tcBorders>
            <w:shd w:val="clear" w:color="auto" w:fill="auto"/>
            <w:vAlign w:val="center"/>
            <w:hideMark/>
          </w:tcPr>
          <w:p w14:paraId="21D69023" w14:textId="77777777" w:rsidR="001C55F2" w:rsidRPr="009A214C" w:rsidRDefault="001C55F2" w:rsidP="00873AE6">
            <w:pPr>
              <w:spacing w:before="0" w:after="0" w:line="240" w:lineRule="auto"/>
              <w:jc w:val="center"/>
              <w:rPr>
                <w:rFonts w:ascii="GHEA Grapalat" w:hAnsi="GHEA Grapalat"/>
                <w:bCs/>
                <w:i/>
                <w:color w:val="auto"/>
                <w:sz w:val="18"/>
                <w:szCs w:val="18"/>
              </w:rPr>
            </w:pPr>
            <w:r w:rsidRPr="009A214C">
              <w:rPr>
                <w:rFonts w:ascii="GHEA Grapalat" w:hAnsi="GHEA Grapalat"/>
                <w:i/>
                <w:iCs/>
                <w:color w:val="auto"/>
                <w:sz w:val="18"/>
                <w:szCs w:val="18"/>
              </w:rPr>
              <w:t>22.0</w:t>
            </w:r>
          </w:p>
        </w:tc>
        <w:tc>
          <w:tcPr>
            <w:tcW w:w="1156" w:type="dxa"/>
            <w:tcBorders>
              <w:top w:val="nil"/>
              <w:left w:val="nil"/>
              <w:bottom w:val="single" w:sz="8" w:space="0" w:color="E1E1E3"/>
              <w:right w:val="single" w:sz="8" w:space="0" w:color="E1E1E3"/>
            </w:tcBorders>
            <w:shd w:val="clear" w:color="auto" w:fill="auto"/>
            <w:vAlign w:val="center"/>
            <w:hideMark/>
          </w:tcPr>
          <w:p w14:paraId="3F646628" w14:textId="77777777" w:rsidR="001C55F2" w:rsidRPr="009A214C" w:rsidRDefault="001C55F2" w:rsidP="00873AE6">
            <w:pPr>
              <w:spacing w:before="0" w:after="0" w:line="240" w:lineRule="auto"/>
              <w:jc w:val="center"/>
              <w:rPr>
                <w:rFonts w:ascii="GHEA Grapalat" w:hAnsi="GHEA Grapalat"/>
                <w:bCs/>
                <w:i/>
                <w:color w:val="auto"/>
                <w:sz w:val="18"/>
                <w:szCs w:val="18"/>
              </w:rPr>
            </w:pPr>
            <w:r w:rsidRPr="009A214C">
              <w:rPr>
                <w:rFonts w:ascii="GHEA Grapalat" w:hAnsi="GHEA Grapalat"/>
                <w:i/>
                <w:iCs/>
                <w:color w:val="auto"/>
                <w:sz w:val="18"/>
                <w:szCs w:val="18"/>
              </w:rPr>
              <w:t>21.5</w:t>
            </w:r>
          </w:p>
        </w:tc>
        <w:tc>
          <w:tcPr>
            <w:tcW w:w="1172" w:type="dxa"/>
            <w:tcBorders>
              <w:top w:val="nil"/>
              <w:left w:val="nil"/>
              <w:bottom w:val="single" w:sz="8" w:space="0" w:color="E1E1E3"/>
              <w:right w:val="single" w:sz="8" w:space="0" w:color="E1E1E3"/>
            </w:tcBorders>
            <w:shd w:val="clear" w:color="auto" w:fill="auto"/>
            <w:vAlign w:val="center"/>
            <w:hideMark/>
          </w:tcPr>
          <w:p w14:paraId="09AFE566" w14:textId="77777777" w:rsidR="001C55F2" w:rsidRPr="009A214C" w:rsidRDefault="001C55F2" w:rsidP="00873AE6">
            <w:pPr>
              <w:spacing w:before="0" w:after="0" w:line="240" w:lineRule="auto"/>
              <w:jc w:val="center"/>
              <w:rPr>
                <w:rFonts w:ascii="GHEA Grapalat" w:hAnsi="GHEA Grapalat"/>
                <w:bCs/>
                <w:i/>
                <w:color w:val="auto"/>
                <w:sz w:val="18"/>
                <w:szCs w:val="18"/>
              </w:rPr>
            </w:pPr>
            <w:r w:rsidRPr="009A214C">
              <w:rPr>
                <w:rFonts w:ascii="GHEA Grapalat" w:hAnsi="GHEA Grapalat"/>
                <w:i/>
                <w:iCs/>
                <w:color w:val="auto"/>
                <w:sz w:val="18"/>
                <w:szCs w:val="18"/>
              </w:rPr>
              <w:t>22.5</w:t>
            </w:r>
          </w:p>
        </w:tc>
        <w:tc>
          <w:tcPr>
            <w:tcW w:w="1335" w:type="dxa"/>
            <w:tcBorders>
              <w:top w:val="nil"/>
              <w:left w:val="nil"/>
              <w:bottom w:val="single" w:sz="8" w:space="0" w:color="E1E1E3"/>
              <w:right w:val="single" w:sz="8" w:space="0" w:color="E1E1E3"/>
            </w:tcBorders>
            <w:shd w:val="clear" w:color="auto" w:fill="auto"/>
            <w:vAlign w:val="center"/>
            <w:hideMark/>
          </w:tcPr>
          <w:p w14:paraId="3C003DDE" w14:textId="77777777" w:rsidR="001C55F2" w:rsidRPr="009A214C" w:rsidRDefault="001C55F2" w:rsidP="00873AE6">
            <w:pPr>
              <w:spacing w:before="0" w:after="0" w:line="240" w:lineRule="auto"/>
              <w:jc w:val="center"/>
              <w:rPr>
                <w:rFonts w:ascii="GHEA Grapalat" w:hAnsi="GHEA Grapalat"/>
                <w:bCs/>
                <w:i/>
                <w:color w:val="auto"/>
                <w:sz w:val="18"/>
                <w:szCs w:val="18"/>
              </w:rPr>
            </w:pPr>
            <w:r w:rsidRPr="009A214C">
              <w:rPr>
                <w:rFonts w:ascii="GHEA Grapalat" w:hAnsi="GHEA Grapalat"/>
                <w:i/>
                <w:iCs/>
                <w:color w:val="auto"/>
                <w:sz w:val="18"/>
                <w:szCs w:val="18"/>
              </w:rPr>
              <w:t>22.9</w:t>
            </w:r>
          </w:p>
        </w:tc>
        <w:tc>
          <w:tcPr>
            <w:tcW w:w="1237" w:type="dxa"/>
            <w:tcBorders>
              <w:top w:val="nil"/>
              <w:left w:val="nil"/>
              <w:bottom w:val="single" w:sz="8" w:space="0" w:color="E1E1E3"/>
              <w:right w:val="single" w:sz="8" w:space="0" w:color="E1E1E3"/>
            </w:tcBorders>
            <w:shd w:val="clear" w:color="auto" w:fill="auto"/>
            <w:vAlign w:val="center"/>
            <w:hideMark/>
          </w:tcPr>
          <w:p w14:paraId="70522FE2" w14:textId="77777777" w:rsidR="001C55F2" w:rsidRPr="009A214C" w:rsidRDefault="001C55F2" w:rsidP="00873AE6">
            <w:pPr>
              <w:spacing w:before="0" w:after="0" w:line="240" w:lineRule="auto"/>
              <w:jc w:val="center"/>
              <w:rPr>
                <w:rFonts w:ascii="GHEA Grapalat" w:hAnsi="GHEA Grapalat"/>
                <w:bCs/>
                <w:i/>
                <w:color w:val="auto"/>
                <w:sz w:val="18"/>
                <w:szCs w:val="18"/>
              </w:rPr>
            </w:pPr>
            <w:r w:rsidRPr="009A214C">
              <w:rPr>
                <w:rFonts w:ascii="GHEA Grapalat" w:hAnsi="GHEA Grapalat"/>
                <w:i/>
                <w:iCs/>
                <w:color w:val="auto"/>
                <w:sz w:val="18"/>
                <w:szCs w:val="18"/>
              </w:rPr>
              <w:t>22.8</w:t>
            </w:r>
          </w:p>
        </w:tc>
      </w:tr>
      <w:tr w:rsidR="001C55F2" w:rsidRPr="000A20D2" w14:paraId="7C562FDF"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5BD4AB88"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որից`</w:t>
            </w:r>
          </w:p>
        </w:tc>
        <w:tc>
          <w:tcPr>
            <w:tcW w:w="1253" w:type="dxa"/>
            <w:tcBorders>
              <w:top w:val="nil"/>
              <w:left w:val="nil"/>
              <w:bottom w:val="single" w:sz="8" w:space="0" w:color="E1E1E3"/>
              <w:right w:val="single" w:sz="8" w:space="0" w:color="E1E1E3"/>
            </w:tcBorders>
            <w:shd w:val="clear" w:color="auto" w:fill="auto"/>
            <w:vAlign w:val="center"/>
            <w:hideMark/>
          </w:tcPr>
          <w:p w14:paraId="08C5790B" w14:textId="77777777" w:rsidR="001C55F2" w:rsidRPr="009A214C" w:rsidRDefault="001C55F2" w:rsidP="00873AE6">
            <w:pPr>
              <w:spacing w:before="0" w:after="0" w:line="240" w:lineRule="auto"/>
              <w:jc w:val="center"/>
              <w:rPr>
                <w:rFonts w:ascii="GHEA Grapalat" w:hAnsi="GHEA Grapalat"/>
                <w:b/>
                <w:bCs/>
                <w:color w:val="auto"/>
                <w:sz w:val="18"/>
                <w:szCs w:val="18"/>
              </w:rPr>
            </w:pPr>
          </w:p>
        </w:tc>
        <w:tc>
          <w:tcPr>
            <w:tcW w:w="1156" w:type="dxa"/>
            <w:tcBorders>
              <w:top w:val="nil"/>
              <w:left w:val="nil"/>
              <w:bottom w:val="single" w:sz="8" w:space="0" w:color="E1E1E3"/>
              <w:right w:val="single" w:sz="8" w:space="0" w:color="E1E1E3"/>
            </w:tcBorders>
            <w:shd w:val="clear" w:color="auto" w:fill="auto"/>
            <w:vAlign w:val="center"/>
            <w:hideMark/>
          </w:tcPr>
          <w:p w14:paraId="1AC15F69" w14:textId="77777777" w:rsidR="001C55F2" w:rsidRPr="009A214C" w:rsidRDefault="001C55F2" w:rsidP="00873AE6">
            <w:pPr>
              <w:spacing w:before="0" w:after="0" w:line="240" w:lineRule="auto"/>
              <w:jc w:val="center"/>
              <w:rPr>
                <w:rFonts w:ascii="GHEA Grapalat" w:hAnsi="GHEA Grapalat"/>
                <w:b/>
                <w:bCs/>
                <w:color w:val="auto"/>
                <w:sz w:val="18"/>
                <w:szCs w:val="18"/>
              </w:rPr>
            </w:pPr>
          </w:p>
        </w:tc>
        <w:tc>
          <w:tcPr>
            <w:tcW w:w="1172" w:type="dxa"/>
            <w:tcBorders>
              <w:top w:val="nil"/>
              <w:left w:val="nil"/>
              <w:bottom w:val="single" w:sz="8" w:space="0" w:color="E1E1E3"/>
              <w:right w:val="single" w:sz="8" w:space="0" w:color="E1E1E3"/>
            </w:tcBorders>
            <w:shd w:val="clear" w:color="auto" w:fill="auto"/>
            <w:vAlign w:val="center"/>
            <w:hideMark/>
          </w:tcPr>
          <w:p w14:paraId="0775EC68" w14:textId="77777777" w:rsidR="001C55F2" w:rsidRPr="009A214C" w:rsidRDefault="001C55F2" w:rsidP="00873AE6">
            <w:pPr>
              <w:spacing w:before="0" w:after="0" w:line="240" w:lineRule="auto"/>
              <w:jc w:val="center"/>
              <w:rPr>
                <w:rFonts w:ascii="GHEA Grapalat" w:hAnsi="GHEA Grapalat"/>
                <w:b/>
                <w:bCs/>
                <w:color w:val="auto"/>
                <w:sz w:val="18"/>
                <w:szCs w:val="18"/>
              </w:rPr>
            </w:pPr>
          </w:p>
        </w:tc>
        <w:tc>
          <w:tcPr>
            <w:tcW w:w="1335" w:type="dxa"/>
            <w:tcBorders>
              <w:top w:val="nil"/>
              <w:left w:val="nil"/>
              <w:bottom w:val="single" w:sz="8" w:space="0" w:color="E1E1E3"/>
              <w:right w:val="single" w:sz="8" w:space="0" w:color="E1E1E3"/>
            </w:tcBorders>
            <w:shd w:val="clear" w:color="auto" w:fill="auto"/>
            <w:vAlign w:val="center"/>
            <w:hideMark/>
          </w:tcPr>
          <w:p w14:paraId="51FAFA2B" w14:textId="77777777" w:rsidR="001C55F2" w:rsidRPr="009A214C" w:rsidRDefault="001C55F2" w:rsidP="00873AE6">
            <w:pPr>
              <w:spacing w:before="0" w:after="0" w:line="240" w:lineRule="auto"/>
              <w:jc w:val="center"/>
              <w:rPr>
                <w:rFonts w:ascii="GHEA Grapalat" w:hAnsi="GHEA Grapalat"/>
                <w:b/>
                <w:bCs/>
                <w:color w:val="auto"/>
                <w:sz w:val="18"/>
                <w:szCs w:val="18"/>
              </w:rPr>
            </w:pPr>
          </w:p>
        </w:tc>
        <w:tc>
          <w:tcPr>
            <w:tcW w:w="1237" w:type="dxa"/>
            <w:tcBorders>
              <w:top w:val="nil"/>
              <w:left w:val="nil"/>
              <w:bottom w:val="single" w:sz="8" w:space="0" w:color="E1E1E3"/>
              <w:right w:val="single" w:sz="8" w:space="0" w:color="E1E1E3"/>
            </w:tcBorders>
            <w:shd w:val="clear" w:color="auto" w:fill="auto"/>
            <w:vAlign w:val="center"/>
            <w:hideMark/>
          </w:tcPr>
          <w:p w14:paraId="245C19CA" w14:textId="77777777" w:rsidR="001C55F2" w:rsidRPr="009A214C" w:rsidRDefault="001C55F2" w:rsidP="00873AE6">
            <w:pPr>
              <w:spacing w:before="0" w:after="0" w:line="240" w:lineRule="auto"/>
              <w:jc w:val="center"/>
              <w:rPr>
                <w:rFonts w:ascii="GHEA Grapalat" w:hAnsi="GHEA Grapalat"/>
                <w:b/>
                <w:bCs/>
                <w:color w:val="auto"/>
                <w:sz w:val="18"/>
                <w:szCs w:val="18"/>
              </w:rPr>
            </w:pPr>
          </w:p>
        </w:tc>
      </w:tr>
      <w:tr w:rsidR="001C55F2" w:rsidRPr="000A20D2" w14:paraId="6312DF8A"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117787E2"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 xml:space="preserve">ՀՀ կառավարության արտաքին պարտք </w:t>
            </w:r>
          </w:p>
        </w:tc>
        <w:tc>
          <w:tcPr>
            <w:tcW w:w="1253" w:type="dxa"/>
            <w:tcBorders>
              <w:top w:val="nil"/>
              <w:left w:val="nil"/>
              <w:bottom w:val="single" w:sz="8" w:space="0" w:color="E1E1E3"/>
              <w:right w:val="single" w:sz="8" w:space="0" w:color="E1E1E3"/>
            </w:tcBorders>
            <w:shd w:val="clear" w:color="auto" w:fill="auto"/>
            <w:vAlign w:val="center"/>
            <w:hideMark/>
          </w:tcPr>
          <w:p w14:paraId="31A4A4F8"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color w:val="auto"/>
                <w:sz w:val="18"/>
                <w:szCs w:val="18"/>
              </w:rPr>
              <w:t>22.0</w:t>
            </w:r>
          </w:p>
        </w:tc>
        <w:tc>
          <w:tcPr>
            <w:tcW w:w="1156" w:type="dxa"/>
            <w:tcBorders>
              <w:top w:val="nil"/>
              <w:left w:val="nil"/>
              <w:bottom w:val="single" w:sz="8" w:space="0" w:color="E1E1E3"/>
              <w:right w:val="single" w:sz="8" w:space="0" w:color="E1E1E3"/>
            </w:tcBorders>
            <w:shd w:val="clear" w:color="auto" w:fill="auto"/>
            <w:vAlign w:val="center"/>
            <w:hideMark/>
          </w:tcPr>
          <w:p w14:paraId="14599CF5"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color w:val="auto"/>
                <w:sz w:val="18"/>
                <w:szCs w:val="18"/>
              </w:rPr>
              <w:t>21.5</w:t>
            </w:r>
          </w:p>
        </w:tc>
        <w:tc>
          <w:tcPr>
            <w:tcW w:w="1172" w:type="dxa"/>
            <w:tcBorders>
              <w:top w:val="nil"/>
              <w:left w:val="nil"/>
              <w:bottom w:val="single" w:sz="8" w:space="0" w:color="E1E1E3"/>
              <w:right w:val="single" w:sz="8" w:space="0" w:color="E1E1E3"/>
            </w:tcBorders>
            <w:shd w:val="clear" w:color="auto" w:fill="auto"/>
            <w:vAlign w:val="center"/>
            <w:hideMark/>
          </w:tcPr>
          <w:p w14:paraId="4CE714D5"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color w:val="auto"/>
                <w:sz w:val="18"/>
                <w:szCs w:val="18"/>
              </w:rPr>
              <w:t>22.5</w:t>
            </w:r>
          </w:p>
        </w:tc>
        <w:tc>
          <w:tcPr>
            <w:tcW w:w="1335" w:type="dxa"/>
            <w:tcBorders>
              <w:top w:val="nil"/>
              <w:left w:val="nil"/>
              <w:bottom w:val="single" w:sz="8" w:space="0" w:color="E1E1E3"/>
              <w:right w:val="single" w:sz="8" w:space="0" w:color="E1E1E3"/>
            </w:tcBorders>
            <w:shd w:val="clear" w:color="auto" w:fill="auto"/>
            <w:vAlign w:val="center"/>
            <w:hideMark/>
          </w:tcPr>
          <w:p w14:paraId="58170133"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color w:val="auto"/>
                <w:sz w:val="18"/>
                <w:szCs w:val="18"/>
              </w:rPr>
              <w:t>22.9</w:t>
            </w:r>
          </w:p>
        </w:tc>
        <w:tc>
          <w:tcPr>
            <w:tcW w:w="1237" w:type="dxa"/>
            <w:tcBorders>
              <w:top w:val="nil"/>
              <w:left w:val="nil"/>
              <w:bottom w:val="single" w:sz="8" w:space="0" w:color="E1E1E3"/>
              <w:right w:val="single" w:sz="8" w:space="0" w:color="E1E1E3"/>
            </w:tcBorders>
            <w:shd w:val="clear" w:color="auto" w:fill="auto"/>
            <w:vAlign w:val="center"/>
            <w:hideMark/>
          </w:tcPr>
          <w:p w14:paraId="0595E8DB"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color w:val="auto"/>
                <w:sz w:val="18"/>
                <w:szCs w:val="18"/>
              </w:rPr>
              <w:t>22.7</w:t>
            </w:r>
          </w:p>
        </w:tc>
      </w:tr>
      <w:tr w:rsidR="001C55F2" w:rsidRPr="000A20D2" w14:paraId="29637E06"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6616A3FF"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 xml:space="preserve">ՀՀ համայնքների արտաքին պարտք </w:t>
            </w:r>
          </w:p>
        </w:tc>
        <w:tc>
          <w:tcPr>
            <w:tcW w:w="1253" w:type="dxa"/>
            <w:tcBorders>
              <w:top w:val="nil"/>
              <w:left w:val="nil"/>
              <w:bottom w:val="single" w:sz="8" w:space="0" w:color="E1E1E3"/>
              <w:right w:val="single" w:sz="8" w:space="0" w:color="E1E1E3"/>
            </w:tcBorders>
            <w:shd w:val="clear" w:color="auto" w:fill="auto"/>
            <w:vAlign w:val="center"/>
            <w:hideMark/>
          </w:tcPr>
          <w:p w14:paraId="0D9E58F0"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
                <w:iCs/>
                <w:color w:val="auto"/>
                <w:sz w:val="18"/>
                <w:szCs w:val="18"/>
              </w:rPr>
              <w:t>0.028</w:t>
            </w:r>
          </w:p>
        </w:tc>
        <w:tc>
          <w:tcPr>
            <w:tcW w:w="1156" w:type="dxa"/>
            <w:tcBorders>
              <w:top w:val="nil"/>
              <w:left w:val="nil"/>
              <w:bottom w:val="single" w:sz="8" w:space="0" w:color="E1E1E3"/>
              <w:right w:val="single" w:sz="8" w:space="0" w:color="E1E1E3"/>
            </w:tcBorders>
            <w:shd w:val="clear" w:color="auto" w:fill="auto"/>
            <w:vAlign w:val="center"/>
            <w:hideMark/>
          </w:tcPr>
          <w:p w14:paraId="0EC6A6DD"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
                <w:iCs/>
                <w:color w:val="auto"/>
                <w:sz w:val="18"/>
                <w:szCs w:val="18"/>
              </w:rPr>
              <w:t>0.026</w:t>
            </w:r>
          </w:p>
        </w:tc>
        <w:tc>
          <w:tcPr>
            <w:tcW w:w="1172" w:type="dxa"/>
            <w:tcBorders>
              <w:top w:val="nil"/>
              <w:left w:val="nil"/>
              <w:bottom w:val="single" w:sz="8" w:space="0" w:color="E1E1E3"/>
              <w:right w:val="single" w:sz="8" w:space="0" w:color="E1E1E3"/>
            </w:tcBorders>
            <w:shd w:val="clear" w:color="auto" w:fill="auto"/>
            <w:vAlign w:val="center"/>
            <w:hideMark/>
          </w:tcPr>
          <w:p w14:paraId="75FC1E2F"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
                <w:iCs/>
                <w:color w:val="auto"/>
                <w:sz w:val="18"/>
                <w:szCs w:val="18"/>
              </w:rPr>
              <w:t>0.023</w:t>
            </w:r>
          </w:p>
        </w:tc>
        <w:tc>
          <w:tcPr>
            <w:tcW w:w="1335" w:type="dxa"/>
            <w:tcBorders>
              <w:top w:val="nil"/>
              <w:left w:val="nil"/>
              <w:bottom w:val="single" w:sz="8" w:space="0" w:color="E1E1E3"/>
              <w:right w:val="single" w:sz="8" w:space="0" w:color="E1E1E3"/>
            </w:tcBorders>
            <w:shd w:val="clear" w:color="auto" w:fill="auto"/>
            <w:vAlign w:val="center"/>
            <w:hideMark/>
          </w:tcPr>
          <w:p w14:paraId="641EF03A"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
                <w:iCs/>
                <w:color w:val="auto"/>
                <w:sz w:val="18"/>
                <w:szCs w:val="18"/>
              </w:rPr>
              <w:t>0.020</w:t>
            </w:r>
          </w:p>
        </w:tc>
        <w:tc>
          <w:tcPr>
            <w:tcW w:w="1237" w:type="dxa"/>
            <w:tcBorders>
              <w:top w:val="nil"/>
              <w:left w:val="nil"/>
              <w:bottom w:val="single" w:sz="8" w:space="0" w:color="E1E1E3"/>
              <w:right w:val="single" w:sz="8" w:space="0" w:color="E1E1E3"/>
            </w:tcBorders>
            <w:shd w:val="clear" w:color="auto" w:fill="auto"/>
            <w:vAlign w:val="center"/>
            <w:hideMark/>
          </w:tcPr>
          <w:p w14:paraId="11F2C45A"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
                <w:iCs/>
                <w:color w:val="auto"/>
                <w:sz w:val="18"/>
                <w:szCs w:val="18"/>
              </w:rPr>
              <w:t>0.018</w:t>
            </w:r>
          </w:p>
        </w:tc>
      </w:tr>
      <w:tr w:rsidR="001C55F2" w:rsidRPr="000A20D2" w14:paraId="386D53C4"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68E67109" w14:textId="77777777" w:rsidR="001C55F2" w:rsidRPr="000A20D2" w:rsidRDefault="001C55F2" w:rsidP="00873AE6">
            <w:pPr>
              <w:spacing w:before="0" w:after="0" w:line="240" w:lineRule="auto"/>
              <w:rPr>
                <w:rFonts w:ascii="GHEA Grapalat" w:eastAsia="Times New Roman" w:hAnsi="GHEA Grapalat" w:cs="Times New Roman"/>
                <w:i/>
                <w:iCs/>
                <w:color w:val="404040"/>
                <w:sz w:val="18"/>
                <w:szCs w:val="18"/>
              </w:rPr>
            </w:pPr>
            <w:r w:rsidRPr="000A20D2">
              <w:rPr>
                <w:rFonts w:ascii="GHEA Grapalat" w:eastAsia="Times New Roman" w:hAnsi="GHEA Grapalat" w:cs="Times New Roman"/>
                <w:i/>
                <w:iCs/>
                <w:color w:val="404040"/>
                <w:sz w:val="18"/>
                <w:szCs w:val="18"/>
              </w:rPr>
              <w:t>ներքին պետական պարտք</w:t>
            </w:r>
          </w:p>
        </w:tc>
        <w:tc>
          <w:tcPr>
            <w:tcW w:w="1253" w:type="dxa"/>
            <w:tcBorders>
              <w:top w:val="nil"/>
              <w:left w:val="nil"/>
              <w:bottom w:val="single" w:sz="8" w:space="0" w:color="E1E1E3"/>
              <w:right w:val="single" w:sz="8" w:space="0" w:color="E1E1E3"/>
            </w:tcBorders>
            <w:shd w:val="clear" w:color="auto" w:fill="auto"/>
            <w:vAlign w:val="center"/>
            <w:hideMark/>
          </w:tcPr>
          <w:p w14:paraId="6B8B63B2" w14:textId="77777777" w:rsidR="001C55F2" w:rsidRPr="009A214C" w:rsidRDefault="001C55F2" w:rsidP="00873AE6">
            <w:pPr>
              <w:spacing w:before="0" w:after="0" w:line="240" w:lineRule="auto"/>
              <w:jc w:val="center"/>
              <w:rPr>
                <w:rFonts w:ascii="GHEA Grapalat" w:hAnsi="GHEA Grapalat"/>
                <w:bCs/>
                <w:i/>
                <w:color w:val="auto"/>
                <w:sz w:val="18"/>
                <w:szCs w:val="18"/>
              </w:rPr>
            </w:pPr>
            <w:r w:rsidRPr="009A214C">
              <w:rPr>
                <w:rFonts w:ascii="GHEA Grapalat" w:hAnsi="GHEA Grapalat"/>
                <w:i/>
                <w:iCs/>
                <w:color w:val="auto"/>
                <w:sz w:val="18"/>
                <w:szCs w:val="18"/>
              </w:rPr>
              <w:t>24.7</w:t>
            </w:r>
          </w:p>
        </w:tc>
        <w:tc>
          <w:tcPr>
            <w:tcW w:w="1156" w:type="dxa"/>
            <w:tcBorders>
              <w:top w:val="nil"/>
              <w:left w:val="nil"/>
              <w:bottom w:val="single" w:sz="8" w:space="0" w:color="E1E1E3"/>
              <w:right w:val="single" w:sz="8" w:space="0" w:color="E1E1E3"/>
            </w:tcBorders>
            <w:shd w:val="clear" w:color="auto" w:fill="auto"/>
            <w:vAlign w:val="center"/>
            <w:hideMark/>
          </w:tcPr>
          <w:p w14:paraId="5D7CA66A" w14:textId="77777777" w:rsidR="001C55F2" w:rsidRPr="009A214C" w:rsidRDefault="001C55F2" w:rsidP="00873AE6">
            <w:pPr>
              <w:spacing w:before="0" w:after="0" w:line="240" w:lineRule="auto"/>
              <w:jc w:val="center"/>
              <w:rPr>
                <w:rFonts w:ascii="GHEA Grapalat" w:hAnsi="GHEA Grapalat"/>
                <w:bCs/>
                <w:i/>
                <w:color w:val="auto"/>
                <w:sz w:val="18"/>
                <w:szCs w:val="18"/>
              </w:rPr>
            </w:pPr>
            <w:r w:rsidRPr="009A214C">
              <w:rPr>
                <w:rFonts w:ascii="GHEA Grapalat" w:hAnsi="GHEA Grapalat"/>
                <w:i/>
                <w:iCs/>
                <w:color w:val="auto"/>
                <w:sz w:val="18"/>
                <w:szCs w:val="18"/>
              </w:rPr>
              <w:t>25.1</w:t>
            </w:r>
          </w:p>
        </w:tc>
        <w:tc>
          <w:tcPr>
            <w:tcW w:w="1172" w:type="dxa"/>
            <w:tcBorders>
              <w:top w:val="nil"/>
              <w:left w:val="nil"/>
              <w:bottom w:val="single" w:sz="8" w:space="0" w:color="E1E1E3"/>
              <w:right w:val="single" w:sz="8" w:space="0" w:color="E1E1E3"/>
            </w:tcBorders>
            <w:shd w:val="clear" w:color="auto" w:fill="auto"/>
            <w:vAlign w:val="center"/>
            <w:hideMark/>
          </w:tcPr>
          <w:p w14:paraId="12090900" w14:textId="77777777" w:rsidR="001C55F2" w:rsidRPr="009A214C" w:rsidRDefault="001C55F2" w:rsidP="00873AE6">
            <w:pPr>
              <w:spacing w:before="0" w:after="0" w:line="240" w:lineRule="auto"/>
              <w:jc w:val="center"/>
              <w:rPr>
                <w:rFonts w:ascii="GHEA Grapalat" w:hAnsi="GHEA Grapalat"/>
                <w:bCs/>
                <w:i/>
                <w:color w:val="auto"/>
                <w:sz w:val="18"/>
                <w:szCs w:val="18"/>
              </w:rPr>
            </w:pPr>
            <w:r w:rsidRPr="009A214C">
              <w:rPr>
                <w:rFonts w:ascii="GHEA Grapalat" w:hAnsi="GHEA Grapalat"/>
                <w:i/>
                <w:iCs/>
                <w:color w:val="auto"/>
                <w:sz w:val="18"/>
                <w:szCs w:val="18"/>
              </w:rPr>
              <w:t>24.9</w:t>
            </w:r>
          </w:p>
        </w:tc>
        <w:tc>
          <w:tcPr>
            <w:tcW w:w="1335" w:type="dxa"/>
            <w:tcBorders>
              <w:top w:val="nil"/>
              <w:left w:val="nil"/>
              <w:bottom w:val="single" w:sz="8" w:space="0" w:color="E1E1E3"/>
              <w:right w:val="single" w:sz="8" w:space="0" w:color="E1E1E3"/>
            </w:tcBorders>
            <w:shd w:val="clear" w:color="auto" w:fill="auto"/>
            <w:vAlign w:val="center"/>
            <w:hideMark/>
          </w:tcPr>
          <w:p w14:paraId="7FAB0C54" w14:textId="77777777" w:rsidR="001C55F2" w:rsidRPr="009A214C" w:rsidRDefault="001C55F2" w:rsidP="00873AE6">
            <w:pPr>
              <w:spacing w:before="0" w:after="0" w:line="240" w:lineRule="auto"/>
              <w:jc w:val="center"/>
              <w:rPr>
                <w:rFonts w:ascii="GHEA Grapalat" w:hAnsi="GHEA Grapalat"/>
                <w:bCs/>
                <w:i/>
                <w:color w:val="auto"/>
                <w:sz w:val="18"/>
                <w:szCs w:val="18"/>
              </w:rPr>
            </w:pPr>
            <w:r w:rsidRPr="009A214C">
              <w:rPr>
                <w:rFonts w:ascii="GHEA Grapalat" w:hAnsi="GHEA Grapalat"/>
                <w:i/>
                <w:iCs/>
                <w:color w:val="auto"/>
                <w:sz w:val="18"/>
                <w:szCs w:val="18"/>
              </w:rPr>
              <w:t>24.4</w:t>
            </w:r>
          </w:p>
        </w:tc>
        <w:tc>
          <w:tcPr>
            <w:tcW w:w="1237" w:type="dxa"/>
            <w:tcBorders>
              <w:top w:val="nil"/>
              <w:left w:val="nil"/>
              <w:bottom w:val="single" w:sz="8" w:space="0" w:color="E1E1E3"/>
              <w:right w:val="single" w:sz="8" w:space="0" w:color="E1E1E3"/>
            </w:tcBorders>
            <w:shd w:val="clear" w:color="auto" w:fill="auto"/>
            <w:vAlign w:val="center"/>
            <w:hideMark/>
          </w:tcPr>
          <w:p w14:paraId="6004EFB8" w14:textId="77777777" w:rsidR="001C55F2" w:rsidRPr="009A214C" w:rsidRDefault="001C55F2" w:rsidP="00873AE6">
            <w:pPr>
              <w:spacing w:before="0" w:after="0" w:line="240" w:lineRule="auto"/>
              <w:jc w:val="center"/>
              <w:rPr>
                <w:rFonts w:ascii="GHEA Grapalat" w:hAnsi="GHEA Grapalat"/>
                <w:bCs/>
                <w:i/>
                <w:color w:val="auto"/>
                <w:sz w:val="18"/>
                <w:szCs w:val="18"/>
              </w:rPr>
            </w:pPr>
            <w:r w:rsidRPr="009A214C">
              <w:rPr>
                <w:rFonts w:ascii="GHEA Grapalat" w:hAnsi="GHEA Grapalat"/>
                <w:i/>
                <w:iCs/>
                <w:color w:val="auto"/>
                <w:sz w:val="18"/>
                <w:szCs w:val="18"/>
              </w:rPr>
              <w:t>23.7</w:t>
            </w:r>
          </w:p>
        </w:tc>
      </w:tr>
      <w:tr w:rsidR="001C55F2" w:rsidRPr="000A20D2" w14:paraId="12BCD90C"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55334B96"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 xml:space="preserve">որից` </w:t>
            </w:r>
          </w:p>
        </w:tc>
        <w:tc>
          <w:tcPr>
            <w:tcW w:w="1253" w:type="dxa"/>
            <w:tcBorders>
              <w:top w:val="nil"/>
              <w:left w:val="nil"/>
              <w:bottom w:val="single" w:sz="8" w:space="0" w:color="E1E1E3"/>
              <w:right w:val="single" w:sz="8" w:space="0" w:color="E1E1E3"/>
            </w:tcBorders>
            <w:shd w:val="clear" w:color="auto" w:fill="auto"/>
            <w:vAlign w:val="center"/>
            <w:hideMark/>
          </w:tcPr>
          <w:p w14:paraId="2BE79AFA" w14:textId="77777777" w:rsidR="001C55F2" w:rsidRPr="009A214C" w:rsidRDefault="001C55F2" w:rsidP="00873AE6">
            <w:pPr>
              <w:spacing w:before="0" w:after="0" w:line="240" w:lineRule="auto"/>
              <w:jc w:val="center"/>
              <w:rPr>
                <w:rFonts w:ascii="GHEA Grapalat" w:hAnsi="GHEA Grapalat"/>
                <w:b/>
                <w:bCs/>
                <w:color w:val="auto"/>
                <w:sz w:val="18"/>
                <w:szCs w:val="18"/>
              </w:rPr>
            </w:pPr>
          </w:p>
        </w:tc>
        <w:tc>
          <w:tcPr>
            <w:tcW w:w="1156" w:type="dxa"/>
            <w:tcBorders>
              <w:top w:val="nil"/>
              <w:left w:val="nil"/>
              <w:bottom w:val="single" w:sz="8" w:space="0" w:color="E1E1E3"/>
              <w:right w:val="single" w:sz="8" w:space="0" w:color="E1E1E3"/>
            </w:tcBorders>
            <w:shd w:val="clear" w:color="auto" w:fill="auto"/>
            <w:vAlign w:val="center"/>
            <w:hideMark/>
          </w:tcPr>
          <w:p w14:paraId="6F31285B" w14:textId="77777777" w:rsidR="001C55F2" w:rsidRPr="009A214C" w:rsidRDefault="001C55F2" w:rsidP="00873AE6">
            <w:pPr>
              <w:spacing w:before="0" w:after="0" w:line="240" w:lineRule="auto"/>
              <w:jc w:val="center"/>
              <w:rPr>
                <w:rFonts w:ascii="GHEA Grapalat" w:hAnsi="GHEA Grapalat"/>
                <w:b/>
                <w:bCs/>
                <w:color w:val="auto"/>
                <w:sz w:val="18"/>
                <w:szCs w:val="18"/>
              </w:rPr>
            </w:pPr>
          </w:p>
        </w:tc>
        <w:tc>
          <w:tcPr>
            <w:tcW w:w="1172" w:type="dxa"/>
            <w:tcBorders>
              <w:top w:val="nil"/>
              <w:left w:val="nil"/>
              <w:bottom w:val="single" w:sz="8" w:space="0" w:color="E1E1E3"/>
              <w:right w:val="single" w:sz="8" w:space="0" w:color="E1E1E3"/>
            </w:tcBorders>
            <w:shd w:val="clear" w:color="auto" w:fill="auto"/>
            <w:vAlign w:val="center"/>
            <w:hideMark/>
          </w:tcPr>
          <w:p w14:paraId="4BE62C76" w14:textId="77777777" w:rsidR="001C55F2" w:rsidRPr="009A214C" w:rsidRDefault="001C55F2" w:rsidP="00873AE6">
            <w:pPr>
              <w:spacing w:before="0" w:after="0" w:line="240" w:lineRule="auto"/>
              <w:jc w:val="center"/>
              <w:rPr>
                <w:rFonts w:ascii="GHEA Grapalat" w:hAnsi="GHEA Grapalat"/>
                <w:b/>
                <w:bCs/>
                <w:color w:val="auto"/>
                <w:sz w:val="18"/>
                <w:szCs w:val="18"/>
              </w:rPr>
            </w:pPr>
          </w:p>
        </w:tc>
        <w:tc>
          <w:tcPr>
            <w:tcW w:w="1335" w:type="dxa"/>
            <w:tcBorders>
              <w:top w:val="nil"/>
              <w:left w:val="nil"/>
              <w:bottom w:val="single" w:sz="8" w:space="0" w:color="E1E1E3"/>
              <w:right w:val="single" w:sz="8" w:space="0" w:color="E1E1E3"/>
            </w:tcBorders>
            <w:shd w:val="clear" w:color="auto" w:fill="auto"/>
            <w:vAlign w:val="center"/>
            <w:hideMark/>
          </w:tcPr>
          <w:p w14:paraId="58447904" w14:textId="77777777" w:rsidR="001C55F2" w:rsidRPr="009A214C" w:rsidRDefault="001C55F2" w:rsidP="00873AE6">
            <w:pPr>
              <w:spacing w:before="0" w:after="0" w:line="240" w:lineRule="auto"/>
              <w:jc w:val="center"/>
              <w:rPr>
                <w:rFonts w:ascii="GHEA Grapalat" w:hAnsi="GHEA Grapalat"/>
                <w:b/>
                <w:bCs/>
                <w:color w:val="auto"/>
                <w:sz w:val="18"/>
                <w:szCs w:val="18"/>
              </w:rPr>
            </w:pPr>
          </w:p>
        </w:tc>
        <w:tc>
          <w:tcPr>
            <w:tcW w:w="1237" w:type="dxa"/>
            <w:tcBorders>
              <w:top w:val="nil"/>
              <w:left w:val="nil"/>
              <w:bottom w:val="single" w:sz="8" w:space="0" w:color="E1E1E3"/>
              <w:right w:val="single" w:sz="8" w:space="0" w:color="E1E1E3"/>
            </w:tcBorders>
            <w:shd w:val="clear" w:color="auto" w:fill="auto"/>
            <w:vAlign w:val="center"/>
            <w:hideMark/>
          </w:tcPr>
          <w:p w14:paraId="55E37999" w14:textId="77777777" w:rsidR="001C55F2" w:rsidRPr="009A214C" w:rsidRDefault="001C55F2" w:rsidP="00873AE6">
            <w:pPr>
              <w:spacing w:before="0" w:after="0" w:line="240" w:lineRule="auto"/>
              <w:jc w:val="center"/>
              <w:rPr>
                <w:rFonts w:ascii="GHEA Grapalat" w:hAnsi="GHEA Grapalat"/>
                <w:b/>
                <w:bCs/>
                <w:color w:val="auto"/>
                <w:sz w:val="18"/>
                <w:szCs w:val="18"/>
              </w:rPr>
            </w:pPr>
          </w:p>
        </w:tc>
      </w:tr>
      <w:tr w:rsidR="001C55F2" w:rsidRPr="000A20D2" w14:paraId="0822AA0B"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71DF5B80"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ՀՀ կառավարության ներքին պարտք</w:t>
            </w:r>
          </w:p>
        </w:tc>
        <w:tc>
          <w:tcPr>
            <w:tcW w:w="1253" w:type="dxa"/>
            <w:tcBorders>
              <w:top w:val="nil"/>
              <w:left w:val="nil"/>
              <w:bottom w:val="single" w:sz="8" w:space="0" w:color="E1E1E3"/>
              <w:right w:val="single" w:sz="8" w:space="0" w:color="E1E1E3"/>
            </w:tcBorders>
            <w:shd w:val="clear" w:color="auto" w:fill="auto"/>
            <w:vAlign w:val="center"/>
            <w:hideMark/>
          </w:tcPr>
          <w:p w14:paraId="20C63BE8"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Cs/>
                <w:color w:val="auto"/>
                <w:sz w:val="18"/>
                <w:szCs w:val="18"/>
              </w:rPr>
              <w:t>24.7</w:t>
            </w:r>
          </w:p>
        </w:tc>
        <w:tc>
          <w:tcPr>
            <w:tcW w:w="1156" w:type="dxa"/>
            <w:tcBorders>
              <w:top w:val="nil"/>
              <w:left w:val="nil"/>
              <w:bottom w:val="single" w:sz="8" w:space="0" w:color="E1E1E3"/>
              <w:right w:val="single" w:sz="8" w:space="0" w:color="E1E1E3"/>
            </w:tcBorders>
            <w:shd w:val="clear" w:color="auto" w:fill="auto"/>
            <w:vAlign w:val="center"/>
            <w:hideMark/>
          </w:tcPr>
          <w:p w14:paraId="6FF4F73D"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Cs/>
                <w:color w:val="auto"/>
                <w:sz w:val="18"/>
                <w:szCs w:val="18"/>
              </w:rPr>
              <w:t>25.1</w:t>
            </w:r>
          </w:p>
        </w:tc>
        <w:tc>
          <w:tcPr>
            <w:tcW w:w="1172" w:type="dxa"/>
            <w:tcBorders>
              <w:top w:val="nil"/>
              <w:left w:val="nil"/>
              <w:bottom w:val="single" w:sz="8" w:space="0" w:color="E1E1E3"/>
              <w:right w:val="single" w:sz="8" w:space="0" w:color="E1E1E3"/>
            </w:tcBorders>
            <w:shd w:val="clear" w:color="auto" w:fill="auto"/>
            <w:vAlign w:val="center"/>
            <w:hideMark/>
          </w:tcPr>
          <w:p w14:paraId="23BDD5B3"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Cs/>
                <w:color w:val="auto"/>
                <w:sz w:val="18"/>
                <w:szCs w:val="18"/>
              </w:rPr>
              <w:t>24.9</w:t>
            </w:r>
          </w:p>
        </w:tc>
        <w:tc>
          <w:tcPr>
            <w:tcW w:w="1335" w:type="dxa"/>
            <w:tcBorders>
              <w:top w:val="nil"/>
              <w:left w:val="nil"/>
              <w:bottom w:val="single" w:sz="8" w:space="0" w:color="E1E1E3"/>
              <w:right w:val="single" w:sz="8" w:space="0" w:color="E1E1E3"/>
            </w:tcBorders>
            <w:shd w:val="clear" w:color="auto" w:fill="auto"/>
            <w:vAlign w:val="center"/>
            <w:hideMark/>
          </w:tcPr>
          <w:p w14:paraId="44BBF54A"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Cs/>
                <w:color w:val="auto"/>
                <w:sz w:val="18"/>
                <w:szCs w:val="18"/>
              </w:rPr>
              <w:t>24.4</w:t>
            </w:r>
          </w:p>
        </w:tc>
        <w:tc>
          <w:tcPr>
            <w:tcW w:w="1237" w:type="dxa"/>
            <w:tcBorders>
              <w:top w:val="nil"/>
              <w:left w:val="nil"/>
              <w:bottom w:val="single" w:sz="8" w:space="0" w:color="E1E1E3"/>
              <w:right w:val="single" w:sz="8" w:space="0" w:color="E1E1E3"/>
            </w:tcBorders>
            <w:shd w:val="clear" w:color="auto" w:fill="auto"/>
            <w:vAlign w:val="center"/>
            <w:hideMark/>
          </w:tcPr>
          <w:p w14:paraId="79BDF9BC"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Cs/>
                <w:color w:val="auto"/>
                <w:sz w:val="18"/>
                <w:szCs w:val="18"/>
              </w:rPr>
              <w:t>23.7</w:t>
            </w:r>
          </w:p>
        </w:tc>
      </w:tr>
      <w:tr w:rsidR="001C55F2" w:rsidRPr="000A20D2" w14:paraId="5CADAE4B" w14:textId="77777777" w:rsidTr="00873AE6">
        <w:trPr>
          <w:trHeight w:val="263"/>
        </w:trPr>
        <w:tc>
          <w:tcPr>
            <w:tcW w:w="4442" w:type="dxa"/>
            <w:tcBorders>
              <w:top w:val="nil"/>
              <w:left w:val="single" w:sz="8" w:space="0" w:color="E1E1E3"/>
              <w:bottom w:val="single" w:sz="8" w:space="0" w:color="E1E1E3"/>
              <w:right w:val="single" w:sz="8" w:space="0" w:color="E1E1E3"/>
            </w:tcBorders>
            <w:shd w:val="clear" w:color="auto" w:fill="auto"/>
            <w:vAlign w:val="center"/>
            <w:hideMark/>
          </w:tcPr>
          <w:p w14:paraId="34E22E81" w14:textId="77777777" w:rsidR="001C55F2" w:rsidRPr="000A20D2" w:rsidRDefault="001C55F2" w:rsidP="00873AE6">
            <w:pPr>
              <w:spacing w:before="0" w:after="0" w:line="240" w:lineRule="auto"/>
              <w:rPr>
                <w:rFonts w:ascii="GHEA Grapalat" w:eastAsia="Times New Roman" w:hAnsi="GHEA Grapalat" w:cs="Times New Roman"/>
                <w:color w:val="404040"/>
                <w:sz w:val="18"/>
                <w:szCs w:val="18"/>
              </w:rPr>
            </w:pPr>
            <w:r w:rsidRPr="000A20D2">
              <w:rPr>
                <w:rFonts w:ascii="GHEA Grapalat" w:eastAsia="Times New Roman" w:hAnsi="GHEA Grapalat" w:cs="Times New Roman"/>
                <w:color w:val="404040"/>
                <w:sz w:val="18"/>
                <w:szCs w:val="18"/>
              </w:rPr>
              <w:t xml:space="preserve">ՀՀ համայնքների ներքին պարտք </w:t>
            </w:r>
          </w:p>
        </w:tc>
        <w:tc>
          <w:tcPr>
            <w:tcW w:w="1253" w:type="dxa"/>
            <w:tcBorders>
              <w:top w:val="nil"/>
              <w:left w:val="nil"/>
              <w:bottom w:val="single" w:sz="8" w:space="0" w:color="E1E1E3"/>
              <w:right w:val="single" w:sz="8" w:space="0" w:color="E1E1E3"/>
            </w:tcBorders>
            <w:shd w:val="clear" w:color="auto" w:fill="auto"/>
            <w:vAlign w:val="center"/>
            <w:hideMark/>
          </w:tcPr>
          <w:p w14:paraId="641EE1C7"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Cs/>
                <w:color w:val="auto"/>
                <w:sz w:val="18"/>
                <w:szCs w:val="18"/>
              </w:rPr>
              <w:t>0.001</w:t>
            </w:r>
          </w:p>
        </w:tc>
        <w:tc>
          <w:tcPr>
            <w:tcW w:w="1156" w:type="dxa"/>
            <w:tcBorders>
              <w:top w:val="nil"/>
              <w:left w:val="nil"/>
              <w:bottom w:val="single" w:sz="8" w:space="0" w:color="E1E1E3"/>
              <w:right w:val="single" w:sz="8" w:space="0" w:color="E1E1E3"/>
            </w:tcBorders>
            <w:shd w:val="clear" w:color="auto" w:fill="auto"/>
            <w:vAlign w:val="center"/>
            <w:hideMark/>
          </w:tcPr>
          <w:p w14:paraId="0FC8841C"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Cs/>
                <w:color w:val="auto"/>
                <w:sz w:val="18"/>
                <w:szCs w:val="18"/>
              </w:rPr>
              <w:t>0.001</w:t>
            </w:r>
          </w:p>
        </w:tc>
        <w:tc>
          <w:tcPr>
            <w:tcW w:w="1172" w:type="dxa"/>
            <w:tcBorders>
              <w:top w:val="nil"/>
              <w:left w:val="nil"/>
              <w:bottom w:val="single" w:sz="8" w:space="0" w:color="E1E1E3"/>
              <w:right w:val="single" w:sz="8" w:space="0" w:color="E1E1E3"/>
            </w:tcBorders>
            <w:shd w:val="clear" w:color="auto" w:fill="auto"/>
            <w:vAlign w:val="center"/>
            <w:hideMark/>
          </w:tcPr>
          <w:p w14:paraId="1A80E078"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Cs/>
                <w:color w:val="auto"/>
                <w:sz w:val="18"/>
                <w:szCs w:val="18"/>
              </w:rPr>
              <w:t>0.001</w:t>
            </w:r>
          </w:p>
        </w:tc>
        <w:tc>
          <w:tcPr>
            <w:tcW w:w="1335" w:type="dxa"/>
            <w:tcBorders>
              <w:top w:val="nil"/>
              <w:left w:val="nil"/>
              <w:bottom w:val="single" w:sz="8" w:space="0" w:color="E1E1E3"/>
              <w:right w:val="single" w:sz="8" w:space="0" w:color="E1E1E3"/>
            </w:tcBorders>
            <w:shd w:val="clear" w:color="auto" w:fill="auto"/>
            <w:vAlign w:val="center"/>
            <w:hideMark/>
          </w:tcPr>
          <w:p w14:paraId="5D301B35"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Cs/>
                <w:color w:val="auto"/>
                <w:sz w:val="18"/>
                <w:szCs w:val="18"/>
              </w:rPr>
              <w:t>0.001</w:t>
            </w:r>
          </w:p>
        </w:tc>
        <w:tc>
          <w:tcPr>
            <w:tcW w:w="1237" w:type="dxa"/>
            <w:tcBorders>
              <w:top w:val="nil"/>
              <w:left w:val="nil"/>
              <w:bottom w:val="single" w:sz="8" w:space="0" w:color="E1E1E3"/>
              <w:right w:val="single" w:sz="8" w:space="0" w:color="E1E1E3"/>
            </w:tcBorders>
            <w:shd w:val="clear" w:color="auto" w:fill="auto"/>
            <w:vAlign w:val="center"/>
            <w:hideMark/>
          </w:tcPr>
          <w:p w14:paraId="1990A243" w14:textId="77777777" w:rsidR="001C55F2" w:rsidRPr="009A214C" w:rsidRDefault="001C55F2" w:rsidP="00873AE6">
            <w:pPr>
              <w:spacing w:before="0" w:after="0" w:line="240" w:lineRule="auto"/>
              <w:jc w:val="center"/>
              <w:rPr>
                <w:rFonts w:ascii="GHEA Grapalat" w:hAnsi="GHEA Grapalat"/>
                <w:bCs/>
                <w:color w:val="auto"/>
                <w:sz w:val="18"/>
                <w:szCs w:val="18"/>
              </w:rPr>
            </w:pPr>
            <w:r w:rsidRPr="009A214C">
              <w:rPr>
                <w:rFonts w:ascii="GHEA Grapalat" w:hAnsi="GHEA Grapalat"/>
                <w:iCs/>
                <w:color w:val="auto"/>
                <w:sz w:val="18"/>
                <w:szCs w:val="18"/>
              </w:rPr>
              <w:t>0.001</w:t>
            </w:r>
          </w:p>
        </w:tc>
      </w:tr>
    </w:tbl>
    <w:p w14:paraId="0E0457CE" w14:textId="77777777" w:rsidR="001C55F2" w:rsidRPr="00B84464" w:rsidRDefault="001C55F2" w:rsidP="001C55F2">
      <w:pPr>
        <w:pStyle w:val="TOC4"/>
        <w:rPr>
          <w:lang w:val="hy-AM"/>
        </w:rPr>
      </w:pPr>
      <w:r w:rsidRPr="00B84464">
        <w:rPr>
          <w:lang w:val="hy-AM"/>
        </w:rPr>
        <w:t>ՀԱՅԱՍՏԱՆԻ ՀԱՆՐԱՊԵՏՈՒԹՅԱՆ ԿԱՌԱՎԱՐՈՒԹՅԱՆ ՊԱՐՏՔԸ</w:t>
      </w:r>
      <w:bookmarkEnd w:id="438"/>
    </w:p>
    <w:p w14:paraId="57A9242B" w14:textId="77777777" w:rsidR="001C55F2" w:rsidRPr="004A3C1A" w:rsidRDefault="001C55F2" w:rsidP="001C55F2">
      <w:pPr>
        <w:pStyle w:val="BodyText1"/>
        <w:ind w:left="0"/>
        <w:rPr>
          <w:b/>
          <w:lang w:val="hy-AM"/>
        </w:rPr>
      </w:pPr>
      <w:r>
        <w:rPr>
          <w:b/>
          <w:lang w:val="hy-AM"/>
        </w:rPr>
        <w:t>2027</w:t>
      </w:r>
      <w:r w:rsidRPr="004A3C1A">
        <w:rPr>
          <w:b/>
          <w:lang w:val="hy-AM"/>
        </w:rPr>
        <w:t xml:space="preserve"> թվականի տարեվերջի դրությամբ կառավարության պարտքի կանխատեսումը կատարվել է հետևյալ ենթադրության հիման վրա.</w:t>
      </w:r>
    </w:p>
    <w:p w14:paraId="0EDD7784" w14:textId="77777777" w:rsidR="001C55F2" w:rsidRPr="00E7557A" w:rsidRDefault="001C55F2" w:rsidP="001C55F2">
      <w:pPr>
        <w:pStyle w:val="BodyText1"/>
        <w:ind w:left="0"/>
        <w:contextualSpacing/>
        <w:rPr>
          <w:lang w:val="hy-AM"/>
        </w:rPr>
      </w:pPr>
      <w:r w:rsidRPr="004B2B0B">
        <w:rPr>
          <w:lang w:val="hy-AM"/>
        </w:rPr>
        <w:t>ՀՀ 202</w:t>
      </w:r>
      <w:r w:rsidRPr="00E7557A">
        <w:rPr>
          <w:lang w:val="hy-AM"/>
        </w:rPr>
        <w:t>7</w:t>
      </w:r>
      <w:r w:rsidRPr="004B2B0B">
        <w:rPr>
          <w:lang w:val="hy-AM"/>
        </w:rPr>
        <w:t xml:space="preserve">թ. պետական բյուջեի պակասուրդի զուտ ֆինանսավորումը պարտքային գործիքների հաշվին կիրականացվի </w:t>
      </w:r>
      <w:r w:rsidRPr="002744CC">
        <w:rPr>
          <w:lang w:val="hy-AM"/>
        </w:rPr>
        <w:t>563.3</w:t>
      </w:r>
      <w:r w:rsidRPr="004B2B0B">
        <w:rPr>
          <w:lang w:val="hy-AM"/>
        </w:rPr>
        <w:t xml:space="preserve"> մլրդ դրամի չափով, որից</w:t>
      </w:r>
      <w:r>
        <w:rPr>
          <w:lang w:val="hy-AM"/>
        </w:rPr>
        <w:t xml:space="preserve"> </w:t>
      </w:r>
      <w:r w:rsidRPr="002744CC">
        <w:rPr>
          <w:lang w:val="hy-AM"/>
        </w:rPr>
        <w:t>275</w:t>
      </w:r>
      <w:r w:rsidRPr="00E7557A">
        <w:rPr>
          <w:lang w:val="hy-AM"/>
        </w:rPr>
        <w:t>.0</w:t>
      </w:r>
      <w:r w:rsidRPr="004B2B0B">
        <w:rPr>
          <w:lang w:val="hy-AM"/>
        </w:rPr>
        <w:t xml:space="preserve"> մլրդ դրամը պետական գանձապետական պարտատոմսերի հաշվին, </w:t>
      </w:r>
      <w:r w:rsidRPr="002744CC">
        <w:rPr>
          <w:lang w:val="hy-AM"/>
        </w:rPr>
        <w:t>288.3</w:t>
      </w:r>
      <w:r w:rsidRPr="004B2B0B">
        <w:rPr>
          <w:lang w:val="hy-AM"/>
        </w:rPr>
        <w:t xml:space="preserve"> մլրդ դրամը՝ արտաքին աղբյուրների հաշվին:</w:t>
      </w:r>
    </w:p>
    <w:p w14:paraId="613EBA06" w14:textId="77777777" w:rsidR="001C55F2" w:rsidRPr="004B2B0B" w:rsidRDefault="001C55F2" w:rsidP="001C55F2">
      <w:pPr>
        <w:pStyle w:val="BodyText1"/>
        <w:ind w:left="0"/>
        <w:contextualSpacing/>
        <w:rPr>
          <w:lang w:val="hy-AM"/>
        </w:rPr>
      </w:pPr>
      <w:r w:rsidRPr="004B2B0B">
        <w:rPr>
          <w:lang w:val="hy-AM"/>
        </w:rPr>
        <w:t>Պարտքի կանխատեսումների վրա ազդել են նաև հետևյալ գործոնները.</w:t>
      </w:r>
    </w:p>
    <w:p w14:paraId="3E73656D" w14:textId="77777777" w:rsidR="001C55F2" w:rsidRPr="004B2B0B" w:rsidRDefault="001C55F2" w:rsidP="001C55F2">
      <w:pPr>
        <w:pStyle w:val="BodyText1"/>
        <w:numPr>
          <w:ilvl w:val="0"/>
          <w:numId w:val="2"/>
        </w:numPr>
        <w:ind w:left="0" w:firstLine="0"/>
        <w:contextualSpacing/>
        <w:rPr>
          <w:lang w:val="hy-AM"/>
        </w:rPr>
      </w:pPr>
      <w:r w:rsidRPr="004B2B0B">
        <w:rPr>
          <w:lang w:val="hy-AM"/>
        </w:rPr>
        <w:t>Առկա և նոր պարտքի սպասարկման պայմանները,</w:t>
      </w:r>
    </w:p>
    <w:p w14:paraId="6C06D9FE" w14:textId="77777777" w:rsidR="001C55F2" w:rsidRPr="004B2B0B" w:rsidRDefault="001C55F2" w:rsidP="001C55F2">
      <w:pPr>
        <w:pStyle w:val="BodyText1"/>
        <w:numPr>
          <w:ilvl w:val="0"/>
          <w:numId w:val="2"/>
        </w:numPr>
        <w:ind w:left="0" w:firstLine="0"/>
        <w:contextualSpacing/>
        <w:rPr>
          <w:lang w:val="hy-AM"/>
        </w:rPr>
      </w:pPr>
      <w:r w:rsidRPr="004B2B0B">
        <w:rPr>
          <w:lang w:val="hy-AM"/>
        </w:rPr>
        <w:t>ՀՀ 202</w:t>
      </w:r>
      <w:r w:rsidRPr="00E7557A">
        <w:rPr>
          <w:lang w:val="hy-AM"/>
        </w:rPr>
        <w:t>7</w:t>
      </w:r>
      <w:r w:rsidRPr="004B2B0B">
        <w:rPr>
          <w:lang w:val="hy-AM"/>
        </w:rPr>
        <w:t>թ. պետական բյուջեի հիմքում դրված 202</w:t>
      </w:r>
      <w:r w:rsidRPr="00E7557A">
        <w:rPr>
          <w:lang w:val="hy-AM"/>
        </w:rPr>
        <w:t>6</w:t>
      </w:r>
      <w:r w:rsidRPr="004B2B0B">
        <w:rPr>
          <w:lang w:val="hy-AM"/>
        </w:rPr>
        <w:t>թ. և 202</w:t>
      </w:r>
      <w:r w:rsidRPr="00E7557A">
        <w:rPr>
          <w:lang w:val="hy-AM"/>
        </w:rPr>
        <w:t>7</w:t>
      </w:r>
      <w:r w:rsidRPr="004B2B0B">
        <w:rPr>
          <w:lang w:val="hy-AM"/>
        </w:rPr>
        <w:t>թ. ՀՆԱ-ի և այլ մակրոտնտեսական կանխատեսումային ցուցանիշները:</w:t>
      </w:r>
    </w:p>
    <w:p w14:paraId="5DE5C57B" w14:textId="77777777" w:rsidR="001C55F2" w:rsidRPr="004B2B0B" w:rsidRDefault="001C55F2" w:rsidP="001C55F2">
      <w:pPr>
        <w:pStyle w:val="BodyText1"/>
        <w:ind w:left="0"/>
        <w:contextualSpacing/>
        <w:rPr>
          <w:lang w:val="hy-AM"/>
        </w:rPr>
      </w:pPr>
      <w:r w:rsidRPr="004B2B0B">
        <w:rPr>
          <w:lang w:val="hy-AM"/>
        </w:rPr>
        <w:t>202</w:t>
      </w:r>
      <w:r w:rsidRPr="00E7557A">
        <w:rPr>
          <w:lang w:val="hy-AM"/>
        </w:rPr>
        <w:t>7</w:t>
      </w:r>
      <w:r w:rsidRPr="004B2B0B">
        <w:rPr>
          <w:lang w:val="hy-AM"/>
        </w:rPr>
        <w:t>թ. պետական բյուջեի ծրագրային ցուցանիշների համաձայն 202</w:t>
      </w:r>
      <w:r w:rsidRPr="00E7557A">
        <w:rPr>
          <w:lang w:val="hy-AM"/>
        </w:rPr>
        <w:t>7</w:t>
      </w:r>
      <w:r w:rsidRPr="004B2B0B">
        <w:rPr>
          <w:lang w:val="hy-AM"/>
        </w:rPr>
        <w:t xml:space="preserve">թ. համախառն ֆինանսական կարիքը կազմել է </w:t>
      </w:r>
      <w:r w:rsidRPr="00705B94">
        <w:rPr>
          <w:lang w:val="hy-AM"/>
        </w:rPr>
        <w:t>1,</w:t>
      </w:r>
      <w:r w:rsidRPr="002744CC">
        <w:rPr>
          <w:lang w:val="hy-AM"/>
        </w:rPr>
        <w:t>135.0</w:t>
      </w:r>
      <w:r w:rsidRPr="00705B94">
        <w:rPr>
          <w:lang w:val="hy-AM"/>
        </w:rPr>
        <w:t xml:space="preserve"> մլրդ դրամ</w:t>
      </w:r>
      <w:r w:rsidRPr="004B2B0B">
        <w:rPr>
          <w:lang w:val="hy-AM"/>
        </w:rPr>
        <w:t>, որը նախատեսվում է ֆինանսավորել հետևյալ պարտքային գործիքներով.</w:t>
      </w:r>
    </w:p>
    <w:p w14:paraId="52D5E237" w14:textId="77777777" w:rsidR="001C55F2" w:rsidRPr="004B2B0B" w:rsidRDefault="001C55F2" w:rsidP="001C55F2">
      <w:pPr>
        <w:pStyle w:val="BodyText1"/>
        <w:numPr>
          <w:ilvl w:val="0"/>
          <w:numId w:val="3"/>
        </w:numPr>
        <w:ind w:left="0" w:firstLine="0"/>
        <w:contextualSpacing/>
        <w:rPr>
          <w:lang w:val="hy-AM"/>
        </w:rPr>
      </w:pPr>
      <w:r w:rsidRPr="004B2B0B">
        <w:rPr>
          <w:lang w:val="hy-AM"/>
        </w:rPr>
        <w:t xml:space="preserve">Գանձապետական պարտատոմսեր </w:t>
      </w:r>
      <w:r w:rsidRPr="005A5FDE">
        <w:rPr>
          <w:lang w:val="hy-AM"/>
        </w:rPr>
        <w:t xml:space="preserve">– </w:t>
      </w:r>
      <w:r>
        <w:t>719</w:t>
      </w:r>
      <w:r w:rsidRPr="005A5FDE">
        <w:rPr>
          <w:lang w:val="hy-AM"/>
        </w:rPr>
        <w:t>.0 մլրդ դրամ</w:t>
      </w:r>
      <w:r w:rsidRPr="004B2B0B">
        <w:rPr>
          <w:lang w:val="hy-AM"/>
        </w:rPr>
        <w:t>,</w:t>
      </w:r>
    </w:p>
    <w:p w14:paraId="72542C59" w14:textId="77777777" w:rsidR="001C55F2" w:rsidRPr="004B2B0B" w:rsidRDefault="001C55F2" w:rsidP="001C55F2">
      <w:pPr>
        <w:pStyle w:val="BodyText1"/>
        <w:numPr>
          <w:ilvl w:val="0"/>
          <w:numId w:val="3"/>
        </w:numPr>
        <w:ind w:left="0" w:firstLine="0"/>
        <w:contextualSpacing/>
        <w:rPr>
          <w:lang w:val="hy-AM"/>
        </w:rPr>
      </w:pPr>
      <w:r w:rsidRPr="004B2B0B">
        <w:rPr>
          <w:lang w:val="hy-AM"/>
        </w:rPr>
        <w:t xml:space="preserve">Բյուջետային աջակցության վարկեր – </w:t>
      </w:r>
      <w:r w:rsidRPr="002744CC">
        <w:rPr>
          <w:lang w:val="hy-AM"/>
        </w:rPr>
        <w:t>289.3</w:t>
      </w:r>
      <w:r w:rsidRPr="004B2B0B">
        <w:rPr>
          <w:lang w:val="hy-AM"/>
        </w:rPr>
        <w:t xml:space="preserve"> մլրդ դրամ,</w:t>
      </w:r>
    </w:p>
    <w:p w14:paraId="22364067" w14:textId="77777777" w:rsidR="001C55F2" w:rsidRPr="004B2B0B" w:rsidRDefault="001C55F2" w:rsidP="001C55F2">
      <w:pPr>
        <w:pStyle w:val="BodyText1"/>
        <w:numPr>
          <w:ilvl w:val="0"/>
          <w:numId w:val="3"/>
        </w:numPr>
        <w:ind w:left="0" w:firstLine="0"/>
        <w:contextualSpacing/>
        <w:rPr>
          <w:lang w:val="hy-AM"/>
        </w:rPr>
      </w:pPr>
      <w:r w:rsidRPr="004B2B0B">
        <w:rPr>
          <w:lang w:val="hy-AM"/>
        </w:rPr>
        <w:t xml:space="preserve">Ծրագրային վարկեր – </w:t>
      </w:r>
      <w:r>
        <w:t>126.6</w:t>
      </w:r>
      <w:r w:rsidRPr="004B2B0B">
        <w:rPr>
          <w:lang w:val="hy-AM"/>
        </w:rPr>
        <w:t xml:space="preserve"> մլրդ դրամ:</w:t>
      </w:r>
    </w:p>
    <w:p w14:paraId="165182D1" w14:textId="77777777" w:rsidR="001C55F2" w:rsidRDefault="001C55F2" w:rsidP="001C55F2">
      <w:pPr>
        <w:pStyle w:val="BodyText1"/>
        <w:ind w:left="0"/>
        <w:contextualSpacing/>
        <w:rPr>
          <w:lang w:val="hy-AM"/>
        </w:rPr>
      </w:pPr>
      <w:r w:rsidRPr="004B2B0B">
        <w:rPr>
          <w:lang w:val="hy-AM"/>
        </w:rPr>
        <w:t>Կանխատեսվում է, որ 202</w:t>
      </w:r>
      <w:r w:rsidRPr="00E7557A">
        <w:rPr>
          <w:lang w:val="hy-AM"/>
        </w:rPr>
        <w:t>7</w:t>
      </w:r>
      <w:r w:rsidRPr="004B2B0B">
        <w:rPr>
          <w:lang w:val="hy-AM"/>
        </w:rPr>
        <w:t xml:space="preserve"> թվականի դեկտեմբերի 31-ի դրությամբ կառավարության պարտքը կկազմի 6,</w:t>
      </w:r>
      <w:r>
        <w:rPr>
          <w:lang w:val="hy-AM"/>
        </w:rPr>
        <w:t>4</w:t>
      </w:r>
      <w:r w:rsidRPr="002744CC">
        <w:rPr>
          <w:lang w:val="hy-AM"/>
        </w:rPr>
        <w:t>47</w:t>
      </w:r>
      <w:r w:rsidRPr="004B2B0B">
        <w:rPr>
          <w:lang w:val="hy-AM"/>
        </w:rPr>
        <w:t xml:space="preserve"> մլրդ դրամ կամ ՀՆԱ-ի </w:t>
      </w:r>
      <w:r>
        <w:rPr>
          <w:lang w:val="hy-AM"/>
        </w:rPr>
        <w:t>47.</w:t>
      </w:r>
      <w:r w:rsidRPr="002744CC">
        <w:rPr>
          <w:lang w:val="hy-AM"/>
        </w:rPr>
        <w:t>4</w:t>
      </w:r>
      <w:r w:rsidRPr="004B2B0B">
        <w:rPr>
          <w:lang w:val="hy-AM"/>
        </w:rPr>
        <w:t xml:space="preserve"> տոկոսը և 202</w:t>
      </w:r>
      <w:r w:rsidRPr="00E7557A">
        <w:rPr>
          <w:lang w:val="hy-AM"/>
        </w:rPr>
        <w:t>6</w:t>
      </w:r>
      <w:r w:rsidRPr="004B2B0B">
        <w:rPr>
          <w:lang w:val="hy-AM"/>
        </w:rPr>
        <w:t xml:space="preserve"> թվականի տարեվերջի համեմատությամբ ՀՆԱ-ի նկատմամբ կաճի </w:t>
      </w:r>
      <w:r w:rsidRPr="00E7557A">
        <w:rPr>
          <w:lang w:val="hy-AM"/>
        </w:rPr>
        <w:t>0.</w:t>
      </w:r>
      <w:r w:rsidRPr="002744CC">
        <w:rPr>
          <w:lang w:val="hy-AM"/>
        </w:rPr>
        <w:t>8</w:t>
      </w:r>
      <w:r w:rsidRPr="004B2B0B">
        <w:rPr>
          <w:lang w:val="hy-AM"/>
        </w:rPr>
        <w:t xml:space="preserve"> տոկոսային կետով: </w:t>
      </w:r>
    </w:p>
    <w:p w14:paraId="501445C5" w14:textId="77777777" w:rsidR="001C55F2" w:rsidRPr="000036ED" w:rsidRDefault="001C55F2" w:rsidP="001C55F2">
      <w:pPr>
        <w:contextualSpacing/>
        <w:rPr>
          <w:lang w:val="hy-AM"/>
        </w:rPr>
      </w:pPr>
      <w:r>
        <w:rPr>
          <w:lang w:val="hy-AM"/>
        </w:rPr>
        <w:t xml:space="preserve">2029 թվականի տարեվերջի դրությամբ </w:t>
      </w:r>
      <w:r w:rsidRPr="004B2B0B">
        <w:rPr>
          <w:lang w:val="hy-AM"/>
        </w:rPr>
        <w:t xml:space="preserve">կառավարության պարտքը կկազմի </w:t>
      </w:r>
      <w:r>
        <w:rPr>
          <w:lang w:val="hy-AM"/>
        </w:rPr>
        <w:t>7,</w:t>
      </w:r>
      <w:r w:rsidRPr="002744CC">
        <w:rPr>
          <w:lang w:val="hy-AM"/>
        </w:rPr>
        <w:t>541</w:t>
      </w:r>
      <w:r w:rsidRPr="004B2B0B">
        <w:rPr>
          <w:lang w:val="hy-AM"/>
        </w:rPr>
        <w:t xml:space="preserve"> մլրդ դրամ կամ ՀՆԱ-ի </w:t>
      </w:r>
      <w:r w:rsidRPr="00E7557A">
        <w:rPr>
          <w:lang w:val="hy-AM"/>
        </w:rPr>
        <w:t>46.</w:t>
      </w:r>
      <w:r w:rsidRPr="002744CC">
        <w:rPr>
          <w:lang w:val="hy-AM"/>
        </w:rPr>
        <w:t>4</w:t>
      </w:r>
      <w:r w:rsidRPr="004B2B0B">
        <w:rPr>
          <w:lang w:val="hy-AM"/>
        </w:rPr>
        <w:t xml:space="preserve"> տոկոսը</w:t>
      </w:r>
      <w:r>
        <w:rPr>
          <w:lang w:val="hy-AM"/>
        </w:rPr>
        <w:t>:</w:t>
      </w:r>
    </w:p>
    <w:p w14:paraId="34C57919" w14:textId="47441EF5" w:rsidR="001C55F2" w:rsidRPr="00E73A9A" w:rsidRDefault="001C55F2" w:rsidP="00E73A9A">
      <w:pPr>
        <w:pStyle w:val="Charts"/>
        <w:ind w:right="-22"/>
        <w:rPr>
          <w:b w:val="0"/>
          <w:bCs/>
          <w:color w:val="auto"/>
          <w:sz w:val="20"/>
          <w:szCs w:val="18"/>
        </w:rPr>
      </w:pPr>
      <w:bookmarkStart w:id="439" w:name="_Toc178350628"/>
      <w:bookmarkStart w:id="440" w:name="_Toc178612153"/>
      <w:bookmarkStart w:id="441" w:name="_Toc184110779"/>
      <w:bookmarkStart w:id="442" w:name="_Toc241602023"/>
      <w:r w:rsidRPr="00E73A9A">
        <w:rPr>
          <w:b w:val="0"/>
          <w:bCs/>
          <w:color w:val="auto"/>
          <w:sz w:val="20"/>
          <w:szCs w:val="18"/>
        </w:rPr>
        <w:t xml:space="preserve">Աղյուսակ </w:t>
      </w:r>
      <w:r w:rsidRPr="00E73A9A">
        <w:rPr>
          <w:b w:val="0"/>
          <w:bCs/>
          <w:color w:val="auto"/>
          <w:sz w:val="20"/>
          <w:szCs w:val="18"/>
        </w:rPr>
        <w:fldChar w:fldCharType="begin"/>
      </w:r>
      <w:r w:rsidRPr="00E73A9A">
        <w:rPr>
          <w:b w:val="0"/>
          <w:bCs/>
          <w:color w:val="auto"/>
          <w:sz w:val="20"/>
          <w:szCs w:val="18"/>
        </w:rPr>
        <w:instrText xml:space="preserve"> SEQ Աղյուսակ \* ARABIC </w:instrText>
      </w:r>
      <w:r w:rsidRPr="00E73A9A">
        <w:rPr>
          <w:b w:val="0"/>
          <w:bCs/>
          <w:color w:val="auto"/>
          <w:sz w:val="20"/>
          <w:szCs w:val="18"/>
        </w:rPr>
        <w:fldChar w:fldCharType="separate"/>
      </w:r>
      <w:r w:rsidR="00E46048">
        <w:rPr>
          <w:b w:val="0"/>
          <w:bCs/>
          <w:noProof/>
          <w:color w:val="auto"/>
          <w:sz w:val="20"/>
          <w:szCs w:val="18"/>
        </w:rPr>
        <w:t>10</w:t>
      </w:r>
      <w:r w:rsidRPr="00E73A9A">
        <w:rPr>
          <w:b w:val="0"/>
          <w:bCs/>
          <w:color w:val="auto"/>
          <w:sz w:val="20"/>
          <w:szCs w:val="18"/>
        </w:rPr>
        <w:fldChar w:fldCharType="end"/>
      </w:r>
      <w:r w:rsidRPr="00E73A9A">
        <w:rPr>
          <w:b w:val="0"/>
          <w:bCs/>
          <w:color w:val="auto"/>
          <w:sz w:val="20"/>
          <w:szCs w:val="18"/>
        </w:rPr>
        <w:t>9. Կառավարության պարտքը</w:t>
      </w:r>
      <w:bookmarkEnd w:id="439"/>
      <w:bookmarkEnd w:id="440"/>
      <w:bookmarkEnd w:id="441"/>
      <w:bookmarkEnd w:id="442"/>
    </w:p>
    <w:tbl>
      <w:tblPr>
        <w:tblW w:w="10240" w:type="dxa"/>
        <w:jc w:val="right"/>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ook w:val="04A0" w:firstRow="1" w:lastRow="0" w:firstColumn="1" w:lastColumn="0" w:noHBand="0" w:noVBand="1"/>
      </w:tblPr>
      <w:tblGrid>
        <w:gridCol w:w="3710"/>
        <w:gridCol w:w="1364"/>
        <w:gridCol w:w="1359"/>
        <w:gridCol w:w="1364"/>
        <w:gridCol w:w="1326"/>
        <w:gridCol w:w="1117"/>
      </w:tblGrid>
      <w:tr w:rsidR="001C55F2" w:rsidRPr="007C5C9E" w14:paraId="7AECD904" w14:textId="77777777" w:rsidTr="006422CA">
        <w:trPr>
          <w:trHeight w:val="360"/>
          <w:jc w:val="right"/>
        </w:trPr>
        <w:tc>
          <w:tcPr>
            <w:tcW w:w="3714" w:type="dxa"/>
            <w:shd w:val="clear" w:color="auto" w:fill="DAE9F7" w:themeFill="text2" w:themeFillTint="1A"/>
            <w:vAlign w:val="center"/>
            <w:hideMark/>
          </w:tcPr>
          <w:p w14:paraId="16C38874" w14:textId="77777777" w:rsidR="001C55F2" w:rsidRPr="001407D3" w:rsidRDefault="001C55F2" w:rsidP="00873AE6">
            <w:pPr>
              <w:spacing w:before="0" w:after="0" w:line="240" w:lineRule="auto"/>
              <w:jc w:val="both"/>
              <w:rPr>
                <w:b/>
                <w:sz w:val="18"/>
                <w:szCs w:val="18"/>
              </w:rPr>
            </w:pPr>
            <w:r w:rsidRPr="001407D3">
              <w:rPr>
                <w:rFonts w:ascii="Calibri" w:hAnsi="Calibri" w:cs="Calibri"/>
                <w:b/>
                <w:sz w:val="18"/>
                <w:szCs w:val="18"/>
              </w:rPr>
              <w:t> </w:t>
            </w:r>
          </w:p>
        </w:tc>
        <w:tc>
          <w:tcPr>
            <w:tcW w:w="1364" w:type="dxa"/>
            <w:shd w:val="clear" w:color="auto" w:fill="DAE9F7" w:themeFill="text2" w:themeFillTint="1A"/>
            <w:hideMark/>
          </w:tcPr>
          <w:p w14:paraId="665691D8" w14:textId="77777777" w:rsidR="001C55F2" w:rsidRPr="001407D3" w:rsidRDefault="001C55F2" w:rsidP="00873AE6">
            <w:pPr>
              <w:spacing w:before="0" w:after="0" w:line="240" w:lineRule="auto"/>
              <w:jc w:val="center"/>
              <w:rPr>
                <w:b/>
                <w:sz w:val="18"/>
                <w:szCs w:val="18"/>
                <w:lang w:val="hy-AM" w:eastAsia="ru-RU"/>
              </w:rPr>
            </w:pPr>
            <w:r>
              <w:rPr>
                <w:b/>
                <w:sz w:val="18"/>
                <w:szCs w:val="18"/>
              </w:rPr>
              <w:t>31.12.2025</w:t>
            </w:r>
          </w:p>
        </w:tc>
        <w:tc>
          <w:tcPr>
            <w:tcW w:w="1359" w:type="dxa"/>
            <w:shd w:val="clear" w:color="auto" w:fill="DAE9F7" w:themeFill="text2" w:themeFillTint="1A"/>
            <w:hideMark/>
          </w:tcPr>
          <w:p w14:paraId="22260528" w14:textId="77777777" w:rsidR="001C55F2" w:rsidRPr="001407D3" w:rsidRDefault="001C55F2" w:rsidP="00873AE6">
            <w:pPr>
              <w:spacing w:before="0" w:after="0" w:line="240" w:lineRule="auto"/>
              <w:jc w:val="center"/>
              <w:rPr>
                <w:b/>
                <w:sz w:val="18"/>
                <w:szCs w:val="18"/>
              </w:rPr>
            </w:pPr>
            <w:r>
              <w:rPr>
                <w:b/>
                <w:sz w:val="18"/>
                <w:szCs w:val="18"/>
              </w:rPr>
              <w:t>31.12.2026</w:t>
            </w:r>
          </w:p>
        </w:tc>
        <w:tc>
          <w:tcPr>
            <w:tcW w:w="1364" w:type="dxa"/>
            <w:shd w:val="clear" w:color="auto" w:fill="DAE9F7" w:themeFill="text2" w:themeFillTint="1A"/>
            <w:hideMark/>
          </w:tcPr>
          <w:p w14:paraId="27A08269" w14:textId="77777777" w:rsidR="001C55F2" w:rsidRPr="001407D3" w:rsidRDefault="001C55F2" w:rsidP="00873AE6">
            <w:pPr>
              <w:spacing w:before="0" w:after="0" w:line="240" w:lineRule="auto"/>
              <w:jc w:val="center"/>
              <w:rPr>
                <w:b/>
                <w:sz w:val="18"/>
                <w:szCs w:val="18"/>
              </w:rPr>
            </w:pPr>
            <w:r>
              <w:rPr>
                <w:b/>
                <w:sz w:val="18"/>
                <w:szCs w:val="18"/>
              </w:rPr>
              <w:t>31.12.2027</w:t>
            </w:r>
          </w:p>
        </w:tc>
        <w:tc>
          <w:tcPr>
            <w:tcW w:w="1326" w:type="dxa"/>
            <w:shd w:val="clear" w:color="auto" w:fill="DAE9F7" w:themeFill="text2" w:themeFillTint="1A"/>
          </w:tcPr>
          <w:p w14:paraId="53B7B66F" w14:textId="77777777" w:rsidR="001C55F2" w:rsidRPr="004B2B0B" w:rsidRDefault="001C55F2" w:rsidP="00873AE6">
            <w:pPr>
              <w:spacing w:before="0" w:after="0" w:line="240" w:lineRule="auto"/>
              <w:jc w:val="center"/>
              <w:rPr>
                <w:b/>
                <w:sz w:val="18"/>
                <w:szCs w:val="18"/>
              </w:rPr>
            </w:pPr>
            <w:r>
              <w:rPr>
                <w:b/>
                <w:sz w:val="18"/>
                <w:szCs w:val="18"/>
              </w:rPr>
              <w:t>31.12.2028</w:t>
            </w:r>
          </w:p>
        </w:tc>
        <w:tc>
          <w:tcPr>
            <w:tcW w:w="1113" w:type="dxa"/>
            <w:shd w:val="clear" w:color="auto" w:fill="DAE9F7" w:themeFill="text2" w:themeFillTint="1A"/>
          </w:tcPr>
          <w:p w14:paraId="49DE9452" w14:textId="77777777" w:rsidR="001C55F2" w:rsidRDefault="001C55F2" w:rsidP="00873AE6">
            <w:pPr>
              <w:spacing w:before="0" w:after="0" w:line="240" w:lineRule="auto"/>
              <w:jc w:val="center"/>
              <w:rPr>
                <w:b/>
                <w:sz w:val="18"/>
                <w:szCs w:val="18"/>
              </w:rPr>
            </w:pPr>
            <w:r>
              <w:rPr>
                <w:b/>
                <w:sz w:val="18"/>
                <w:szCs w:val="18"/>
              </w:rPr>
              <w:t>31.12.2029</w:t>
            </w:r>
          </w:p>
        </w:tc>
      </w:tr>
      <w:tr w:rsidR="001C55F2" w:rsidRPr="007C5C9E" w14:paraId="46703EE2" w14:textId="77777777" w:rsidTr="001226F0">
        <w:trPr>
          <w:trHeight w:val="360"/>
          <w:jc w:val="right"/>
        </w:trPr>
        <w:tc>
          <w:tcPr>
            <w:tcW w:w="3714" w:type="dxa"/>
            <w:vAlign w:val="center"/>
            <w:hideMark/>
          </w:tcPr>
          <w:p w14:paraId="6B4E5660" w14:textId="77777777" w:rsidR="001C55F2" w:rsidRPr="007C5C9E" w:rsidRDefault="001C55F2" w:rsidP="00873AE6">
            <w:pPr>
              <w:spacing w:before="0" w:after="0" w:line="240" w:lineRule="auto"/>
              <w:ind w:right="92"/>
              <w:jc w:val="both"/>
              <w:rPr>
                <w:sz w:val="18"/>
                <w:szCs w:val="18"/>
                <w:lang w:val="hy-AM"/>
              </w:rPr>
            </w:pPr>
            <w:r w:rsidRPr="007C5C9E">
              <w:rPr>
                <w:sz w:val="18"/>
                <w:szCs w:val="18"/>
              </w:rPr>
              <w:t>ՀՀ կառավարության պարտք, մլրդ դրամ</w:t>
            </w:r>
          </w:p>
        </w:tc>
        <w:tc>
          <w:tcPr>
            <w:tcW w:w="1364" w:type="dxa"/>
            <w:vAlign w:val="center"/>
            <w:hideMark/>
          </w:tcPr>
          <w:p w14:paraId="37549EAE" w14:textId="77777777" w:rsidR="001C55F2" w:rsidRPr="00145CCD" w:rsidRDefault="001C55F2" w:rsidP="00873AE6">
            <w:pPr>
              <w:spacing w:before="0" w:after="0" w:line="240" w:lineRule="auto"/>
              <w:jc w:val="center"/>
              <w:rPr>
                <w:rFonts w:ascii="GHEA Grapalat" w:hAnsi="GHEA Grapalat"/>
                <w:color w:val="auto"/>
                <w:sz w:val="18"/>
                <w:szCs w:val="18"/>
              </w:rPr>
            </w:pPr>
            <w:r w:rsidRPr="00145CCD">
              <w:rPr>
                <w:rFonts w:ascii="GHEA Grapalat" w:hAnsi="GHEA Grapalat"/>
                <w:color w:val="auto"/>
                <w:sz w:val="18"/>
                <w:szCs w:val="18"/>
              </w:rPr>
              <w:t>5,300.0</w:t>
            </w:r>
          </w:p>
        </w:tc>
        <w:tc>
          <w:tcPr>
            <w:tcW w:w="1359" w:type="dxa"/>
            <w:vAlign w:val="center"/>
            <w:hideMark/>
          </w:tcPr>
          <w:p w14:paraId="44585227" w14:textId="77777777" w:rsidR="001C55F2" w:rsidRPr="00145CCD" w:rsidRDefault="001C55F2" w:rsidP="00873AE6">
            <w:pPr>
              <w:spacing w:before="0" w:after="0" w:line="240" w:lineRule="auto"/>
              <w:jc w:val="center"/>
              <w:rPr>
                <w:rFonts w:ascii="GHEA Grapalat" w:hAnsi="GHEA Grapalat"/>
                <w:color w:val="auto"/>
                <w:sz w:val="18"/>
                <w:szCs w:val="18"/>
              </w:rPr>
            </w:pPr>
            <w:r w:rsidRPr="00145CCD">
              <w:rPr>
                <w:rFonts w:ascii="GHEA Grapalat" w:hAnsi="GHEA Grapalat"/>
                <w:color w:val="auto"/>
                <w:sz w:val="18"/>
                <w:szCs w:val="18"/>
              </w:rPr>
              <w:t>5,800.8</w:t>
            </w:r>
          </w:p>
        </w:tc>
        <w:tc>
          <w:tcPr>
            <w:tcW w:w="1364" w:type="dxa"/>
            <w:vAlign w:val="center"/>
            <w:hideMark/>
          </w:tcPr>
          <w:p w14:paraId="0B546CF3" w14:textId="77777777" w:rsidR="001C55F2" w:rsidRPr="00145CCD" w:rsidRDefault="001C55F2" w:rsidP="00873AE6">
            <w:pPr>
              <w:spacing w:before="0" w:after="0" w:line="240" w:lineRule="auto"/>
              <w:jc w:val="center"/>
              <w:rPr>
                <w:rFonts w:ascii="GHEA Grapalat" w:hAnsi="GHEA Grapalat"/>
                <w:color w:val="auto"/>
                <w:sz w:val="18"/>
                <w:szCs w:val="18"/>
              </w:rPr>
            </w:pPr>
            <w:r w:rsidRPr="00145CCD">
              <w:rPr>
                <w:rFonts w:ascii="GHEA Grapalat" w:hAnsi="GHEA Grapalat"/>
                <w:color w:val="auto"/>
                <w:sz w:val="18"/>
                <w:szCs w:val="18"/>
              </w:rPr>
              <w:t>6,447.2</w:t>
            </w:r>
          </w:p>
        </w:tc>
        <w:tc>
          <w:tcPr>
            <w:tcW w:w="1326" w:type="dxa"/>
            <w:vAlign w:val="center"/>
          </w:tcPr>
          <w:p w14:paraId="40E46465" w14:textId="77777777" w:rsidR="001C55F2" w:rsidRPr="00145CCD" w:rsidRDefault="001C55F2" w:rsidP="00873AE6">
            <w:pPr>
              <w:spacing w:before="0" w:after="0" w:line="240" w:lineRule="auto"/>
              <w:jc w:val="center"/>
              <w:rPr>
                <w:rFonts w:ascii="GHEA Grapalat" w:hAnsi="GHEA Grapalat"/>
                <w:color w:val="auto"/>
                <w:sz w:val="18"/>
                <w:szCs w:val="18"/>
              </w:rPr>
            </w:pPr>
            <w:r w:rsidRPr="00145CCD">
              <w:rPr>
                <w:rFonts w:ascii="GHEA Grapalat" w:hAnsi="GHEA Grapalat"/>
                <w:color w:val="auto"/>
                <w:sz w:val="18"/>
                <w:szCs w:val="18"/>
              </w:rPr>
              <w:t>7,035.2</w:t>
            </w:r>
          </w:p>
        </w:tc>
        <w:tc>
          <w:tcPr>
            <w:tcW w:w="1113" w:type="dxa"/>
            <w:vAlign w:val="center"/>
          </w:tcPr>
          <w:p w14:paraId="14EC406C" w14:textId="77777777" w:rsidR="001C55F2" w:rsidRPr="00145CCD" w:rsidRDefault="001C55F2" w:rsidP="00873AE6">
            <w:pPr>
              <w:spacing w:before="0" w:after="0" w:line="240" w:lineRule="auto"/>
              <w:jc w:val="center"/>
              <w:rPr>
                <w:rFonts w:ascii="GHEA Grapalat" w:hAnsi="GHEA Grapalat"/>
                <w:color w:val="auto"/>
                <w:sz w:val="18"/>
                <w:szCs w:val="18"/>
              </w:rPr>
            </w:pPr>
            <w:r w:rsidRPr="00145CCD">
              <w:rPr>
                <w:rFonts w:ascii="GHEA Grapalat" w:hAnsi="GHEA Grapalat"/>
                <w:color w:val="auto"/>
                <w:sz w:val="18"/>
                <w:szCs w:val="18"/>
              </w:rPr>
              <w:t>7,540.6</w:t>
            </w:r>
          </w:p>
        </w:tc>
      </w:tr>
      <w:tr w:rsidR="001C55F2" w:rsidRPr="007C5C9E" w14:paraId="7BDF2B6B" w14:textId="77777777" w:rsidTr="001226F0">
        <w:trPr>
          <w:trHeight w:val="360"/>
          <w:jc w:val="right"/>
        </w:trPr>
        <w:tc>
          <w:tcPr>
            <w:tcW w:w="3714" w:type="dxa"/>
            <w:vAlign w:val="center"/>
            <w:hideMark/>
          </w:tcPr>
          <w:p w14:paraId="5B294129" w14:textId="77777777" w:rsidR="001C55F2" w:rsidRPr="007C5C9E" w:rsidRDefault="001C55F2" w:rsidP="00873AE6">
            <w:pPr>
              <w:spacing w:before="0" w:after="0" w:line="240" w:lineRule="auto"/>
              <w:ind w:right="92"/>
              <w:jc w:val="both"/>
              <w:rPr>
                <w:sz w:val="18"/>
                <w:szCs w:val="18"/>
                <w:lang w:val="hy-AM"/>
              </w:rPr>
            </w:pPr>
            <w:r w:rsidRPr="007C5C9E">
              <w:rPr>
                <w:sz w:val="18"/>
                <w:szCs w:val="18"/>
              </w:rPr>
              <w:t>ՀՀ կառավարության պարտք, մլն ԱՄՆ դոլար</w:t>
            </w:r>
          </w:p>
        </w:tc>
        <w:tc>
          <w:tcPr>
            <w:tcW w:w="1364" w:type="dxa"/>
            <w:vAlign w:val="center"/>
            <w:hideMark/>
          </w:tcPr>
          <w:p w14:paraId="58B5B2A9" w14:textId="77777777" w:rsidR="001C55F2" w:rsidRPr="00145CCD" w:rsidRDefault="001C55F2" w:rsidP="00873AE6">
            <w:pPr>
              <w:spacing w:before="0" w:after="0" w:line="240" w:lineRule="auto"/>
              <w:jc w:val="center"/>
              <w:rPr>
                <w:rFonts w:ascii="GHEA Grapalat" w:hAnsi="GHEA Grapalat"/>
                <w:color w:val="auto"/>
                <w:sz w:val="18"/>
                <w:szCs w:val="18"/>
              </w:rPr>
            </w:pPr>
            <w:r w:rsidRPr="00145CCD">
              <w:rPr>
                <w:rFonts w:ascii="GHEA Grapalat" w:hAnsi="GHEA Grapalat"/>
                <w:color w:val="auto"/>
                <w:sz w:val="18"/>
                <w:szCs w:val="18"/>
              </w:rPr>
              <w:t>13,897.6</w:t>
            </w:r>
          </w:p>
        </w:tc>
        <w:tc>
          <w:tcPr>
            <w:tcW w:w="1359" w:type="dxa"/>
            <w:vAlign w:val="center"/>
            <w:hideMark/>
          </w:tcPr>
          <w:p w14:paraId="4D93E565" w14:textId="77777777" w:rsidR="001C55F2" w:rsidRPr="00145CCD" w:rsidRDefault="001C55F2" w:rsidP="00873AE6">
            <w:pPr>
              <w:spacing w:before="0" w:after="0" w:line="240" w:lineRule="auto"/>
              <w:jc w:val="center"/>
              <w:rPr>
                <w:rFonts w:ascii="GHEA Grapalat" w:hAnsi="GHEA Grapalat"/>
                <w:color w:val="auto"/>
                <w:sz w:val="18"/>
                <w:szCs w:val="18"/>
              </w:rPr>
            </w:pPr>
            <w:r w:rsidRPr="00145CCD">
              <w:rPr>
                <w:rFonts w:ascii="GHEA Grapalat" w:hAnsi="GHEA Grapalat"/>
                <w:color w:val="auto"/>
                <w:sz w:val="18"/>
                <w:szCs w:val="18"/>
              </w:rPr>
              <w:t>14,988.6</w:t>
            </w:r>
          </w:p>
        </w:tc>
        <w:tc>
          <w:tcPr>
            <w:tcW w:w="1364" w:type="dxa"/>
            <w:vAlign w:val="center"/>
            <w:hideMark/>
          </w:tcPr>
          <w:p w14:paraId="3DD43207" w14:textId="77777777" w:rsidR="001C55F2" w:rsidRPr="00145CCD" w:rsidRDefault="001C55F2" w:rsidP="00873AE6">
            <w:pPr>
              <w:spacing w:before="0" w:after="0" w:line="240" w:lineRule="auto"/>
              <w:jc w:val="center"/>
              <w:rPr>
                <w:rFonts w:ascii="GHEA Grapalat" w:hAnsi="GHEA Grapalat"/>
                <w:color w:val="auto"/>
                <w:sz w:val="18"/>
                <w:szCs w:val="18"/>
              </w:rPr>
            </w:pPr>
            <w:r w:rsidRPr="00145CCD">
              <w:rPr>
                <w:rFonts w:ascii="GHEA Grapalat" w:hAnsi="GHEA Grapalat"/>
                <w:color w:val="auto"/>
                <w:sz w:val="18"/>
                <w:szCs w:val="18"/>
              </w:rPr>
              <w:t>16,355.0</w:t>
            </w:r>
          </w:p>
        </w:tc>
        <w:tc>
          <w:tcPr>
            <w:tcW w:w="1326" w:type="dxa"/>
            <w:vAlign w:val="center"/>
          </w:tcPr>
          <w:p w14:paraId="10900452" w14:textId="77777777" w:rsidR="001C55F2" w:rsidRPr="00145CCD" w:rsidRDefault="001C55F2" w:rsidP="00873AE6">
            <w:pPr>
              <w:spacing w:before="0" w:after="0" w:line="240" w:lineRule="auto"/>
              <w:jc w:val="center"/>
              <w:rPr>
                <w:rFonts w:ascii="GHEA Grapalat" w:hAnsi="GHEA Grapalat"/>
                <w:color w:val="auto"/>
                <w:sz w:val="18"/>
                <w:szCs w:val="18"/>
              </w:rPr>
            </w:pPr>
            <w:r w:rsidRPr="00145CCD">
              <w:rPr>
                <w:rFonts w:ascii="GHEA Grapalat" w:hAnsi="GHEA Grapalat"/>
                <w:color w:val="auto"/>
                <w:sz w:val="18"/>
                <w:szCs w:val="18"/>
              </w:rPr>
              <w:t>17,433.4</w:t>
            </w:r>
          </w:p>
        </w:tc>
        <w:tc>
          <w:tcPr>
            <w:tcW w:w="1113" w:type="dxa"/>
            <w:vAlign w:val="center"/>
          </w:tcPr>
          <w:p w14:paraId="00028619" w14:textId="77777777" w:rsidR="001C55F2" w:rsidRPr="00145CCD" w:rsidRDefault="001C55F2" w:rsidP="00873AE6">
            <w:pPr>
              <w:spacing w:before="0" w:after="0" w:line="240" w:lineRule="auto"/>
              <w:jc w:val="center"/>
              <w:rPr>
                <w:rFonts w:ascii="GHEA Grapalat" w:hAnsi="GHEA Grapalat"/>
                <w:color w:val="auto"/>
                <w:sz w:val="18"/>
                <w:szCs w:val="18"/>
              </w:rPr>
            </w:pPr>
            <w:r w:rsidRPr="00145CCD">
              <w:rPr>
                <w:rFonts w:ascii="GHEA Grapalat" w:hAnsi="GHEA Grapalat"/>
                <w:color w:val="auto"/>
                <w:sz w:val="18"/>
                <w:szCs w:val="18"/>
              </w:rPr>
              <w:t>18,249.2</w:t>
            </w:r>
          </w:p>
        </w:tc>
      </w:tr>
      <w:tr w:rsidR="001C55F2" w:rsidRPr="007C5C9E" w14:paraId="50D7AF91" w14:textId="77777777" w:rsidTr="001226F0">
        <w:trPr>
          <w:trHeight w:val="360"/>
          <w:jc w:val="right"/>
        </w:trPr>
        <w:tc>
          <w:tcPr>
            <w:tcW w:w="3714" w:type="dxa"/>
            <w:vAlign w:val="center"/>
            <w:hideMark/>
          </w:tcPr>
          <w:p w14:paraId="3B91ACDF" w14:textId="77777777" w:rsidR="001C55F2" w:rsidRPr="00E7557A" w:rsidRDefault="001C55F2" w:rsidP="00873AE6">
            <w:pPr>
              <w:spacing w:after="0" w:line="240" w:lineRule="auto"/>
              <w:ind w:right="92"/>
              <w:jc w:val="both"/>
              <w:rPr>
                <w:sz w:val="18"/>
                <w:szCs w:val="18"/>
              </w:rPr>
            </w:pPr>
            <w:r w:rsidRPr="00E7557A">
              <w:rPr>
                <w:sz w:val="18"/>
                <w:szCs w:val="18"/>
              </w:rPr>
              <w:t>ՀՀ կառավարության պարտք, % ՀՆԱ-ի նկատմամբ</w:t>
            </w:r>
          </w:p>
        </w:tc>
        <w:tc>
          <w:tcPr>
            <w:tcW w:w="1364" w:type="dxa"/>
            <w:vAlign w:val="center"/>
            <w:hideMark/>
          </w:tcPr>
          <w:p w14:paraId="5EA1B828" w14:textId="77777777" w:rsidR="001C55F2" w:rsidRPr="00145CCD" w:rsidRDefault="001C55F2" w:rsidP="00873AE6">
            <w:pPr>
              <w:spacing w:after="0" w:line="240" w:lineRule="auto"/>
              <w:jc w:val="center"/>
              <w:rPr>
                <w:color w:val="auto"/>
                <w:sz w:val="18"/>
                <w:szCs w:val="18"/>
              </w:rPr>
            </w:pPr>
            <w:r w:rsidRPr="00145CCD">
              <w:rPr>
                <w:rFonts w:ascii="GHEA Grapalat" w:hAnsi="GHEA Grapalat"/>
                <w:color w:val="auto"/>
                <w:sz w:val="18"/>
                <w:szCs w:val="18"/>
              </w:rPr>
              <w:t>46.7</w:t>
            </w:r>
          </w:p>
        </w:tc>
        <w:tc>
          <w:tcPr>
            <w:tcW w:w="1359" w:type="dxa"/>
            <w:vAlign w:val="center"/>
            <w:hideMark/>
          </w:tcPr>
          <w:p w14:paraId="7D22CBDE" w14:textId="77777777" w:rsidR="001C55F2" w:rsidRPr="00145CCD" w:rsidRDefault="001C55F2" w:rsidP="00873AE6">
            <w:pPr>
              <w:spacing w:after="0" w:line="240" w:lineRule="auto"/>
              <w:jc w:val="center"/>
              <w:rPr>
                <w:color w:val="auto"/>
                <w:sz w:val="18"/>
                <w:szCs w:val="18"/>
              </w:rPr>
            </w:pPr>
            <w:r w:rsidRPr="00145CCD">
              <w:rPr>
                <w:rFonts w:ascii="GHEA Grapalat" w:hAnsi="GHEA Grapalat"/>
                <w:color w:val="auto"/>
                <w:sz w:val="18"/>
                <w:szCs w:val="18"/>
              </w:rPr>
              <w:t>46.5</w:t>
            </w:r>
          </w:p>
        </w:tc>
        <w:tc>
          <w:tcPr>
            <w:tcW w:w="1364" w:type="dxa"/>
            <w:vAlign w:val="center"/>
            <w:hideMark/>
          </w:tcPr>
          <w:p w14:paraId="3AF3EEB9" w14:textId="77777777" w:rsidR="001C55F2" w:rsidRPr="00145CCD" w:rsidRDefault="001C55F2" w:rsidP="00873AE6">
            <w:pPr>
              <w:spacing w:after="0" w:line="240" w:lineRule="auto"/>
              <w:jc w:val="center"/>
              <w:rPr>
                <w:color w:val="auto"/>
                <w:sz w:val="18"/>
                <w:szCs w:val="18"/>
              </w:rPr>
            </w:pPr>
            <w:r w:rsidRPr="00145CCD">
              <w:rPr>
                <w:rFonts w:ascii="GHEA Grapalat" w:hAnsi="GHEA Grapalat"/>
                <w:color w:val="auto"/>
                <w:sz w:val="18"/>
                <w:szCs w:val="18"/>
              </w:rPr>
              <w:t>47.4</w:t>
            </w:r>
          </w:p>
        </w:tc>
        <w:tc>
          <w:tcPr>
            <w:tcW w:w="1326" w:type="dxa"/>
            <w:vAlign w:val="center"/>
          </w:tcPr>
          <w:p w14:paraId="3B19F86A" w14:textId="77777777" w:rsidR="001C55F2" w:rsidRPr="00145CCD" w:rsidRDefault="001C55F2" w:rsidP="00873AE6">
            <w:pPr>
              <w:spacing w:after="0" w:line="240" w:lineRule="auto"/>
              <w:jc w:val="center"/>
              <w:rPr>
                <w:color w:val="auto"/>
                <w:sz w:val="18"/>
                <w:szCs w:val="18"/>
              </w:rPr>
            </w:pPr>
            <w:r w:rsidRPr="00145CCD">
              <w:rPr>
                <w:rFonts w:ascii="GHEA Grapalat" w:hAnsi="GHEA Grapalat"/>
                <w:color w:val="auto"/>
                <w:sz w:val="18"/>
                <w:szCs w:val="18"/>
              </w:rPr>
              <w:t>47.3</w:t>
            </w:r>
          </w:p>
        </w:tc>
        <w:tc>
          <w:tcPr>
            <w:tcW w:w="1113" w:type="dxa"/>
            <w:vAlign w:val="center"/>
          </w:tcPr>
          <w:p w14:paraId="6E5BBFBD" w14:textId="77777777" w:rsidR="001C55F2" w:rsidRPr="00145CCD" w:rsidRDefault="001C55F2" w:rsidP="00873AE6">
            <w:pPr>
              <w:spacing w:after="0" w:line="240" w:lineRule="auto"/>
              <w:jc w:val="center"/>
              <w:rPr>
                <w:color w:val="auto"/>
                <w:sz w:val="18"/>
                <w:szCs w:val="18"/>
              </w:rPr>
            </w:pPr>
            <w:r w:rsidRPr="00145CCD">
              <w:rPr>
                <w:rFonts w:ascii="GHEA Grapalat" w:hAnsi="GHEA Grapalat"/>
                <w:color w:val="auto"/>
                <w:sz w:val="18"/>
                <w:szCs w:val="18"/>
              </w:rPr>
              <w:t>46.4</w:t>
            </w:r>
          </w:p>
        </w:tc>
      </w:tr>
    </w:tbl>
    <w:p w14:paraId="7D773BE4" w14:textId="77777777" w:rsidR="001C55F2" w:rsidRPr="00557B8B" w:rsidRDefault="001C55F2" w:rsidP="001C55F2">
      <w:pPr>
        <w:pStyle w:val="BodyText1"/>
        <w:ind w:left="0"/>
        <w:contextualSpacing/>
        <w:rPr>
          <w:lang w:val="hy-AM"/>
        </w:rPr>
      </w:pPr>
      <w:bookmarkStart w:id="443" w:name="_Toc178350629"/>
      <w:bookmarkStart w:id="444" w:name="_Toc178612154"/>
      <w:bookmarkStart w:id="445" w:name="_Toc184110780"/>
      <w:r>
        <w:rPr>
          <w:lang w:val="hy-AM"/>
        </w:rPr>
        <w:t>Պարտքը</w:t>
      </w:r>
      <w:r w:rsidRPr="00557B8B">
        <w:rPr>
          <w:lang w:val="hy-AM"/>
        </w:rPr>
        <w:t xml:space="preserve"> կառավարելի մակարդակում պահպանմանը զուգահեռ ՀՀ կառավարությունը կշարունակի պարտքի պորտֆելի բարելավման ջանքերը՝ նպատակ ունենալով պահպանել դիմակայունությունը հնարավոր ցնցումներին, </w:t>
      </w:r>
      <w:r w:rsidRPr="00DE541A">
        <w:rPr>
          <w:lang w:val="hy-AM"/>
        </w:rPr>
        <w:t xml:space="preserve">ապահովել </w:t>
      </w:r>
      <w:r w:rsidRPr="00557B8B">
        <w:rPr>
          <w:lang w:val="hy-AM"/>
        </w:rPr>
        <w:t>պետական պարտատոմսերի շուկայի շարունակական զարգաց</w:t>
      </w:r>
      <w:r w:rsidRPr="00DE541A">
        <w:rPr>
          <w:lang w:val="hy-AM"/>
        </w:rPr>
        <w:t>ում</w:t>
      </w:r>
      <w:r w:rsidRPr="00557B8B">
        <w:rPr>
          <w:lang w:val="hy-AM"/>
        </w:rPr>
        <w:t xml:space="preserve">ը և խորացումը, մշտական հասանելիությունը ներքին ու արտաքին ֆինանսական շուկաներին, ինչպես նաև ֆինանսավորման աղբյուրների ու գործիքների դիվերսիֆիկացումը: </w:t>
      </w:r>
    </w:p>
    <w:p w14:paraId="6241A172" w14:textId="77777777" w:rsidR="001C55F2" w:rsidRPr="00557B8B" w:rsidRDefault="001C55F2" w:rsidP="001C55F2">
      <w:pPr>
        <w:pStyle w:val="BodyText1"/>
        <w:ind w:left="0"/>
        <w:contextualSpacing/>
        <w:rPr>
          <w:lang w:val="hy-AM"/>
        </w:rPr>
      </w:pPr>
      <w:r w:rsidRPr="00557B8B">
        <w:rPr>
          <w:lang w:val="hy-AM"/>
        </w:rPr>
        <w:t>Այս տեսանկյունից ՀՀ կառավարության պարտքի կառուցվածքում ներքին արժույթով պարտքը կշարունակի պահպանվել պատմականորեն բարձր մակարդակներում, կշարունակվեն արտաքին ներդրողների մոտ պարտատոմսերի շուկայի գրավչության պահպանման ջանքերը, ինչպես նաև կընդլայնվի միջազգային ֆինանսական կառույցների հետ համագործակցությունը: Կառավարության պարտքը կունենա հետևյալ կառուցվածքը.</w:t>
      </w:r>
    </w:p>
    <w:p w14:paraId="0ADB89EE" w14:textId="77777777" w:rsidR="001C55F2" w:rsidRPr="00787B5A" w:rsidRDefault="001C55F2" w:rsidP="00787B5A">
      <w:pPr>
        <w:pStyle w:val="TableTitleCharCharCharCharCharCharCharCharCharChar11"/>
        <w:ind w:right="-22"/>
        <w:rPr>
          <w:rFonts w:ascii="Sylfaen" w:eastAsia="Times New Roman" w:hAnsi="Sylfaen" w:cs="Sylfaen"/>
          <w:color w:val="auto"/>
          <w:lang w:val="hy-AM"/>
        </w:rPr>
      </w:pPr>
      <w:r w:rsidRPr="00787B5A">
        <w:rPr>
          <w:rFonts w:ascii="Sylfaen" w:eastAsia="Times New Roman" w:hAnsi="Sylfaen" w:cs="Sylfaen"/>
          <w:color w:val="auto"/>
          <w:lang w:val="hy-AM"/>
        </w:rPr>
        <w:t>Աղյուսակ 20. Կառավարության պարտքի կառուցվածքը</w:t>
      </w:r>
      <w:bookmarkEnd w:id="443"/>
      <w:bookmarkEnd w:id="444"/>
      <w:bookmarkEnd w:id="445"/>
    </w:p>
    <w:tbl>
      <w:tblPr>
        <w:tblW w:w="10919" w:type="dxa"/>
        <w:tblInd w:w="-455" w:type="dxa"/>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ayout w:type="fixed"/>
        <w:tblLook w:val="04A0" w:firstRow="1" w:lastRow="0" w:firstColumn="1" w:lastColumn="0" w:noHBand="0" w:noVBand="1"/>
      </w:tblPr>
      <w:tblGrid>
        <w:gridCol w:w="4151"/>
        <w:gridCol w:w="1353"/>
        <w:gridCol w:w="1443"/>
        <w:gridCol w:w="1536"/>
        <w:gridCol w:w="1173"/>
        <w:gridCol w:w="1263"/>
      </w:tblGrid>
      <w:tr w:rsidR="001C55F2" w:rsidRPr="001407D3" w14:paraId="1A179B4A" w14:textId="77777777" w:rsidTr="001226F0">
        <w:trPr>
          <w:trHeight w:val="256"/>
          <w:tblHeader/>
        </w:trPr>
        <w:tc>
          <w:tcPr>
            <w:tcW w:w="4151" w:type="dxa"/>
            <w:shd w:val="clear" w:color="auto" w:fill="auto"/>
            <w:hideMark/>
          </w:tcPr>
          <w:p w14:paraId="23471813" w14:textId="77777777" w:rsidR="001C55F2" w:rsidRPr="001407D3" w:rsidRDefault="001C55F2" w:rsidP="00873AE6">
            <w:pPr>
              <w:spacing w:before="0" w:after="0" w:line="240" w:lineRule="auto"/>
              <w:jc w:val="both"/>
              <w:rPr>
                <w:sz w:val="18"/>
                <w:szCs w:val="18"/>
                <w:lang w:val="hy-AM"/>
              </w:rPr>
            </w:pPr>
            <w:r w:rsidRPr="001407D3">
              <w:rPr>
                <w:rFonts w:ascii="Calibri" w:hAnsi="Calibri" w:cs="Calibri"/>
                <w:sz w:val="18"/>
                <w:szCs w:val="18"/>
                <w:lang w:val="hy-AM"/>
              </w:rPr>
              <w:t> </w:t>
            </w:r>
          </w:p>
        </w:tc>
        <w:tc>
          <w:tcPr>
            <w:tcW w:w="1353" w:type="dxa"/>
            <w:shd w:val="clear" w:color="auto" w:fill="auto"/>
            <w:hideMark/>
          </w:tcPr>
          <w:p w14:paraId="7973559C" w14:textId="77777777" w:rsidR="001C55F2" w:rsidRPr="00557B8B" w:rsidRDefault="001C55F2" w:rsidP="00873AE6">
            <w:pPr>
              <w:spacing w:before="0" w:after="0" w:line="240" w:lineRule="auto"/>
              <w:jc w:val="center"/>
              <w:rPr>
                <w:b/>
                <w:sz w:val="18"/>
                <w:szCs w:val="18"/>
                <w:lang w:val="hy-AM" w:eastAsia="ru-RU"/>
              </w:rPr>
            </w:pPr>
            <w:r>
              <w:rPr>
                <w:b/>
                <w:sz w:val="18"/>
                <w:szCs w:val="18"/>
              </w:rPr>
              <w:t>31.12.2025</w:t>
            </w:r>
          </w:p>
        </w:tc>
        <w:tc>
          <w:tcPr>
            <w:tcW w:w="1443" w:type="dxa"/>
            <w:shd w:val="clear" w:color="auto" w:fill="auto"/>
            <w:hideMark/>
          </w:tcPr>
          <w:p w14:paraId="58A8312A" w14:textId="77777777" w:rsidR="001C55F2" w:rsidRPr="001407D3" w:rsidRDefault="001C55F2" w:rsidP="00873AE6">
            <w:pPr>
              <w:spacing w:before="0" w:after="0" w:line="240" w:lineRule="auto"/>
              <w:jc w:val="center"/>
              <w:rPr>
                <w:b/>
                <w:sz w:val="18"/>
                <w:szCs w:val="18"/>
              </w:rPr>
            </w:pPr>
            <w:r>
              <w:rPr>
                <w:b/>
                <w:sz w:val="18"/>
                <w:szCs w:val="18"/>
              </w:rPr>
              <w:t>31.12.2026</w:t>
            </w:r>
          </w:p>
        </w:tc>
        <w:tc>
          <w:tcPr>
            <w:tcW w:w="1536" w:type="dxa"/>
            <w:shd w:val="clear" w:color="auto" w:fill="auto"/>
            <w:hideMark/>
          </w:tcPr>
          <w:p w14:paraId="4772FCE3" w14:textId="77777777" w:rsidR="001C55F2" w:rsidRPr="001407D3" w:rsidRDefault="001C55F2" w:rsidP="00873AE6">
            <w:pPr>
              <w:spacing w:before="0" w:after="0" w:line="240" w:lineRule="auto"/>
              <w:jc w:val="center"/>
              <w:rPr>
                <w:b/>
                <w:sz w:val="18"/>
                <w:szCs w:val="18"/>
              </w:rPr>
            </w:pPr>
            <w:r>
              <w:rPr>
                <w:b/>
                <w:sz w:val="18"/>
                <w:szCs w:val="18"/>
              </w:rPr>
              <w:t>31.12.2027</w:t>
            </w:r>
          </w:p>
        </w:tc>
        <w:tc>
          <w:tcPr>
            <w:tcW w:w="1173" w:type="dxa"/>
          </w:tcPr>
          <w:p w14:paraId="215C6822" w14:textId="77777777" w:rsidR="001C55F2" w:rsidRDefault="001C55F2" w:rsidP="00873AE6">
            <w:pPr>
              <w:spacing w:before="0" w:after="0" w:line="240" w:lineRule="auto"/>
              <w:jc w:val="center"/>
              <w:rPr>
                <w:b/>
                <w:sz w:val="18"/>
                <w:szCs w:val="18"/>
              </w:rPr>
            </w:pPr>
            <w:r>
              <w:rPr>
                <w:b/>
                <w:sz w:val="18"/>
                <w:szCs w:val="18"/>
              </w:rPr>
              <w:t>31.12.2028</w:t>
            </w:r>
          </w:p>
        </w:tc>
        <w:tc>
          <w:tcPr>
            <w:tcW w:w="1263" w:type="dxa"/>
          </w:tcPr>
          <w:p w14:paraId="7113A7C1" w14:textId="77777777" w:rsidR="001C55F2" w:rsidRDefault="001C55F2" w:rsidP="00873AE6">
            <w:pPr>
              <w:spacing w:before="0" w:after="0" w:line="240" w:lineRule="auto"/>
              <w:jc w:val="center"/>
              <w:rPr>
                <w:b/>
                <w:sz w:val="18"/>
                <w:szCs w:val="18"/>
              </w:rPr>
            </w:pPr>
            <w:r>
              <w:rPr>
                <w:b/>
                <w:sz w:val="18"/>
                <w:szCs w:val="18"/>
              </w:rPr>
              <w:t>31.12.2029</w:t>
            </w:r>
          </w:p>
        </w:tc>
      </w:tr>
      <w:tr w:rsidR="001C55F2" w:rsidRPr="001407D3" w14:paraId="0C1414AE" w14:textId="77777777" w:rsidTr="006422CA">
        <w:trPr>
          <w:trHeight w:val="256"/>
        </w:trPr>
        <w:tc>
          <w:tcPr>
            <w:tcW w:w="10919" w:type="dxa"/>
            <w:gridSpan w:val="6"/>
            <w:shd w:val="clear" w:color="auto" w:fill="DAE9F7" w:themeFill="text2" w:themeFillTint="1A"/>
            <w:vAlign w:val="center"/>
          </w:tcPr>
          <w:p w14:paraId="16AD293F" w14:textId="77777777" w:rsidR="001C55F2" w:rsidRPr="001407D3" w:rsidRDefault="001C55F2" w:rsidP="00873AE6">
            <w:pPr>
              <w:spacing w:before="0" w:after="0" w:line="240" w:lineRule="auto"/>
              <w:rPr>
                <w:sz w:val="18"/>
                <w:szCs w:val="18"/>
                <w:lang w:val="hy-AM"/>
              </w:rPr>
            </w:pPr>
            <w:r w:rsidRPr="001407D3">
              <w:rPr>
                <w:sz w:val="18"/>
                <w:szCs w:val="18"/>
                <w:lang w:val="hy-AM"/>
              </w:rPr>
              <w:t>Կառուցվածքն ըստ ռեզիդենտության, մլրդ դրամ*</w:t>
            </w:r>
          </w:p>
        </w:tc>
      </w:tr>
      <w:tr w:rsidR="001C55F2" w:rsidRPr="001407D3" w14:paraId="6383F4B3" w14:textId="77777777" w:rsidTr="001226F0">
        <w:trPr>
          <w:trHeight w:val="256"/>
        </w:trPr>
        <w:tc>
          <w:tcPr>
            <w:tcW w:w="4151" w:type="dxa"/>
            <w:vAlign w:val="center"/>
            <w:hideMark/>
          </w:tcPr>
          <w:p w14:paraId="796A12ED" w14:textId="77777777" w:rsidR="001C55F2" w:rsidRPr="001407D3" w:rsidRDefault="001C55F2" w:rsidP="00873AE6">
            <w:pPr>
              <w:spacing w:before="0" w:after="0" w:line="240" w:lineRule="auto"/>
              <w:jc w:val="both"/>
              <w:rPr>
                <w:sz w:val="18"/>
                <w:szCs w:val="18"/>
              </w:rPr>
            </w:pPr>
            <w:r w:rsidRPr="001407D3">
              <w:rPr>
                <w:sz w:val="18"/>
                <w:szCs w:val="18"/>
              </w:rPr>
              <w:t>ներքին պարտք</w:t>
            </w:r>
          </w:p>
        </w:tc>
        <w:tc>
          <w:tcPr>
            <w:tcW w:w="1353" w:type="dxa"/>
            <w:vAlign w:val="center"/>
            <w:hideMark/>
          </w:tcPr>
          <w:p w14:paraId="75650561" w14:textId="77777777" w:rsidR="001C55F2" w:rsidRPr="00145CCD" w:rsidRDefault="001C55F2" w:rsidP="00873AE6">
            <w:pPr>
              <w:spacing w:before="0" w:after="0" w:line="240" w:lineRule="auto"/>
              <w:jc w:val="center"/>
              <w:rPr>
                <w:color w:val="auto"/>
                <w:sz w:val="18"/>
                <w:szCs w:val="18"/>
              </w:rPr>
            </w:pPr>
            <w:r w:rsidRPr="00145CCD">
              <w:rPr>
                <w:rFonts w:ascii="GHEA Grapalat" w:hAnsi="GHEA Grapalat"/>
                <w:color w:val="auto"/>
                <w:sz w:val="18"/>
                <w:szCs w:val="18"/>
              </w:rPr>
              <w:t>2,806.2</w:t>
            </w:r>
          </w:p>
        </w:tc>
        <w:tc>
          <w:tcPr>
            <w:tcW w:w="1443" w:type="dxa"/>
            <w:vAlign w:val="center"/>
            <w:hideMark/>
          </w:tcPr>
          <w:p w14:paraId="3F8C6109" w14:textId="77777777" w:rsidR="001C55F2" w:rsidRPr="00145CCD" w:rsidRDefault="001C55F2" w:rsidP="00873AE6">
            <w:pPr>
              <w:spacing w:before="0" w:after="0" w:line="240" w:lineRule="auto"/>
              <w:jc w:val="center"/>
              <w:rPr>
                <w:color w:val="auto"/>
                <w:sz w:val="18"/>
                <w:szCs w:val="18"/>
              </w:rPr>
            </w:pPr>
            <w:r w:rsidRPr="00145CCD">
              <w:rPr>
                <w:rFonts w:ascii="GHEA Grapalat" w:hAnsi="GHEA Grapalat"/>
                <w:color w:val="auto"/>
                <w:sz w:val="18"/>
                <w:szCs w:val="18"/>
              </w:rPr>
              <w:t>3,123.7</w:t>
            </w:r>
          </w:p>
        </w:tc>
        <w:tc>
          <w:tcPr>
            <w:tcW w:w="1536" w:type="dxa"/>
            <w:vAlign w:val="center"/>
            <w:hideMark/>
          </w:tcPr>
          <w:p w14:paraId="0773676C" w14:textId="77777777" w:rsidR="001C55F2" w:rsidRPr="00145CCD" w:rsidRDefault="001C55F2" w:rsidP="00873AE6">
            <w:pPr>
              <w:spacing w:before="0" w:after="0" w:line="240" w:lineRule="auto"/>
              <w:jc w:val="center"/>
              <w:rPr>
                <w:color w:val="auto"/>
                <w:sz w:val="18"/>
                <w:szCs w:val="18"/>
              </w:rPr>
            </w:pPr>
            <w:r w:rsidRPr="00145CCD">
              <w:rPr>
                <w:rFonts w:ascii="GHEA Grapalat" w:hAnsi="GHEA Grapalat"/>
                <w:color w:val="auto"/>
                <w:sz w:val="18"/>
                <w:szCs w:val="18"/>
              </w:rPr>
              <w:t>3,388.9</w:t>
            </w:r>
          </w:p>
        </w:tc>
        <w:tc>
          <w:tcPr>
            <w:tcW w:w="1173" w:type="dxa"/>
            <w:vAlign w:val="center"/>
          </w:tcPr>
          <w:p w14:paraId="715342D8" w14:textId="77777777" w:rsidR="001C55F2" w:rsidRPr="00145CCD" w:rsidRDefault="001C55F2" w:rsidP="00873AE6">
            <w:pPr>
              <w:spacing w:before="0" w:after="0" w:line="240" w:lineRule="auto"/>
              <w:jc w:val="center"/>
              <w:rPr>
                <w:color w:val="auto"/>
                <w:sz w:val="18"/>
                <w:szCs w:val="18"/>
              </w:rPr>
            </w:pPr>
            <w:r w:rsidRPr="00145CCD">
              <w:rPr>
                <w:rFonts w:ascii="GHEA Grapalat" w:hAnsi="GHEA Grapalat"/>
                <w:color w:val="auto"/>
                <w:sz w:val="18"/>
                <w:szCs w:val="18"/>
              </w:rPr>
              <w:t>3,625.5</w:t>
            </w:r>
          </w:p>
        </w:tc>
        <w:tc>
          <w:tcPr>
            <w:tcW w:w="1263" w:type="dxa"/>
            <w:vAlign w:val="center"/>
          </w:tcPr>
          <w:p w14:paraId="2238438B" w14:textId="77777777" w:rsidR="001C55F2" w:rsidRPr="00145CCD" w:rsidRDefault="001C55F2" w:rsidP="00873AE6">
            <w:pPr>
              <w:spacing w:before="0" w:after="0" w:line="240" w:lineRule="auto"/>
              <w:jc w:val="center"/>
              <w:rPr>
                <w:color w:val="auto"/>
                <w:sz w:val="18"/>
                <w:szCs w:val="18"/>
              </w:rPr>
            </w:pPr>
            <w:r w:rsidRPr="00145CCD">
              <w:rPr>
                <w:rFonts w:ascii="GHEA Grapalat" w:hAnsi="GHEA Grapalat"/>
                <w:color w:val="auto"/>
                <w:sz w:val="18"/>
                <w:szCs w:val="18"/>
              </w:rPr>
              <w:t>3,849.0</w:t>
            </w:r>
          </w:p>
        </w:tc>
      </w:tr>
      <w:tr w:rsidR="001C55F2" w:rsidRPr="001407D3" w14:paraId="0FB13CD5" w14:textId="77777777" w:rsidTr="001226F0">
        <w:trPr>
          <w:trHeight w:val="256"/>
        </w:trPr>
        <w:tc>
          <w:tcPr>
            <w:tcW w:w="4151" w:type="dxa"/>
            <w:vAlign w:val="center"/>
            <w:hideMark/>
          </w:tcPr>
          <w:p w14:paraId="584F62A0" w14:textId="77777777" w:rsidR="001C55F2" w:rsidRPr="001407D3" w:rsidRDefault="001C55F2" w:rsidP="00873AE6">
            <w:pPr>
              <w:spacing w:before="0" w:after="0" w:line="240" w:lineRule="auto"/>
              <w:jc w:val="both"/>
              <w:rPr>
                <w:sz w:val="18"/>
                <w:szCs w:val="18"/>
                <w:lang w:val="hy-AM"/>
              </w:rPr>
            </w:pPr>
            <w:r w:rsidRPr="001407D3">
              <w:rPr>
                <w:sz w:val="18"/>
                <w:szCs w:val="18"/>
              </w:rPr>
              <w:t>արտաքին պարտք</w:t>
            </w:r>
          </w:p>
        </w:tc>
        <w:tc>
          <w:tcPr>
            <w:tcW w:w="1353" w:type="dxa"/>
            <w:vAlign w:val="center"/>
            <w:hideMark/>
          </w:tcPr>
          <w:p w14:paraId="788767AB" w14:textId="77777777" w:rsidR="001C55F2" w:rsidRPr="00145CCD" w:rsidRDefault="001C55F2" w:rsidP="00873AE6">
            <w:pPr>
              <w:spacing w:before="0" w:after="0" w:line="240" w:lineRule="auto"/>
              <w:jc w:val="center"/>
              <w:rPr>
                <w:color w:val="auto"/>
                <w:sz w:val="18"/>
                <w:szCs w:val="18"/>
              </w:rPr>
            </w:pPr>
            <w:r w:rsidRPr="00145CCD">
              <w:rPr>
                <w:rFonts w:ascii="GHEA Grapalat" w:hAnsi="GHEA Grapalat"/>
                <w:color w:val="auto"/>
                <w:sz w:val="18"/>
                <w:szCs w:val="18"/>
              </w:rPr>
              <w:t>2,493.8</w:t>
            </w:r>
          </w:p>
        </w:tc>
        <w:tc>
          <w:tcPr>
            <w:tcW w:w="1443" w:type="dxa"/>
            <w:vAlign w:val="center"/>
            <w:hideMark/>
          </w:tcPr>
          <w:p w14:paraId="7DA0F943" w14:textId="77777777" w:rsidR="001C55F2" w:rsidRPr="00145CCD" w:rsidRDefault="001C55F2" w:rsidP="00873AE6">
            <w:pPr>
              <w:spacing w:before="0" w:after="0" w:line="240" w:lineRule="auto"/>
              <w:jc w:val="center"/>
              <w:rPr>
                <w:color w:val="auto"/>
                <w:sz w:val="18"/>
                <w:szCs w:val="18"/>
              </w:rPr>
            </w:pPr>
            <w:r w:rsidRPr="00145CCD">
              <w:rPr>
                <w:rFonts w:ascii="GHEA Grapalat" w:hAnsi="GHEA Grapalat"/>
                <w:color w:val="auto"/>
                <w:sz w:val="18"/>
                <w:szCs w:val="18"/>
              </w:rPr>
              <w:t>2,677.1</w:t>
            </w:r>
          </w:p>
        </w:tc>
        <w:tc>
          <w:tcPr>
            <w:tcW w:w="1536" w:type="dxa"/>
            <w:vAlign w:val="center"/>
            <w:hideMark/>
          </w:tcPr>
          <w:p w14:paraId="23878025" w14:textId="77777777" w:rsidR="001C55F2" w:rsidRPr="00145CCD" w:rsidRDefault="001C55F2" w:rsidP="00873AE6">
            <w:pPr>
              <w:spacing w:before="0" w:after="0" w:line="240" w:lineRule="auto"/>
              <w:jc w:val="center"/>
              <w:rPr>
                <w:color w:val="auto"/>
                <w:sz w:val="18"/>
                <w:szCs w:val="18"/>
              </w:rPr>
            </w:pPr>
            <w:r w:rsidRPr="00145CCD">
              <w:rPr>
                <w:rFonts w:ascii="GHEA Grapalat" w:hAnsi="GHEA Grapalat"/>
                <w:color w:val="auto"/>
                <w:sz w:val="18"/>
                <w:szCs w:val="18"/>
              </w:rPr>
              <w:t>3,058.3</w:t>
            </w:r>
          </w:p>
        </w:tc>
        <w:tc>
          <w:tcPr>
            <w:tcW w:w="1173" w:type="dxa"/>
            <w:vAlign w:val="center"/>
          </w:tcPr>
          <w:p w14:paraId="204BC836" w14:textId="77777777" w:rsidR="001C55F2" w:rsidRPr="00145CCD" w:rsidRDefault="001C55F2" w:rsidP="00873AE6">
            <w:pPr>
              <w:spacing w:before="0" w:after="0" w:line="240" w:lineRule="auto"/>
              <w:jc w:val="center"/>
              <w:rPr>
                <w:color w:val="auto"/>
                <w:sz w:val="18"/>
                <w:szCs w:val="18"/>
              </w:rPr>
            </w:pPr>
            <w:r w:rsidRPr="00145CCD">
              <w:rPr>
                <w:rFonts w:ascii="GHEA Grapalat" w:hAnsi="GHEA Grapalat"/>
                <w:color w:val="auto"/>
                <w:sz w:val="18"/>
                <w:szCs w:val="18"/>
              </w:rPr>
              <w:t>3,409.7</w:t>
            </w:r>
          </w:p>
        </w:tc>
        <w:tc>
          <w:tcPr>
            <w:tcW w:w="1263" w:type="dxa"/>
            <w:vAlign w:val="center"/>
          </w:tcPr>
          <w:p w14:paraId="164C7F02" w14:textId="77777777" w:rsidR="001C55F2" w:rsidRPr="00145CCD" w:rsidRDefault="001C55F2" w:rsidP="00873AE6">
            <w:pPr>
              <w:spacing w:before="0" w:after="0" w:line="240" w:lineRule="auto"/>
              <w:jc w:val="center"/>
              <w:rPr>
                <w:color w:val="auto"/>
                <w:sz w:val="18"/>
                <w:szCs w:val="18"/>
              </w:rPr>
            </w:pPr>
            <w:r w:rsidRPr="00145CCD">
              <w:rPr>
                <w:rFonts w:ascii="GHEA Grapalat" w:hAnsi="GHEA Grapalat"/>
                <w:color w:val="auto"/>
                <w:sz w:val="18"/>
                <w:szCs w:val="18"/>
              </w:rPr>
              <w:t>3,691.6</w:t>
            </w:r>
          </w:p>
        </w:tc>
      </w:tr>
      <w:tr w:rsidR="001C55F2" w:rsidRPr="001407D3" w14:paraId="707BB058" w14:textId="77777777" w:rsidTr="006422CA">
        <w:trPr>
          <w:trHeight w:val="256"/>
        </w:trPr>
        <w:tc>
          <w:tcPr>
            <w:tcW w:w="8483" w:type="dxa"/>
            <w:gridSpan w:val="4"/>
            <w:shd w:val="clear" w:color="auto" w:fill="DAE9F7" w:themeFill="text2" w:themeFillTint="1A"/>
            <w:vAlign w:val="center"/>
          </w:tcPr>
          <w:p w14:paraId="1D776756" w14:textId="77777777" w:rsidR="001C55F2" w:rsidRPr="001407D3" w:rsidRDefault="001C55F2" w:rsidP="00873AE6">
            <w:pPr>
              <w:spacing w:before="0" w:after="0" w:line="240" w:lineRule="auto"/>
              <w:rPr>
                <w:sz w:val="18"/>
                <w:szCs w:val="18"/>
              </w:rPr>
            </w:pPr>
            <w:r w:rsidRPr="001407D3">
              <w:rPr>
                <w:sz w:val="18"/>
                <w:szCs w:val="18"/>
              </w:rPr>
              <w:t>Կառուցվածքն ըստ գործիքակազմի, մլրդ դրամ</w:t>
            </w:r>
          </w:p>
        </w:tc>
        <w:tc>
          <w:tcPr>
            <w:tcW w:w="1173" w:type="dxa"/>
            <w:shd w:val="clear" w:color="auto" w:fill="DAE9F7" w:themeFill="text2" w:themeFillTint="1A"/>
          </w:tcPr>
          <w:p w14:paraId="08C40B50" w14:textId="77777777" w:rsidR="001C55F2" w:rsidRPr="001407D3" w:rsidRDefault="001C55F2" w:rsidP="00873AE6">
            <w:pPr>
              <w:spacing w:before="0" w:after="0" w:line="240" w:lineRule="auto"/>
              <w:rPr>
                <w:sz w:val="18"/>
                <w:szCs w:val="18"/>
              </w:rPr>
            </w:pPr>
          </w:p>
        </w:tc>
        <w:tc>
          <w:tcPr>
            <w:tcW w:w="1263" w:type="dxa"/>
            <w:shd w:val="clear" w:color="auto" w:fill="DAE9F7" w:themeFill="text2" w:themeFillTint="1A"/>
          </w:tcPr>
          <w:p w14:paraId="63F2B0F6" w14:textId="77777777" w:rsidR="001C55F2" w:rsidRPr="001407D3" w:rsidRDefault="001C55F2" w:rsidP="00873AE6">
            <w:pPr>
              <w:spacing w:before="0" w:after="0" w:line="240" w:lineRule="auto"/>
              <w:rPr>
                <w:sz w:val="18"/>
                <w:szCs w:val="18"/>
              </w:rPr>
            </w:pPr>
          </w:p>
        </w:tc>
      </w:tr>
      <w:tr w:rsidR="001C55F2" w:rsidRPr="001407D3" w14:paraId="1D1920AC" w14:textId="77777777" w:rsidTr="001226F0">
        <w:trPr>
          <w:trHeight w:val="256"/>
        </w:trPr>
        <w:tc>
          <w:tcPr>
            <w:tcW w:w="4151" w:type="dxa"/>
            <w:vAlign w:val="center"/>
            <w:hideMark/>
          </w:tcPr>
          <w:p w14:paraId="54291E26" w14:textId="77777777" w:rsidR="001C55F2" w:rsidRPr="001407D3" w:rsidRDefault="001C55F2" w:rsidP="00873AE6">
            <w:pPr>
              <w:spacing w:before="0" w:after="0" w:line="240" w:lineRule="auto"/>
              <w:rPr>
                <w:sz w:val="18"/>
                <w:szCs w:val="18"/>
              </w:rPr>
            </w:pPr>
            <w:r w:rsidRPr="001407D3">
              <w:rPr>
                <w:sz w:val="18"/>
                <w:szCs w:val="18"/>
              </w:rPr>
              <w:t>արտաքին վարկեր և փոխառություններ</w:t>
            </w:r>
          </w:p>
        </w:tc>
        <w:tc>
          <w:tcPr>
            <w:tcW w:w="1353" w:type="dxa"/>
            <w:vAlign w:val="center"/>
            <w:hideMark/>
          </w:tcPr>
          <w:p w14:paraId="48766D26"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1,754.5</w:t>
            </w:r>
          </w:p>
        </w:tc>
        <w:tc>
          <w:tcPr>
            <w:tcW w:w="1443" w:type="dxa"/>
            <w:vAlign w:val="center"/>
            <w:hideMark/>
          </w:tcPr>
          <w:p w14:paraId="02462060"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1,934.5</w:t>
            </w:r>
          </w:p>
        </w:tc>
        <w:tc>
          <w:tcPr>
            <w:tcW w:w="1536" w:type="dxa"/>
            <w:vAlign w:val="center"/>
            <w:hideMark/>
          </w:tcPr>
          <w:p w14:paraId="5754C6FC"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2,291.5</w:t>
            </w:r>
          </w:p>
        </w:tc>
        <w:tc>
          <w:tcPr>
            <w:tcW w:w="1173" w:type="dxa"/>
            <w:vAlign w:val="center"/>
          </w:tcPr>
          <w:p w14:paraId="6A628FA8"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2,616.8</w:t>
            </w:r>
          </w:p>
        </w:tc>
        <w:tc>
          <w:tcPr>
            <w:tcW w:w="1263" w:type="dxa"/>
            <w:vAlign w:val="center"/>
          </w:tcPr>
          <w:p w14:paraId="622E1644"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2,872.9</w:t>
            </w:r>
          </w:p>
        </w:tc>
      </w:tr>
      <w:tr w:rsidR="001C55F2" w:rsidRPr="001407D3" w14:paraId="6F70E773" w14:textId="77777777" w:rsidTr="001226F0">
        <w:trPr>
          <w:trHeight w:val="256"/>
        </w:trPr>
        <w:tc>
          <w:tcPr>
            <w:tcW w:w="4151" w:type="dxa"/>
            <w:vAlign w:val="center"/>
            <w:hideMark/>
          </w:tcPr>
          <w:p w14:paraId="68072486" w14:textId="77777777" w:rsidR="001C55F2" w:rsidRPr="001407D3" w:rsidRDefault="001C55F2" w:rsidP="00873AE6">
            <w:pPr>
              <w:spacing w:before="0" w:after="0" w:line="240" w:lineRule="auto"/>
              <w:rPr>
                <w:sz w:val="18"/>
                <w:szCs w:val="18"/>
                <w:lang w:val="hy-AM"/>
              </w:rPr>
            </w:pPr>
            <w:r w:rsidRPr="001407D3">
              <w:rPr>
                <w:sz w:val="18"/>
                <w:szCs w:val="18"/>
              </w:rPr>
              <w:t>պետական գանձապետական պարտատոմսեր</w:t>
            </w:r>
          </w:p>
        </w:tc>
        <w:tc>
          <w:tcPr>
            <w:tcW w:w="1353" w:type="dxa"/>
            <w:vAlign w:val="center"/>
            <w:hideMark/>
          </w:tcPr>
          <w:p w14:paraId="751111CD"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2,782.7</w:t>
            </w:r>
          </w:p>
        </w:tc>
        <w:tc>
          <w:tcPr>
            <w:tcW w:w="1443" w:type="dxa"/>
            <w:vAlign w:val="center"/>
            <w:hideMark/>
          </w:tcPr>
          <w:p w14:paraId="2AE4DF9B"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3,092.3</w:t>
            </w:r>
          </w:p>
        </w:tc>
        <w:tc>
          <w:tcPr>
            <w:tcW w:w="1536" w:type="dxa"/>
            <w:vAlign w:val="center"/>
            <w:hideMark/>
          </w:tcPr>
          <w:p w14:paraId="29631A25"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3,367.3</w:t>
            </w:r>
          </w:p>
        </w:tc>
        <w:tc>
          <w:tcPr>
            <w:tcW w:w="1173" w:type="dxa"/>
            <w:vAlign w:val="center"/>
          </w:tcPr>
          <w:p w14:paraId="59EED94D"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3,611.3</w:t>
            </w:r>
          </w:p>
        </w:tc>
        <w:tc>
          <w:tcPr>
            <w:tcW w:w="1263" w:type="dxa"/>
            <w:vAlign w:val="center"/>
          </w:tcPr>
          <w:p w14:paraId="3B135356"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3,841.3</w:t>
            </w:r>
          </w:p>
        </w:tc>
      </w:tr>
      <w:tr w:rsidR="001C55F2" w:rsidRPr="001407D3" w14:paraId="363D0693" w14:textId="77777777" w:rsidTr="001226F0">
        <w:trPr>
          <w:trHeight w:val="256"/>
        </w:trPr>
        <w:tc>
          <w:tcPr>
            <w:tcW w:w="4151" w:type="dxa"/>
            <w:vAlign w:val="center"/>
            <w:hideMark/>
          </w:tcPr>
          <w:p w14:paraId="596C257B" w14:textId="77777777" w:rsidR="001C55F2" w:rsidRPr="001407D3" w:rsidRDefault="001C55F2" w:rsidP="00873AE6">
            <w:pPr>
              <w:spacing w:before="0" w:after="0" w:line="240" w:lineRule="auto"/>
              <w:rPr>
                <w:sz w:val="18"/>
                <w:szCs w:val="18"/>
                <w:lang w:val="hy-AM"/>
              </w:rPr>
            </w:pPr>
            <w:r w:rsidRPr="001407D3">
              <w:rPr>
                <w:sz w:val="18"/>
                <w:szCs w:val="18"/>
              </w:rPr>
              <w:t>արտարժութային պետական պարտատոմսեր</w:t>
            </w:r>
          </w:p>
        </w:tc>
        <w:tc>
          <w:tcPr>
            <w:tcW w:w="1353" w:type="dxa"/>
            <w:vAlign w:val="center"/>
            <w:hideMark/>
          </w:tcPr>
          <w:p w14:paraId="24E6BF85"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762.7</w:t>
            </w:r>
          </w:p>
        </w:tc>
        <w:tc>
          <w:tcPr>
            <w:tcW w:w="1443" w:type="dxa"/>
            <w:vAlign w:val="center"/>
            <w:hideMark/>
          </w:tcPr>
          <w:p w14:paraId="434E1101"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774.0</w:t>
            </w:r>
          </w:p>
        </w:tc>
        <w:tc>
          <w:tcPr>
            <w:tcW w:w="1536" w:type="dxa"/>
            <w:vAlign w:val="center"/>
            <w:hideMark/>
          </w:tcPr>
          <w:p w14:paraId="24EF3C57"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788.4</w:t>
            </w:r>
          </w:p>
        </w:tc>
        <w:tc>
          <w:tcPr>
            <w:tcW w:w="1173" w:type="dxa"/>
            <w:vAlign w:val="center"/>
          </w:tcPr>
          <w:p w14:paraId="08EA9B71"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807.1</w:t>
            </w:r>
          </w:p>
        </w:tc>
        <w:tc>
          <w:tcPr>
            <w:tcW w:w="1263" w:type="dxa"/>
            <w:vAlign w:val="center"/>
          </w:tcPr>
          <w:p w14:paraId="2B59FC9E"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826.4</w:t>
            </w:r>
          </w:p>
        </w:tc>
      </w:tr>
      <w:tr w:rsidR="001C55F2" w:rsidRPr="001407D3" w14:paraId="58E06123" w14:textId="77777777" w:rsidTr="006422CA">
        <w:trPr>
          <w:trHeight w:val="256"/>
        </w:trPr>
        <w:tc>
          <w:tcPr>
            <w:tcW w:w="8483" w:type="dxa"/>
            <w:gridSpan w:val="4"/>
            <w:shd w:val="clear" w:color="auto" w:fill="DAE9F7" w:themeFill="text2" w:themeFillTint="1A"/>
            <w:vAlign w:val="center"/>
          </w:tcPr>
          <w:p w14:paraId="5E3212B0" w14:textId="77777777" w:rsidR="001C55F2" w:rsidRPr="001407D3" w:rsidRDefault="001C55F2" w:rsidP="00873AE6">
            <w:pPr>
              <w:spacing w:before="0" w:after="0" w:line="240" w:lineRule="auto"/>
              <w:rPr>
                <w:sz w:val="18"/>
                <w:szCs w:val="18"/>
              </w:rPr>
            </w:pPr>
            <w:r w:rsidRPr="001407D3">
              <w:rPr>
                <w:sz w:val="18"/>
                <w:szCs w:val="18"/>
              </w:rPr>
              <w:t>Արժութային կառուցվածքը, մլրդ դրամ</w:t>
            </w:r>
          </w:p>
        </w:tc>
        <w:tc>
          <w:tcPr>
            <w:tcW w:w="1173" w:type="dxa"/>
            <w:shd w:val="clear" w:color="auto" w:fill="DAE9F7" w:themeFill="text2" w:themeFillTint="1A"/>
          </w:tcPr>
          <w:p w14:paraId="4203C93F" w14:textId="77777777" w:rsidR="001C55F2" w:rsidRPr="001407D3" w:rsidRDefault="001C55F2" w:rsidP="00873AE6">
            <w:pPr>
              <w:spacing w:before="0" w:after="0" w:line="240" w:lineRule="auto"/>
              <w:rPr>
                <w:sz w:val="18"/>
                <w:szCs w:val="18"/>
              </w:rPr>
            </w:pPr>
          </w:p>
        </w:tc>
        <w:tc>
          <w:tcPr>
            <w:tcW w:w="1263" w:type="dxa"/>
            <w:shd w:val="clear" w:color="auto" w:fill="DAE9F7" w:themeFill="text2" w:themeFillTint="1A"/>
          </w:tcPr>
          <w:p w14:paraId="264C5187" w14:textId="77777777" w:rsidR="001C55F2" w:rsidRPr="001407D3" w:rsidRDefault="001C55F2" w:rsidP="00873AE6">
            <w:pPr>
              <w:spacing w:before="0" w:after="0" w:line="240" w:lineRule="auto"/>
              <w:rPr>
                <w:sz w:val="18"/>
                <w:szCs w:val="18"/>
              </w:rPr>
            </w:pPr>
          </w:p>
        </w:tc>
      </w:tr>
      <w:tr w:rsidR="001C55F2" w:rsidRPr="001407D3" w14:paraId="5F401DA4" w14:textId="77777777" w:rsidTr="001226F0">
        <w:trPr>
          <w:trHeight w:val="256"/>
        </w:trPr>
        <w:tc>
          <w:tcPr>
            <w:tcW w:w="4151" w:type="dxa"/>
            <w:vAlign w:val="center"/>
            <w:hideMark/>
          </w:tcPr>
          <w:p w14:paraId="32FB654A" w14:textId="77777777" w:rsidR="001C55F2" w:rsidRPr="001407D3" w:rsidRDefault="001C55F2" w:rsidP="00873AE6">
            <w:pPr>
              <w:spacing w:before="0" w:after="0" w:line="240" w:lineRule="auto"/>
              <w:jc w:val="both"/>
              <w:rPr>
                <w:sz w:val="18"/>
                <w:szCs w:val="18"/>
              </w:rPr>
            </w:pPr>
            <w:r w:rsidRPr="001407D3">
              <w:rPr>
                <w:sz w:val="18"/>
                <w:szCs w:val="18"/>
              </w:rPr>
              <w:t>ՀՀ դրամով ներգրավված պարտք</w:t>
            </w:r>
          </w:p>
        </w:tc>
        <w:tc>
          <w:tcPr>
            <w:tcW w:w="1353" w:type="dxa"/>
            <w:vAlign w:val="center"/>
            <w:hideMark/>
          </w:tcPr>
          <w:p w14:paraId="71699F19"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2,782.7</w:t>
            </w:r>
          </w:p>
        </w:tc>
        <w:tc>
          <w:tcPr>
            <w:tcW w:w="1443" w:type="dxa"/>
            <w:vAlign w:val="center"/>
            <w:hideMark/>
          </w:tcPr>
          <w:p w14:paraId="7C096C67"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3,092.3</w:t>
            </w:r>
          </w:p>
        </w:tc>
        <w:tc>
          <w:tcPr>
            <w:tcW w:w="1536" w:type="dxa"/>
            <w:vAlign w:val="center"/>
            <w:hideMark/>
          </w:tcPr>
          <w:p w14:paraId="1090A208"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3,367.3</w:t>
            </w:r>
          </w:p>
        </w:tc>
        <w:tc>
          <w:tcPr>
            <w:tcW w:w="1173" w:type="dxa"/>
            <w:vAlign w:val="center"/>
          </w:tcPr>
          <w:p w14:paraId="17A4D511"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3,611.3</w:t>
            </w:r>
          </w:p>
        </w:tc>
        <w:tc>
          <w:tcPr>
            <w:tcW w:w="1263" w:type="dxa"/>
            <w:vAlign w:val="center"/>
          </w:tcPr>
          <w:p w14:paraId="298E9D95"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3,841.3</w:t>
            </w:r>
          </w:p>
        </w:tc>
      </w:tr>
      <w:tr w:rsidR="001C55F2" w:rsidRPr="001407D3" w14:paraId="02BF51A3" w14:textId="77777777" w:rsidTr="001226F0">
        <w:trPr>
          <w:trHeight w:val="256"/>
        </w:trPr>
        <w:tc>
          <w:tcPr>
            <w:tcW w:w="4151" w:type="dxa"/>
            <w:vAlign w:val="center"/>
            <w:hideMark/>
          </w:tcPr>
          <w:p w14:paraId="39BE057A" w14:textId="77777777" w:rsidR="001C55F2" w:rsidRPr="001407D3" w:rsidRDefault="001C55F2" w:rsidP="00873AE6">
            <w:pPr>
              <w:spacing w:before="0" w:after="0" w:line="240" w:lineRule="auto"/>
              <w:jc w:val="both"/>
              <w:rPr>
                <w:sz w:val="18"/>
                <w:szCs w:val="18"/>
                <w:lang w:val="hy-AM"/>
              </w:rPr>
            </w:pPr>
            <w:r w:rsidRPr="001407D3">
              <w:rPr>
                <w:sz w:val="18"/>
                <w:szCs w:val="18"/>
              </w:rPr>
              <w:t>արտարժույթով ներգրավված պարտք</w:t>
            </w:r>
          </w:p>
        </w:tc>
        <w:tc>
          <w:tcPr>
            <w:tcW w:w="1353" w:type="dxa"/>
            <w:vAlign w:val="center"/>
            <w:hideMark/>
          </w:tcPr>
          <w:p w14:paraId="49E4FE8C"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2,517.3</w:t>
            </w:r>
          </w:p>
        </w:tc>
        <w:tc>
          <w:tcPr>
            <w:tcW w:w="1443" w:type="dxa"/>
            <w:vAlign w:val="center"/>
            <w:hideMark/>
          </w:tcPr>
          <w:p w14:paraId="710629E8"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2,708.5</w:t>
            </w:r>
          </w:p>
        </w:tc>
        <w:tc>
          <w:tcPr>
            <w:tcW w:w="1536" w:type="dxa"/>
            <w:vAlign w:val="center"/>
            <w:hideMark/>
          </w:tcPr>
          <w:p w14:paraId="14829C73"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3,079.9</w:t>
            </w:r>
          </w:p>
        </w:tc>
        <w:tc>
          <w:tcPr>
            <w:tcW w:w="1173" w:type="dxa"/>
            <w:vAlign w:val="center"/>
          </w:tcPr>
          <w:p w14:paraId="71B8A24B"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3,423.9</w:t>
            </w:r>
          </w:p>
        </w:tc>
        <w:tc>
          <w:tcPr>
            <w:tcW w:w="1263" w:type="dxa"/>
            <w:vAlign w:val="center"/>
          </w:tcPr>
          <w:p w14:paraId="53371221"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3,699.3</w:t>
            </w:r>
          </w:p>
        </w:tc>
      </w:tr>
      <w:tr w:rsidR="001C55F2" w:rsidRPr="001407D3" w14:paraId="6ED4CEF0" w14:textId="77777777" w:rsidTr="006422CA">
        <w:trPr>
          <w:trHeight w:val="256"/>
        </w:trPr>
        <w:tc>
          <w:tcPr>
            <w:tcW w:w="8483" w:type="dxa"/>
            <w:gridSpan w:val="4"/>
            <w:shd w:val="clear" w:color="auto" w:fill="DAE9F7" w:themeFill="text2" w:themeFillTint="1A"/>
            <w:vAlign w:val="center"/>
          </w:tcPr>
          <w:p w14:paraId="00AB7EEF" w14:textId="77777777" w:rsidR="001C55F2" w:rsidRPr="001407D3" w:rsidRDefault="001C55F2" w:rsidP="00873AE6">
            <w:pPr>
              <w:spacing w:before="0" w:after="0" w:line="240" w:lineRule="auto"/>
              <w:rPr>
                <w:sz w:val="18"/>
                <w:szCs w:val="18"/>
              </w:rPr>
            </w:pPr>
            <w:r w:rsidRPr="001407D3">
              <w:rPr>
                <w:sz w:val="18"/>
                <w:szCs w:val="18"/>
              </w:rPr>
              <w:t>Կառուցվածքն ըստ տոկոսադրույքի տեսակի, մլրդ դրամ</w:t>
            </w:r>
          </w:p>
        </w:tc>
        <w:tc>
          <w:tcPr>
            <w:tcW w:w="1173" w:type="dxa"/>
            <w:shd w:val="clear" w:color="auto" w:fill="DAE9F7" w:themeFill="text2" w:themeFillTint="1A"/>
          </w:tcPr>
          <w:p w14:paraId="4E314A74" w14:textId="77777777" w:rsidR="001C55F2" w:rsidRPr="001407D3" w:rsidRDefault="001C55F2" w:rsidP="00873AE6">
            <w:pPr>
              <w:spacing w:before="0" w:after="0" w:line="240" w:lineRule="auto"/>
              <w:rPr>
                <w:sz w:val="18"/>
                <w:szCs w:val="18"/>
              </w:rPr>
            </w:pPr>
          </w:p>
        </w:tc>
        <w:tc>
          <w:tcPr>
            <w:tcW w:w="1263" w:type="dxa"/>
            <w:shd w:val="clear" w:color="auto" w:fill="DAE9F7" w:themeFill="text2" w:themeFillTint="1A"/>
          </w:tcPr>
          <w:p w14:paraId="54021462" w14:textId="77777777" w:rsidR="001C55F2" w:rsidRPr="001407D3" w:rsidRDefault="001C55F2" w:rsidP="00873AE6">
            <w:pPr>
              <w:spacing w:before="0" w:after="0" w:line="240" w:lineRule="auto"/>
              <w:rPr>
                <w:sz w:val="18"/>
                <w:szCs w:val="18"/>
              </w:rPr>
            </w:pPr>
          </w:p>
        </w:tc>
      </w:tr>
      <w:tr w:rsidR="001C55F2" w:rsidRPr="001407D3" w14:paraId="62F1C651" w14:textId="77777777" w:rsidTr="001226F0">
        <w:trPr>
          <w:trHeight w:val="256"/>
        </w:trPr>
        <w:tc>
          <w:tcPr>
            <w:tcW w:w="4151" w:type="dxa"/>
            <w:vAlign w:val="center"/>
            <w:hideMark/>
          </w:tcPr>
          <w:p w14:paraId="7513B722" w14:textId="77777777" w:rsidR="001C55F2" w:rsidRPr="001407D3" w:rsidRDefault="001C55F2" w:rsidP="00873AE6">
            <w:pPr>
              <w:spacing w:before="0" w:after="0" w:line="240" w:lineRule="auto"/>
              <w:jc w:val="both"/>
              <w:rPr>
                <w:sz w:val="18"/>
                <w:szCs w:val="18"/>
              </w:rPr>
            </w:pPr>
            <w:r w:rsidRPr="001407D3">
              <w:rPr>
                <w:sz w:val="18"/>
                <w:szCs w:val="18"/>
              </w:rPr>
              <w:t>լողացող տոկոսադրույքով</w:t>
            </w:r>
          </w:p>
        </w:tc>
        <w:tc>
          <w:tcPr>
            <w:tcW w:w="1353" w:type="dxa"/>
            <w:vAlign w:val="center"/>
            <w:hideMark/>
          </w:tcPr>
          <w:p w14:paraId="10658D90"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738.7</w:t>
            </w:r>
          </w:p>
        </w:tc>
        <w:tc>
          <w:tcPr>
            <w:tcW w:w="1443" w:type="dxa"/>
            <w:vAlign w:val="center"/>
            <w:hideMark/>
          </w:tcPr>
          <w:p w14:paraId="22F48AAE"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1,045.6</w:t>
            </w:r>
          </w:p>
        </w:tc>
        <w:tc>
          <w:tcPr>
            <w:tcW w:w="1536" w:type="dxa"/>
            <w:vAlign w:val="center"/>
            <w:hideMark/>
          </w:tcPr>
          <w:p w14:paraId="1A7905FC"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1,010.7</w:t>
            </w:r>
          </w:p>
        </w:tc>
        <w:tc>
          <w:tcPr>
            <w:tcW w:w="1173" w:type="dxa"/>
            <w:vAlign w:val="center"/>
          </w:tcPr>
          <w:p w14:paraId="2FE7670B"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1,106.0</w:t>
            </w:r>
          </w:p>
        </w:tc>
        <w:tc>
          <w:tcPr>
            <w:tcW w:w="1263" w:type="dxa"/>
            <w:vAlign w:val="center"/>
          </w:tcPr>
          <w:p w14:paraId="5B68EA4F"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1,174.4</w:t>
            </w:r>
          </w:p>
        </w:tc>
      </w:tr>
      <w:tr w:rsidR="001C55F2" w:rsidRPr="001407D3" w14:paraId="5BA7AADF" w14:textId="77777777" w:rsidTr="001226F0">
        <w:trPr>
          <w:trHeight w:val="256"/>
        </w:trPr>
        <w:tc>
          <w:tcPr>
            <w:tcW w:w="4151" w:type="dxa"/>
            <w:vAlign w:val="center"/>
            <w:hideMark/>
          </w:tcPr>
          <w:p w14:paraId="705207A9" w14:textId="77777777" w:rsidR="001C55F2" w:rsidRPr="001407D3" w:rsidRDefault="001C55F2" w:rsidP="00873AE6">
            <w:pPr>
              <w:spacing w:before="0" w:after="0" w:line="240" w:lineRule="auto"/>
              <w:jc w:val="both"/>
              <w:rPr>
                <w:sz w:val="18"/>
                <w:szCs w:val="18"/>
                <w:lang w:val="hy-AM"/>
              </w:rPr>
            </w:pPr>
            <w:r w:rsidRPr="001407D3">
              <w:rPr>
                <w:sz w:val="18"/>
                <w:szCs w:val="18"/>
              </w:rPr>
              <w:t>ֆիքսված տոկոսադրույքով</w:t>
            </w:r>
          </w:p>
        </w:tc>
        <w:tc>
          <w:tcPr>
            <w:tcW w:w="1353" w:type="dxa"/>
            <w:vAlign w:val="center"/>
            <w:hideMark/>
          </w:tcPr>
          <w:p w14:paraId="15FCD05D"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4,561.3</w:t>
            </w:r>
          </w:p>
        </w:tc>
        <w:tc>
          <w:tcPr>
            <w:tcW w:w="1443" w:type="dxa"/>
            <w:vAlign w:val="center"/>
            <w:hideMark/>
          </w:tcPr>
          <w:p w14:paraId="1ED23DE7"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4,755.2</w:t>
            </w:r>
          </w:p>
        </w:tc>
        <w:tc>
          <w:tcPr>
            <w:tcW w:w="1536" w:type="dxa"/>
            <w:vAlign w:val="center"/>
            <w:hideMark/>
          </w:tcPr>
          <w:p w14:paraId="029D90A7"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5,436.5</w:t>
            </w:r>
          </w:p>
        </w:tc>
        <w:tc>
          <w:tcPr>
            <w:tcW w:w="1173" w:type="dxa"/>
            <w:vAlign w:val="center"/>
          </w:tcPr>
          <w:p w14:paraId="71C2FFF3"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5,929.2</w:t>
            </w:r>
          </w:p>
        </w:tc>
        <w:tc>
          <w:tcPr>
            <w:tcW w:w="1263" w:type="dxa"/>
            <w:vAlign w:val="center"/>
          </w:tcPr>
          <w:p w14:paraId="60E210B4" w14:textId="77777777" w:rsidR="001C55F2" w:rsidRPr="00EC7DA2" w:rsidRDefault="001C55F2" w:rsidP="00873AE6">
            <w:pPr>
              <w:spacing w:before="0" w:after="0" w:line="240" w:lineRule="auto"/>
              <w:jc w:val="center"/>
              <w:rPr>
                <w:color w:val="auto"/>
                <w:sz w:val="18"/>
                <w:szCs w:val="18"/>
              </w:rPr>
            </w:pPr>
            <w:r w:rsidRPr="00EC7DA2">
              <w:rPr>
                <w:rFonts w:ascii="GHEA Grapalat" w:hAnsi="GHEA Grapalat"/>
                <w:color w:val="auto"/>
                <w:sz w:val="18"/>
                <w:szCs w:val="18"/>
              </w:rPr>
              <w:t>6,366.2</w:t>
            </w:r>
          </w:p>
        </w:tc>
      </w:tr>
    </w:tbl>
    <w:p w14:paraId="4A5312EA" w14:textId="77777777" w:rsidR="001C55F2" w:rsidRDefault="001C55F2" w:rsidP="001C55F2">
      <w:pPr>
        <w:pStyle w:val="a1"/>
        <w:ind w:right="116"/>
        <w:rPr>
          <w:lang w:val="hy-AM"/>
        </w:rPr>
      </w:pPr>
      <w:r w:rsidRPr="00B84464">
        <w:rPr>
          <w:sz w:val="14"/>
          <w:szCs w:val="14"/>
        </w:rPr>
        <w:t>*</w:t>
      </w:r>
      <w:r w:rsidRPr="00557B8B">
        <w:rPr>
          <w:bCs/>
          <w:iCs/>
          <w:sz w:val="14"/>
          <w:szCs w:val="14"/>
          <w:lang w:val="hy-AM"/>
        </w:rPr>
        <w:t>202</w:t>
      </w:r>
      <w:r>
        <w:rPr>
          <w:bCs/>
          <w:iCs/>
          <w:sz w:val="14"/>
          <w:szCs w:val="14"/>
          <w:lang w:val="hy-AM"/>
        </w:rPr>
        <w:t>6-</w:t>
      </w:r>
      <w:r w:rsidRPr="00557B8B">
        <w:rPr>
          <w:bCs/>
          <w:iCs/>
          <w:sz w:val="14"/>
          <w:szCs w:val="14"/>
          <w:lang w:val="hy-AM"/>
        </w:rPr>
        <w:t>202</w:t>
      </w:r>
      <w:r>
        <w:rPr>
          <w:bCs/>
          <w:iCs/>
          <w:sz w:val="14"/>
          <w:szCs w:val="14"/>
          <w:lang w:val="hy-AM"/>
        </w:rPr>
        <w:t>9</w:t>
      </w:r>
      <w:r w:rsidRPr="00557B8B">
        <w:rPr>
          <w:bCs/>
          <w:iCs/>
          <w:sz w:val="14"/>
          <w:szCs w:val="14"/>
          <w:lang w:val="hy-AM"/>
        </w:rPr>
        <w:t xml:space="preserve"> թվականների համար պետական գանձապետական և արտարժութային պարտատոմսերի գծով պարտքի մնացորդը բաշխվել է ըստ ռեզիդենտության՝ հիմք ընդունելով 202</w:t>
      </w:r>
      <w:r>
        <w:rPr>
          <w:bCs/>
          <w:iCs/>
          <w:sz w:val="14"/>
          <w:szCs w:val="14"/>
          <w:lang w:val="hy-AM"/>
        </w:rPr>
        <w:t>3</w:t>
      </w:r>
      <w:r w:rsidRPr="00557B8B">
        <w:rPr>
          <w:bCs/>
          <w:iCs/>
          <w:sz w:val="14"/>
          <w:szCs w:val="14"/>
          <w:lang w:val="hy-AM"/>
        </w:rPr>
        <w:t>-202</w:t>
      </w:r>
      <w:r>
        <w:rPr>
          <w:bCs/>
          <w:iCs/>
          <w:sz w:val="14"/>
          <w:szCs w:val="14"/>
          <w:lang w:val="hy-AM"/>
        </w:rPr>
        <w:t>5</w:t>
      </w:r>
      <w:r w:rsidRPr="00557B8B">
        <w:rPr>
          <w:bCs/>
          <w:iCs/>
          <w:sz w:val="14"/>
          <w:szCs w:val="14"/>
          <w:lang w:val="hy-AM"/>
        </w:rPr>
        <w:t>թթ. միջին տեսակարար կշիռները:</w:t>
      </w:r>
    </w:p>
    <w:p w14:paraId="7009760B" w14:textId="054AEC6C" w:rsidR="001C55F2" w:rsidRDefault="001C55F2" w:rsidP="001C55F2">
      <w:pPr>
        <w:pStyle w:val="BodyText1"/>
        <w:ind w:left="0"/>
        <w:contextualSpacing/>
        <w:rPr>
          <w:lang w:val="hy-AM"/>
        </w:rPr>
      </w:pPr>
      <w:r w:rsidRPr="00557B8B">
        <w:rPr>
          <w:lang w:val="hy-AM"/>
        </w:rPr>
        <w:t>Տոկոսավճարների բեռը էական չավելացնելու, ինչպես նաև պետական բյուջեի արտարժութային մուտքերի կարիքն ապահովելու նպատակով</w:t>
      </w:r>
      <w:r>
        <w:rPr>
          <w:lang w:val="hy-AM"/>
        </w:rPr>
        <w:t>, 2027</w:t>
      </w:r>
      <w:r w:rsidRPr="00557B8B">
        <w:rPr>
          <w:lang w:val="hy-AM"/>
        </w:rPr>
        <w:t xml:space="preserve"> թվականի տարեվերջին՝</w:t>
      </w:r>
      <w:r>
        <w:rPr>
          <w:lang w:val="hy-AM"/>
        </w:rPr>
        <w:t xml:space="preserve"> 2026</w:t>
      </w:r>
      <w:r w:rsidRPr="00557B8B">
        <w:rPr>
          <w:lang w:val="hy-AM"/>
        </w:rPr>
        <w:t xml:space="preserve"> թվականի կանխատեսումային մակարդակների նկատմամբ, դրամային պարտքի մասնաբաժինը պարտքի կառուցվածքում կնվազ</w:t>
      </w:r>
      <w:r>
        <w:rPr>
          <w:lang w:val="hy-AM"/>
        </w:rPr>
        <w:t>ի</w:t>
      </w:r>
      <w:r w:rsidRPr="00557B8B">
        <w:rPr>
          <w:lang w:val="hy-AM"/>
        </w:rPr>
        <w:t xml:space="preserve"> </w:t>
      </w:r>
      <w:r w:rsidRPr="005E5783">
        <w:rPr>
          <w:lang w:val="hy-AM"/>
        </w:rPr>
        <w:t>1</w:t>
      </w:r>
      <w:r w:rsidRPr="00557B8B">
        <w:rPr>
          <w:lang w:val="hy-AM"/>
        </w:rPr>
        <w:t>.</w:t>
      </w:r>
      <w:r w:rsidRPr="002744CC">
        <w:rPr>
          <w:lang w:val="hy-AM"/>
        </w:rPr>
        <w:t>1</w:t>
      </w:r>
      <w:r w:rsidRPr="00557B8B">
        <w:rPr>
          <w:lang w:val="hy-AM"/>
        </w:rPr>
        <w:t xml:space="preserve"> տոկոսային կետով: Այնուամենայնիվ, ներքին պարտքի և դրամային պարտքի մասնաբաժինները</w:t>
      </w:r>
      <w:r>
        <w:rPr>
          <w:lang w:val="hy-AM"/>
        </w:rPr>
        <w:t xml:space="preserve"> 2027</w:t>
      </w:r>
      <w:r w:rsidRPr="00557B8B">
        <w:rPr>
          <w:lang w:val="hy-AM"/>
        </w:rPr>
        <w:t xml:space="preserve"> թվականին կպահպանվեն պատմականորեն բարձր մակարդակներում:</w:t>
      </w:r>
      <w:r w:rsidRPr="000F006D">
        <w:rPr>
          <w:lang w:val="hy-AM"/>
        </w:rPr>
        <w:t xml:space="preserve"> </w:t>
      </w:r>
      <w:r>
        <w:rPr>
          <w:lang w:val="hy-AM"/>
        </w:rPr>
        <w:t>202</w:t>
      </w:r>
      <w:r w:rsidRPr="00E7557A">
        <w:rPr>
          <w:lang w:val="hy-AM"/>
        </w:rPr>
        <w:t>7</w:t>
      </w:r>
      <w:r>
        <w:rPr>
          <w:lang w:val="hy-AM"/>
        </w:rPr>
        <w:t>-202</w:t>
      </w:r>
      <w:r w:rsidRPr="00E7557A">
        <w:rPr>
          <w:lang w:val="hy-AM"/>
        </w:rPr>
        <w:t>9</w:t>
      </w:r>
      <w:r>
        <w:rPr>
          <w:lang w:val="hy-AM"/>
        </w:rPr>
        <w:t xml:space="preserve"> թվականներին դրամային պարտքի կշռի միջին նվազումը կկազմի </w:t>
      </w:r>
      <w:r w:rsidRPr="00EF3729">
        <w:rPr>
          <w:lang w:val="hy-AM"/>
        </w:rPr>
        <w:t xml:space="preserve">0.8 </w:t>
      </w:r>
      <w:r>
        <w:rPr>
          <w:lang w:val="hy-AM"/>
        </w:rPr>
        <w:t>տոկոսային կետ:</w:t>
      </w:r>
      <w:bookmarkStart w:id="446" w:name="_Toc178350587"/>
      <w:bookmarkStart w:id="447" w:name="_Toc178595164"/>
      <w:bookmarkStart w:id="448" w:name="_Toc184110751"/>
    </w:p>
    <w:p w14:paraId="36027870" w14:textId="637344EA" w:rsidR="001C55F2" w:rsidRPr="00A52417" w:rsidRDefault="001C55F2" w:rsidP="00A52417">
      <w:pPr>
        <w:pStyle w:val="Charts"/>
        <w:ind w:right="-22"/>
        <w:rPr>
          <w:b w:val="0"/>
          <w:bCs/>
          <w:color w:val="auto"/>
          <w:sz w:val="20"/>
          <w:szCs w:val="18"/>
        </w:rPr>
      </w:pPr>
      <w:bookmarkStart w:id="449" w:name="_Toc241608101"/>
      <w:r w:rsidRPr="00A52417">
        <w:rPr>
          <w:b w:val="0"/>
          <w:bCs/>
          <w:color w:val="auto"/>
          <w:sz w:val="20"/>
          <w:szCs w:val="18"/>
        </w:rPr>
        <w:t xml:space="preserve">Գծապատկեր </w:t>
      </w:r>
      <w:r w:rsidRPr="00A52417">
        <w:rPr>
          <w:b w:val="0"/>
          <w:bCs/>
          <w:color w:val="auto"/>
          <w:sz w:val="20"/>
          <w:szCs w:val="18"/>
        </w:rPr>
        <w:fldChar w:fldCharType="begin"/>
      </w:r>
      <w:r w:rsidRPr="00A52417">
        <w:rPr>
          <w:b w:val="0"/>
          <w:bCs/>
          <w:color w:val="auto"/>
          <w:sz w:val="20"/>
          <w:szCs w:val="18"/>
        </w:rPr>
        <w:instrText xml:space="preserve"> SEQ գծապատկեր \* ARABIC </w:instrText>
      </w:r>
      <w:r w:rsidRPr="00A52417">
        <w:rPr>
          <w:b w:val="0"/>
          <w:bCs/>
          <w:color w:val="auto"/>
          <w:sz w:val="20"/>
          <w:szCs w:val="18"/>
        </w:rPr>
        <w:fldChar w:fldCharType="separate"/>
      </w:r>
      <w:r w:rsidR="00E46048">
        <w:rPr>
          <w:b w:val="0"/>
          <w:bCs/>
          <w:noProof/>
          <w:color w:val="auto"/>
          <w:sz w:val="20"/>
          <w:szCs w:val="18"/>
        </w:rPr>
        <w:t>6</w:t>
      </w:r>
      <w:r w:rsidRPr="00A52417">
        <w:rPr>
          <w:b w:val="0"/>
          <w:bCs/>
          <w:color w:val="auto"/>
          <w:sz w:val="20"/>
          <w:szCs w:val="18"/>
        </w:rPr>
        <w:fldChar w:fldCharType="end"/>
      </w:r>
      <w:r w:rsidRPr="00A52417">
        <w:rPr>
          <w:b w:val="0"/>
          <w:bCs/>
          <w:color w:val="auto"/>
          <w:sz w:val="20"/>
          <w:szCs w:val="18"/>
        </w:rPr>
        <w:t>. Կառավարության պարտքի կառուցվածքն ըստ տարբեր դասակարգումների</w:t>
      </w:r>
      <w:bookmarkEnd w:id="446"/>
      <w:bookmarkEnd w:id="447"/>
      <w:bookmarkEnd w:id="448"/>
      <w:bookmarkEnd w:id="449"/>
      <w:r w:rsidRPr="00A52417">
        <w:rPr>
          <w:b w:val="0"/>
          <w:bCs/>
          <w:color w:val="auto"/>
          <w:sz w:val="20"/>
          <w:szCs w:val="18"/>
        </w:rPr>
        <w:t xml:space="preserve"> </w:t>
      </w:r>
    </w:p>
    <w:p w14:paraId="17D31EA8" w14:textId="5D0A657B" w:rsidR="001C55F2" w:rsidRPr="00E9431D" w:rsidRDefault="001C55F2" w:rsidP="001C55F2">
      <w:pPr>
        <w:rPr>
          <w:i/>
          <w:sz w:val="18"/>
          <w:szCs w:val="18"/>
          <w:lang w:val="hy-AM"/>
        </w:rPr>
      </w:pPr>
      <w:r w:rsidRPr="00E9431D">
        <w:rPr>
          <w:i/>
          <w:sz w:val="18"/>
          <w:szCs w:val="18"/>
          <w:lang w:val="hy-AM"/>
        </w:rPr>
        <w:t>(Մինչև 2025թ. տար</w:t>
      </w:r>
      <w:r>
        <w:rPr>
          <w:i/>
          <w:sz w:val="18"/>
          <w:szCs w:val="18"/>
          <w:lang w:val="hy-AM"/>
        </w:rPr>
        <w:t>եվ</w:t>
      </w:r>
      <w:r w:rsidRPr="00E9431D">
        <w:rPr>
          <w:i/>
          <w:sz w:val="18"/>
          <w:szCs w:val="18"/>
          <w:lang w:val="hy-AM"/>
        </w:rPr>
        <w:t>երջ</w:t>
      </w:r>
      <w:r>
        <w:rPr>
          <w:i/>
          <w:sz w:val="18"/>
          <w:szCs w:val="18"/>
          <w:lang w:val="hy-AM"/>
        </w:rPr>
        <w:t>ը</w:t>
      </w:r>
      <w:r w:rsidRPr="00E9431D">
        <w:rPr>
          <w:i/>
          <w:sz w:val="18"/>
          <w:szCs w:val="18"/>
          <w:lang w:val="hy-AM"/>
        </w:rPr>
        <w:t xml:space="preserve"> ներառյալ ցուցանիշները ներկայացվել են տվյալ ժամանակաշրջանում գործող «Պետական պարտքի մասին» օրենքի դասակարգմամբ)</w:t>
      </w:r>
    </w:p>
    <w:p w14:paraId="194BCED4" w14:textId="109601CD" w:rsidR="001C55F2" w:rsidRDefault="00DE6A4A" w:rsidP="001C55F2">
      <w:pPr>
        <w:rPr>
          <w:lang w:val="hy-AM"/>
        </w:rPr>
      </w:pPr>
      <w:r>
        <w:rPr>
          <w:noProof/>
        </w:rPr>
        <mc:AlternateContent>
          <mc:Choice Requires="wpg">
            <w:drawing>
              <wp:anchor distT="0" distB="0" distL="114300" distR="114300" simplePos="0" relativeHeight="251766784" behindDoc="0" locked="0" layoutInCell="1" allowOverlap="1" wp14:anchorId="42DC64CF" wp14:editId="19222380">
                <wp:simplePos x="0" y="0"/>
                <wp:positionH relativeFrom="margin">
                  <wp:posOffset>46990</wp:posOffset>
                </wp:positionH>
                <wp:positionV relativeFrom="paragraph">
                  <wp:posOffset>-3810</wp:posOffset>
                </wp:positionV>
                <wp:extent cx="6486525" cy="3914775"/>
                <wp:effectExtent l="0" t="0" r="0" b="0"/>
                <wp:wrapNone/>
                <wp:docPr id="1545876476" name="Group 2"/>
                <wp:cNvGraphicFramePr/>
                <a:graphic xmlns:a="http://schemas.openxmlformats.org/drawingml/2006/main">
                  <a:graphicData uri="http://schemas.microsoft.com/office/word/2010/wordprocessingGroup">
                    <wpg:wgp>
                      <wpg:cNvGrpSpPr/>
                      <wpg:grpSpPr>
                        <a:xfrm>
                          <a:off x="0" y="0"/>
                          <a:ext cx="6486525" cy="3914775"/>
                          <a:chOff x="-8283" y="0"/>
                          <a:chExt cx="7198631" cy="6303215"/>
                        </a:xfrm>
                        <a:noFill/>
                      </wpg:grpSpPr>
                      <wpg:graphicFrame>
                        <wpg:cNvPr id="1545876477" name="Chart 1545876477"/>
                        <wpg:cNvFrPr>
                          <a:graphicFrameLocks/>
                        </wpg:cNvFrPr>
                        <wpg:xfrm>
                          <a:off x="-8283" y="16565"/>
                          <a:ext cx="3471457" cy="3271781"/>
                        </wpg:xfrm>
                        <a:graphic>
                          <a:graphicData uri="http://schemas.openxmlformats.org/drawingml/2006/chart">
                            <c:chart xmlns:c="http://schemas.openxmlformats.org/drawingml/2006/chart" xmlns:r="http://schemas.openxmlformats.org/officeDocument/2006/relationships" r:id="rId68"/>
                          </a:graphicData>
                        </a:graphic>
                      </wpg:graphicFrame>
                      <wpg:graphicFrame>
                        <wpg:cNvPr id="1545876478" name="Chart 1545876478"/>
                        <wpg:cNvFrPr>
                          <a:graphicFrameLocks/>
                        </wpg:cNvFrPr>
                        <wpg:xfrm>
                          <a:off x="3463174" y="0"/>
                          <a:ext cx="3727174" cy="3288346"/>
                        </wpg:xfrm>
                        <a:graphic>
                          <a:graphicData uri="http://schemas.openxmlformats.org/drawingml/2006/chart">
                            <c:chart xmlns:c="http://schemas.openxmlformats.org/drawingml/2006/chart" xmlns:r="http://schemas.openxmlformats.org/officeDocument/2006/relationships" r:id="rId69"/>
                          </a:graphicData>
                        </a:graphic>
                      </wpg:graphicFrame>
                      <wpg:graphicFrame>
                        <wpg:cNvPr id="1545876479" name="Chart 1545876479"/>
                        <wpg:cNvFrPr>
                          <a:graphicFrameLocks/>
                        </wpg:cNvFrPr>
                        <wpg:xfrm>
                          <a:off x="9326" y="3280063"/>
                          <a:ext cx="3470413" cy="3014870"/>
                        </wpg:xfrm>
                        <a:graphic>
                          <a:graphicData uri="http://schemas.openxmlformats.org/drawingml/2006/chart">
                            <c:chart xmlns:c="http://schemas.openxmlformats.org/drawingml/2006/chart" xmlns:r="http://schemas.openxmlformats.org/officeDocument/2006/relationships" r:id="rId70"/>
                          </a:graphicData>
                        </a:graphic>
                      </wpg:graphicFrame>
                      <wpg:graphicFrame>
                        <wpg:cNvPr id="16120832" name="Chart 16120832"/>
                        <wpg:cNvFrPr>
                          <a:graphicFrameLocks/>
                        </wpg:cNvFrPr>
                        <wpg:xfrm>
                          <a:off x="3471455" y="3280065"/>
                          <a:ext cx="3710610" cy="3023150"/>
                        </wpg:xfrm>
                        <a:graphic>
                          <a:graphicData uri="http://schemas.openxmlformats.org/drawingml/2006/chart">
                            <c:chart xmlns:c="http://schemas.openxmlformats.org/drawingml/2006/chart" xmlns:r="http://schemas.openxmlformats.org/officeDocument/2006/relationships" r:id="rId71"/>
                          </a:graphicData>
                        </a:graphic>
                      </wpg:graphicFrame>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7E2507B" id="Group 2" o:spid="_x0000_s1026" style="position:absolute;margin-left:3.7pt;margin-top:-.3pt;width:510.75pt;height:308.25pt;z-index:251766784;mso-position-horizontal-relative:margin;mso-width-relative:margin;mso-height-relative:margin" coordorigin="-82" coordsize="71986,63032" o:gfxdata="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545876477" o:spid="_x0000_s1027" type="#_x0000_t75" style="position:absolute;left:323;top:883;width:33690;height:315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">
                  <v:imagedata r:id="rId72" o:title=""/>
                  <o:lock v:ext="edit" aspectratio="f"/>
                </v:shape>
                <v:shape id="Chart 1545876478" o:spid="_x0000_s1028" type="#_x0000_t75" style="position:absolute;left:35164;top:687;width:35855;height:317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">
                  <v:imagedata r:id="rId73" o:title=""/>
                  <o:lock v:ext="edit" aspectratio="f"/>
                </v:shape>
                <v:shape id="Chart 1545876479" o:spid="_x0000_s1029" type="#_x0000_t75" style="position:absolute;left:526;top:33469;width:33690;height:282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">
                  <v:imagedata r:id="rId74" o:title=""/>
                  <o:lock v:ext="edit" aspectratio="f"/>
                </v:shape>
                <v:shape id="Chart 16120832" o:spid="_x0000_s1030" type="#_x0000_t75" style="position:absolute;left:37058;top:33469;width:34232;height:295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">
                  <v:imagedata r:id="rId75" o:title=""/>
                  <o:lock v:ext="edit" aspectratio="f"/>
                </v:shape>
                <w10:wrap anchorx="margin"/>
              </v:group>
            </w:pict>
          </mc:Fallback>
        </mc:AlternateContent>
      </w:r>
    </w:p>
    <w:p w14:paraId="0C4A4C8C" w14:textId="7BF81274" w:rsidR="001C55F2" w:rsidRDefault="001C55F2" w:rsidP="001C55F2">
      <w:pPr>
        <w:rPr>
          <w:lang w:val="hy-AM"/>
        </w:rPr>
      </w:pPr>
    </w:p>
    <w:p w14:paraId="19674CCF" w14:textId="77777777" w:rsidR="001C55F2" w:rsidRDefault="001C55F2" w:rsidP="001C55F2">
      <w:pPr>
        <w:rPr>
          <w:lang w:val="hy-AM"/>
        </w:rPr>
      </w:pPr>
    </w:p>
    <w:p w14:paraId="2AFA72A6" w14:textId="77777777" w:rsidR="001C55F2" w:rsidRDefault="001C55F2" w:rsidP="001C55F2">
      <w:pPr>
        <w:rPr>
          <w:lang w:val="hy-AM"/>
        </w:rPr>
      </w:pPr>
    </w:p>
    <w:p w14:paraId="650D0ECA" w14:textId="77777777" w:rsidR="001C55F2" w:rsidRDefault="001C55F2" w:rsidP="001C55F2">
      <w:pPr>
        <w:rPr>
          <w:lang w:val="hy-AM"/>
        </w:rPr>
      </w:pPr>
    </w:p>
    <w:p w14:paraId="40FD35F9" w14:textId="77777777" w:rsidR="001C55F2" w:rsidRDefault="001C55F2" w:rsidP="001C55F2">
      <w:pPr>
        <w:rPr>
          <w:lang w:val="hy-AM"/>
        </w:rPr>
      </w:pPr>
    </w:p>
    <w:p w14:paraId="4D0C5C16" w14:textId="77777777" w:rsidR="001C55F2" w:rsidRDefault="001C55F2" w:rsidP="001C55F2">
      <w:pPr>
        <w:rPr>
          <w:lang w:val="hy-AM"/>
        </w:rPr>
      </w:pPr>
    </w:p>
    <w:p w14:paraId="6E358E88" w14:textId="77777777" w:rsidR="001C55F2" w:rsidRDefault="001C55F2" w:rsidP="001C55F2">
      <w:pPr>
        <w:rPr>
          <w:lang w:val="hy-AM"/>
        </w:rPr>
      </w:pPr>
    </w:p>
    <w:p w14:paraId="17A9EFBE" w14:textId="77777777" w:rsidR="001C55F2" w:rsidRPr="008E16D4" w:rsidRDefault="001C55F2" w:rsidP="001C55F2">
      <w:pPr>
        <w:rPr>
          <w:lang w:val="hy-AM"/>
        </w:rPr>
      </w:pPr>
    </w:p>
    <w:p w14:paraId="6D5F1B12" w14:textId="77777777" w:rsidR="001C55F2" w:rsidRDefault="001C55F2" w:rsidP="001C55F2">
      <w:pPr>
        <w:pStyle w:val="BodyText1"/>
        <w:ind w:left="0"/>
        <w:rPr>
          <w:lang w:val="hy-AM"/>
        </w:rPr>
      </w:pPr>
      <w:bookmarkStart w:id="450" w:name="_Toc178350630"/>
      <w:bookmarkStart w:id="451" w:name="_Toc178612155"/>
      <w:bookmarkStart w:id="452" w:name="_Toc184110781"/>
    </w:p>
    <w:p w14:paraId="749E7394" w14:textId="77777777" w:rsidR="001C55F2" w:rsidRDefault="001C55F2" w:rsidP="001C55F2">
      <w:pPr>
        <w:pStyle w:val="BodyText1"/>
        <w:ind w:left="0"/>
        <w:rPr>
          <w:lang w:val="hy-AM"/>
        </w:rPr>
      </w:pPr>
    </w:p>
    <w:p w14:paraId="7DC4E049" w14:textId="77777777" w:rsidR="001C55F2" w:rsidRDefault="001C55F2" w:rsidP="001C55F2">
      <w:pPr>
        <w:rPr>
          <w:lang w:val="hy-AM"/>
        </w:rPr>
      </w:pPr>
    </w:p>
    <w:p w14:paraId="04DD438A" w14:textId="77777777" w:rsidR="001C55F2" w:rsidRDefault="001C55F2" w:rsidP="001C55F2">
      <w:pPr>
        <w:rPr>
          <w:lang w:val="hy-AM"/>
        </w:rPr>
      </w:pPr>
    </w:p>
    <w:p w14:paraId="3774B1B7" w14:textId="77777777" w:rsidR="001C55F2" w:rsidRDefault="001C55F2" w:rsidP="001C55F2">
      <w:pPr>
        <w:rPr>
          <w:lang w:val="hy-AM"/>
        </w:rPr>
      </w:pPr>
    </w:p>
    <w:p w14:paraId="78FE39D8" w14:textId="77777777" w:rsidR="00910273" w:rsidRDefault="00910273" w:rsidP="001C55F2">
      <w:pPr>
        <w:pStyle w:val="BodyText1"/>
        <w:ind w:left="0"/>
        <w:contextualSpacing/>
        <w:rPr>
          <w:lang w:val="hy-AM"/>
        </w:rPr>
      </w:pPr>
    </w:p>
    <w:p w14:paraId="3BDF1118" w14:textId="2754BDB3" w:rsidR="001C55F2" w:rsidRPr="00EF6FDF" w:rsidRDefault="001C55F2" w:rsidP="001C55F2">
      <w:pPr>
        <w:pStyle w:val="BodyText1"/>
        <w:ind w:left="0"/>
        <w:contextualSpacing/>
        <w:rPr>
          <w:lang w:val="hy-AM"/>
        </w:rPr>
      </w:pPr>
      <w:r w:rsidRPr="00EF6FDF">
        <w:rPr>
          <w:lang w:val="hy-AM"/>
        </w:rPr>
        <w:t>Հաշվի առնելով ՀՀ</w:t>
      </w:r>
      <w:r>
        <w:rPr>
          <w:lang w:val="hy-AM"/>
        </w:rPr>
        <w:t xml:space="preserve"> 202</w:t>
      </w:r>
      <w:r w:rsidRPr="00BC5FEF">
        <w:rPr>
          <w:lang w:val="hy-AM"/>
        </w:rPr>
        <w:t>7</w:t>
      </w:r>
      <w:r w:rsidRPr="00EF6FDF">
        <w:rPr>
          <w:lang w:val="hy-AM"/>
        </w:rPr>
        <w:t xml:space="preserve"> թվականի պետական բյուջեի հիմքում դրված կանխատեսումները և պարտքի գծով ծրագրավորված գործառնությունները, ՀՀ կառավարության պարտքի կառավարման 202</w:t>
      </w:r>
      <w:r w:rsidRPr="00E7557A">
        <w:rPr>
          <w:lang w:val="hy-AM"/>
        </w:rPr>
        <w:t>7</w:t>
      </w:r>
      <w:r w:rsidRPr="00EF6FDF">
        <w:rPr>
          <w:lang w:val="hy-AM"/>
        </w:rPr>
        <w:t>-202</w:t>
      </w:r>
      <w:r w:rsidRPr="00E7557A">
        <w:rPr>
          <w:lang w:val="hy-AM"/>
        </w:rPr>
        <w:t>9</w:t>
      </w:r>
      <w:r w:rsidRPr="00EF6FDF">
        <w:rPr>
          <w:lang w:val="hy-AM"/>
        </w:rPr>
        <w:t xml:space="preserve"> թվականների ռազմավարական ծրագրով ամրագրված ուղենշային ցուցանիշները 202</w:t>
      </w:r>
      <w:r w:rsidRPr="00E7557A">
        <w:rPr>
          <w:lang w:val="hy-AM"/>
        </w:rPr>
        <w:t>7</w:t>
      </w:r>
      <w:r w:rsidRPr="00EF6FDF">
        <w:rPr>
          <w:lang w:val="hy-AM"/>
        </w:rPr>
        <w:t xml:space="preserve"> թվականի տարեվերջի դրությամբ կկազմեն.</w:t>
      </w:r>
    </w:p>
    <w:p w14:paraId="779F9CC8" w14:textId="77777777" w:rsidR="001C55F2" w:rsidRPr="00A52417" w:rsidRDefault="001C55F2" w:rsidP="00A52417">
      <w:pPr>
        <w:pStyle w:val="Charts"/>
        <w:ind w:right="-22"/>
        <w:rPr>
          <w:b w:val="0"/>
          <w:bCs/>
          <w:color w:val="auto"/>
          <w:sz w:val="20"/>
          <w:szCs w:val="18"/>
        </w:rPr>
      </w:pPr>
      <w:r w:rsidRPr="00A52417">
        <w:rPr>
          <w:b w:val="0"/>
          <w:bCs/>
          <w:color w:val="auto"/>
          <w:sz w:val="20"/>
          <w:szCs w:val="18"/>
        </w:rPr>
        <w:t>Աղյուսակ 21. ՀՀ կառավարության պարտքի կառավարման 2027-2029 թվականների ռազմավարական ծրագրով ամրագրված ուղենշային ցուցանիշները 2027-2029 թվականների տարեվերջին</w:t>
      </w:r>
      <w:bookmarkEnd w:id="450"/>
      <w:bookmarkEnd w:id="451"/>
      <w:bookmarkEnd w:id="452"/>
    </w:p>
    <w:tbl>
      <w:tblPr>
        <w:tblW w:w="10800" w:type="dxa"/>
        <w:tblInd w:w="-365" w:type="dxa"/>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ayout w:type="fixed"/>
        <w:tblLook w:val="01E0" w:firstRow="1" w:lastRow="1" w:firstColumn="1" w:lastColumn="1" w:noHBand="0" w:noVBand="0"/>
      </w:tblPr>
      <w:tblGrid>
        <w:gridCol w:w="4860"/>
        <w:gridCol w:w="1800"/>
        <w:gridCol w:w="1440"/>
        <w:gridCol w:w="1340"/>
        <w:gridCol w:w="10"/>
        <w:gridCol w:w="1350"/>
      </w:tblGrid>
      <w:tr w:rsidR="001C55F2" w:rsidRPr="001407D3" w14:paraId="23B31B04" w14:textId="77777777" w:rsidTr="001226F0">
        <w:trPr>
          <w:trHeight w:val="360"/>
          <w:tblHeader/>
        </w:trPr>
        <w:tc>
          <w:tcPr>
            <w:tcW w:w="4860" w:type="dxa"/>
            <w:shd w:val="clear" w:color="auto" w:fill="auto"/>
            <w:vAlign w:val="center"/>
          </w:tcPr>
          <w:p w14:paraId="414EA768" w14:textId="77777777" w:rsidR="001C55F2" w:rsidRPr="001407D3" w:rsidRDefault="001C55F2" w:rsidP="00873AE6">
            <w:pPr>
              <w:spacing w:before="60" w:after="60" w:line="240" w:lineRule="auto"/>
              <w:rPr>
                <w:sz w:val="18"/>
                <w:szCs w:val="18"/>
                <w:lang w:val="hy-AM"/>
              </w:rPr>
            </w:pPr>
          </w:p>
        </w:tc>
        <w:tc>
          <w:tcPr>
            <w:tcW w:w="1800" w:type="dxa"/>
            <w:shd w:val="clear" w:color="auto" w:fill="auto"/>
            <w:vAlign w:val="center"/>
            <w:hideMark/>
          </w:tcPr>
          <w:p w14:paraId="01791947" w14:textId="77777777" w:rsidR="001C55F2" w:rsidRPr="001407D3" w:rsidRDefault="001C55F2" w:rsidP="00873AE6">
            <w:pPr>
              <w:spacing w:before="60" w:after="60" w:line="240" w:lineRule="auto"/>
              <w:jc w:val="center"/>
              <w:rPr>
                <w:b/>
                <w:sz w:val="18"/>
                <w:szCs w:val="18"/>
              </w:rPr>
            </w:pPr>
            <w:r w:rsidRPr="001407D3">
              <w:rPr>
                <w:b/>
                <w:sz w:val="18"/>
                <w:szCs w:val="18"/>
              </w:rPr>
              <w:t>Ուղենիշ</w:t>
            </w:r>
          </w:p>
        </w:tc>
        <w:tc>
          <w:tcPr>
            <w:tcW w:w="1440" w:type="dxa"/>
            <w:shd w:val="clear" w:color="auto" w:fill="auto"/>
            <w:vAlign w:val="center"/>
            <w:hideMark/>
          </w:tcPr>
          <w:p w14:paraId="1DCB59C4" w14:textId="77777777" w:rsidR="001C55F2" w:rsidRPr="001407D3" w:rsidRDefault="001C55F2" w:rsidP="00873AE6">
            <w:pPr>
              <w:spacing w:before="60" w:after="60" w:line="240" w:lineRule="auto"/>
              <w:jc w:val="center"/>
              <w:rPr>
                <w:b/>
                <w:sz w:val="18"/>
                <w:szCs w:val="18"/>
              </w:rPr>
            </w:pPr>
            <w:r>
              <w:rPr>
                <w:b/>
                <w:sz w:val="18"/>
                <w:szCs w:val="18"/>
              </w:rPr>
              <w:t>2027</w:t>
            </w:r>
          </w:p>
        </w:tc>
        <w:tc>
          <w:tcPr>
            <w:tcW w:w="1350" w:type="dxa"/>
            <w:gridSpan w:val="2"/>
          </w:tcPr>
          <w:p w14:paraId="1D3F64AF" w14:textId="77777777" w:rsidR="001C55F2" w:rsidRDefault="001C55F2" w:rsidP="00873AE6">
            <w:pPr>
              <w:spacing w:before="60" w:after="60" w:line="240" w:lineRule="auto"/>
              <w:jc w:val="center"/>
              <w:rPr>
                <w:b/>
                <w:sz w:val="18"/>
                <w:szCs w:val="18"/>
              </w:rPr>
            </w:pPr>
            <w:r>
              <w:rPr>
                <w:b/>
                <w:sz w:val="18"/>
                <w:szCs w:val="18"/>
              </w:rPr>
              <w:t>2028</w:t>
            </w:r>
          </w:p>
        </w:tc>
        <w:tc>
          <w:tcPr>
            <w:tcW w:w="1350" w:type="dxa"/>
          </w:tcPr>
          <w:p w14:paraId="2406608F" w14:textId="77777777" w:rsidR="001C55F2" w:rsidRDefault="001C55F2" w:rsidP="00873AE6">
            <w:pPr>
              <w:spacing w:before="60" w:after="60" w:line="240" w:lineRule="auto"/>
              <w:jc w:val="center"/>
              <w:rPr>
                <w:b/>
                <w:sz w:val="18"/>
                <w:szCs w:val="18"/>
              </w:rPr>
            </w:pPr>
            <w:r>
              <w:rPr>
                <w:b/>
                <w:sz w:val="18"/>
                <w:szCs w:val="18"/>
              </w:rPr>
              <w:t>2029</w:t>
            </w:r>
          </w:p>
        </w:tc>
      </w:tr>
      <w:tr w:rsidR="001C55F2" w:rsidRPr="001407D3" w14:paraId="3EBAA029" w14:textId="77777777" w:rsidTr="006422CA">
        <w:trPr>
          <w:trHeight w:val="360"/>
        </w:trPr>
        <w:tc>
          <w:tcPr>
            <w:tcW w:w="8100" w:type="dxa"/>
            <w:gridSpan w:val="3"/>
            <w:shd w:val="clear" w:color="auto" w:fill="DAE9F7" w:themeFill="text2" w:themeFillTint="1A"/>
            <w:vAlign w:val="center"/>
            <w:hideMark/>
          </w:tcPr>
          <w:p w14:paraId="2920281B" w14:textId="77777777" w:rsidR="001C55F2" w:rsidRPr="001407D3" w:rsidRDefault="001C55F2" w:rsidP="00873AE6">
            <w:pPr>
              <w:spacing w:before="60" w:after="60" w:line="240" w:lineRule="auto"/>
              <w:rPr>
                <w:b/>
                <w:sz w:val="18"/>
                <w:szCs w:val="18"/>
              </w:rPr>
            </w:pPr>
            <w:r w:rsidRPr="001407D3">
              <w:rPr>
                <w:b/>
                <w:sz w:val="18"/>
                <w:szCs w:val="18"/>
              </w:rPr>
              <w:t>Վերաֆինանսավորման ռիսկ</w:t>
            </w:r>
          </w:p>
        </w:tc>
        <w:tc>
          <w:tcPr>
            <w:tcW w:w="1340" w:type="dxa"/>
            <w:shd w:val="clear" w:color="auto" w:fill="DAE9F7" w:themeFill="text2" w:themeFillTint="1A"/>
          </w:tcPr>
          <w:p w14:paraId="51AF661E" w14:textId="77777777" w:rsidR="001C55F2" w:rsidRPr="001407D3" w:rsidRDefault="001C55F2" w:rsidP="00873AE6">
            <w:pPr>
              <w:spacing w:before="60" w:after="60" w:line="240" w:lineRule="auto"/>
              <w:rPr>
                <w:b/>
                <w:sz w:val="18"/>
                <w:szCs w:val="18"/>
              </w:rPr>
            </w:pPr>
          </w:p>
        </w:tc>
        <w:tc>
          <w:tcPr>
            <w:tcW w:w="1360" w:type="dxa"/>
            <w:gridSpan w:val="2"/>
            <w:shd w:val="clear" w:color="auto" w:fill="DAE9F7" w:themeFill="text2" w:themeFillTint="1A"/>
          </w:tcPr>
          <w:p w14:paraId="50ED67F9" w14:textId="77777777" w:rsidR="001C55F2" w:rsidRPr="001407D3" w:rsidRDefault="001C55F2" w:rsidP="00873AE6">
            <w:pPr>
              <w:spacing w:before="60" w:after="60" w:line="240" w:lineRule="auto"/>
              <w:rPr>
                <w:b/>
                <w:sz w:val="18"/>
                <w:szCs w:val="18"/>
              </w:rPr>
            </w:pPr>
          </w:p>
        </w:tc>
      </w:tr>
      <w:tr w:rsidR="001C55F2" w:rsidRPr="001407D3" w14:paraId="3C963310" w14:textId="77777777" w:rsidTr="001226F0">
        <w:trPr>
          <w:trHeight w:val="360"/>
        </w:trPr>
        <w:tc>
          <w:tcPr>
            <w:tcW w:w="4860" w:type="dxa"/>
            <w:vAlign w:val="center"/>
            <w:hideMark/>
          </w:tcPr>
          <w:p w14:paraId="189F2388" w14:textId="77777777" w:rsidR="001C55F2" w:rsidRPr="001407D3" w:rsidRDefault="001C55F2" w:rsidP="00873AE6">
            <w:pPr>
              <w:spacing w:before="60" w:after="60" w:line="240" w:lineRule="auto"/>
              <w:ind w:right="518"/>
              <w:rPr>
                <w:sz w:val="18"/>
                <w:szCs w:val="18"/>
              </w:rPr>
            </w:pPr>
            <w:r w:rsidRPr="001407D3">
              <w:rPr>
                <w:sz w:val="18"/>
                <w:szCs w:val="18"/>
              </w:rPr>
              <w:t>Մինչև մարում միջին</w:t>
            </w:r>
            <w:r>
              <w:rPr>
                <w:sz w:val="18"/>
                <w:szCs w:val="18"/>
              </w:rPr>
              <w:t xml:space="preserve"> </w:t>
            </w:r>
            <w:r>
              <w:rPr>
                <w:sz w:val="18"/>
                <w:szCs w:val="18"/>
                <w:lang w:val="hy-AM"/>
              </w:rPr>
              <w:t>կշռված</w:t>
            </w:r>
            <w:r w:rsidRPr="001407D3">
              <w:rPr>
                <w:sz w:val="18"/>
                <w:szCs w:val="18"/>
              </w:rPr>
              <w:t xml:space="preserve"> ժամկետը </w:t>
            </w:r>
          </w:p>
        </w:tc>
        <w:tc>
          <w:tcPr>
            <w:tcW w:w="1800" w:type="dxa"/>
            <w:vAlign w:val="center"/>
            <w:hideMark/>
          </w:tcPr>
          <w:p w14:paraId="2C22DBB2" w14:textId="77777777" w:rsidR="001C55F2" w:rsidRPr="001407D3" w:rsidRDefault="001C55F2" w:rsidP="00873AE6">
            <w:pPr>
              <w:spacing w:before="60" w:after="60" w:line="240" w:lineRule="auto"/>
              <w:jc w:val="center"/>
              <w:rPr>
                <w:sz w:val="18"/>
                <w:szCs w:val="18"/>
              </w:rPr>
            </w:pPr>
            <w:r w:rsidRPr="001407D3">
              <w:rPr>
                <w:sz w:val="18"/>
                <w:szCs w:val="18"/>
              </w:rPr>
              <w:t>7 – 10 տարի</w:t>
            </w:r>
          </w:p>
        </w:tc>
        <w:tc>
          <w:tcPr>
            <w:tcW w:w="1440" w:type="dxa"/>
            <w:vAlign w:val="center"/>
            <w:hideMark/>
          </w:tcPr>
          <w:p w14:paraId="5052F37C" w14:textId="77777777" w:rsidR="001C55F2" w:rsidRPr="00DB0A17" w:rsidRDefault="001C55F2" w:rsidP="00873AE6">
            <w:pPr>
              <w:spacing w:before="60" w:after="60" w:line="240" w:lineRule="auto"/>
              <w:jc w:val="center"/>
              <w:rPr>
                <w:sz w:val="18"/>
                <w:szCs w:val="18"/>
              </w:rPr>
            </w:pPr>
            <w:r>
              <w:rPr>
                <w:sz w:val="18"/>
                <w:szCs w:val="18"/>
              </w:rPr>
              <w:t>7.0</w:t>
            </w:r>
            <w:r w:rsidRPr="00DB0A17">
              <w:rPr>
                <w:sz w:val="18"/>
                <w:szCs w:val="18"/>
              </w:rPr>
              <w:t xml:space="preserve"> տարի</w:t>
            </w:r>
          </w:p>
        </w:tc>
        <w:tc>
          <w:tcPr>
            <w:tcW w:w="1350" w:type="dxa"/>
            <w:gridSpan w:val="2"/>
          </w:tcPr>
          <w:p w14:paraId="1953C240" w14:textId="77777777" w:rsidR="001C55F2" w:rsidRPr="00DB0A17" w:rsidRDefault="001C55F2" w:rsidP="00873AE6">
            <w:pPr>
              <w:spacing w:before="60" w:after="60" w:line="240" w:lineRule="auto"/>
              <w:jc w:val="center"/>
              <w:rPr>
                <w:sz w:val="18"/>
                <w:szCs w:val="18"/>
              </w:rPr>
            </w:pPr>
            <w:r>
              <w:rPr>
                <w:sz w:val="18"/>
                <w:szCs w:val="18"/>
              </w:rPr>
              <w:t>6.7</w:t>
            </w:r>
            <w:r w:rsidRPr="00DB0A17">
              <w:rPr>
                <w:sz w:val="18"/>
                <w:szCs w:val="18"/>
              </w:rPr>
              <w:t xml:space="preserve"> տարի</w:t>
            </w:r>
          </w:p>
        </w:tc>
        <w:tc>
          <w:tcPr>
            <w:tcW w:w="1350" w:type="dxa"/>
          </w:tcPr>
          <w:p w14:paraId="3D4FE1CC" w14:textId="77777777" w:rsidR="001C55F2" w:rsidRPr="00DB0A17" w:rsidRDefault="001C55F2" w:rsidP="00873AE6">
            <w:pPr>
              <w:spacing w:before="60" w:after="60" w:line="240" w:lineRule="auto"/>
              <w:jc w:val="center"/>
              <w:rPr>
                <w:sz w:val="18"/>
                <w:szCs w:val="18"/>
              </w:rPr>
            </w:pPr>
            <w:r w:rsidRPr="00BC5FEF">
              <w:rPr>
                <w:color w:val="auto"/>
                <w:sz w:val="18"/>
                <w:szCs w:val="18"/>
              </w:rPr>
              <w:t>6.7 տա</w:t>
            </w:r>
            <w:r w:rsidRPr="00DB0A17">
              <w:rPr>
                <w:sz w:val="18"/>
                <w:szCs w:val="18"/>
              </w:rPr>
              <w:t>րի</w:t>
            </w:r>
          </w:p>
        </w:tc>
      </w:tr>
      <w:tr w:rsidR="001C55F2" w:rsidRPr="001407D3" w14:paraId="22A8B6F6" w14:textId="77777777" w:rsidTr="001226F0">
        <w:trPr>
          <w:trHeight w:val="360"/>
        </w:trPr>
        <w:tc>
          <w:tcPr>
            <w:tcW w:w="4860" w:type="dxa"/>
            <w:vAlign w:val="center"/>
            <w:hideMark/>
          </w:tcPr>
          <w:p w14:paraId="6931D27D" w14:textId="77777777" w:rsidR="001C55F2" w:rsidRPr="001407D3" w:rsidRDefault="001C55F2" w:rsidP="00873AE6">
            <w:pPr>
              <w:spacing w:before="60" w:after="60" w:line="240" w:lineRule="auto"/>
              <w:ind w:right="518"/>
              <w:rPr>
                <w:sz w:val="18"/>
                <w:szCs w:val="18"/>
              </w:rPr>
            </w:pPr>
            <w:r w:rsidRPr="001407D3">
              <w:rPr>
                <w:sz w:val="18"/>
                <w:szCs w:val="18"/>
              </w:rPr>
              <w:t>Առաջիկա երեք տարվա ընթացքում մարման ենթակա պարտքի տեսակարար կշիռ, %</w:t>
            </w:r>
          </w:p>
        </w:tc>
        <w:tc>
          <w:tcPr>
            <w:tcW w:w="1800" w:type="dxa"/>
            <w:vAlign w:val="center"/>
            <w:hideMark/>
          </w:tcPr>
          <w:p w14:paraId="3764F1E8" w14:textId="77777777" w:rsidR="001C55F2" w:rsidRPr="001407D3" w:rsidRDefault="001C55F2" w:rsidP="00873AE6">
            <w:pPr>
              <w:spacing w:before="60" w:after="60" w:line="240" w:lineRule="auto"/>
              <w:jc w:val="center"/>
              <w:rPr>
                <w:sz w:val="18"/>
                <w:szCs w:val="18"/>
              </w:rPr>
            </w:pPr>
            <w:r w:rsidRPr="001407D3">
              <w:rPr>
                <w:sz w:val="18"/>
                <w:szCs w:val="18"/>
              </w:rPr>
              <w:t>առավելագույնը</w:t>
            </w:r>
          </w:p>
          <w:p w14:paraId="36A12BB8" w14:textId="77777777" w:rsidR="001C55F2" w:rsidRPr="001407D3" w:rsidRDefault="001C55F2" w:rsidP="00873AE6">
            <w:pPr>
              <w:spacing w:before="60" w:after="60" w:line="240" w:lineRule="auto"/>
              <w:jc w:val="center"/>
              <w:rPr>
                <w:sz w:val="18"/>
                <w:szCs w:val="18"/>
              </w:rPr>
            </w:pPr>
            <w:r w:rsidRPr="001407D3">
              <w:rPr>
                <w:sz w:val="18"/>
                <w:szCs w:val="18"/>
              </w:rPr>
              <w:t>35%</w:t>
            </w:r>
          </w:p>
        </w:tc>
        <w:tc>
          <w:tcPr>
            <w:tcW w:w="1440" w:type="dxa"/>
            <w:vAlign w:val="center"/>
            <w:hideMark/>
          </w:tcPr>
          <w:p w14:paraId="601714E6" w14:textId="77777777" w:rsidR="001C55F2" w:rsidRPr="00C4142C" w:rsidRDefault="001C55F2" w:rsidP="00873AE6">
            <w:pPr>
              <w:spacing w:before="60" w:after="60" w:line="240" w:lineRule="auto"/>
              <w:jc w:val="center"/>
              <w:rPr>
                <w:color w:val="auto"/>
                <w:sz w:val="18"/>
                <w:szCs w:val="18"/>
              </w:rPr>
            </w:pPr>
            <w:r>
              <w:rPr>
                <w:bCs/>
                <w:color w:val="auto"/>
                <w:sz w:val="18"/>
                <w:szCs w:val="18"/>
              </w:rPr>
              <w:t>24.7</w:t>
            </w:r>
            <w:r w:rsidRPr="00C4142C">
              <w:rPr>
                <w:bCs/>
                <w:color w:val="auto"/>
                <w:sz w:val="18"/>
                <w:szCs w:val="18"/>
                <w:lang w:val="hy-AM"/>
              </w:rPr>
              <w:t>%</w:t>
            </w:r>
          </w:p>
        </w:tc>
        <w:tc>
          <w:tcPr>
            <w:tcW w:w="1350" w:type="dxa"/>
            <w:gridSpan w:val="2"/>
            <w:vAlign w:val="center"/>
          </w:tcPr>
          <w:p w14:paraId="70899A56" w14:textId="77777777" w:rsidR="001C55F2" w:rsidRPr="00C4142C" w:rsidRDefault="001C55F2" w:rsidP="00873AE6">
            <w:pPr>
              <w:spacing w:before="60" w:after="60" w:line="240" w:lineRule="auto"/>
              <w:jc w:val="center"/>
              <w:rPr>
                <w:bCs/>
                <w:color w:val="auto"/>
                <w:sz w:val="18"/>
                <w:szCs w:val="18"/>
              </w:rPr>
            </w:pPr>
            <w:r>
              <w:rPr>
                <w:bCs/>
                <w:color w:val="auto"/>
                <w:sz w:val="18"/>
                <w:szCs w:val="18"/>
              </w:rPr>
              <w:t>32</w:t>
            </w:r>
            <w:r w:rsidRPr="00C4142C">
              <w:rPr>
                <w:bCs/>
                <w:color w:val="auto"/>
                <w:sz w:val="18"/>
                <w:szCs w:val="18"/>
              </w:rPr>
              <w:t>.4%</w:t>
            </w:r>
          </w:p>
        </w:tc>
        <w:tc>
          <w:tcPr>
            <w:tcW w:w="1350" w:type="dxa"/>
            <w:vAlign w:val="center"/>
          </w:tcPr>
          <w:p w14:paraId="69F2CCD3" w14:textId="77777777" w:rsidR="001C55F2" w:rsidRPr="00C4142C" w:rsidRDefault="001C55F2" w:rsidP="00873AE6">
            <w:pPr>
              <w:spacing w:before="60" w:after="60" w:line="240" w:lineRule="auto"/>
              <w:jc w:val="center"/>
              <w:rPr>
                <w:bCs/>
                <w:color w:val="auto"/>
                <w:sz w:val="18"/>
                <w:szCs w:val="18"/>
              </w:rPr>
            </w:pPr>
            <w:r>
              <w:rPr>
                <w:bCs/>
                <w:color w:val="auto"/>
                <w:sz w:val="18"/>
                <w:szCs w:val="18"/>
              </w:rPr>
              <w:t>28.6</w:t>
            </w:r>
            <w:r w:rsidRPr="00C4142C">
              <w:rPr>
                <w:bCs/>
                <w:color w:val="auto"/>
                <w:sz w:val="18"/>
                <w:szCs w:val="18"/>
              </w:rPr>
              <w:t>%</w:t>
            </w:r>
          </w:p>
        </w:tc>
      </w:tr>
      <w:tr w:rsidR="001C55F2" w:rsidRPr="001407D3" w14:paraId="73086042" w14:textId="77777777" w:rsidTr="001226F0">
        <w:trPr>
          <w:trHeight w:val="360"/>
        </w:trPr>
        <w:tc>
          <w:tcPr>
            <w:tcW w:w="4860" w:type="dxa"/>
            <w:vAlign w:val="center"/>
            <w:hideMark/>
          </w:tcPr>
          <w:p w14:paraId="3D7FBBF5" w14:textId="77777777" w:rsidR="001C55F2" w:rsidRPr="001407D3" w:rsidRDefault="001C55F2" w:rsidP="00873AE6">
            <w:pPr>
              <w:spacing w:before="60" w:after="60" w:line="240" w:lineRule="auto"/>
              <w:ind w:right="518"/>
              <w:rPr>
                <w:sz w:val="18"/>
                <w:szCs w:val="18"/>
              </w:rPr>
            </w:pPr>
            <w:r w:rsidRPr="001407D3">
              <w:rPr>
                <w:sz w:val="18"/>
                <w:szCs w:val="18"/>
              </w:rPr>
              <w:t>Առաջիկա տարվա ընթացքում մարվող պետական գանձապետական պարտատոմսերի (ՊԳՊ) կշիռը ՊԳՊ-երի ծավալի մեջ (տարեվերջին)</w:t>
            </w:r>
          </w:p>
        </w:tc>
        <w:tc>
          <w:tcPr>
            <w:tcW w:w="1800" w:type="dxa"/>
            <w:vAlign w:val="center"/>
            <w:hideMark/>
          </w:tcPr>
          <w:p w14:paraId="685A6F82" w14:textId="77777777" w:rsidR="001C55F2" w:rsidRPr="001407D3" w:rsidRDefault="001C55F2" w:rsidP="00873AE6">
            <w:pPr>
              <w:spacing w:before="60" w:after="60" w:line="240" w:lineRule="auto"/>
              <w:jc w:val="center"/>
              <w:rPr>
                <w:sz w:val="18"/>
                <w:szCs w:val="18"/>
              </w:rPr>
            </w:pPr>
            <w:r w:rsidRPr="001407D3">
              <w:rPr>
                <w:sz w:val="18"/>
                <w:szCs w:val="18"/>
              </w:rPr>
              <w:t>առավելագույնը</w:t>
            </w:r>
          </w:p>
          <w:p w14:paraId="7074AF55" w14:textId="77777777" w:rsidR="001C55F2" w:rsidRPr="001407D3" w:rsidRDefault="001C55F2" w:rsidP="00873AE6">
            <w:pPr>
              <w:spacing w:before="60" w:after="60" w:line="240" w:lineRule="auto"/>
              <w:jc w:val="center"/>
              <w:rPr>
                <w:sz w:val="18"/>
                <w:szCs w:val="18"/>
              </w:rPr>
            </w:pPr>
            <w:r w:rsidRPr="001407D3">
              <w:rPr>
                <w:sz w:val="18"/>
                <w:szCs w:val="18"/>
              </w:rPr>
              <w:t>20%</w:t>
            </w:r>
          </w:p>
        </w:tc>
        <w:tc>
          <w:tcPr>
            <w:tcW w:w="1440" w:type="dxa"/>
            <w:vAlign w:val="center"/>
            <w:hideMark/>
          </w:tcPr>
          <w:p w14:paraId="4777394E" w14:textId="77777777" w:rsidR="001C55F2" w:rsidRPr="00C4142C" w:rsidRDefault="001C55F2" w:rsidP="00873AE6">
            <w:pPr>
              <w:spacing w:before="60" w:after="60" w:line="240" w:lineRule="auto"/>
              <w:jc w:val="center"/>
              <w:rPr>
                <w:color w:val="auto"/>
                <w:sz w:val="18"/>
                <w:szCs w:val="18"/>
              </w:rPr>
            </w:pPr>
            <w:r w:rsidRPr="00C4142C">
              <w:rPr>
                <w:bCs/>
                <w:color w:val="auto"/>
                <w:sz w:val="18"/>
                <w:szCs w:val="18"/>
              </w:rPr>
              <w:t>12.2</w:t>
            </w:r>
            <w:r w:rsidRPr="00C4142C">
              <w:rPr>
                <w:bCs/>
                <w:color w:val="auto"/>
                <w:sz w:val="18"/>
                <w:szCs w:val="18"/>
                <w:lang w:val="hy-AM"/>
              </w:rPr>
              <w:t>%</w:t>
            </w:r>
          </w:p>
        </w:tc>
        <w:tc>
          <w:tcPr>
            <w:tcW w:w="1350" w:type="dxa"/>
            <w:gridSpan w:val="2"/>
            <w:vAlign w:val="center"/>
          </w:tcPr>
          <w:p w14:paraId="43DE2EB1" w14:textId="77777777" w:rsidR="001C55F2" w:rsidRPr="00C4142C" w:rsidRDefault="001C55F2" w:rsidP="00873AE6">
            <w:pPr>
              <w:spacing w:before="60" w:after="60" w:line="240" w:lineRule="auto"/>
              <w:jc w:val="center"/>
              <w:rPr>
                <w:bCs/>
                <w:color w:val="auto"/>
                <w:sz w:val="18"/>
                <w:szCs w:val="18"/>
              </w:rPr>
            </w:pPr>
            <w:r w:rsidRPr="00C4142C">
              <w:rPr>
                <w:bCs/>
                <w:color w:val="auto"/>
                <w:sz w:val="18"/>
                <w:szCs w:val="18"/>
              </w:rPr>
              <w:t>14.9%</w:t>
            </w:r>
          </w:p>
        </w:tc>
        <w:tc>
          <w:tcPr>
            <w:tcW w:w="1350" w:type="dxa"/>
            <w:vAlign w:val="center"/>
          </w:tcPr>
          <w:p w14:paraId="3DB20F79" w14:textId="77777777" w:rsidR="001C55F2" w:rsidRPr="00C4142C" w:rsidRDefault="001C55F2" w:rsidP="00873AE6">
            <w:pPr>
              <w:spacing w:before="60" w:after="60" w:line="240" w:lineRule="auto"/>
              <w:jc w:val="center"/>
              <w:rPr>
                <w:bCs/>
                <w:color w:val="auto"/>
                <w:sz w:val="18"/>
                <w:szCs w:val="18"/>
              </w:rPr>
            </w:pPr>
            <w:r w:rsidRPr="00C4142C">
              <w:rPr>
                <w:bCs/>
                <w:color w:val="auto"/>
                <w:sz w:val="18"/>
                <w:szCs w:val="18"/>
              </w:rPr>
              <w:t>12.4%</w:t>
            </w:r>
          </w:p>
        </w:tc>
      </w:tr>
      <w:tr w:rsidR="001C55F2" w:rsidRPr="001407D3" w14:paraId="4867A1CF" w14:textId="77777777" w:rsidTr="006422CA">
        <w:trPr>
          <w:trHeight w:val="360"/>
        </w:trPr>
        <w:tc>
          <w:tcPr>
            <w:tcW w:w="8100" w:type="dxa"/>
            <w:gridSpan w:val="3"/>
            <w:shd w:val="clear" w:color="auto" w:fill="DAE9F7" w:themeFill="text2" w:themeFillTint="1A"/>
            <w:vAlign w:val="center"/>
            <w:hideMark/>
          </w:tcPr>
          <w:p w14:paraId="2361B2DF" w14:textId="77777777" w:rsidR="001C55F2" w:rsidRPr="0096734E" w:rsidRDefault="001C55F2" w:rsidP="00873AE6">
            <w:pPr>
              <w:spacing w:before="60" w:after="60" w:line="240" w:lineRule="auto"/>
              <w:rPr>
                <w:b/>
                <w:color w:val="FF0000"/>
                <w:sz w:val="18"/>
                <w:szCs w:val="18"/>
              </w:rPr>
            </w:pPr>
            <w:r w:rsidRPr="00C4142C">
              <w:rPr>
                <w:b/>
                <w:color w:val="auto"/>
                <w:sz w:val="18"/>
                <w:szCs w:val="18"/>
              </w:rPr>
              <w:t>Տոկոսադրույքի ռիսկ</w:t>
            </w:r>
          </w:p>
        </w:tc>
        <w:tc>
          <w:tcPr>
            <w:tcW w:w="1340" w:type="dxa"/>
            <w:shd w:val="clear" w:color="auto" w:fill="DAE9F7" w:themeFill="text2" w:themeFillTint="1A"/>
          </w:tcPr>
          <w:p w14:paraId="7617E841" w14:textId="77777777" w:rsidR="001C55F2" w:rsidRPr="0096734E" w:rsidRDefault="001C55F2" w:rsidP="00873AE6">
            <w:pPr>
              <w:spacing w:before="60" w:after="60" w:line="240" w:lineRule="auto"/>
              <w:rPr>
                <w:b/>
                <w:color w:val="FF0000"/>
                <w:sz w:val="18"/>
                <w:szCs w:val="18"/>
              </w:rPr>
            </w:pPr>
          </w:p>
        </w:tc>
        <w:tc>
          <w:tcPr>
            <w:tcW w:w="1360" w:type="dxa"/>
            <w:gridSpan w:val="2"/>
            <w:shd w:val="clear" w:color="auto" w:fill="DAE9F7" w:themeFill="text2" w:themeFillTint="1A"/>
          </w:tcPr>
          <w:p w14:paraId="0E35FE40" w14:textId="77777777" w:rsidR="001C55F2" w:rsidRPr="0096734E" w:rsidRDefault="001C55F2" w:rsidP="00873AE6">
            <w:pPr>
              <w:spacing w:before="60" w:after="60" w:line="240" w:lineRule="auto"/>
              <w:rPr>
                <w:b/>
                <w:color w:val="FF0000"/>
                <w:sz w:val="18"/>
                <w:szCs w:val="18"/>
              </w:rPr>
            </w:pPr>
          </w:p>
        </w:tc>
      </w:tr>
      <w:tr w:rsidR="001C55F2" w:rsidRPr="001407D3" w14:paraId="6AA46DA0" w14:textId="77777777" w:rsidTr="001226F0">
        <w:trPr>
          <w:trHeight w:val="360"/>
        </w:trPr>
        <w:tc>
          <w:tcPr>
            <w:tcW w:w="4860" w:type="dxa"/>
            <w:vAlign w:val="center"/>
            <w:hideMark/>
          </w:tcPr>
          <w:p w14:paraId="4AB763C1" w14:textId="77777777" w:rsidR="001C55F2" w:rsidRPr="001407D3" w:rsidRDefault="001C55F2" w:rsidP="00873AE6">
            <w:pPr>
              <w:spacing w:before="60" w:after="60" w:line="240" w:lineRule="auto"/>
              <w:ind w:right="518"/>
              <w:rPr>
                <w:sz w:val="18"/>
                <w:szCs w:val="18"/>
              </w:rPr>
            </w:pPr>
            <w:r w:rsidRPr="001407D3">
              <w:rPr>
                <w:sz w:val="18"/>
                <w:szCs w:val="18"/>
              </w:rPr>
              <w:t>Ֆիքսված տոկոսադրույքով պարտքի կշիռն ընդամենը պարտքի մեջ</w:t>
            </w:r>
          </w:p>
        </w:tc>
        <w:tc>
          <w:tcPr>
            <w:tcW w:w="1800" w:type="dxa"/>
            <w:vAlign w:val="center"/>
            <w:hideMark/>
          </w:tcPr>
          <w:p w14:paraId="787ACFFB" w14:textId="77777777" w:rsidR="001C55F2" w:rsidRPr="001407D3" w:rsidRDefault="001C55F2" w:rsidP="00873AE6">
            <w:pPr>
              <w:spacing w:before="60" w:after="60" w:line="240" w:lineRule="auto"/>
              <w:jc w:val="center"/>
              <w:rPr>
                <w:sz w:val="18"/>
                <w:szCs w:val="18"/>
              </w:rPr>
            </w:pPr>
            <w:r w:rsidRPr="001407D3">
              <w:rPr>
                <w:sz w:val="18"/>
                <w:szCs w:val="18"/>
              </w:rPr>
              <w:t>առնվազն 80%</w:t>
            </w:r>
          </w:p>
        </w:tc>
        <w:tc>
          <w:tcPr>
            <w:tcW w:w="1440" w:type="dxa"/>
            <w:vAlign w:val="center"/>
            <w:hideMark/>
          </w:tcPr>
          <w:p w14:paraId="1A89CD77" w14:textId="77777777" w:rsidR="001C55F2" w:rsidRPr="00C4142C" w:rsidRDefault="001C55F2" w:rsidP="00873AE6">
            <w:pPr>
              <w:spacing w:before="60" w:after="60" w:line="240" w:lineRule="auto"/>
              <w:jc w:val="center"/>
              <w:rPr>
                <w:color w:val="auto"/>
                <w:sz w:val="18"/>
                <w:szCs w:val="18"/>
              </w:rPr>
            </w:pPr>
            <w:r w:rsidRPr="00C4142C">
              <w:rPr>
                <w:bCs/>
                <w:color w:val="auto"/>
                <w:sz w:val="18"/>
                <w:szCs w:val="18"/>
              </w:rPr>
              <w:t>84.3</w:t>
            </w:r>
            <w:r w:rsidRPr="00C4142C">
              <w:rPr>
                <w:bCs/>
                <w:color w:val="auto"/>
                <w:sz w:val="18"/>
                <w:szCs w:val="18"/>
                <w:lang w:val="hy-AM"/>
              </w:rPr>
              <w:t>%</w:t>
            </w:r>
          </w:p>
        </w:tc>
        <w:tc>
          <w:tcPr>
            <w:tcW w:w="1350" w:type="dxa"/>
            <w:gridSpan w:val="2"/>
            <w:vAlign w:val="center"/>
          </w:tcPr>
          <w:p w14:paraId="339C1CAE" w14:textId="77777777" w:rsidR="001C55F2" w:rsidRPr="00C4142C" w:rsidRDefault="001C55F2" w:rsidP="00873AE6">
            <w:pPr>
              <w:spacing w:before="60" w:after="60" w:line="240" w:lineRule="auto"/>
              <w:jc w:val="center"/>
              <w:rPr>
                <w:bCs/>
                <w:color w:val="auto"/>
                <w:sz w:val="18"/>
                <w:szCs w:val="18"/>
              </w:rPr>
            </w:pPr>
            <w:r w:rsidRPr="00C4142C">
              <w:rPr>
                <w:bCs/>
                <w:color w:val="auto"/>
                <w:sz w:val="18"/>
                <w:szCs w:val="18"/>
              </w:rPr>
              <w:t>84.</w:t>
            </w:r>
            <w:r>
              <w:rPr>
                <w:bCs/>
                <w:color w:val="auto"/>
                <w:sz w:val="18"/>
                <w:szCs w:val="18"/>
              </w:rPr>
              <w:t>3</w:t>
            </w:r>
            <w:r w:rsidRPr="00C4142C">
              <w:rPr>
                <w:bCs/>
                <w:color w:val="auto"/>
                <w:sz w:val="18"/>
                <w:szCs w:val="18"/>
              </w:rPr>
              <w:t>%</w:t>
            </w:r>
          </w:p>
        </w:tc>
        <w:tc>
          <w:tcPr>
            <w:tcW w:w="1350" w:type="dxa"/>
            <w:vAlign w:val="center"/>
          </w:tcPr>
          <w:p w14:paraId="07051FDF" w14:textId="77777777" w:rsidR="001C55F2" w:rsidRPr="00C4142C" w:rsidRDefault="001C55F2" w:rsidP="00873AE6">
            <w:pPr>
              <w:spacing w:before="60" w:after="60" w:line="240" w:lineRule="auto"/>
              <w:jc w:val="center"/>
              <w:rPr>
                <w:bCs/>
                <w:color w:val="auto"/>
                <w:sz w:val="18"/>
                <w:szCs w:val="18"/>
              </w:rPr>
            </w:pPr>
            <w:r w:rsidRPr="00C4142C">
              <w:rPr>
                <w:bCs/>
                <w:color w:val="auto"/>
                <w:sz w:val="18"/>
                <w:szCs w:val="18"/>
              </w:rPr>
              <w:t>84.4%</w:t>
            </w:r>
          </w:p>
        </w:tc>
      </w:tr>
      <w:tr w:rsidR="001C55F2" w:rsidRPr="001407D3" w14:paraId="2BA97A87" w14:textId="77777777" w:rsidTr="006422CA">
        <w:trPr>
          <w:trHeight w:val="360"/>
        </w:trPr>
        <w:tc>
          <w:tcPr>
            <w:tcW w:w="8100" w:type="dxa"/>
            <w:gridSpan w:val="3"/>
            <w:shd w:val="clear" w:color="auto" w:fill="DAE9F7" w:themeFill="text2" w:themeFillTint="1A"/>
            <w:vAlign w:val="center"/>
            <w:hideMark/>
          </w:tcPr>
          <w:p w14:paraId="410E7522" w14:textId="77777777" w:rsidR="001C55F2" w:rsidRPr="0096734E" w:rsidRDefault="001C55F2" w:rsidP="00873AE6">
            <w:pPr>
              <w:spacing w:before="60" w:after="60" w:line="240" w:lineRule="auto"/>
              <w:rPr>
                <w:b/>
                <w:color w:val="FF0000"/>
                <w:sz w:val="18"/>
                <w:szCs w:val="18"/>
              </w:rPr>
            </w:pPr>
            <w:r w:rsidRPr="00C4142C">
              <w:rPr>
                <w:b/>
                <w:color w:val="auto"/>
                <w:sz w:val="18"/>
                <w:szCs w:val="18"/>
              </w:rPr>
              <w:t>Փոխարժեքի ռիսկ</w:t>
            </w:r>
          </w:p>
        </w:tc>
        <w:tc>
          <w:tcPr>
            <w:tcW w:w="1340" w:type="dxa"/>
            <w:shd w:val="clear" w:color="auto" w:fill="DAE9F7" w:themeFill="text2" w:themeFillTint="1A"/>
          </w:tcPr>
          <w:p w14:paraId="62B0634E" w14:textId="77777777" w:rsidR="001C55F2" w:rsidRPr="0096734E" w:rsidRDefault="001C55F2" w:rsidP="00873AE6">
            <w:pPr>
              <w:spacing w:before="60" w:after="60" w:line="240" w:lineRule="auto"/>
              <w:rPr>
                <w:b/>
                <w:color w:val="FF0000"/>
                <w:sz w:val="18"/>
                <w:szCs w:val="18"/>
              </w:rPr>
            </w:pPr>
          </w:p>
        </w:tc>
        <w:tc>
          <w:tcPr>
            <w:tcW w:w="1360" w:type="dxa"/>
            <w:gridSpan w:val="2"/>
            <w:shd w:val="clear" w:color="auto" w:fill="DAE9F7" w:themeFill="text2" w:themeFillTint="1A"/>
          </w:tcPr>
          <w:p w14:paraId="23DE8BE4" w14:textId="77777777" w:rsidR="001C55F2" w:rsidRPr="0096734E" w:rsidRDefault="001C55F2" w:rsidP="00873AE6">
            <w:pPr>
              <w:spacing w:before="60" w:after="60" w:line="240" w:lineRule="auto"/>
              <w:rPr>
                <w:b/>
                <w:color w:val="FF0000"/>
                <w:sz w:val="18"/>
                <w:szCs w:val="18"/>
              </w:rPr>
            </w:pPr>
          </w:p>
        </w:tc>
      </w:tr>
      <w:tr w:rsidR="001C55F2" w:rsidRPr="001407D3" w14:paraId="2E4F411A" w14:textId="77777777" w:rsidTr="001226F0">
        <w:trPr>
          <w:trHeight w:val="360"/>
        </w:trPr>
        <w:tc>
          <w:tcPr>
            <w:tcW w:w="4860" w:type="dxa"/>
            <w:vAlign w:val="center"/>
            <w:hideMark/>
          </w:tcPr>
          <w:p w14:paraId="1FCE5893" w14:textId="77777777" w:rsidR="001C55F2" w:rsidRPr="001407D3" w:rsidRDefault="001C55F2" w:rsidP="00873AE6">
            <w:pPr>
              <w:spacing w:before="60" w:after="60" w:line="240" w:lineRule="auto"/>
              <w:ind w:right="518"/>
              <w:rPr>
                <w:sz w:val="18"/>
                <w:szCs w:val="18"/>
              </w:rPr>
            </w:pPr>
            <w:r w:rsidRPr="001407D3">
              <w:rPr>
                <w:sz w:val="18"/>
                <w:szCs w:val="18"/>
              </w:rPr>
              <w:t>Ներքին պարտքի կշիռն ընդամենը պարտքի մեջ</w:t>
            </w:r>
          </w:p>
        </w:tc>
        <w:tc>
          <w:tcPr>
            <w:tcW w:w="1800" w:type="dxa"/>
            <w:vAlign w:val="center"/>
            <w:hideMark/>
          </w:tcPr>
          <w:p w14:paraId="4A28B679" w14:textId="77777777" w:rsidR="001C55F2" w:rsidRPr="001407D3" w:rsidRDefault="001C55F2" w:rsidP="00873AE6">
            <w:pPr>
              <w:spacing w:before="60" w:after="60" w:line="240" w:lineRule="auto"/>
              <w:jc w:val="center"/>
              <w:rPr>
                <w:sz w:val="18"/>
                <w:szCs w:val="18"/>
              </w:rPr>
            </w:pPr>
            <w:r w:rsidRPr="001407D3">
              <w:rPr>
                <w:sz w:val="18"/>
                <w:szCs w:val="18"/>
              </w:rPr>
              <w:t>առնվազն 40%</w:t>
            </w:r>
          </w:p>
        </w:tc>
        <w:tc>
          <w:tcPr>
            <w:tcW w:w="1440" w:type="dxa"/>
            <w:vAlign w:val="center"/>
            <w:hideMark/>
          </w:tcPr>
          <w:p w14:paraId="16ED2D35" w14:textId="77777777" w:rsidR="001C55F2" w:rsidRPr="00C4142C" w:rsidRDefault="001C55F2" w:rsidP="00873AE6">
            <w:pPr>
              <w:spacing w:before="60" w:after="60" w:line="240" w:lineRule="auto"/>
              <w:jc w:val="center"/>
              <w:rPr>
                <w:color w:val="auto"/>
                <w:sz w:val="18"/>
                <w:szCs w:val="18"/>
              </w:rPr>
            </w:pPr>
            <w:r w:rsidRPr="00C4142C">
              <w:rPr>
                <w:bCs/>
                <w:color w:val="auto"/>
                <w:sz w:val="18"/>
                <w:szCs w:val="18"/>
              </w:rPr>
              <w:t>52.6</w:t>
            </w:r>
            <w:r w:rsidRPr="00C4142C">
              <w:rPr>
                <w:bCs/>
                <w:color w:val="auto"/>
                <w:sz w:val="18"/>
                <w:szCs w:val="18"/>
                <w:lang w:val="hy-AM"/>
              </w:rPr>
              <w:t>%</w:t>
            </w:r>
          </w:p>
        </w:tc>
        <w:tc>
          <w:tcPr>
            <w:tcW w:w="1350" w:type="dxa"/>
            <w:gridSpan w:val="2"/>
            <w:vAlign w:val="center"/>
          </w:tcPr>
          <w:p w14:paraId="23EBF74A" w14:textId="77777777" w:rsidR="001C55F2" w:rsidRPr="00C4142C" w:rsidRDefault="001C55F2" w:rsidP="00873AE6">
            <w:pPr>
              <w:spacing w:before="60" w:after="60" w:line="240" w:lineRule="auto"/>
              <w:jc w:val="center"/>
              <w:rPr>
                <w:bCs/>
                <w:color w:val="auto"/>
                <w:sz w:val="18"/>
                <w:szCs w:val="18"/>
              </w:rPr>
            </w:pPr>
            <w:r>
              <w:rPr>
                <w:bCs/>
                <w:color w:val="auto"/>
                <w:sz w:val="18"/>
                <w:szCs w:val="18"/>
              </w:rPr>
              <w:t>51.5</w:t>
            </w:r>
            <w:r w:rsidRPr="00C4142C">
              <w:rPr>
                <w:bCs/>
                <w:color w:val="auto"/>
                <w:sz w:val="18"/>
                <w:szCs w:val="18"/>
              </w:rPr>
              <w:t>%</w:t>
            </w:r>
          </w:p>
        </w:tc>
        <w:tc>
          <w:tcPr>
            <w:tcW w:w="1350" w:type="dxa"/>
            <w:vAlign w:val="center"/>
          </w:tcPr>
          <w:p w14:paraId="2E7A8BBB" w14:textId="77777777" w:rsidR="001C55F2" w:rsidRPr="00C4142C" w:rsidRDefault="001C55F2" w:rsidP="00873AE6">
            <w:pPr>
              <w:spacing w:before="60" w:after="60" w:line="240" w:lineRule="auto"/>
              <w:jc w:val="center"/>
              <w:rPr>
                <w:bCs/>
                <w:color w:val="auto"/>
                <w:sz w:val="18"/>
                <w:szCs w:val="18"/>
              </w:rPr>
            </w:pPr>
            <w:r>
              <w:rPr>
                <w:bCs/>
                <w:color w:val="auto"/>
                <w:sz w:val="18"/>
                <w:szCs w:val="18"/>
              </w:rPr>
              <w:t>51.0</w:t>
            </w:r>
            <w:r w:rsidRPr="00C4142C">
              <w:rPr>
                <w:bCs/>
                <w:color w:val="auto"/>
                <w:sz w:val="18"/>
                <w:szCs w:val="18"/>
              </w:rPr>
              <w:t>%</w:t>
            </w:r>
          </w:p>
        </w:tc>
      </w:tr>
      <w:tr w:rsidR="001C55F2" w:rsidRPr="001407D3" w14:paraId="4F58EC6A" w14:textId="77777777" w:rsidTr="001226F0">
        <w:trPr>
          <w:trHeight w:val="360"/>
        </w:trPr>
        <w:tc>
          <w:tcPr>
            <w:tcW w:w="4860" w:type="dxa"/>
            <w:vAlign w:val="center"/>
            <w:hideMark/>
          </w:tcPr>
          <w:p w14:paraId="318156D1" w14:textId="77777777" w:rsidR="001C55F2" w:rsidRPr="001407D3" w:rsidRDefault="001C55F2" w:rsidP="00873AE6">
            <w:pPr>
              <w:spacing w:before="60" w:after="60" w:line="240" w:lineRule="auto"/>
              <w:ind w:right="518"/>
              <w:rPr>
                <w:sz w:val="18"/>
                <w:szCs w:val="18"/>
              </w:rPr>
            </w:pPr>
            <w:r w:rsidRPr="001407D3">
              <w:rPr>
                <w:sz w:val="18"/>
                <w:szCs w:val="18"/>
              </w:rPr>
              <w:t>ՀՀ դրամով ներգրավված պարտքի կշիռն ընդամենը պարտքի մեջ</w:t>
            </w:r>
          </w:p>
        </w:tc>
        <w:tc>
          <w:tcPr>
            <w:tcW w:w="1800" w:type="dxa"/>
            <w:vAlign w:val="center"/>
            <w:hideMark/>
          </w:tcPr>
          <w:p w14:paraId="49EC57A2" w14:textId="77777777" w:rsidR="001C55F2" w:rsidRPr="001407D3" w:rsidRDefault="001C55F2" w:rsidP="00873AE6">
            <w:pPr>
              <w:spacing w:before="60" w:after="60" w:line="240" w:lineRule="auto"/>
              <w:jc w:val="center"/>
              <w:rPr>
                <w:sz w:val="18"/>
                <w:szCs w:val="18"/>
              </w:rPr>
            </w:pPr>
            <w:r w:rsidRPr="001407D3">
              <w:rPr>
                <w:sz w:val="18"/>
                <w:szCs w:val="18"/>
              </w:rPr>
              <w:t>առնվազն 40%</w:t>
            </w:r>
          </w:p>
        </w:tc>
        <w:tc>
          <w:tcPr>
            <w:tcW w:w="1440" w:type="dxa"/>
            <w:vAlign w:val="center"/>
            <w:hideMark/>
          </w:tcPr>
          <w:p w14:paraId="0AEAB52D" w14:textId="77777777" w:rsidR="001C55F2" w:rsidRPr="00C4142C" w:rsidRDefault="001C55F2" w:rsidP="00873AE6">
            <w:pPr>
              <w:spacing w:before="60" w:after="60" w:line="240" w:lineRule="auto"/>
              <w:jc w:val="center"/>
              <w:rPr>
                <w:color w:val="auto"/>
                <w:sz w:val="18"/>
                <w:szCs w:val="18"/>
              </w:rPr>
            </w:pPr>
            <w:r>
              <w:rPr>
                <w:bCs/>
                <w:color w:val="auto"/>
                <w:sz w:val="18"/>
                <w:szCs w:val="18"/>
              </w:rPr>
              <w:t>52.2</w:t>
            </w:r>
            <w:r w:rsidRPr="00C4142C">
              <w:rPr>
                <w:bCs/>
                <w:color w:val="auto"/>
                <w:sz w:val="18"/>
                <w:szCs w:val="18"/>
                <w:lang w:val="hy-AM"/>
              </w:rPr>
              <w:t>%</w:t>
            </w:r>
          </w:p>
        </w:tc>
        <w:tc>
          <w:tcPr>
            <w:tcW w:w="1350" w:type="dxa"/>
            <w:gridSpan w:val="2"/>
            <w:vAlign w:val="center"/>
          </w:tcPr>
          <w:p w14:paraId="69353239" w14:textId="77777777" w:rsidR="001C55F2" w:rsidRPr="00C4142C" w:rsidRDefault="001C55F2" w:rsidP="00873AE6">
            <w:pPr>
              <w:spacing w:before="60" w:after="60" w:line="240" w:lineRule="auto"/>
              <w:jc w:val="center"/>
              <w:rPr>
                <w:bCs/>
                <w:color w:val="auto"/>
                <w:sz w:val="18"/>
                <w:szCs w:val="18"/>
              </w:rPr>
            </w:pPr>
            <w:r>
              <w:rPr>
                <w:bCs/>
                <w:color w:val="auto"/>
                <w:sz w:val="18"/>
                <w:szCs w:val="18"/>
              </w:rPr>
              <w:t>51.3</w:t>
            </w:r>
            <w:r w:rsidRPr="00C4142C">
              <w:rPr>
                <w:bCs/>
                <w:color w:val="auto"/>
                <w:sz w:val="18"/>
                <w:szCs w:val="18"/>
              </w:rPr>
              <w:t>%</w:t>
            </w:r>
          </w:p>
        </w:tc>
        <w:tc>
          <w:tcPr>
            <w:tcW w:w="1350" w:type="dxa"/>
            <w:vAlign w:val="center"/>
          </w:tcPr>
          <w:p w14:paraId="38D49B5C" w14:textId="77777777" w:rsidR="001C55F2" w:rsidRPr="00C4142C" w:rsidRDefault="001C55F2" w:rsidP="00873AE6">
            <w:pPr>
              <w:spacing w:before="60" w:after="60" w:line="240" w:lineRule="auto"/>
              <w:jc w:val="center"/>
              <w:rPr>
                <w:bCs/>
                <w:color w:val="auto"/>
                <w:sz w:val="18"/>
                <w:szCs w:val="18"/>
              </w:rPr>
            </w:pPr>
            <w:r>
              <w:rPr>
                <w:bCs/>
                <w:color w:val="auto"/>
                <w:sz w:val="18"/>
                <w:szCs w:val="18"/>
              </w:rPr>
              <w:t>50.9</w:t>
            </w:r>
            <w:r w:rsidRPr="00C4142C">
              <w:rPr>
                <w:bCs/>
                <w:color w:val="auto"/>
                <w:sz w:val="18"/>
                <w:szCs w:val="18"/>
              </w:rPr>
              <w:t>%</w:t>
            </w:r>
          </w:p>
        </w:tc>
      </w:tr>
    </w:tbl>
    <w:p w14:paraId="2172901A" w14:textId="77777777" w:rsidR="001C55F2" w:rsidRDefault="001C55F2" w:rsidP="001C55F2">
      <w:pPr>
        <w:jc w:val="both"/>
        <w:rPr>
          <w:lang w:val="hy-AM"/>
        </w:rPr>
      </w:pPr>
    </w:p>
    <w:p w14:paraId="430EF702" w14:textId="77777777" w:rsidR="001C55F2" w:rsidRPr="00EF6FDF" w:rsidRDefault="001C55F2" w:rsidP="001C55F2">
      <w:pPr>
        <w:pStyle w:val="BodyText1"/>
        <w:ind w:left="0"/>
        <w:contextualSpacing/>
        <w:rPr>
          <w:lang w:val="hy-AM"/>
        </w:rPr>
      </w:pPr>
      <w:r w:rsidRPr="00B93C3F">
        <w:rPr>
          <w:lang w:val="hy-AM"/>
        </w:rPr>
        <w:t xml:space="preserve">ՀՀ պետական բյուջեի </w:t>
      </w:r>
      <w:r w:rsidRPr="00255EB3">
        <w:rPr>
          <w:lang w:val="hy-AM"/>
        </w:rPr>
        <w:t>պակասուրդ</w:t>
      </w:r>
      <w:r w:rsidRPr="00B93C3F">
        <w:rPr>
          <w:lang w:val="hy-AM"/>
        </w:rPr>
        <w:t>ի ֆինանսավորման կառուցվածքում ներքին և արտաքին փոխառու զուտ միջոցները բաշխվել են այնպես, որ պահպանվի ՀՀ կառավարության պարտքի կառուցվածքում ներքին պարտքի տեսակարար կշռի նվազագույն 40% ուղենիշը</w:t>
      </w:r>
      <w:r>
        <w:rPr>
          <w:lang w:val="hy-AM"/>
        </w:rPr>
        <w:t>:</w:t>
      </w:r>
      <w:r w:rsidRPr="00B93C3F">
        <w:rPr>
          <w:lang w:val="hy-AM"/>
        </w:rPr>
        <w:t xml:space="preserve"> </w:t>
      </w:r>
      <w:r>
        <w:rPr>
          <w:lang w:val="hy-AM"/>
        </w:rPr>
        <w:t>Մ</w:t>
      </w:r>
      <w:r w:rsidRPr="00B93C3F">
        <w:rPr>
          <w:lang w:val="hy-AM"/>
        </w:rPr>
        <w:t>իաժամանակ, հաշվի են առնվել 202</w:t>
      </w:r>
      <w:r w:rsidRPr="00E7557A">
        <w:rPr>
          <w:lang w:val="hy-AM"/>
        </w:rPr>
        <w:t>7</w:t>
      </w:r>
      <w:r w:rsidRPr="00B93C3F">
        <w:rPr>
          <w:lang w:val="hy-AM"/>
        </w:rPr>
        <w:t>-202</w:t>
      </w:r>
      <w:r w:rsidRPr="00E7557A">
        <w:rPr>
          <w:lang w:val="hy-AM"/>
        </w:rPr>
        <w:t>9</w:t>
      </w:r>
      <w:r w:rsidRPr="00B93C3F">
        <w:rPr>
          <w:lang w:val="hy-AM"/>
        </w:rPr>
        <w:t>թթ. հարկաբյուջետային շրջանակի առանձնահատկությունները, այդ թվում</w:t>
      </w:r>
      <w:r>
        <w:rPr>
          <w:lang w:val="hy-AM"/>
        </w:rPr>
        <w:t>՝</w:t>
      </w:r>
      <w:r w:rsidRPr="00B93C3F">
        <w:rPr>
          <w:lang w:val="hy-AM"/>
        </w:rPr>
        <w:t xml:space="preserve"> </w:t>
      </w:r>
      <w:r>
        <w:rPr>
          <w:lang w:val="hy-AM"/>
        </w:rPr>
        <w:t>տոկոսավճարների բեռի նվազեցման նպատակադրումը,</w:t>
      </w:r>
      <w:r w:rsidRPr="00B93C3F">
        <w:rPr>
          <w:lang w:val="hy-AM"/>
        </w:rPr>
        <w:t xml:space="preserve"> ներքին շուկայի հագեցվածություն չառաջացնելու մղումը </w:t>
      </w:r>
      <w:r>
        <w:rPr>
          <w:lang w:val="hy-AM"/>
        </w:rPr>
        <w:t xml:space="preserve">և </w:t>
      </w:r>
      <w:r w:rsidRPr="00B93C3F">
        <w:rPr>
          <w:lang w:val="hy-AM"/>
        </w:rPr>
        <w:t>արտարժութային ելքերի առկայությ</w:t>
      </w:r>
      <w:r>
        <w:rPr>
          <w:lang w:val="hy-AM"/>
        </w:rPr>
        <w:t>ուն</w:t>
      </w:r>
      <w:r w:rsidRPr="00B93C3F">
        <w:rPr>
          <w:lang w:val="hy-AM"/>
        </w:rPr>
        <w:t xml:space="preserve">ը: </w:t>
      </w:r>
      <w:r>
        <w:rPr>
          <w:lang w:val="hy-AM"/>
        </w:rPr>
        <w:t>Այս</w:t>
      </w:r>
      <w:r w:rsidRPr="00B93C3F">
        <w:rPr>
          <w:lang w:val="hy-AM"/>
        </w:rPr>
        <w:t xml:space="preserve"> պայմաններում, չնվազեցնելով ներքին պարտքի շուկայում ակտիվությունը, անհրաժեշտություն է առաջա</w:t>
      </w:r>
      <w:r w:rsidRPr="00255EB3">
        <w:rPr>
          <w:lang w:val="hy-AM"/>
        </w:rPr>
        <w:t>ցել</w:t>
      </w:r>
      <w:r w:rsidRPr="00B93C3F">
        <w:rPr>
          <w:lang w:val="hy-AM"/>
        </w:rPr>
        <w:t xml:space="preserve"> </w:t>
      </w:r>
      <w:r>
        <w:rPr>
          <w:lang w:val="hy-AM"/>
        </w:rPr>
        <w:t>որոշակիորեն զսպել գանձապետական պարտատոմսերի</w:t>
      </w:r>
      <w:r w:rsidRPr="00B93C3F">
        <w:rPr>
          <w:lang w:val="hy-AM"/>
        </w:rPr>
        <w:t xml:space="preserve"> տարեկան զուտ թողարկումների ծավալ</w:t>
      </w:r>
      <w:r>
        <w:rPr>
          <w:lang w:val="hy-AM"/>
        </w:rPr>
        <w:t>ի աճը</w:t>
      </w:r>
      <w:r w:rsidRPr="00B93C3F">
        <w:rPr>
          <w:lang w:val="hy-AM"/>
        </w:rPr>
        <w:t xml:space="preserve">: </w:t>
      </w:r>
    </w:p>
    <w:p w14:paraId="3026DF18" w14:textId="77777777" w:rsidR="001C55F2" w:rsidRPr="00EF6FDF" w:rsidRDefault="001C55F2" w:rsidP="001C55F2">
      <w:pPr>
        <w:pStyle w:val="BodyText1"/>
        <w:ind w:left="0"/>
        <w:rPr>
          <w:b/>
          <w:lang w:val="hy-AM"/>
        </w:rPr>
      </w:pPr>
      <w:r>
        <w:rPr>
          <w:b/>
          <w:lang w:val="hy-AM"/>
        </w:rPr>
        <w:t>2027</w:t>
      </w:r>
      <w:r w:rsidRPr="00EF6FDF">
        <w:rPr>
          <w:b/>
          <w:lang w:val="hy-AM"/>
        </w:rPr>
        <w:t xml:space="preserve"> թվականի տարեվերջի դրությամբ ձևավորվող կառավարության պարտքի մարման ժամանակացույցը սփռված կլինի մինչև 2054 թվականը և կունենա հետևյալ տեսքը. </w:t>
      </w:r>
    </w:p>
    <w:p w14:paraId="5E496D9D" w14:textId="644B89A2" w:rsidR="001C55F2" w:rsidRPr="00A52417" w:rsidRDefault="001C55F2" w:rsidP="00A52417">
      <w:pPr>
        <w:pStyle w:val="Charts"/>
        <w:ind w:right="-22"/>
        <w:rPr>
          <w:b w:val="0"/>
          <w:bCs/>
          <w:color w:val="auto"/>
          <w:sz w:val="20"/>
          <w:szCs w:val="18"/>
        </w:rPr>
      </w:pPr>
      <w:bookmarkStart w:id="453" w:name="_Toc178350588"/>
      <w:bookmarkStart w:id="454" w:name="_Toc178595165"/>
      <w:bookmarkStart w:id="455" w:name="_Toc184110752"/>
      <w:bookmarkStart w:id="456" w:name="_Toc241608102"/>
      <w:r w:rsidRPr="00A52417">
        <w:rPr>
          <w:b w:val="0"/>
          <w:bCs/>
          <w:color w:val="auto"/>
          <w:sz w:val="20"/>
          <w:szCs w:val="18"/>
        </w:rPr>
        <w:t xml:space="preserve">Գծապատկեր </w:t>
      </w:r>
      <w:r w:rsidRPr="00A52417">
        <w:rPr>
          <w:b w:val="0"/>
          <w:bCs/>
          <w:color w:val="auto"/>
          <w:sz w:val="20"/>
          <w:szCs w:val="18"/>
        </w:rPr>
        <w:fldChar w:fldCharType="begin"/>
      </w:r>
      <w:r w:rsidRPr="00A52417">
        <w:rPr>
          <w:b w:val="0"/>
          <w:bCs/>
          <w:color w:val="auto"/>
          <w:sz w:val="20"/>
          <w:szCs w:val="18"/>
        </w:rPr>
        <w:instrText xml:space="preserve"> SEQ գծապատկեր \* ARABIC </w:instrText>
      </w:r>
      <w:r w:rsidRPr="00A52417">
        <w:rPr>
          <w:b w:val="0"/>
          <w:bCs/>
          <w:color w:val="auto"/>
          <w:sz w:val="20"/>
          <w:szCs w:val="18"/>
        </w:rPr>
        <w:fldChar w:fldCharType="separate"/>
      </w:r>
      <w:r w:rsidR="00E46048">
        <w:rPr>
          <w:b w:val="0"/>
          <w:bCs/>
          <w:noProof/>
          <w:color w:val="auto"/>
          <w:sz w:val="20"/>
          <w:szCs w:val="18"/>
        </w:rPr>
        <w:t>7</w:t>
      </w:r>
      <w:r w:rsidRPr="00A52417">
        <w:rPr>
          <w:b w:val="0"/>
          <w:bCs/>
          <w:color w:val="auto"/>
          <w:sz w:val="20"/>
          <w:szCs w:val="18"/>
        </w:rPr>
        <w:fldChar w:fldCharType="end"/>
      </w:r>
      <w:r w:rsidRPr="00A52417">
        <w:rPr>
          <w:b w:val="0"/>
          <w:bCs/>
          <w:color w:val="auto"/>
          <w:sz w:val="20"/>
          <w:szCs w:val="18"/>
        </w:rPr>
        <w:t>. Կառավարության պարտքի մարման ժամանակացույցը 31.12.2027թ. դրությամբ, մլրդ դրամ</w:t>
      </w:r>
      <w:bookmarkEnd w:id="453"/>
      <w:bookmarkEnd w:id="454"/>
      <w:bookmarkEnd w:id="455"/>
      <w:bookmarkEnd w:id="456"/>
    </w:p>
    <w:p w14:paraId="41FF0E54" w14:textId="77777777" w:rsidR="001C55F2" w:rsidRPr="00C3014C" w:rsidRDefault="001C55F2" w:rsidP="001C55F2">
      <w:pPr>
        <w:jc w:val="both"/>
      </w:pPr>
      <w:r>
        <w:rPr>
          <w:noProof/>
        </w:rPr>
        <w:drawing>
          <wp:inline distT="0" distB="0" distL="0" distR="0" wp14:anchorId="4DDA1999" wp14:editId="4314DED2">
            <wp:extent cx="6229350" cy="2989580"/>
            <wp:effectExtent l="0" t="0" r="0" b="1270"/>
            <wp:docPr id="16120833" name="Chart 16120833">
              <a:extLst xmlns:a="http://schemas.openxmlformats.org/drawingml/2006/main">
                <a:ext uri="{FF2B5EF4-FFF2-40B4-BE49-F238E27FC236}">
                  <a16:creationId xmlns:a16="http://schemas.microsoft.com/office/drawing/2014/main" id="{00000000-0008-0000-08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70D594BD" w14:textId="77777777" w:rsidR="001C55F2" w:rsidRPr="00C3014C" w:rsidRDefault="001C55F2" w:rsidP="001C55F2">
      <w:pPr>
        <w:jc w:val="both"/>
      </w:pPr>
    </w:p>
    <w:p w14:paraId="4CB809E6" w14:textId="77777777" w:rsidR="001C55F2" w:rsidRPr="00EF6FDF" w:rsidRDefault="001C55F2" w:rsidP="001C55F2">
      <w:pPr>
        <w:pStyle w:val="BodyText1"/>
        <w:ind w:left="0"/>
        <w:rPr>
          <w:lang w:val="hy-AM"/>
        </w:rPr>
      </w:pPr>
      <w:bookmarkStart w:id="457" w:name="_Toc178350631"/>
      <w:bookmarkStart w:id="458" w:name="_Toc178612156"/>
      <w:bookmarkStart w:id="459" w:name="_Toc184110782"/>
      <w:r>
        <w:rPr>
          <w:lang w:val="hy-AM"/>
        </w:rPr>
        <w:t>2027</w:t>
      </w:r>
      <w:r w:rsidRPr="00995611">
        <w:rPr>
          <w:lang w:val="hy-AM"/>
        </w:rPr>
        <w:t xml:space="preserve"> թվականին </w:t>
      </w:r>
      <w:r w:rsidRPr="00EF6FDF">
        <w:rPr>
          <w:lang w:val="hy-AM"/>
        </w:rPr>
        <w:t>Կառավարության պարտքի տոկոսավճարներ</w:t>
      </w:r>
      <w:r>
        <w:t>ը</w:t>
      </w:r>
      <w:r w:rsidRPr="00EF6FDF">
        <w:rPr>
          <w:lang w:val="hy-AM"/>
        </w:rPr>
        <w:t xml:space="preserve"> կկազմեն ՀՆԱ-ի 3.</w:t>
      </w:r>
      <w:r>
        <w:t>1</w:t>
      </w:r>
      <w:r w:rsidRPr="00EF6FDF">
        <w:rPr>
          <w:lang w:val="hy-AM"/>
        </w:rPr>
        <w:t xml:space="preserve">%-ը:  </w:t>
      </w:r>
    </w:p>
    <w:p w14:paraId="4B60A47B" w14:textId="51EF1399" w:rsidR="001C55F2" w:rsidRPr="00A52417" w:rsidRDefault="001C55F2" w:rsidP="00A52417">
      <w:pPr>
        <w:pStyle w:val="Charts"/>
        <w:ind w:right="-22"/>
        <w:rPr>
          <w:b w:val="0"/>
          <w:bCs/>
          <w:color w:val="auto"/>
          <w:sz w:val="20"/>
          <w:szCs w:val="18"/>
        </w:rPr>
      </w:pPr>
      <w:bookmarkStart w:id="460" w:name="_Toc241602024"/>
      <w:r w:rsidRPr="00A52417">
        <w:rPr>
          <w:b w:val="0"/>
          <w:bCs/>
          <w:color w:val="auto"/>
          <w:sz w:val="20"/>
          <w:szCs w:val="18"/>
        </w:rPr>
        <w:t xml:space="preserve">Աղյուսակ </w:t>
      </w:r>
      <w:r w:rsidRPr="00A52417">
        <w:rPr>
          <w:b w:val="0"/>
          <w:bCs/>
          <w:color w:val="auto"/>
          <w:sz w:val="20"/>
          <w:szCs w:val="18"/>
        </w:rPr>
        <w:fldChar w:fldCharType="begin"/>
      </w:r>
      <w:r w:rsidRPr="00A52417">
        <w:rPr>
          <w:b w:val="0"/>
          <w:bCs/>
          <w:color w:val="auto"/>
          <w:sz w:val="20"/>
          <w:szCs w:val="18"/>
        </w:rPr>
        <w:instrText xml:space="preserve"> SEQ Աղյուսակ \* ARABIC </w:instrText>
      </w:r>
      <w:r w:rsidRPr="00A52417">
        <w:rPr>
          <w:b w:val="0"/>
          <w:bCs/>
          <w:color w:val="auto"/>
          <w:sz w:val="20"/>
          <w:szCs w:val="18"/>
        </w:rPr>
        <w:fldChar w:fldCharType="separate"/>
      </w:r>
      <w:r w:rsidR="00E46048">
        <w:rPr>
          <w:b w:val="0"/>
          <w:bCs/>
          <w:noProof/>
          <w:color w:val="auto"/>
          <w:sz w:val="20"/>
          <w:szCs w:val="18"/>
        </w:rPr>
        <w:t>11</w:t>
      </w:r>
      <w:r w:rsidRPr="00A52417">
        <w:rPr>
          <w:b w:val="0"/>
          <w:bCs/>
          <w:color w:val="auto"/>
          <w:sz w:val="20"/>
          <w:szCs w:val="18"/>
        </w:rPr>
        <w:fldChar w:fldCharType="end"/>
      </w:r>
      <w:r w:rsidRPr="00A52417">
        <w:rPr>
          <w:b w:val="0"/>
          <w:bCs/>
          <w:color w:val="auto"/>
          <w:sz w:val="20"/>
          <w:szCs w:val="18"/>
        </w:rPr>
        <w:t>. Կառավարության պարտքի տոկոսավճարներ</w:t>
      </w:r>
      <w:bookmarkEnd w:id="457"/>
      <w:bookmarkEnd w:id="458"/>
      <w:bookmarkEnd w:id="459"/>
      <w:bookmarkEnd w:id="460"/>
    </w:p>
    <w:tbl>
      <w:tblPr>
        <w:tblW w:w="9931" w:type="dxa"/>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ayout w:type="fixed"/>
        <w:tblLook w:val="04A0" w:firstRow="1" w:lastRow="0" w:firstColumn="1" w:lastColumn="0" w:noHBand="0" w:noVBand="1"/>
      </w:tblPr>
      <w:tblGrid>
        <w:gridCol w:w="4784"/>
        <w:gridCol w:w="1154"/>
        <w:gridCol w:w="1065"/>
        <w:gridCol w:w="976"/>
        <w:gridCol w:w="976"/>
        <w:gridCol w:w="976"/>
      </w:tblGrid>
      <w:tr w:rsidR="001C55F2" w:rsidRPr="005564EE" w14:paraId="5648AC3C" w14:textId="77777777" w:rsidTr="006422CA">
        <w:trPr>
          <w:trHeight w:val="360"/>
        </w:trPr>
        <w:tc>
          <w:tcPr>
            <w:tcW w:w="4784" w:type="dxa"/>
            <w:shd w:val="clear" w:color="auto" w:fill="DAE9F7" w:themeFill="text2" w:themeFillTint="1A"/>
            <w:hideMark/>
          </w:tcPr>
          <w:p w14:paraId="5592DA0D" w14:textId="77777777" w:rsidR="001C55F2" w:rsidRPr="00732944" w:rsidRDefault="001C55F2" w:rsidP="00873AE6">
            <w:pPr>
              <w:spacing w:before="0" w:after="0" w:line="240" w:lineRule="auto"/>
              <w:jc w:val="both"/>
              <w:rPr>
                <w:sz w:val="18"/>
                <w:szCs w:val="18"/>
                <w:lang w:val="hy-AM"/>
              </w:rPr>
            </w:pPr>
            <w:r w:rsidRPr="00732944">
              <w:rPr>
                <w:rFonts w:ascii="Calibri" w:hAnsi="Calibri" w:cs="Calibri"/>
                <w:sz w:val="18"/>
                <w:szCs w:val="18"/>
                <w:lang w:val="hy-AM"/>
              </w:rPr>
              <w:t> </w:t>
            </w:r>
          </w:p>
        </w:tc>
        <w:tc>
          <w:tcPr>
            <w:tcW w:w="1154" w:type="dxa"/>
            <w:shd w:val="clear" w:color="auto" w:fill="DAE9F7" w:themeFill="text2" w:themeFillTint="1A"/>
            <w:vAlign w:val="center"/>
            <w:hideMark/>
          </w:tcPr>
          <w:p w14:paraId="7DC3F69E" w14:textId="77777777" w:rsidR="001C55F2" w:rsidRPr="005564EE" w:rsidRDefault="001C55F2" w:rsidP="00873AE6">
            <w:pPr>
              <w:spacing w:before="0" w:after="0" w:line="240" w:lineRule="auto"/>
              <w:jc w:val="center"/>
              <w:rPr>
                <w:b/>
                <w:sz w:val="18"/>
                <w:szCs w:val="18"/>
              </w:rPr>
            </w:pPr>
            <w:r>
              <w:rPr>
                <w:b/>
                <w:sz w:val="18"/>
                <w:szCs w:val="18"/>
              </w:rPr>
              <w:t>2025</w:t>
            </w:r>
          </w:p>
        </w:tc>
        <w:tc>
          <w:tcPr>
            <w:tcW w:w="1065" w:type="dxa"/>
            <w:shd w:val="clear" w:color="auto" w:fill="DAE9F7" w:themeFill="text2" w:themeFillTint="1A"/>
            <w:vAlign w:val="center"/>
          </w:tcPr>
          <w:p w14:paraId="61D8F9B1" w14:textId="77777777" w:rsidR="001C55F2" w:rsidRPr="005564EE" w:rsidRDefault="001C55F2" w:rsidP="00873AE6">
            <w:pPr>
              <w:spacing w:before="0" w:after="0" w:line="240" w:lineRule="auto"/>
              <w:jc w:val="center"/>
              <w:rPr>
                <w:b/>
                <w:sz w:val="18"/>
                <w:szCs w:val="18"/>
              </w:rPr>
            </w:pPr>
            <w:r>
              <w:rPr>
                <w:b/>
                <w:sz w:val="18"/>
                <w:szCs w:val="18"/>
              </w:rPr>
              <w:t>2026</w:t>
            </w:r>
          </w:p>
        </w:tc>
        <w:tc>
          <w:tcPr>
            <w:tcW w:w="976" w:type="dxa"/>
            <w:shd w:val="clear" w:color="auto" w:fill="DAE9F7" w:themeFill="text2" w:themeFillTint="1A"/>
            <w:vAlign w:val="center"/>
          </w:tcPr>
          <w:p w14:paraId="5BEFE386" w14:textId="77777777" w:rsidR="001C55F2" w:rsidRPr="005564EE" w:rsidRDefault="001C55F2" w:rsidP="00873AE6">
            <w:pPr>
              <w:spacing w:before="0" w:after="0" w:line="240" w:lineRule="auto"/>
              <w:jc w:val="center"/>
              <w:rPr>
                <w:b/>
                <w:sz w:val="18"/>
                <w:szCs w:val="18"/>
              </w:rPr>
            </w:pPr>
            <w:r>
              <w:rPr>
                <w:b/>
                <w:sz w:val="18"/>
                <w:szCs w:val="18"/>
              </w:rPr>
              <w:t>2027</w:t>
            </w:r>
          </w:p>
        </w:tc>
        <w:tc>
          <w:tcPr>
            <w:tcW w:w="976" w:type="dxa"/>
            <w:shd w:val="clear" w:color="auto" w:fill="DAE9F7" w:themeFill="text2" w:themeFillTint="1A"/>
            <w:vAlign w:val="center"/>
          </w:tcPr>
          <w:p w14:paraId="1CF87EEC" w14:textId="77777777" w:rsidR="001C55F2" w:rsidRDefault="001C55F2" w:rsidP="00873AE6">
            <w:pPr>
              <w:spacing w:before="0" w:after="0" w:line="240" w:lineRule="auto"/>
              <w:jc w:val="center"/>
              <w:rPr>
                <w:b/>
                <w:sz w:val="18"/>
                <w:szCs w:val="18"/>
              </w:rPr>
            </w:pPr>
            <w:r>
              <w:rPr>
                <w:b/>
                <w:sz w:val="18"/>
                <w:szCs w:val="18"/>
              </w:rPr>
              <w:t>2028</w:t>
            </w:r>
          </w:p>
        </w:tc>
        <w:tc>
          <w:tcPr>
            <w:tcW w:w="976" w:type="dxa"/>
            <w:shd w:val="clear" w:color="auto" w:fill="DAE9F7" w:themeFill="text2" w:themeFillTint="1A"/>
            <w:vAlign w:val="center"/>
          </w:tcPr>
          <w:p w14:paraId="0429E527" w14:textId="77777777" w:rsidR="001C55F2" w:rsidRPr="00684B65" w:rsidRDefault="001C55F2" w:rsidP="00873AE6">
            <w:pPr>
              <w:spacing w:before="0" w:after="0" w:line="240" w:lineRule="auto"/>
              <w:jc w:val="center"/>
              <w:rPr>
                <w:b/>
                <w:sz w:val="18"/>
                <w:szCs w:val="18"/>
                <w:lang w:val="hy-AM"/>
              </w:rPr>
            </w:pPr>
            <w:r>
              <w:rPr>
                <w:b/>
                <w:sz w:val="18"/>
                <w:szCs w:val="18"/>
                <w:lang w:val="hy-AM"/>
              </w:rPr>
              <w:t>2029</w:t>
            </w:r>
          </w:p>
        </w:tc>
      </w:tr>
      <w:tr w:rsidR="001C55F2" w:rsidRPr="00684B65" w14:paraId="6935A3C7" w14:textId="77777777" w:rsidTr="001226F0">
        <w:trPr>
          <w:trHeight w:val="360"/>
        </w:trPr>
        <w:tc>
          <w:tcPr>
            <w:tcW w:w="4784" w:type="dxa"/>
            <w:vAlign w:val="center"/>
            <w:hideMark/>
          </w:tcPr>
          <w:p w14:paraId="3D0453F0" w14:textId="77777777" w:rsidR="001C55F2" w:rsidRPr="005564EE" w:rsidRDefault="001C55F2" w:rsidP="00873AE6">
            <w:pPr>
              <w:spacing w:before="0" w:after="0" w:line="240" w:lineRule="auto"/>
              <w:ind w:right="448"/>
              <w:rPr>
                <w:sz w:val="18"/>
                <w:szCs w:val="18"/>
              </w:rPr>
            </w:pPr>
            <w:r w:rsidRPr="005564EE">
              <w:rPr>
                <w:sz w:val="18"/>
                <w:szCs w:val="18"/>
              </w:rPr>
              <w:t>Կառավարության պարտքի տոկոսավճար, մլրդ դրամ</w:t>
            </w:r>
          </w:p>
        </w:tc>
        <w:tc>
          <w:tcPr>
            <w:tcW w:w="1154" w:type="dxa"/>
            <w:vAlign w:val="center"/>
            <w:hideMark/>
          </w:tcPr>
          <w:p w14:paraId="6A14E55E" w14:textId="77777777" w:rsidR="001C55F2" w:rsidRPr="00684B65" w:rsidRDefault="001C55F2" w:rsidP="00873AE6">
            <w:pPr>
              <w:jc w:val="center"/>
              <w:rPr>
                <w:sz w:val="18"/>
                <w:szCs w:val="18"/>
              </w:rPr>
            </w:pPr>
            <w:r w:rsidRPr="00684B65">
              <w:rPr>
                <w:rFonts w:ascii="GHEA Grapalat" w:hAnsi="GHEA Grapalat"/>
                <w:bCs/>
                <w:sz w:val="18"/>
                <w:szCs w:val="18"/>
              </w:rPr>
              <w:t>349.1</w:t>
            </w:r>
          </w:p>
        </w:tc>
        <w:tc>
          <w:tcPr>
            <w:tcW w:w="1065" w:type="dxa"/>
            <w:vAlign w:val="center"/>
            <w:hideMark/>
          </w:tcPr>
          <w:p w14:paraId="3EB0366B" w14:textId="77777777" w:rsidR="001C55F2" w:rsidRPr="00684B65" w:rsidRDefault="001C55F2" w:rsidP="00873AE6">
            <w:pPr>
              <w:spacing w:before="0" w:after="0" w:line="240" w:lineRule="auto"/>
              <w:jc w:val="center"/>
              <w:rPr>
                <w:bCs/>
                <w:sz w:val="18"/>
                <w:szCs w:val="18"/>
              </w:rPr>
            </w:pPr>
            <w:r w:rsidRPr="00684B65">
              <w:rPr>
                <w:rFonts w:ascii="GHEA Grapalat" w:hAnsi="GHEA Grapalat"/>
                <w:bCs/>
                <w:sz w:val="18"/>
                <w:szCs w:val="18"/>
              </w:rPr>
              <w:t>368.8</w:t>
            </w:r>
          </w:p>
        </w:tc>
        <w:tc>
          <w:tcPr>
            <w:tcW w:w="976" w:type="dxa"/>
            <w:vAlign w:val="center"/>
            <w:hideMark/>
          </w:tcPr>
          <w:p w14:paraId="09247699" w14:textId="77777777" w:rsidR="001C55F2" w:rsidRPr="00684B65" w:rsidRDefault="001C55F2" w:rsidP="00873AE6">
            <w:pPr>
              <w:spacing w:before="0" w:after="0" w:line="240" w:lineRule="auto"/>
              <w:jc w:val="center"/>
              <w:rPr>
                <w:bCs/>
                <w:sz w:val="18"/>
                <w:szCs w:val="18"/>
              </w:rPr>
            </w:pPr>
            <w:r w:rsidRPr="00684B65">
              <w:rPr>
                <w:rFonts w:ascii="GHEA Grapalat" w:hAnsi="GHEA Grapalat"/>
                <w:bCs/>
                <w:sz w:val="18"/>
                <w:szCs w:val="18"/>
              </w:rPr>
              <w:t>416.8</w:t>
            </w:r>
          </w:p>
        </w:tc>
        <w:tc>
          <w:tcPr>
            <w:tcW w:w="976" w:type="dxa"/>
            <w:vAlign w:val="center"/>
          </w:tcPr>
          <w:p w14:paraId="56E6893F" w14:textId="77777777" w:rsidR="001C55F2" w:rsidRPr="00684B65" w:rsidRDefault="001C55F2" w:rsidP="00873AE6">
            <w:pPr>
              <w:spacing w:before="0" w:after="0" w:line="240" w:lineRule="auto"/>
              <w:jc w:val="center"/>
              <w:rPr>
                <w:bCs/>
                <w:sz w:val="18"/>
                <w:szCs w:val="18"/>
                <w:lang w:val="hy-AM"/>
              </w:rPr>
            </w:pPr>
            <w:r w:rsidRPr="00684B65">
              <w:rPr>
                <w:rFonts w:ascii="GHEA Grapalat" w:hAnsi="GHEA Grapalat"/>
                <w:bCs/>
                <w:sz w:val="18"/>
                <w:szCs w:val="18"/>
              </w:rPr>
              <w:t>451.4</w:t>
            </w:r>
          </w:p>
        </w:tc>
        <w:tc>
          <w:tcPr>
            <w:tcW w:w="976" w:type="dxa"/>
            <w:vAlign w:val="center"/>
          </w:tcPr>
          <w:p w14:paraId="652C2288" w14:textId="77777777" w:rsidR="001C55F2" w:rsidRPr="00684B65" w:rsidRDefault="001C55F2" w:rsidP="00873AE6">
            <w:pPr>
              <w:spacing w:before="0" w:after="0" w:line="240" w:lineRule="auto"/>
              <w:jc w:val="center"/>
              <w:rPr>
                <w:bCs/>
                <w:sz w:val="18"/>
                <w:szCs w:val="18"/>
              </w:rPr>
            </w:pPr>
            <w:r w:rsidRPr="00684B65">
              <w:rPr>
                <w:rFonts w:ascii="GHEA Grapalat" w:hAnsi="GHEA Grapalat"/>
                <w:bCs/>
                <w:sz w:val="18"/>
                <w:szCs w:val="18"/>
              </w:rPr>
              <w:t>490.2</w:t>
            </w:r>
          </w:p>
        </w:tc>
      </w:tr>
      <w:tr w:rsidR="001C55F2" w:rsidRPr="005564EE" w14:paraId="1CC4E7BC" w14:textId="77777777" w:rsidTr="001226F0">
        <w:trPr>
          <w:trHeight w:val="360"/>
        </w:trPr>
        <w:tc>
          <w:tcPr>
            <w:tcW w:w="4784" w:type="dxa"/>
            <w:vAlign w:val="center"/>
            <w:hideMark/>
          </w:tcPr>
          <w:p w14:paraId="49D90A78" w14:textId="77777777" w:rsidR="001C55F2" w:rsidRPr="00160BC8" w:rsidRDefault="001C55F2" w:rsidP="00873AE6">
            <w:pPr>
              <w:spacing w:before="0" w:after="0" w:line="240" w:lineRule="auto"/>
              <w:ind w:right="448"/>
              <w:rPr>
                <w:sz w:val="18"/>
                <w:szCs w:val="18"/>
              </w:rPr>
            </w:pPr>
            <w:r>
              <w:rPr>
                <w:sz w:val="18"/>
                <w:szCs w:val="18"/>
                <w:lang w:val="hy-AM"/>
              </w:rPr>
              <w:t>Տոկոսավճար/</w:t>
            </w:r>
            <w:r w:rsidRPr="005564EE">
              <w:rPr>
                <w:sz w:val="18"/>
                <w:szCs w:val="18"/>
              </w:rPr>
              <w:t>ՀՆԱ</w:t>
            </w:r>
            <w:r>
              <w:rPr>
                <w:sz w:val="18"/>
                <w:szCs w:val="18"/>
                <w:lang w:val="hy-AM"/>
              </w:rPr>
              <w:t xml:space="preserve"> </w:t>
            </w:r>
            <w:r>
              <w:rPr>
                <w:sz w:val="18"/>
                <w:szCs w:val="18"/>
              </w:rPr>
              <w:t>(%)</w:t>
            </w:r>
          </w:p>
        </w:tc>
        <w:tc>
          <w:tcPr>
            <w:tcW w:w="1154" w:type="dxa"/>
            <w:vAlign w:val="center"/>
            <w:hideMark/>
          </w:tcPr>
          <w:p w14:paraId="26737D21" w14:textId="77777777" w:rsidR="001C55F2" w:rsidRPr="005564EE" w:rsidRDefault="001C55F2" w:rsidP="00873AE6">
            <w:pPr>
              <w:spacing w:before="0" w:after="0" w:line="240" w:lineRule="auto"/>
              <w:jc w:val="center"/>
              <w:rPr>
                <w:sz w:val="18"/>
                <w:szCs w:val="18"/>
              </w:rPr>
            </w:pPr>
            <w:r w:rsidRPr="00600994">
              <w:rPr>
                <w:sz w:val="16"/>
                <w:szCs w:val="16"/>
              </w:rPr>
              <w:t>3.1</w:t>
            </w:r>
          </w:p>
        </w:tc>
        <w:tc>
          <w:tcPr>
            <w:tcW w:w="1065" w:type="dxa"/>
            <w:vAlign w:val="center"/>
            <w:hideMark/>
          </w:tcPr>
          <w:p w14:paraId="3794252B" w14:textId="77777777" w:rsidR="001C55F2" w:rsidRPr="00684B65" w:rsidRDefault="001C55F2" w:rsidP="00873AE6">
            <w:pPr>
              <w:spacing w:before="0" w:after="0" w:line="240" w:lineRule="auto"/>
              <w:jc w:val="center"/>
              <w:rPr>
                <w:sz w:val="18"/>
                <w:szCs w:val="18"/>
              </w:rPr>
            </w:pPr>
            <w:r w:rsidRPr="00684B65">
              <w:rPr>
                <w:rFonts w:ascii="GHEA Grapalat" w:hAnsi="GHEA Grapalat"/>
                <w:sz w:val="18"/>
                <w:szCs w:val="18"/>
              </w:rPr>
              <w:t>3.0</w:t>
            </w:r>
          </w:p>
        </w:tc>
        <w:tc>
          <w:tcPr>
            <w:tcW w:w="976" w:type="dxa"/>
            <w:vAlign w:val="center"/>
            <w:hideMark/>
          </w:tcPr>
          <w:p w14:paraId="4962B5B7" w14:textId="77777777" w:rsidR="001C55F2" w:rsidRPr="00684B65" w:rsidRDefault="001C55F2" w:rsidP="00873AE6">
            <w:pPr>
              <w:spacing w:before="0" w:after="0" w:line="240" w:lineRule="auto"/>
              <w:jc w:val="center"/>
              <w:rPr>
                <w:sz w:val="18"/>
                <w:szCs w:val="18"/>
              </w:rPr>
            </w:pPr>
            <w:r w:rsidRPr="00684B65">
              <w:rPr>
                <w:rFonts w:ascii="GHEA Grapalat" w:hAnsi="GHEA Grapalat"/>
                <w:sz w:val="18"/>
                <w:szCs w:val="18"/>
              </w:rPr>
              <w:t>3.1</w:t>
            </w:r>
          </w:p>
        </w:tc>
        <w:tc>
          <w:tcPr>
            <w:tcW w:w="976" w:type="dxa"/>
            <w:vAlign w:val="center"/>
          </w:tcPr>
          <w:p w14:paraId="6AE2182D" w14:textId="77777777" w:rsidR="001C55F2" w:rsidRPr="00684B65" w:rsidRDefault="001C55F2" w:rsidP="00873AE6">
            <w:pPr>
              <w:spacing w:before="0" w:after="0" w:line="240" w:lineRule="auto"/>
              <w:jc w:val="center"/>
              <w:rPr>
                <w:sz w:val="18"/>
                <w:szCs w:val="18"/>
              </w:rPr>
            </w:pPr>
            <w:r w:rsidRPr="00684B65">
              <w:rPr>
                <w:rFonts w:ascii="GHEA Grapalat" w:hAnsi="GHEA Grapalat"/>
                <w:sz w:val="18"/>
                <w:szCs w:val="18"/>
              </w:rPr>
              <w:t>3.0</w:t>
            </w:r>
          </w:p>
        </w:tc>
        <w:tc>
          <w:tcPr>
            <w:tcW w:w="976" w:type="dxa"/>
            <w:vAlign w:val="center"/>
          </w:tcPr>
          <w:p w14:paraId="7EC6695C" w14:textId="77777777" w:rsidR="001C55F2" w:rsidRPr="00684B65" w:rsidRDefault="001C55F2" w:rsidP="00873AE6">
            <w:pPr>
              <w:spacing w:before="0" w:after="0" w:line="240" w:lineRule="auto"/>
              <w:jc w:val="center"/>
              <w:rPr>
                <w:sz w:val="18"/>
                <w:szCs w:val="18"/>
                <w:lang w:val="hy-AM"/>
              </w:rPr>
            </w:pPr>
            <w:r w:rsidRPr="00684B65">
              <w:rPr>
                <w:rFonts w:ascii="GHEA Grapalat" w:hAnsi="GHEA Grapalat"/>
                <w:color w:val="000000"/>
                <w:sz w:val="18"/>
                <w:szCs w:val="18"/>
              </w:rPr>
              <w:t>3.0</w:t>
            </w:r>
          </w:p>
        </w:tc>
      </w:tr>
      <w:tr w:rsidR="001C55F2" w:rsidRPr="005564EE" w14:paraId="6D2DBBE8" w14:textId="77777777" w:rsidTr="001226F0">
        <w:trPr>
          <w:trHeight w:val="360"/>
        </w:trPr>
        <w:tc>
          <w:tcPr>
            <w:tcW w:w="4784" w:type="dxa"/>
            <w:vAlign w:val="center"/>
            <w:hideMark/>
          </w:tcPr>
          <w:p w14:paraId="48FACDC5" w14:textId="77777777" w:rsidR="001C55F2" w:rsidRPr="005564EE" w:rsidRDefault="001C55F2" w:rsidP="00873AE6">
            <w:pPr>
              <w:spacing w:before="0" w:after="0" w:line="240" w:lineRule="auto"/>
              <w:ind w:right="448"/>
              <w:rPr>
                <w:sz w:val="18"/>
                <w:szCs w:val="18"/>
              </w:rPr>
            </w:pPr>
            <w:r>
              <w:rPr>
                <w:sz w:val="18"/>
                <w:szCs w:val="18"/>
                <w:lang w:val="hy-AM"/>
              </w:rPr>
              <w:t>Տոկոսավճար/</w:t>
            </w:r>
            <w:r w:rsidRPr="00160BC8">
              <w:rPr>
                <w:sz w:val="18"/>
                <w:szCs w:val="18"/>
              </w:rPr>
              <w:t>բյուջեի եկամուտներ</w:t>
            </w:r>
            <w:r>
              <w:rPr>
                <w:sz w:val="18"/>
                <w:szCs w:val="18"/>
              </w:rPr>
              <w:t xml:space="preserve"> (%)</w:t>
            </w:r>
          </w:p>
        </w:tc>
        <w:tc>
          <w:tcPr>
            <w:tcW w:w="1154" w:type="dxa"/>
            <w:vAlign w:val="center"/>
            <w:hideMark/>
          </w:tcPr>
          <w:p w14:paraId="58B4DA6D" w14:textId="77777777" w:rsidR="001C55F2" w:rsidRPr="005564EE" w:rsidRDefault="001C55F2" w:rsidP="00873AE6">
            <w:pPr>
              <w:spacing w:before="0" w:after="0" w:line="240" w:lineRule="auto"/>
              <w:jc w:val="center"/>
              <w:rPr>
                <w:sz w:val="18"/>
                <w:szCs w:val="18"/>
              </w:rPr>
            </w:pPr>
            <w:r>
              <w:rPr>
                <w:sz w:val="18"/>
                <w:szCs w:val="18"/>
                <w:lang w:val="hy-AM"/>
              </w:rPr>
              <w:t>12.1</w:t>
            </w:r>
          </w:p>
        </w:tc>
        <w:tc>
          <w:tcPr>
            <w:tcW w:w="1065" w:type="dxa"/>
            <w:vAlign w:val="center"/>
            <w:hideMark/>
          </w:tcPr>
          <w:p w14:paraId="2D2C7BF6" w14:textId="77777777" w:rsidR="001C55F2" w:rsidRPr="00BC34F6" w:rsidRDefault="001C55F2" w:rsidP="00873AE6">
            <w:pPr>
              <w:spacing w:before="0" w:after="0" w:line="240" w:lineRule="auto"/>
              <w:jc w:val="center"/>
              <w:rPr>
                <w:sz w:val="18"/>
                <w:szCs w:val="18"/>
                <w:lang w:val="hy-AM"/>
              </w:rPr>
            </w:pPr>
            <w:r w:rsidRPr="00BC34F6">
              <w:rPr>
                <w:rFonts w:ascii="GHEA Grapalat" w:hAnsi="GHEA Grapalat"/>
                <w:sz w:val="18"/>
                <w:szCs w:val="18"/>
              </w:rPr>
              <w:t>11.4</w:t>
            </w:r>
          </w:p>
        </w:tc>
        <w:tc>
          <w:tcPr>
            <w:tcW w:w="976" w:type="dxa"/>
            <w:vAlign w:val="center"/>
            <w:hideMark/>
          </w:tcPr>
          <w:p w14:paraId="1E9C6995" w14:textId="77777777" w:rsidR="001C55F2" w:rsidRPr="00BC34F6" w:rsidRDefault="001C55F2" w:rsidP="00873AE6">
            <w:pPr>
              <w:spacing w:before="0" w:after="0" w:line="240" w:lineRule="auto"/>
              <w:jc w:val="center"/>
              <w:rPr>
                <w:sz w:val="18"/>
                <w:szCs w:val="18"/>
                <w:lang w:val="hy-AM"/>
              </w:rPr>
            </w:pPr>
            <w:r w:rsidRPr="00BC34F6">
              <w:rPr>
                <w:rFonts w:ascii="GHEA Grapalat" w:hAnsi="GHEA Grapalat"/>
                <w:sz w:val="18"/>
                <w:szCs w:val="18"/>
              </w:rPr>
              <w:t>11.6</w:t>
            </w:r>
          </w:p>
        </w:tc>
        <w:tc>
          <w:tcPr>
            <w:tcW w:w="976" w:type="dxa"/>
            <w:vAlign w:val="center"/>
          </w:tcPr>
          <w:p w14:paraId="718B2B1A" w14:textId="77777777" w:rsidR="001C55F2" w:rsidRPr="00BC34F6" w:rsidRDefault="001C55F2" w:rsidP="00873AE6">
            <w:pPr>
              <w:spacing w:before="0" w:after="0" w:line="240" w:lineRule="auto"/>
              <w:jc w:val="center"/>
              <w:rPr>
                <w:sz w:val="18"/>
                <w:szCs w:val="18"/>
              </w:rPr>
            </w:pPr>
            <w:r w:rsidRPr="00BC34F6">
              <w:rPr>
                <w:rFonts w:ascii="GHEA Grapalat" w:hAnsi="GHEA Grapalat"/>
                <w:sz w:val="18"/>
                <w:szCs w:val="18"/>
              </w:rPr>
              <w:t>11.4</w:t>
            </w:r>
          </w:p>
        </w:tc>
        <w:tc>
          <w:tcPr>
            <w:tcW w:w="976" w:type="dxa"/>
            <w:vAlign w:val="center"/>
          </w:tcPr>
          <w:p w14:paraId="03018A92" w14:textId="77777777" w:rsidR="001C55F2" w:rsidRPr="00BC34F6" w:rsidRDefault="001C55F2" w:rsidP="00873AE6">
            <w:pPr>
              <w:spacing w:before="0" w:after="0" w:line="240" w:lineRule="auto"/>
              <w:jc w:val="center"/>
              <w:rPr>
                <w:sz w:val="18"/>
                <w:szCs w:val="18"/>
              </w:rPr>
            </w:pPr>
            <w:r w:rsidRPr="00BC34F6">
              <w:rPr>
                <w:rFonts w:ascii="GHEA Grapalat" w:hAnsi="GHEA Grapalat"/>
                <w:color w:val="000000"/>
                <w:sz w:val="18"/>
                <w:szCs w:val="18"/>
              </w:rPr>
              <w:t>11.4</w:t>
            </w:r>
          </w:p>
        </w:tc>
      </w:tr>
    </w:tbl>
    <w:p w14:paraId="0E8EAE52" w14:textId="77777777" w:rsidR="001C55F2" w:rsidRPr="00EC07E7" w:rsidRDefault="001C55F2" w:rsidP="001C55F2">
      <w:pPr>
        <w:pStyle w:val="BodyText1"/>
        <w:ind w:left="0"/>
        <w:contextualSpacing/>
        <w:rPr>
          <w:color w:val="auto"/>
          <w:lang w:val="hy-AM"/>
        </w:rPr>
      </w:pPr>
      <w:r w:rsidRPr="009807BC">
        <w:rPr>
          <w:lang w:val="hy-AM"/>
        </w:rPr>
        <w:t xml:space="preserve">Կանխատեսումային սցենարի համեմատությամբ ՀՀ դրամի՝ ԱՄՆ դոլարի </w:t>
      </w:r>
      <w:r w:rsidRPr="00EC07E7">
        <w:rPr>
          <w:color w:val="auto"/>
          <w:lang w:val="hy-AM"/>
        </w:rPr>
        <w:t>նկատմամբ 10% արժեզրկման ազդեցությունը 202</w:t>
      </w:r>
      <w:r w:rsidRPr="00EC07E7">
        <w:rPr>
          <w:color w:val="auto"/>
        </w:rPr>
        <w:t>7</w:t>
      </w:r>
      <w:r w:rsidRPr="00EC07E7">
        <w:rPr>
          <w:color w:val="auto"/>
          <w:lang w:val="hy-AM"/>
        </w:rPr>
        <w:t xml:space="preserve"> թվականի Կառավարության պարտքի տոկոսավճարների վրա կկազմի 1</w:t>
      </w:r>
      <w:r w:rsidRPr="00EC07E7">
        <w:rPr>
          <w:color w:val="auto"/>
        </w:rPr>
        <w:t>1</w:t>
      </w:r>
      <w:r w:rsidRPr="00EC07E7">
        <w:rPr>
          <w:color w:val="auto"/>
          <w:lang w:val="hy-AM"/>
        </w:rPr>
        <w:t>.</w:t>
      </w:r>
      <w:r w:rsidRPr="00EC07E7">
        <w:rPr>
          <w:color w:val="auto"/>
        </w:rPr>
        <w:t>6</w:t>
      </w:r>
      <w:r w:rsidRPr="00EC07E7">
        <w:rPr>
          <w:color w:val="auto"/>
          <w:lang w:val="hy-AM"/>
        </w:rPr>
        <w:t xml:space="preserve"> մլրդ ՀՀ դրամ:</w:t>
      </w:r>
    </w:p>
    <w:p w14:paraId="12C22DB9" w14:textId="77777777" w:rsidR="001C55F2" w:rsidRPr="00EF6FDF" w:rsidRDefault="001C55F2" w:rsidP="001C55F2">
      <w:pPr>
        <w:pStyle w:val="BodyText1"/>
        <w:ind w:left="0"/>
        <w:contextualSpacing/>
        <w:rPr>
          <w:lang w:val="hy-AM"/>
        </w:rPr>
      </w:pPr>
      <w:r w:rsidRPr="00EC07E7">
        <w:rPr>
          <w:color w:val="auto"/>
          <w:lang w:val="hy-AM"/>
        </w:rPr>
        <w:t xml:space="preserve">Միաժամանակ, մյուս գործոնների անփոփոխ մնալու պարագայում կանխատեսումային սցենարի </w:t>
      </w:r>
      <w:r w:rsidRPr="009807BC">
        <w:rPr>
          <w:lang w:val="hy-AM"/>
        </w:rPr>
        <w:t xml:space="preserve">համեմատությամբ SOFR և EURIBOR </w:t>
      </w:r>
      <w:r w:rsidRPr="00EC07E7">
        <w:rPr>
          <w:color w:val="auto"/>
          <w:lang w:val="hy-AM"/>
        </w:rPr>
        <w:t>դրույքների բարձրացումը 1 տոկոսային կետով կավելացնի 2027 թվականի Կառավարության պարտքի գծով տոկոսավճարները 10.7 մլրդ ՀՀ դրամով</w:t>
      </w:r>
      <w:r w:rsidRPr="009807BC">
        <w:rPr>
          <w:lang w:val="hy-AM"/>
        </w:rPr>
        <w:t>:</w:t>
      </w:r>
    </w:p>
    <w:p w14:paraId="3E60D2F2" w14:textId="77777777" w:rsidR="001C55F2" w:rsidRPr="00EF6FDF" w:rsidRDefault="001C55F2" w:rsidP="001C55F2">
      <w:pPr>
        <w:pStyle w:val="TOC4"/>
        <w:rPr>
          <w:lang w:val="hy-AM"/>
        </w:rPr>
      </w:pPr>
      <w:r w:rsidRPr="00EF6FDF">
        <w:rPr>
          <w:lang w:val="hy-AM"/>
        </w:rPr>
        <w:t>ՊԱԿԱՍՈՒՐԴԻ ՖԻՆԱՆՍԱՎՈՐՄԱՆ ՊԱՐՏՔԱՅԻՆ ԳՈՐԾԻՔԱԿԱԶՄԸ</w:t>
      </w:r>
    </w:p>
    <w:p w14:paraId="2389655C" w14:textId="77777777" w:rsidR="001C55F2" w:rsidRPr="00EF6FDF" w:rsidRDefault="001C55F2" w:rsidP="001C55F2">
      <w:pPr>
        <w:pStyle w:val="BodyText1"/>
        <w:ind w:left="0"/>
        <w:contextualSpacing/>
        <w:rPr>
          <w:lang w:val="hy-AM"/>
        </w:rPr>
      </w:pPr>
      <w:r w:rsidRPr="00EF6FDF">
        <w:rPr>
          <w:lang w:val="hy-AM"/>
        </w:rPr>
        <w:t xml:space="preserve">Պակասուրդի ֆինանսավորման փոխառու աղբյուրների կառուցվածքն ընտրվել է ծախսերի և ռիսկերի ցուցանիշների ուսումնասիրության և վերլուծության արդյունքում: Ընտրվել է փոխառու միջոցներով պակասուրդի ֆինանսավորման այնպիսի կառուցվածք, որը կնպաստի ներքին պարտքի շուկայի զարգացմանը, կապահովի ՀՀ կառավարության պարտքի գծով ռիսկերի չափավոր մակարդակ, միաժամանակ, կարճաժամկետ և միջնաժամկետ հատվածներում հնարավորինս կսահմանափակի պետական պարտքի գծով ծախսերի աճը: </w:t>
      </w:r>
    </w:p>
    <w:p w14:paraId="69022CEC" w14:textId="77777777" w:rsidR="001C55F2" w:rsidRPr="00EF6FDF" w:rsidRDefault="001C55F2" w:rsidP="001C55F2">
      <w:pPr>
        <w:pStyle w:val="BodyText1"/>
        <w:ind w:left="0"/>
        <w:contextualSpacing/>
        <w:rPr>
          <w:lang w:val="hy-AM"/>
        </w:rPr>
      </w:pPr>
      <w:r w:rsidRPr="00EF6FDF">
        <w:rPr>
          <w:lang w:val="hy-AM"/>
        </w:rPr>
        <w:t>Ներքին փոխառու զուտ միջոցների հաշվին դեֆիցիտի ֆինանսավորման կառուցվածքը նախատեսելիս հաշվի են առնվել տնտեսությունում մակրոմիջավայրի զարգացումներն ըստ կանխատեսումների բազային սցենարի, իրացվելիության առկա մակարդակը, պետական գանձապետական պարտատոմսերի նկատմամբ ձևավորված կայուն պահանջարկը և պարտքի սպասարկման մեծությունը:</w:t>
      </w:r>
    </w:p>
    <w:p w14:paraId="077403E3" w14:textId="77777777" w:rsidR="001C55F2" w:rsidRPr="008B041E" w:rsidRDefault="001C55F2" w:rsidP="001C55F2">
      <w:pPr>
        <w:pStyle w:val="TOC4"/>
        <w:rPr>
          <w:lang w:val="hy-AM"/>
        </w:rPr>
      </w:pPr>
      <w:r w:rsidRPr="00E90CCB">
        <w:rPr>
          <w:lang w:val="hy-AM"/>
        </w:rPr>
        <w:t>ՊԱԿԱՍՈՒՐԴԻ ՖԻՆԱՆՍԱՎՈՐՈՒՄԸ ՊԵՏԱԿԱՆ ԳԱՆՁԱՊԵՏԱԿԱՆ ՊԱՐՏԱՏՈՄՍԵՐՈՎ</w:t>
      </w:r>
    </w:p>
    <w:p w14:paraId="08C5BE76" w14:textId="77777777" w:rsidR="001C55F2" w:rsidRPr="00732944" w:rsidRDefault="001C55F2" w:rsidP="001C55F2">
      <w:pPr>
        <w:pStyle w:val="BodyText1"/>
        <w:ind w:left="0"/>
        <w:rPr>
          <w:b/>
          <w:lang w:val="hy-AM"/>
        </w:rPr>
      </w:pPr>
      <w:r w:rsidRPr="00732944">
        <w:rPr>
          <w:b/>
          <w:lang w:val="hy-AM"/>
        </w:rPr>
        <w:t>Ներքին պարտքի շուկայում իրականացվելիք միջոցառումները</w:t>
      </w:r>
    </w:p>
    <w:p w14:paraId="252861AD" w14:textId="77777777" w:rsidR="001C55F2" w:rsidRPr="006A509A" w:rsidRDefault="001C55F2" w:rsidP="001C55F2">
      <w:pPr>
        <w:pStyle w:val="BodyText1"/>
        <w:ind w:left="0"/>
        <w:contextualSpacing/>
        <w:rPr>
          <w:lang w:val="hy-AM"/>
        </w:rPr>
      </w:pPr>
      <w:r w:rsidRPr="006A509A">
        <w:rPr>
          <w:lang w:val="hy-AM"/>
        </w:rPr>
        <w:t>ՀՀ ֆինանսների նախարարությունը կշարունակի պետական գանձապետական պարտատոմ</w:t>
      </w:r>
      <w:r w:rsidRPr="006A509A">
        <w:rPr>
          <w:lang w:val="hy-AM"/>
        </w:rPr>
        <w:softHyphen/>
        <w:t>սերի հետգնումների, փոխա</w:t>
      </w:r>
      <w:r w:rsidRPr="006A509A">
        <w:rPr>
          <w:lang w:val="hy-AM"/>
        </w:rPr>
        <w:softHyphen/>
        <w:t>նակումների իրականացումը` նպատակ ունենալով հարթեցնել պարտ</w:t>
      </w:r>
      <w:r w:rsidRPr="006A509A">
        <w:rPr>
          <w:lang w:val="hy-AM"/>
        </w:rPr>
        <w:softHyphen/>
        <w:t>քի մարման գրաֆիկը և նվազեցնել վերաֆինանսավորման ռիսկը, ինչպես նաև բարձ</w:t>
      </w:r>
      <w:r w:rsidRPr="006A509A">
        <w:rPr>
          <w:lang w:val="hy-AM"/>
        </w:rPr>
        <w:softHyphen/>
        <w:t>րաց</w:t>
      </w:r>
      <w:r w:rsidRPr="006A509A">
        <w:rPr>
          <w:lang w:val="hy-AM"/>
        </w:rPr>
        <w:softHyphen/>
        <w:t xml:space="preserve">նել տեղաբաշխվող պարտատոմսերի իրացվելիությունը և նպաստել երկրորդային շուկայի զարգացմանը: </w:t>
      </w:r>
    </w:p>
    <w:p w14:paraId="1937F527" w14:textId="77777777" w:rsidR="001C55F2" w:rsidRPr="006A509A" w:rsidRDefault="001C55F2" w:rsidP="001C55F2">
      <w:pPr>
        <w:pStyle w:val="BodyText1"/>
        <w:ind w:left="0"/>
        <w:contextualSpacing/>
        <w:rPr>
          <w:lang w:val="hy-AM"/>
        </w:rPr>
      </w:pPr>
      <w:r w:rsidRPr="006A509A">
        <w:rPr>
          <w:lang w:val="hy-AM"/>
        </w:rPr>
        <w:t>Պետական գանձապետական պարտատոմսերի եկամտաբերության նվազման պայմաններում աստիճանաբար կավելացվի երկարաժամկետ պարտատոմսերի տեղաբաշխումների ծավալը՝ դրանք կենտրոնացնելով 10 տարի մարման ժամկետի շուրջ՝ որպես հիմնական ուղենիշ:</w:t>
      </w:r>
    </w:p>
    <w:p w14:paraId="12C4A1B4" w14:textId="77777777" w:rsidR="001C55F2" w:rsidRPr="006A509A" w:rsidRDefault="001C55F2" w:rsidP="001C55F2">
      <w:pPr>
        <w:pStyle w:val="BodyText1"/>
        <w:ind w:left="0"/>
        <w:contextualSpacing/>
        <w:rPr>
          <w:lang w:val="hy-AM"/>
        </w:rPr>
      </w:pPr>
      <w:r w:rsidRPr="006A509A">
        <w:rPr>
          <w:lang w:val="hy-AM"/>
        </w:rPr>
        <w:t>Պետական բյուջեով նախատեսված որոշակի ոլորտներում առանձին նախագծերի ֆինանսավորման նպատակով կդիտարկվի նպատակային պարտատոմսերի թողարկման հնարավորությունը:</w:t>
      </w:r>
    </w:p>
    <w:p w14:paraId="1C7C2346" w14:textId="77777777" w:rsidR="001C55F2" w:rsidRPr="008B041E" w:rsidRDefault="001C55F2" w:rsidP="001C55F2">
      <w:pPr>
        <w:pStyle w:val="BodyText1"/>
        <w:ind w:left="0"/>
        <w:contextualSpacing/>
        <w:rPr>
          <w:lang w:val="hy-AM"/>
        </w:rPr>
      </w:pPr>
      <w:r w:rsidRPr="006A509A">
        <w:rPr>
          <w:lang w:val="hy-AM"/>
        </w:rPr>
        <w:t>Կարևորելով պետական գանձապետական պարտատոմսերի մանրածախ շուկայի զարգացումը` կշարունակվեն հանրային իրազեկման աշխատանքները պոտեն</w:t>
      </w:r>
      <w:r w:rsidRPr="006A509A">
        <w:rPr>
          <w:lang w:val="hy-AM"/>
        </w:rPr>
        <w:softHyphen/>
        <w:t>ցիալ ներդրողների շրջանում:</w:t>
      </w:r>
    </w:p>
    <w:p w14:paraId="616206B3" w14:textId="77777777" w:rsidR="001C55F2" w:rsidRPr="005A0714" w:rsidRDefault="001C55F2" w:rsidP="001C55F2">
      <w:pPr>
        <w:pStyle w:val="BodyText1"/>
        <w:ind w:left="0"/>
        <w:contextualSpacing/>
        <w:rPr>
          <w:b/>
          <w:color w:val="auto"/>
          <w:lang w:val="hy-AM"/>
        </w:rPr>
      </w:pPr>
      <w:r w:rsidRPr="005A0714">
        <w:rPr>
          <w:b/>
          <w:color w:val="auto"/>
          <w:lang w:val="hy-AM"/>
        </w:rPr>
        <w:t>Պակասուրդի ֆինանսավորման գործիքակազմը</w:t>
      </w:r>
    </w:p>
    <w:p w14:paraId="08A7EBCE" w14:textId="77777777" w:rsidR="001C55F2" w:rsidRPr="00FE38AF" w:rsidRDefault="001C55F2" w:rsidP="001C55F2">
      <w:pPr>
        <w:pStyle w:val="BodyText1"/>
        <w:ind w:left="0"/>
        <w:contextualSpacing/>
        <w:rPr>
          <w:lang w:val="hy-AM"/>
        </w:rPr>
      </w:pPr>
      <w:r w:rsidRPr="00FE38AF">
        <w:rPr>
          <w:lang w:val="hy-AM"/>
        </w:rPr>
        <w:t>Պետական գանձապետական պարտատոմսերով բյուջեի դեֆիցիտի ֆինանսավորումն իրականացվելու է կարճաժամկետ (3, 6, 9 և 12 ամիս), միջնաժամկետ (3 և 5 տարի), երկարաժամկետ (10 և 30 տարի) և խնայողական պարտատոմսերի հաշվին:</w:t>
      </w:r>
    </w:p>
    <w:p w14:paraId="2D0DEB18" w14:textId="77777777" w:rsidR="001C55F2" w:rsidRPr="00FE38AF" w:rsidRDefault="001C55F2" w:rsidP="001C55F2">
      <w:pPr>
        <w:pStyle w:val="BodyText1"/>
        <w:ind w:left="0"/>
        <w:contextualSpacing/>
        <w:rPr>
          <w:lang w:val="hy-AM"/>
        </w:rPr>
      </w:pPr>
      <w:r w:rsidRPr="00FE38AF">
        <w:rPr>
          <w:lang w:val="hy-AM"/>
        </w:rPr>
        <w:t>Յուրաքանչյուր երկու ամիսն առնվազն մեկ անգամ կկազմակերպվի 52, 39, 26 և 13 շաբաթ մարման ժամկետ ունեցող պետական գանձապետական կարճաժամկետ պարտատոմսերի տեղաբաշխման աճուրդներ: Կարող են իրականացվել նաև պետական գանձապետական կարճաժամկետ պարտատոմսերի լրացուցիչ թողարկումներ, ընդ որում մինչև 3 շաբաթ մարման ժամկետայնությամբ թողարկումներ կարող են իրականացվել կանխիկ հոսքերի կառավարման նպատակով, իսկ 3-12 շաբաթ մարման ժամկետայնությամբ թողարկումներ` հարկաբյուջետային և դրամավարկային քաղաքականությունների կոորդինացման շրջանակներում:</w:t>
      </w:r>
    </w:p>
    <w:p w14:paraId="0A00C679" w14:textId="77777777" w:rsidR="001C55F2" w:rsidRPr="00FE38AF" w:rsidRDefault="001C55F2" w:rsidP="001C55F2">
      <w:pPr>
        <w:pStyle w:val="BodyText1"/>
        <w:ind w:left="0"/>
        <w:contextualSpacing/>
        <w:rPr>
          <w:lang w:val="hy-AM"/>
        </w:rPr>
      </w:pPr>
      <w:r w:rsidRPr="00FE38AF">
        <w:rPr>
          <w:lang w:val="hy-AM"/>
        </w:rPr>
        <w:t xml:space="preserve">Աճուրդների կողմնորոշիչ ծավալների վերաբերյալ տեղեկատվությունը կհրապարակվի եռամսյակային կտրվածքով: </w:t>
      </w:r>
    </w:p>
    <w:p w14:paraId="5ACABFC3" w14:textId="77777777" w:rsidR="001C55F2" w:rsidRPr="00FE38AF" w:rsidRDefault="001C55F2" w:rsidP="001C55F2">
      <w:pPr>
        <w:pStyle w:val="BodyText1"/>
        <w:ind w:left="0"/>
        <w:contextualSpacing/>
        <w:rPr>
          <w:lang w:val="hy-AM"/>
        </w:rPr>
      </w:pPr>
      <w:r w:rsidRPr="00FE38AF">
        <w:rPr>
          <w:lang w:val="hy-AM"/>
        </w:rPr>
        <w:t>Յուրաքանչյուր աճուրդին տեղաբաշխման ենթակա պարտատոմսերի ծավալների և ժամկետների վերաբերյալ տեղեկատվությունը կհրապարակվի աճուրդից առաջ՝ գործակալների հետ խորհրդակցելուց հետո:</w:t>
      </w:r>
    </w:p>
    <w:p w14:paraId="2F2B7156" w14:textId="77777777" w:rsidR="001C55F2" w:rsidRPr="00FE38AF" w:rsidRDefault="001C55F2" w:rsidP="001C55F2">
      <w:pPr>
        <w:pStyle w:val="BodyText1"/>
        <w:ind w:left="0"/>
        <w:contextualSpacing/>
        <w:rPr>
          <w:lang w:val="hy-AM"/>
        </w:rPr>
      </w:pPr>
      <w:r w:rsidRPr="00FE38AF">
        <w:rPr>
          <w:lang w:val="hy-AM"/>
        </w:rPr>
        <w:t>2027-2029 թվականների ընթացքում կիրականացվեն նաև պետական գանձապետական պարտատոմսերի հետգնումներ և փոխանակումներ: 2027 թվականի ընթացքում պարտատոմսերի հետգնումների 70-80%-ը կիրականացվեն մարման գրաֆիկի հարթեցման, իսկ 20-30%-ը՝ պարտատոմսերի իրացվելիությունը խթանելու նպատակով: ՀՀ ֆինանսների նախարարությունը յուրաքանչյուր թողարկման պարտատոմսերի տեղաբաշխման ժամանակահատվածում այդ պարտատոմսերի հետգնում չի իրականացնի:</w:t>
      </w:r>
    </w:p>
    <w:p w14:paraId="30A7AD63" w14:textId="77777777" w:rsidR="001C55F2" w:rsidRPr="00FE38AF" w:rsidRDefault="001C55F2" w:rsidP="001C55F2">
      <w:pPr>
        <w:pStyle w:val="BodyText1"/>
        <w:ind w:left="0"/>
        <w:contextualSpacing/>
        <w:rPr>
          <w:lang w:val="hy-AM"/>
        </w:rPr>
      </w:pPr>
      <w:r w:rsidRPr="00FE38AF">
        <w:rPr>
          <w:lang w:val="hy-AM"/>
        </w:rPr>
        <w:t>ՀՀ ֆինանսների նախարարության պաշտոնական կայքէջում եռամսյակային կտրվածքով, յուրաքանչյուր եռամսյակից 10 օր առաջ կհրապարակվի ուղենշային համարվող պարտատոմսերի ցանկը:</w:t>
      </w:r>
    </w:p>
    <w:p w14:paraId="2BB36AD6" w14:textId="77777777" w:rsidR="001C55F2" w:rsidRPr="00732944" w:rsidRDefault="001C55F2" w:rsidP="001C55F2">
      <w:pPr>
        <w:pStyle w:val="TOC4"/>
        <w:spacing w:before="120" w:after="120"/>
        <w:contextualSpacing/>
        <w:jc w:val="both"/>
        <w:rPr>
          <w:lang w:val="hy-AM"/>
        </w:rPr>
      </w:pPr>
      <w:r w:rsidRPr="00732944">
        <w:rPr>
          <w:lang w:val="hy-AM"/>
        </w:rPr>
        <w:t>ՊԱԿԱՍՈՒՐԴԻ ՖԻՆԱՆՍԱՎՈՐՈՒՄՆ ԱՐՏԱՔԻՆ ՎԱՐԿԵՐՈՎ</w:t>
      </w:r>
    </w:p>
    <w:p w14:paraId="1D164C3E" w14:textId="77777777" w:rsidR="001C55F2" w:rsidRPr="000E5DF3" w:rsidRDefault="001C55F2" w:rsidP="001C55F2">
      <w:pPr>
        <w:pStyle w:val="BodyText1"/>
        <w:ind w:left="0"/>
        <w:contextualSpacing/>
        <w:rPr>
          <w:lang w:val="hy-AM"/>
        </w:rPr>
      </w:pPr>
      <w:r w:rsidRPr="0003195B">
        <w:rPr>
          <w:lang w:val="hy-AM"/>
        </w:rPr>
        <w:t xml:space="preserve">Համագործակցությունն արտաքին </w:t>
      </w:r>
      <w:r w:rsidRPr="000E5DF3">
        <w:rPr>
          <w:lang w:val="hy-AM"/>
        </w:rPr>
        <w:t>վարկատուների հետ կշարունակվի՝ նա</w:t>
      </w:r>
      <w:r w:rsidRPr="000E5DF3">
        <w:rPr>
          <w:lang w:val="hy-AM"/>
        </w:rPr>
        <w:softHyphen/>
        <w:t>խա</w:t>
      </w:r>
      <w:r w:rsidRPr="000E5DF3">
        <w:rPr>
          <w:lang w:val="hy-AM"/>
        </w:rPr>
        <w:softHyphen/>
      </w:r>
      <w:r w:rsidRPr="000E5DF3">
        <w:rPr>
          <w:lang w:val="hy-AM"/>
        </w:rPr>
        <w:softHyphen/>
        <w:t>պատվությունը տալով վարկավորման առավել բարենպաստ պայմաններով և ազատ փոխարկելի արժույթով փոխառու միջոցներ տրամադրող վարկատուների հետ համա</w:t>
      </w:r>
      <w:r w:rsidRPr="000E5DF3">
        <w:rPr>
          <w:lang w:val="hy-AM"/>
        </w:rPr>
        <w:softHyphen/>
        <w:t>գործակ</w:t>
      </w:r>
      <w:r w:rsidRPr="000E5DF3">
        <w:rPr>
          <w:lang w:val="hy-AM"/>
        </w:rPr>
        <w:softHyphen/>
        <w:t>ցությանը, և աստիճանաբար անցում կկատարվի շուկայական գործիքներով պակասուրդի ֆինանսավորմանը:</w:t>
      </w:r>
    </w:p>
    <w:p w14:paraId="7B779859" w14:textId="4295FB1F" w:rsidR="001C55F2" w:rsidRPr="000E5DF3" w:rsidRDefault="001C55F2" w:rsidP="001C55F2">
      <w:pPr>
        <w:pStyle w:val="BodyText1"/>
        <w:ind w:left="0"/>
        <w:contextualSpacing/>
        <w:rPr>
          <w:lang w:val="hy-AM"/>
        </w:rPr>
      </w:pPr>
      <w:r w:rsidRPr="000E5DF3">
        <w:rPr>
          <w:lang w:val="hy-AM"/>
        </w:rPr>
        <w:t>ՀՀ</w:t>
      </w:r>
      <w:r>
        <w:rPr>
          <w:lang w:val="hy-AM"/>
        </w:rPr>
        <w:t xml:space="preserve"> 2027</w:t>
      </w:r>
      <w:r w:rsidRPr="000E5DF3">
        <w:rPr>
          <w:lang w:val="hy-AM"/>
        </w:rPr>
        <w:t xml:space="preserve"> թվականին պետական բյուջեի պակասուրդը ֆինանսավորելու համար նախատեսվում է արտաքին վարկերի գծով կատարել </w:t>
      </w:r>
      <w:r w:rsidRPr="00E7557A">
        <w:rPr>
          <w:lang w:val="hy-AM"/>
        </w:rPr>
        <w:t>41</w:t>
      </w:r>
      <w:r w:rsidRPr="002744CC">
        <w:rPr>
          <w:lang w:val="hy-AM"/>
        </w:rPr>
        <w:t>5</w:t>
      </w:r>
      <w:r w:rsidRPr="00E7557A">
        <w:rPr>
          <w:lang w:val="hy-AM"/>
        </w:rPr>
        <w:t>.</w:t>
      </w:r>
      <w:r w:rsidRPr="002744CC">
        <w:rPr>
          <w:lang w:val="hy-AM"/>
        </w:rPr>
        <w:t>9</w:t>
      </w:r>
      <w:r w:rsidRPr="00B74CB4">
        <w:rPr>
          <w:lang w:val="hy-AM"/>
        </w:rPr>
        <w:t xml:space="preserve"> մլրդ դրամի (1,</w:t>
      </w:r>
      <w:r>
        <w:rPr>
          <w:lang w:val="hy-AM"/>
        </w:rPr>
        <w:t>1</w:t>
      </w:r>
      <w:r w:rsidRPr="002744CC">
        <w:rPr>
          <w:lang w:val="hy-AM"/>
        </w:rPr>
        <w:t>41.9</w:t>
      </w:r>
      <w:r w:rsidRPr="00B74CB4">
        <w:rPr>
          <w:lang w:val="hy-AM"/>
        </w:rPr>
        <w:t xml:space="preserve"> մլն ԱՄՆ դոլար) մասհանումներ: Ընդ որում</w:t>
      </w:r>
      <w:r w:rsidR="00B75923">
        <w:rPr>
          <w:lang w:val="hy-AM"/>
        </w:rPr>
        <w:t>՝</w:t>
      </w:r>
      <w:r w:rsidRPr="00B74CB4">
        <w:rPr>
          <w:lang w:val="hy-AM"/>
        </w:rPr>
        <w:t xml:space="preserve"> մասհանումներից </w:t>
      </w:r>
      <w:r w:rsidRPr="00E7557A">
        <w:rPr>
          <w:lang w:val="hy-AM"/>
        </w:rPr>
        <w:t>126</w:t>
      </w:r>
      <w:r w:rsidRPr="00B74CB4">
        <w:rPr>
          <w:lang w:val="hy-AM"/>
        </w:rPr>
        <w:t>.</w:t>
      </w:r>
      <w:r w:rsidRPr="002744CC">
        <w:rPr>
          <w:lang w:val="hy-AM"/>
        </w:rPr>
        <w:t>6</w:t>
      </w:r>
      <w:r w:rsidRPr="00B74CB4">
        <w:rPr>
          <w:lang w:val="hy-AM"/>
        </w:rPr>
        <w:t xml:space="preserve"> մլրդ դրամը (</w:t>
      </w:r>
      <w:r w:rsidRPr="00E7557A">
        <w:rPr>
          <w:lang w:val="hy-AM"/>
        </w:rPr>
        <w:t>34</w:t>
      </w:r>
      <w:r w:rsidRPr="002744CC">
        <w:rPr>
          <w:lang w:val="hy-AM"/>
        </w:rPr>
        <w:t>7</w:t>
      </w:r>
      <w:r w:rsidRPr="00E7557A">
        <w:rPr>
          <w:lang w:val="hy-AM"/>
        </w:rPr>
        <w:t>.</w:t>
      </w:r>
      <w:r w:rsidRPr="002744CC">
        <w:rPr>
          <w:lang w:val="hy-AM"/>
        </w:rPr>
        <w:t>6</w:t>
      </w:r>
      <w:r w:rsidRPr="00B74CB4">
        <w:rPr>
          <w:lang w:val="hy-AM"/>
        </w:rPr>
        <w:t xml:space="preserve"> մլն ԱՄՆ դոլար) նախատեսվում է կատարել նպատակային վարկային ծրագրերի գծով, իսկ մնացած </w:t>
      </w:r>
      <w:r>
        <w:rPr>
          <w:lang w:val="hy-AM"/>
        </w:rPr>
        <w:t>28</w:t>
      </w:r>
      <w:r w:rsidRPr="002744CC">
        <w:rPr>
          <w:lang w:val="hy-AM"/>
        </w:rPr>
        <w:t>9</w:t>
      </w:r>
      <w:r w:rsidRPr="00E7557A">
        <w:rPr>
          <w:lang w:val="hy-AM"/>
        </w:rPr>
        <w:t>.</w:t>
      </w:r>
      <w:r w:rsidRPr="002744CC">
        <w:rPr>
          <w:lang w:val="hy-AM"/>
        </w:rPr>
        <w:t>3</w:t>
      </w:r>
      <w:r w:rsidRPr="00B74CB4">
        <w:rPr>
          <w:lang w:val="hy-AM"/>
        </w:rPr>
        <w:t xml:space="preserve"> մլրդ դրամը (</w:t>
      </w:r>
      <w:r w:rsidRPr="002744CC">
        <w:rPr>
          <w:lang w:val="hy-AM"/>
        </w:rPr>
        <w:t>794.3</w:t>
      </w:r>
      <w:r w:rsidRPr="00B74CB4">
        <w:rPr>
          <w:lang w:val="hy-AM"/>
        </w:rPr>
        <w:t xml:space="preserve"> մլն ԱՄՆ դոլար)՝ բյուջետային աջակցության վարկերի գծով:</w:t>
      </w:r>
      <w:r w:rsidRPr="000E5DF3">
        <w:rPr>
          <w:lang w:val="hy-AM"/>
        </w:rPr>
        <w:t xml:space="preserve"> </w:t>
      </w:r>
    </w:p>
    <w:p w14:paraId="361C8685" w14:textId="77777777" w:rsidR="001C55F2" w:rsidRPr="005E527A" w:rsidRDefault="001C55F2" w:rsidP="001C55F2">
      <w:pPr>
        <w:pStyle w:val="BodyText1"/>
        <w:ind w:left="0"/>
        <w:contextualSpacing/>
        <w:rPr>
          <w:lang w:val="hy-AM"/>
        </w:rPr>
      </w:pPr>
      <w:r>
        <w:rPr>
          <w:lang w:val="hy-AM"/>
        </w:rPr>
        <w:t>2027</w:t>
      </w:r>
      <w:r w:rsidRPr="000E5DF3">
        <w:rPr>
          <w:lang w:val="hy-AM"/>
        </w:rPr>
        <w:t xml:space="preserve"> թվականի համար ծրագրավորված բյուջետային աջակցության վարկերի ստացման համար բանակցություններ են վարվում ՀՀ հիմնական գործընկեր միջազգային ֆինանսական կազմակերպությունների հետ.</w:t>
      </w:r>
      <w:r w:rsidRPr="005E527A">
        <w:rPr>
          <w:lang w:val="hy-AM"/>
        </w:rPr>
        <w:t xml:space="preserve"> Ասիական Զարգացման Բանկ, Զարգացման Ֆրանսիական Գործակալություն, Վերակառուցման և Զարգացման Միջազգային Բանկ, ՕՊԵԿ-ի Միջազգային Զարգացման Հիմնադրամ և այլն:</w:t>
      </w:r>
    </w:p>
    <w:p w14:paraId="7F615D47" w14:textId="77777777" w:rsidR="001C55F2" w:rsidRPr="00732944" w:rsidRDefault="001C55F2" w:rsidP="001C55F2">
      <w:pPr>
        <w:pStyle w:val="TOC4"/>
        <w:spacing w:before="120" w:after="120"/>
        <w:contextualSpacing/>
        <w:jc w:val="both"/>
        <w:rPr>
          <w:lang w:val="hy-AM"/>
        </w:rPr>
      </w:pPr>
      <w:r w:rsidRPr="00732944">
        <w:rPr>
          <w:lang w:val="hy-AM"/>
        </w:rPr>
        <w:t>ԿԱՌԱՎԱՐՈՒԹՅԱՆ ՊԱՐՏՔԻ ՍՊԱՍԱՐԿՈՒՄԸ</w:t>
      </w:r>
    </w:p>
    <w:p w14:paraId="55445923" w14:textId="77777777" w:rsidR="001C55F2" w:rsidRPr="000E5DF3" w:rsidRDefault="001C55F2" w:rsidP="001C55F2">
      <w:pPr>
        <w:pStyle w:val="BodyText1"/>
        <w:ind w:left="0"/>
        <w:contextualSpacing/>
        <w:rPr>
          <w:lang w:val="hy-AM"/>
        </w:rPr>
      </w:pPr>
      <w:bookmarkStart w:id="461" w:name="_Toc178350632"/>
      <w:bookmarkStart w:id="462" w:name="_Toc178612157"/>
      <w:bookmarkStart w:id="463" w:name="_Toc184110783"/>
      <w:r>
        <w:rPr>
          <w:lang w:val="hy-AM"/>
        </w:rPr>
        <w:t>2027</w:t>
      </w:r>
      <w:r w:rsidRPr="000E5DF3">
        <w:rPr>
          <w:lang w:val="hy-AM"/>
        </w:rPr>
        <w:t xml:space="preserve"> թվականին կառավարության պարտքի սպասարկման համար կպահանջվի </w:t>
      </w:r>
      <w:r w:rsidRPr="00E7557A">
        <w:rPr>
          <w:lang w:val="hy-AM"/>
        </w:rPr>
        <w:t>988</w:t>
      </w:r>
      <w:r>
        <w:rPr>
          <w:lang w:val="hy-AM"/>
        </w:rPr>
        <w:t>.</w:t>
      </w:r>
      <w:r w:rsidRPr="002744CC">
        <w:rPr>
          <w:lang w:val="hy-AM"/>
        </w:rPr>
        <w:t>4</w:t>
      </w:r>
      <w:r w:rsidRPr="000E5DF3">
        <w:rPr>
          <w:lang w:val="hy-AM"/>
        </w:rPr>
        <w:t xml:space="preserve"> մլրդ դրամ, որից </w:t>
      </w:r>
      <w:r w:rsidRPr="00E7557A">
        <w:rPr>
          <w:lang w:val="hy-AM"/>
        </w:rPr>
        <w:t>571.6</w:t>
      </w:r>
      <w:r w:rsidRPr="000E5DF3">
        <w:rPr>
          <w:lang w:val="hy-AM"/>
        </w:rPr>
        <w:t xml:space="preserve"> մլրդ դրամը կկազմեն պարտքի գծով մարումները, իսկ </w:t>
      </w:r>
      <w:r w:rsidRPr="00E7557A">
        <w:rPr>
          <w:lang w:val="hy-AM"/>
        </w:rPr>
        <w:t>416.8</w:t>
      </w:r>
      <w:r w:rsidRPr="000E5DF3">
        <w:rPr>
          <w:lang w:val="hy-AM"/>
        </w:rPr>
        <w:t xml:space="preserve"> մլրդ դրամը՝ տոկոսավճարները:</w:t>
      </w:r>
    </w:p>
    <w:p w14:paraId="3A1C86BB" w14:textId="77777777" w:rsidR="001C55F2" w:rsidRPr="00A52417" w:rsidRDefault="001C55F2" w:rsidP="00A52417">
      <w:pPr>
        <w:pStyle w:val="Charts"/>
        <w:ind w:right="-22"/>
        <w:rPr>
          <w:b w:val="0"/>
          <w:bCs/>
          <w:color w:val="auto"/>
          <w:sz w:val="20"/>
          <w:szCs w:val="18"/>
        </w:rPr>
      </w:pPr>
      <w:r w:rsidRPr="00A52417">
        <w:rPr>
          <w:b w:val="0"/>
          <w:bCs/>
          <w:color w:val="auto"/>
          <w:sz w:val="20"/>
          <w:szCs w:val="18"/>
        </w:rPr>
        <w:t>Աղյուսակ 23. Կառավարության պարտքի սպասարկման ծախսերը (մլրդ դրամ)</w:t>
      </w:r>
      <w:bookmarkEnd w:id="461"/>
      <w:bookmarkEnd w:id="462"/>
      <w:bookmarkEnd w:id="463"/>
    </w:p>
    <w:tbl>
      <w:tblPr>
        <w:tblW w:w="10046" w:type="dxa"/>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ook w:val="04A0" w:firstRow="1" w:lastRow="0" w:firstColumn="1" w:lastColumn="0" w:noHBand="0" w:noVBand="1"/>
      </w:tblPr>
      <w:tblGrid>
        <w:gridCol w:w="4918"/>
        <w:gridCol w:w="1654"/>
        <w:gridCol w:w="1766"/>
        <w:gridCol w:w="1708"/>
      </w:tblGrid>
      <w:tr w:rsidR="001C55F2" w:rsidRPr="005564EE" w14:paraId="0323E3ED" w14:textId="77777777" w:rsidTr="006422CA">
        <w:trPr>
          <w:trHeight w:val="362"/>
        </w:trPr>
        <w:tc>
          <w:tcPr>
            <w:tcW w:w="4918" w:type="dxa"/>
            <w:shd w:val="clear" w:color="auto" w:fill="DAE9F7" w:themeFill="text2" w:themeFillTint="1A"/>
          </w:tcPr>
          <w:p w14:paraId="736986CD" w14:textId="77777777" w:rsidR="001C55F2" w:rsidRPr="00732944" w:rsidRDefault="001C55F2" w:rsidP="00873AE6">
            <w:pPr>
              <w:spacing w:before="0" w:after="0" w:line="240" w:lineRule="auto"/>
              <w:jc w:val="both"/>
              <w:rPr>
                <w:b/>
                <w:sz w:val="18"/>
                <w:szCs w:val="18"/>
                <w:lang w:val="hy-AM"/>
              </w:rPr>
            </w:pPr>
          </w:p>
        </w:tc>
        <w:tc>
          <w:tcPr>
            <w:tcW w:w="1654" w:type="dxa"/>
            <w:shd w:val="clear" w:color="auto" w:fill="DAE9F7" w:themeFill="text2" w:themeFillTint="1A"/>
            <w:vAlign w:val="center"/>
            <w:hideMark/>
          </w:tcPr>
          <w:p w14:paraId="326562A1" w14:textId="77777777" w:rsidR="001C55F2" w:rsidRPr="005564EE" w:rsidRDefault="001C55F2" w:rsidP="00873AE6">
            <w:pPr>
              <w:spacing w:before="0" w:after="0" w:line="240" w:lineRule="auto"/>
              <w:jc w:val="center"/>
              <w:rPr>
                <w:b/>
                <w:sz w:val="18"/>
                <w:szCs w:val="18"/>
              </w:rPr>
            </w:pPr>
            <w:r>
              <w:rPr>
                <w:b/>
                <w:sz w:val="18"/>
                <w:szCs w:val="18"/>
                <w:lang w:val="hy-AM"/>
              </w:rPr>
              <w:t>Մ</w:t>
            </w:r>
            <w:r w:rsidRPr="005564EE">
              <w:rPr>
                <w:b/>
                <w:sz w:val="18"/>
                <w:szCs w:val="18"/>
              </w:rPr>
              <w:t>արում</w:t>
            </w:r>
          </w:p>
        </w:tc>
        <w:tc>
          <w:tcPr>
            <w:tcW w:w="1766" w:type="dxa"/>
            <w:shd w:val="clear" w:color="auto" w:fill="DAE9F7" w:themeFill="text2" w:themeFillTint="1A"/>
            <w:vAlign w:val="center"/>
            <w:hideMark/>
          </w:tcPr>
          <w:p w14:paraId="76859393" w14:textId="77777777" w:rsidR="001C55F2" w:rsidRPr="005564EE" w:rsidRDefault="001C55F2" w:rsidP="00873AE6">
            <w:pPr>
              <w:spacing w:before="0" w:after="0" w:line="240" w:lineRule="auto"/>
              <w:jc w:val="center"/>
              <w:rPr>
                <w:b/>
                <w:sz w:val="18"/>
                <w:szCs w:val="18"/>
              </w:rPr>
            </w:pPr>
            <w:r>
              <w:rPr>
                <w:b/>
                <w:sz w:val="18"/>
                <w:szCs w:val="18"/>
                <w:lang w:val="hy-AM"/>
              </w:rPr>
              <w:t>Տոկոսավճար</w:t>
            </w:r>
          </w:p>
        </w:tc>
        <w:tc>
          <w:tcPr>
            <w:tcW w:w="1708" w:type="dxa"/>
            <w:shd w:val="clear" w:color="auto" w:fill="DAE9F7" w:themeFill="text2" w:themeFillTint="1A"/>
            <w:vAlign w:val="center"/>
            <w:hideMark/>
          </w:tcPr>
          <w:p w14:paraId="7D7B6D7A" w14:textId="77777777" w:rsidR="001C55F2" w:rsidRPr="005564EE" w:rsidRDefault="001C55F2" w:rsidP="00873AE6">
            <w:pPr>
              <w:spacing w:before="0" w:after="0" w:line="240" w:lineRule="auto"/>
              <w:jc w:val="center"/>
              <w:rPr>
                <w:b/>
                <w:sz w:val="18"/>
                <w:szCs w:val="18"/>
              </w:rPr>
            </w:pPr>
            <w:r>
              <w:rPr>
                <w:b/>
                <w:sz w:val="18"/>
                <w:szCs w:val="18"/>
                <w:lang w:val="hy-AM"/>
              </w:rPr>
              <w:t>Ը</w:t>
            </w:r>
            <w:r w:rsidRPr="005564EE">
              <w:rPr>
                <w:b/>
                <w:sz w:val="18"/>
                <w:szCs w:val="18"/>
              </w:rPr>
              <w:t>նդամենը</w:t>
            </w:r>
          </w:p>
        </w:tc>
      </w:tr>
      <w:tr w:rsidR="001C55F2" w:rsidRPr="005564EE" w14:paraId="402056F1" w14:textId="77777777" w:rsidTr="001226F0">
        <w:trPr>
          <w:trHeight w:val="362"/>
        </w:trPr>
        <w:tc>
          <w:tcPr>
            <w:tcW w:w="4918" w:type="dxa"/>
            <w:hideMark/>
          </w:tcPr>
          <w:p w14:paraId="12EB9F4B" w14:textId="77777777" w:rsidR="001C55F2" w:rsidRPr="005564EE" w:rsidRDefault="001C55F2" w:rsidP="00873AE6">
            <w:pPr>
              <w:spacing w:before="0" w:line="240" w:lineRule="auto"/>
              <w:jc w:val="both"/>
              <w:rPr>
                <w:sz w:val="18"/>
                <w:szCs w:val="18"/>
              </w:rPr>
            </w:pPr>
            <w:r w:rsidRPr="005564EE">
              <w:rPr>
                <w:sz w:val="18"/>
                <w:szCs w:val="18"/>
              </w:rPr>
              <w:t>Պետական գանձապետական պարտատոմսեր</w:t>
            </w:r>
          </w:p>
        </w:tc>
        <w:tc>
          <w:tcPr>
            <w:tcW w:w="1654" w:type="dxa"/>
            <w:hideMark/>
          </w:tcPr>
          <w:p w14:paraId="744AA975" w14:textId="77777777" w:rsidR="001C55F2" w:rsidRPr="005564EE" w:rsidRDefault="001C55F2" w:rsidP="00873AE6">
            <w:pPr>
              <w:spacing w:before="0" w:line="240" w:lineRule="auto"/>
              <w:jc w:val="center"/>
              <w:rPr>
                <w:sz w:val="18"/>
                <w:szCs w:val="18"/>
              </w:rPr>
            </w:pPr>
            <w:r w:rsidRPr="00091E8C">
              <w:rPr>
                <w:sz w:val="18"/>
                <w:szCs w:val="18"/>
              </w:rPr>
              <w:t xml:space="preserve"> 444.0 </w:t>
            </w:r>
          </w:p>
        </w:tc>
        <w:tc>
          <w:tcPr>
            <w:tcW w:w="1766" w:type="dxa"/>
            <w:hideMark/>
          </w:tcPr>
          <w:p w14:paraId="6F53DA99" w14:textId="77777777" w:rsidR="001C55F2" w:rsidRPr="000E5DF3" w:rsidRDefault="001C55F2" w:rsidP="00873AE6">
            <w:pPr>
              <w:spacing w:before="0" w:line="240" w:lineRule="auto"/>
              <w:jc w:val="center"/>
              <w:rPr>
                <w:sz w:val="18"/>
                <w:szCs w:val="18"/>
              </w:rPr>
            </w:pPr>
            <w:r w:rsidRPr="00091E8C">
              <w:rPr>
                <w:sz w:val="18"/>
                <w:szCs w:val="18"/>
              </w:rPr>
              <w:t xml:space="preserve"> 301.2 </w:t>
            </w:r>
          </w:p>
        </w:tc>
        <w:tc>
          <w:tcPr>
            <w:tcW w:w="1708" w:type="dxa"/>
            <w:hideMark/>
          </w:tcPr>
          <w:p w14:paraId="7EF60B66" w14:textId="77777777" w:rsidR="001C55F2" w:rsidRPr="005564EE" w:rsidRDefault="001C55F2" w:rsidP="00873AE6">
            <w:pPr>
              <w:spacing w:before="0" w:line="240" w:lineRule="auto"/>
              <w:jc w:val="center"/>
              <w:rPr>
                <w:sz w:val="18"/>
                <w:szCs w:val="18"/>
              </w:rPr>
            </w:pPr>
            <w:r w:rsidRPr="00091E8C">
              <w:rPr>
                <w:sz w:val="18"/>
                <w:szCs w:val="18"/>
              </w:rPr>
              <w:t xml:space="preserve"> 745.2 </w:t>
            </w:r>
          </w:p>
        </w:tc>
      </w:tr>
      <w:tr w:rsidR="001C55F2" w:rsidRPr="005564EE" w14:paraId="44176323" w14:textId="77777777" w:rsidTr="001226F0">
        <w:trPr>
          <w:trHeight w:val="362"/>
        </w:trPr>
        <w:tc>
          <w:tcPr>
            <w:tcW w:w="4918" w:type="dxa"/>
            <w:hideMark/>
          </w:tcPr>
          <w:p w14:paraId="33B44460" w14:textId="77777777" w:rsidR="001C55F2" w:rsidRPr="005564EE" w:rsidRDefault="001C55F2" w:rsidP="00873AE6">
            <w:pPr>
              <w:spacing w:before="0" w:line="240" w:lineRule="auto"/>
              <w:jc w:val="both"/>
              <w:rPr>
                <w:sz w:val="18"/>
                <w:szCs w:val="18"/>
                <w:lang w:val="hy-AM"/>
              </w:rPr>
            </w:pPr>
            <w:r w:rsidRPr="005564EE">
              <w:rPr>
                <w:sz w:val="18"/>
                <w:szCs w:val="18"/>
              </w:rPr>
              <w:t>Արտարժութային պետական պարտատոմսեր</w:t>
            </w:r>
          </w:p>
        </w:tc>
        <w:tc>
          <w:tcPr>
            <w:tcW w:w="1654" w:type="dxa"/>
            <w:hideMark/>
          </w:tcPr>
          <w:p w14:paraId="25AFF523" w14:textId="77777777" w:rsidR="001C55F2" w:rsidRPr="000E5DF3" w:rsidRDefault="001C55F2" w:rsidP="00873AE6">
            <w:pPr>
              <w:spacing w:before="0" w:line="240" w:lineRule="auto"/>
              <w:jc w:val="center"/>
              <w:rPr>
                <w:sz w:val="18"/>
                <w:szCs w:val="18"/>
              </w:rPr>
            </w:pPr>
            <w:r w:rsidRPr="00091E8C">
              <w:rPr>
                <w:sz w:val="18"/>
                <w:szCs w:val="18"/>
              </w:rPr>
              <w:t xml:space="preserve"> -   </w:t>
            </w:r>
          </w:p>
        </w:tc>
        <w:tc>
          <w:tcPr>
            <w:tcW w:w="1766" w:type="dxa"/>
            <w:hideMark/>
          </w:tcPr>
          <w:p w14:paraId="6A5C0685" w14:textId="77777777" w:rsidR="001C55F2" w:rsidRPr="005564EE" w:rsidRDefault="001C55F2" w:rsidP="00873AE6">
            <w:pPr>
              <w:spacing w:before="0" w:line="240" w:lineRule="auto"/>
              <w:jc w:val="center"/>
              <w:rPr>
                <w:sz w:val="18"/>
                <w:szCs w:val="18"/>
              </w:rPr>
            </w:pPr>
            <w:r w:rsidRPr="00091E8C">
              <w:rPr>
                <w:sz w:val="18"/>
                <w:szCs w:val="18"/>
              </w:rPr>
              <w:t xml:space="preserve"> 38.0 </w:t>
            </w:r>
          </w:p>
        </w:tc>
        <w:tc>
          <w:tcPr>
            <w:tcW w:w="1708" w:type="dxa"/>
            <w:hideMark/>
          </w:tcPr>
          <w:p w14:paraId="67730F1B" w14:textId="77777777" w:rsidR="001C55F2" w:rsidRPr="005564EE" w:rsidRDefault="001C55F2" w:rsidP="00873AE6">
            <w:pPr>
              <w:spacing w:before="0" w:line="240" w:lineRule="auto"/>
              <w:jc w:val="center"/>
              <w:rPr>
                <w:sz w:val="18"/>
                <w:szCs w:val="18"/>
              </w:rPr>
            </w:pPr>
            <w:r w:rsidRPr="00091E8C">
              <w:rPr>
                <w:sz w:val="18"/>
                <w:szCs w:val="18"/>
              </w:rPr>
              <w:t xml:space="preserve"> 38.0 </w:t>
            </w:r>
          </w:p>
        </w:tc>
      </w:tr>
      <w:tr w:rsidR="001C55F2" w:rsidRPr="005564EE" w14:paraId="0AD38597" w14:textId="77777777" w:rsidTr="001226F0">
        <w:trPr>
          <w:trHeight w:val="362"/>
        </w:trPr>
        <w:tc>
          <w:tcPr>
            <w:tcW w:w="4918" w:type="dxa"/>
            <w:hideMark/>
          </w:tcPr>
          <w:p w14:paraId="504317DF" w14:textId="77777777" w:rsidR="001C55F2" w:rsidRPr="005564EE" w:rsidRDefault="001C55F2" w:rsidP="00873AE6">
            <w:pPr>
              <w:spacing w:before="0" w:line="240" w:lineRule="auto"/>
              <w:jc w:val="both"/>
              <w:rPr>
                <w:sz w:val="18"/>
                <w:szCs w:val="18"/>
                <w:lang w:val="hy-AM"/>
              </w:rPr>
            </w:pPr>
            <w:r w:rsidRPr="005564EE">
              <w:rPr>
                <w:sz w:val="18"/>
                <w:szCs w:val="18"/>
              </w:rPr>
              <w:t>Արտաքին վարկեր</w:t>
            </w:r>
          </w:p>
        </w:tc>
        <w:tc>
          <w:tcPr>
            <w:tcW w:w="1654" w:type="dxa"/>
            <w:hideMark/>
          </w:tcPr>
          <w:p w14:paraId="38F79DE7" w14:textId="77777777" w:rsidR="001C55F2" w:rsidRPr="000E5DF3" w:rsidRDefault="001C55F2" w:rsidP="00873AE6">
            <w:pPr>
              <w:spacing w:before="0" w:line="240" w:lineRule="auto"/>
              <w:jc w:val="center"/>
              <w:rPr>
                <w:sz w:val="18"/>
                <w:szCs w:val="18"/>
              </w:rPr>
            </w:pPr>
            <w:r w:rsidRPr="00091E8C">
              <w:rPr>
                <w:sz w:val="18"/>
                <w:szCs w:val="18"/>
              </w:rPr>
              <w:t xml:space="preserve"> 127.6 </w:t>
            </w:r>
          </w:p>
        </w:tc>
        <w:tc>
          <w:tcPr>
            <w:tcW w:w="1766" w:type="dxa"/>
            <w:hideMark/>
          </w:tcPr>
          <w:p w14:paraId="0E71833C" w14:textId="77777777" w:rsidR="001C55F2" w:rsidRPr="00091E8C" w:rsidRDefault="001C55F2" w:rsidP="00873AE6">
            <w:pPr>
              <w:spacing w:before="0" w:line="240" w:lineRule="auto"/>
              <w:jc w:val="center"/>
              <w:rPr>
                <w:sz w:val="18"/>
                <w:szCs w:val="18"/>
              </w:rPr>
            </w:pPr>
            <w:r w:rsidRPr="00091E8C">
              <w:rPr>
                <w:sz w:val="18"/>
                <w:szCs w:val="18"/>
              </w:rPr>
              <w:t xml:space="preserve"> 77.7 </w:t>
            </w:r>
          </w:p>
        </w:tc>
        <w:tc>
          <w:tcPr>
            <w:tcW w:w="1708" w:type="dxa"/>
            <w:hideMark/>
          </w:tcPr>
          <w:p w14:paraId="33C43FE2" w14:textId="77777777" w:rsidR="001C55F2" w:rsidRPr="00091E8C" w:rsidRDefault="001C55F2" w:rsidP="00873AE6">
            <w:pPr>
              <w:spacing w:before="0" w:line="240" w:lineRule="auto"/>
              <w:jc w:val="center"/>
              <w:rPr>
                <w:sz w:val="18"/>
                <w:szCs w:val="18"/>
              </w:rPr>
            </w:pPr>
            <w:r w:rsidRPr="00091E8C">
              <w:rPr>
                <w:sz w:val="18"/>
                <w:szCs w:val="18"/>
              </w:rPr>
              <w:t xml:space="preserve"> 205.3 </w:t>
            </w:r>
          </w:p>
        </w:tc>
      </w:tr>
      <w:tr w:rsidR="001C55F2" w:rsidRPr="005564EE" w14:paraId="3000E5C9" w14:textId="77777777" w:rsidTr="001226F0">
        <w:trPr>
          <w:trHeight w:val="362"/>
        </w:trPr>
        <w:tc>
          <w:tcPr>
            <w:tcW w:w="4918" w:type="dxa"/>
            <w:hideMark/>
          </w:tcPr>
          <w:p w14:paraId="6FB8A614" w14:textId="77777777" w:rsidR="001C55F2" w:rsidRPr="005564EE" w:rsidRDefault="001C55F2" w:rsidP="00873AE6">
            <w:pPr>
              <w:spacing w:before="0" w:line="240" w:lineRule="auto"/>
              <w:jc w:val="both"/>
              <w:rPr>
                <w:b/>
                <w:sz w:val="18"/>
                <w:szCs w:val="18"/>
                <w:lang w:val="hy-AM"/>
              </w:rPr>
            </w:pPr>
            <w:r w:rsidRPr="005564EE">
              <w:rPr>
                <w:b/>
                <w:sz w:val="18"/>
                <w:szCs w:val="18"/>
              </w:rPr>
              <w:t>Ընդամենը</w:t>
            </w:r>
          </w:p>
        </w:tc>
        <w:tc>
          <w:tcPr>
            <w:tcW w:w="1654" w:type="dxa"/>
            <w:vAlign w:val="center"/>
            <w:hideMark/>
          </w:tcPr>
          <w:p w14:paraId="19C83E43" w14:textId="77777777" w:rsidR="001C55F2" w:rsidRPr="00091E8C" w:rsidRDefault="001C55F2" w:rsidP="00873AE6">
            <w:pPr>
              <w:spacing w:before="0" w:line="240" w:lineRule="auto"/>
              <w:jc w:val="center"/>
              <w:rPr>
                <w:b/>
                <w:sz w:val="18"/>
                <w:szCs w:val="18"/>
              </w:rPr>
            </w:pPr>
            <w:r w:rsidRPr="00091E8C">
              <w:rPr>
                <w:b/>
                <w:sz w:val="18"/>
                <w:szCs w:val="18"/>
              </w:rPr>
              <w:t>571.6</w:t>
            </w:r>
          </w:p>
        </w:tc>
        <w:tc>
          <w:tcPr>
            <w:tcW w:w="1766" w:type="dxa"/>
            <w:vAlign w:val="center"/>
            <w:hideMark/>
          </w:tcPr>
          <w:p w14:paraId="32094085" w14:textId="77777777" w:rsidR="001C55F2" w:rsidRPr="004B39A2" w:rsidRDefault="001C55F2" w:rsidP="00873AE6">
            <w:pPr>
              <w:spacing w:before="0" w:line="240" w:lineRule="auto"/>
              <w:jc w:val="center"/>
              <w:rPr>
                <w:b/>
                <w:sz w:val="18"/>
                <w:szCs w:val="18"/>
              </w:rPr>
            </w:pPr>
            <w:r w:rsidRPr="00091E8C">
              <w:rPr>
                <w:b/>
                <w:sz w:val="18"/>
                <w:szCs w:val="18"/>
              </w:rPr>
              <w:t>416.</w:t>
            </w:r>
            <w:r>
              <w:rPr>
                <w:b/>
                <w:sz w:val="18"/>
                <w:szCs w:val="18"/>
              </w:rPr>
              <w:t>8</w:t>
            </w:r>
          </w:p>
        </w:tc>
        <w:tc>
          <w:tcPr>
            <w:tcW w:w="1708" w:type="dxa"/>
            <w:vAlign w:val="center"/>
            <w:hideMark/>
          </w:tcPr>
          <w:p w14:paraId="27FD004A" w14:textId="77777777" w:rsidR="001C55F2" w:rsidRPr="004B39A2" w:rsidRDefault="001C55F2" w:rsidP="00873AE6">
            <w:pPr>
              <w:spacing w:before="0" w:line="240" w:lineRule="auto"/>
              <w:jc w:val="center"/>
              <w:rPr>
                <w:b/>
                <w:sz w:val="18"/>
                <w:szCs w:val="18"/>
              </w:rPr>
            </w:pPr>
            <w:r w:rsidRPr="00091E8C">
              <w:rPr>
                <w:b/>
                <w:sz w:val="18"/>
                <w:szCs w:val="18"/>
              </w:rPr>
              <w:t>988.</w:t>
            </w:r>
            <w:r>
              <w:rPr>
                <w:b/>
                <w:sz w:val="18"/>
                <w:szCs w:val="18"/>
              </w:rPr>
              <w:t>4</w:t>
            </w:r>
          </w:p>
        </w:tc>
      </w:tr>
    </w:tbl>
    <w:p w14:paraId="2D7C0DC3" w14:textId="77E5F03E" w:rsidR="001C55F2" w:rsidRPr="00A52417" w:rsidRDefault="001C55F2" w:rsidP="00A52417">
      <w:pPr>
        <w:pStyle w:val="Charts"/>
        <w:ind w:right="-22"/>
        <w:rPr>
          <w:b w:val="0"/>
          <w:bCs/>
          <w:color w:val="auto"/>
          <w:sz w:val="20"/>
          <w:szCs w:val="18"/>
        </w:rPr>
      </w:pPr>
      <w:bookmarkStart w:id="464" w:name="_Toc178350589"/>
      <w:bookmarkStart w:id="465" w:name="_Toc178595166"/>
      <w:bookmarkStart w:id="466" w:name="_Toc184110753"/>
      <w:bookmarkStart w:id="467" w:name="_Toc241608103"/>
      <w:r w:rsidRPr="00A52417">
        <w:rPr>
          <w:b w:val="0"/>
          <w:bCs/>
          <w:color w:val="auto"/>
          <w:sz w:val="20"/>
          <w:szCs w:val="18"/>
        </w:rPr>
        <w:t xml:space="preserve">Գծապատկեր </w:t>
      </w:r>
      <w:r w:rsidRPr="00A52417">
        <w:rPr>
          <w:b w:val="0"/>
          <w:bCs/>
          <w:color w:val="auto"/>
          <w:sz w:val="20"/>
          <w:szCs w:val="18"/>
        </w:rPr>
        <w:fldChar w:fldCharType="begin"/>
      </w:r>
      <w:r w:rsidRPr="00A52417">
        <w:rPr>
          <w:b w:val="0"/>
          <w:bCs/>
          <w:color w:val="auto"/>
          <w:sz w:val="20"/>
          <w:szCs w:val="18"/>
        </w:rPr>
        <w:instrText xml:space="preserve"> SEQ գծապատկեր \* ARABIC </w:instrText>
      </w:r>
      <w:r w:rsidRPr="00A52417">
        <w:rPr>
          <w:b w:val="0"/>
          <w:bCs/>
          <w:color w:val="auto"/>
          <w:sz w:val="20"/>
          <w:szCs w:val="18"/>
        </w:rPr>
        <w:fldChar w:fldCharType="separate"/>
      </w:r>
      <w:r w:rsidR="00E46048">
        <w:rPr>
          <w:b w:val="0"/>
          <w:bCs/>
          <w:noProof/>
          <w:color w:val="auto"/>
          <w:sz w:val="20"/>
          <w:szCs w:val="18"/>
        </w:rPr>
        <w:t>8</w:t>
      </w:r>
      <w:r w:rsidRPr="00A52417">
        <w:rPr>
          <w:b w:val="0"/>
          <w:bCs/>
          <w:color w:val="auto"/>
          <w:sz w:val="20"/>
          <w:szCs w:val="18"/>
        </w:rPr>
        <w:fldChar w:fldCharType="end"/>
      </w:r>
      <w:r w:rsidRPr="00A52417">
        <w:rPr>
          <w:b w:val="0"/>
          <w:bCs/>
          <w:color w:val="auto"/>
          <w:sz w:val="20"/>
          <w:szCs w:val="18"/>
        </w:rPr>
        <w:t>. Կառավարության պարտքի տոկոսավճարների կառուցվածքը 2027 թվականին (%)</w:t>
      </w:r>
      <w:bookmarkEnd w:id="464"/>
      <w:bookmarkEnd w:id="465"/>
      <w:bookmarkEnd w:id="466"/>
      <w:bookmarkEnd w:id="467"/>
    </w:p>
    <w:p w14:paraId="0B28BF18" w14:textId="77777777" w:rsidR="001C55F2" w:rsidRPr="00C3014C" w:rsidRDefault="001C55F2" w:rsidP="001C55F2">
      <w:pPr>
        <w:jc w:val="both"/>
      </w:pPr>
      <w:r w:rsidRPr="00091E8C">
        <w:rPr>
          <w:noProof/>
          <w:sz w:val="20"/>
          <w:szCs w:val="20"/>
        </w:rPr>
        <w:drawing>
          <wp:inline distT="0" distB="0" distL="0" distR="0" wp14:anchorId="12B4E8C5" wp14:editId="4152962C">
            <wp:extent cx="6362700" cy="2295525"/>
            <wp:effectExtent l="0" t="0" r="0" b="9525"/>
            <wp:docPr id="16120834" name="Chart 16120834"/>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3537B99C" w14:textId="77777777" w:rsidR="001C55F2" w:rsidRDefault="001C55F2" w:rsidP="001C55F2">
      <w:pPr>
        <w:pStyle w:val="BodyText1"/>
        <w:ind w:left="0"/>
      </w:pPr>
    </w:p>
    <w:p w14:paraId="35D870DC" w14:textId="77777777" w:rsidR="001C55F2" w:rsidRPr="000E5DF3" w:rsidRDefault="001C55F2" w:rsidP="001C55F2">
      <w:pPr>
        <w:pStyle w:val="BodyText1"/>
        <w:ind w:left="0"/>
        <w:contextualSpacing/>
        <w:rPr>
          <w:lang w:val="hy-AM"/>
        </w:rPr>
      </w:pPr>
      <w:r w:rsidRPr="000E5DF3">
        <w:rPr>
          <w:lang w:val="hy-AM"/>
        </w:rPr>
        <w:t>Պետական գանձապետական պարտատոմսերի մարման համար նախատեսված</w:t>
      </w:r>
      <w:r>
        <w:rPr>
          <w:lang w:val="hy-AM"/>
        </w:rPr>
        <w:t xml:space="preserve"> 4</w:t>
      </w:r>
      <w:r>
        <w:t>44</w:t>
      </w:r>
      <w:r w:rsidRPr="000E5DF3">
        <w:rPr>
          <w:lang w:val="hy-AM"/>
        </w:rPr>
        <w:t xml:space="preserve">.0 մլրդ դրամի մեջ </w:t>
      </w:r>
      <w:r w:rsidRPr="0087263D">
        <w:rPr>
          <w:lang w:val="hy-AM"/>
        </w:rPr>
        <w:t>30</w:t>
      </w:r>
      <w:r w:rsidRPr="000E5DF3">
        <w:rPr>
          <w:lang w:val="hy-AM"/>
        </w:rPr>
        <w:t xml:space="preserve"> մլրդ դրամը կազմում է պարտատոմսերի հետգնումների համար ծրագրավորված գումարը:</w:t>
      </w:r>
    </w:p>
    <w:p w14:paraId="4B6E83EF" w14:textId="77777777" w:rsidR="001C55F2" w:rsidRPr="000E5DF3" w:rsidRDefault="001C55F2" w:rsidP="001C55F2">
      <w:pPr>
        <w:pStyle w:val="BodyText1"/>
        <w:ind w:left="0"/>
        <w:contextualSpacing/>
        <w:rPr>
          <w:lang w:val="hy-AM"/>
        </w:rPr>
      </w:pPr>
      <w:r w:rsidRPr="00193AEC">
        <w:rPr>
          <w:lang w:val="hy-AM"/>
        </w:rPr>
        <w:t xml:space="preserve">Արտաքին վարկերի սպասարկման գծով նախատեսվում է վճարել </w:t>
      </w:r>
      <w:r w:rsidRPr="00E7557A">
        <w:rPr>
          <w:lang w:val="hy-AM"/>
        </w:rPr>
        <w:t>205.3</w:t>
      </w:r>
      <w:r w:rsidRPr="00193AEC">
        <w:rPr>
          <w:lang w:val="hy-AM"/>
        </w:rPr>
        <w:t xml:space="preserve"> մլրդ դրամ </w:t>
      </w:r>
      <w:r>
        <w:rPr>
          <w:lang w:val="hy-AM"/>
        </w:rPr>
        <w:t>(527.</w:t>
      </w:r>
      <w:r w:rsidRPr="002744CC">
        <w:rPr>
          <w:lang w:val="hy-AM"/>
        </w:rPr>
        <w:t>0</w:t>
      </w:r>
      <w:r>
        <w:rPr>
          <w:lang w:val="hy-AM"/>
        </w:rPr>
        <w:t xml:space="preserve"> մլն ԱՄՆ դոլար)</w:t>
      </w:r>
      <w:r w:rsidRPr="00193AEC">
        <w:rPr>
          <w:lang w:val="hy-AM"/>
        </w:rPr>
        <w:t>:</w:t>
      </w:r>
      <w:r w:rsidRPr="000E5DF3">
        <w:rPr>
          <w:lang w:val="hy-AM"/>
        </w:rPr>
        <w:t xml:space="preserve"> </w:t>
      </w:r>
    </w:p>
    <w:p w14:paraId="69C843C2" w14:textId="77777777" w:rsidR="001C55F2" w:rsidRPr="00B93C3F" w:rsidRDefault="001C55F2" w:rsidP="001C55F2">
      <w:pPr>
        <w:pStyle w:val="BodyText1"/>
        <w:ind w:left="0"/>
        <w:contextualSpacing/>
        <w:rPr>
          <w:lang w:val="hy-AM"/>
        </w:rPr>
      </w:pPr>
      <w:r w:rsidRPr="000E5DF3">
        <w:rPr>
          <w:lang w:val="hy-AM"/>
        </w:rPr>
        <w:t>Արտարժութային պետական պարտատոմսերի սպասարկման ծախսերը 202</w:t>
      </w:r>
      <w:r w:rsidRPr="00E7557A">
        <w:rPr>
          <w:lang w:val="hy-AM"/>
        </w:rPr>
        <w:t>7</w:t>
      </w:r>
      <w:r w:rsidRPr="000E5DF3">
        <w:rPr>
          <w:lang w:val="hy-AM"/>
        </w:rPr>
        <w:t xml:space="preserve"> թվականին կկազմեն </w:t>
      </w:r>
      <w:r w:rsidRPr="004B39A2">
        <w:rPr>
          <w:lang w:val="hy-AM"/>
        </w:rPr>
        <w:t xml:space="preserve">38.0 </w:t>
      </w:r>
      <w:r>
        <w:rPr>
          <w:lang w:val="hy-AM"/>
        </w:rPr>
        <w:t>մլրդ դրամ (97.4 մլն ԱՄՆ դոլար)</w:t>
      </w:r>
      <w:r w:rsidRPr="000E5DF3">
        <w:rPr>
          <w:lang w:val="hy-AM"/>
        </w:rPr>
        <w:t>` շրջանառության մեջ գտնվող պարտատոմսերի գծով արժեկտրոնային վճարումների համար:</w:t>
      </w:r>
    </w:p>
    <w:p w14:paraId="5FF23E17" w14:textId="77777777" w:rsidR="008333BD" w:rsidRPr="000232DD" w:rsidRDefault="008333BD" w:rsidP="00082769">
      <w:pPr>
        <w:ind w:right="-22"/>
        <w:contextualSpacing/>
        <w:rPr>
          <w:lang w:val="hy-AM"/>
        </w:rPr>
      </w:pPr>
    </w:p>
    <w:p w14:paraId="1FDFBD42" w14:textId="77777777" w:rsidR="0052459E" w:rsidRPr="000232DD" w:rsidRDefault="0052459E" w:rsidP="00082769">
      <w:pPr>
        <w:pStyle w:val="Heading2"/>
        <w:spacing w:before="120" w:after="120"/>
        <w:ind w:right="-22"/>
        <w:jc w:val="both"/>
        <w:rPr>
          <w:rFonts w:ascii="GHEA Grapalat" w:hAnsi="GHEA Grapalat"/>
          <w:color w:val="auto"/>
          <w:sz w:val="28"/>
          <w:szCs w:val="20"/>
          <w:lang w:val="hy-AM"/>
        </w:rPr>
      </w:pPr>
      <w:bookmarkStart w:id="468" w:name="_Toc106822903"/>
      <w:bookmarkStart w:id="469" w:name="_Toc46154385"/>
      <w:bookmarkStart w:id="470" w:name="_Toc45838560"/>
      <w:bookmarkStart w:id="471" w:name="_Toc13837279"/>
      <w:bookmarkStart w:id="472" w:name="_Toc14687615"/>
      <w:bookmarkStart w:id="473" w:name="_Toc170926363"/>
      <w:bookmarkStart w:id="474" w:name="_Toc178356617"/>
      <w:bookmarkStart w:id="475" w:name="_Toc183801113"/>
      <w:bookmarkStart w:id="476" w:name="_Toc241687687"/>
      <w:r w:rsidRPr="000232DD">
        <w:rPr>
          <w:rFonts w:ascii="GHEA Grapalat" w:hAnsi="GHEA Grapalat"/>
          <w:color w:val="auto"/>
          <w:sz w:val="28"/>
          <w:szCs w:val="20"/>
          <w:lang w:val="hy-AM"/>
        </w:rPr>
        <w:t>2.</w:t>
      </w:r>
      <w:bookmarkStart w:id="477" w:name="_Toc138956242"/>
      <w:bookmarkStart w:id="478" w:name="_Toc77837912"/>
      <w:bookmarkEnd w:id="468"/>
      <w:bookmarkEnd w:id="469"/>
      <w:bookmarkEnd w:id="470"/>
      <w:bookmarkEnd w:id="471"/>
      <w:bookmarkEnd w:id="472"/>
      <w:r w:rsidRPr="000232DD">
        <w:rPr>
          <w:rFonts w:ascii="GHEA Grapalat" w:hAnsi="GHEA Grapalat"/>
          <w:color w:val="auto"/>
          <w:sz w:val="28"/>
          <w:szCs w:val="20"/>
          <w:lang w:val="hy-AM"/>
        </w:rPr>
        <w:t xml:space="preserve"> ՀԱՐԿԱԲՅՈՒՋԵՏԱՅԻՆ ՌԻՍԿԵՐԻ ԳՆԱՀԱՏՈՒՄ</w:t>
      </w:r>
      <w:bookmarkEnd w:id="473"/>
      <w:bookmarkEnd w:id="474"/>
      <w:bookmarkEnd w:id="475"/>
      <w:bookmarkEnd w:id="476"/>
    </w:p>
    <w:p w14:paraId="2F069200" w14:textId="77777777" w:rsidR="009939F6" w:rsidRPr="008B63B1" w:rsidRDefault="009939F6" w:rsidP="009939F6">
      <w:pPr>
        <w:spacing w:before="360" w:after="0"/>
        <w:rPr>
          <w:rFonts w:ascii="GHEA Grapalat" w:eastAsia="Times New Roman" w:hAnsi="GHEA Grapalat" w:cs="Times New Roman"/>
          <w:b/>
          <w:bCs/>
          <w:color w:val="A6A6A6"/>
          <w:szCs w:val="20"/>
          <w:lang w:val="hy-AM"/>
        </w:rPr>
      </w:pPr>
      <w:bookmarkStart w:id="479" w:name="_Toc178604166"/>
      <w:bookmarkStart w:id="480" w:name="_Toc178595347"/>
      <w:bookmarkEnd w:id="477"/>
      <w:bookmarkEnd w:id="478"/>
      <w:r w:rsidRPr="008B63B1">
        <w:rPr>
          <w:rFonts w:ascii="GHEA Grapalat" w:eastAsia="Times New Roman" w:hAnsi="GHEA Grapalat" w:cs="Times New Roman"/>
          <w:b/>
          <w:bCs/>
          <w:color w:val="A6A6A6"/>
          <w:szCs w:val="20"/>
          <w:lang w:val="hy-AM"/>
        </w:rPr>
        <w:t>Հ2.1. ՊԵՏԱԿԱՆ ԲՅՈՒՋԵԻ ՎՐԱ ՄԱԿՐՈՏՆՏԵՍԱԿԱՆ ԿԱՆԽԱՏԵՍՎԱԾ ՑՈՒՑԱՆԻՇՆԵՐԻՑ ՇԵՂՄԱՆ ՌԻՍԿԵՐԻ ԱԶԴԵՑՈՒԹՅԱՆ ՔԱՆԱԿԱԿԱՆ ԳՆԱՀԱՏՈՒՄ</w:t>
      </w:r>
      <w:bookmarkEnd w:id="479"/>
      <w:bookmarkEnd w:id="480"/>
    </w:p>
    <w:p w14:paraId="2A1BCD23" w14:textId="77777777" w:rsidR="009939F6" w:rsidRPr="008B63B1" w:rsidRDefault="009939F6" w:rsidP="009939F6">
      <w:pPr>
        <w:spacing w:before="360" w:after="0"/>
        <w:rPr>
          <w:rFonts w:ascii="GHEA Grapalat" w:eastAsia="Times New Roman" w:hAnsi="GHEA Grapalat" w:cs="Times New Roman"/>
          <w:color w:val="A6A6A6"/>
          <w:szCs w:val="20"/>
          <w:lang w:val="hy-AM"/>
        </w:rPr>
      </w:pPr>
      <w:bookmarkStart w:id="481" w:name="_5._ՖԻՍԿԱԼ_ՌԻՍԿԵՐԻ"/>
      <w:bookmarkStart w:id="482" w:name="_Toc170750603"/>
      <w:bookmarkEnd w:id="481"/>
      <w:r w:rsidRPr="008B63B1">
        <w:rPr>
          <w:rFonts w:ascii="GHEA Grapalat" w:eastAsia="Times New Roman" w:hAnsi="GHEA Grapalat" w:cs="Times New Roman"/>
          <w:color w:val="A6A6A6"/>
          <w:szCs w:val="20"/>
          <w:lang w:val="hy-AM"/>
        </w:rPr>
        <w:t>Հ2.1.1. 2027 ԹՎԱԿԱՆԻ ՊԵՏԱԿԱՆ ԲՅՈՒՋԵԻ ԵՎ ՄԻՋՆԱԺԱՄԿԵՏ ՀՈՐԻԶՈՆԻ ՀԱՐԿԱՅԻՆ ԵԿԱՄՈՒՏՆԵՐԻ ՎՐԱ ՄԱԿՐՈՏՆՏԵՍԱԿԱՆ ՑՈՒՑԱՆԻՇՆԵՐԻ ԿԱՆԽԱՏԵՍՎԱԾԻՑ ՇԵՂՄԱՆ ՌԻՍԿԵՐԻ ԱԶԴԵՑՈՒԹՅԱՆ ՔԱՆԱԿԱԿԱՆ ԳՆԱՀԱՏՈՒՄԸ</w:t>
      </w:r>
      <w:bookmarkEnd w:id="482"/>
    </w:p>
    <w:p w14:paraId="079987F8"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Միջնաժամկետ հատվածում հարկային եկամուտների կանխատեսվող հոսքերի վրա մակրոտնտեսական բնույթի ռիսկերի ազդեցության քանակական գնահատումը հիմնվել է ստորև նկարագրված </w:t>
      </w:r>
      <w:r w:rsidRPr="008B63B1">
        <w:rPr>
          <w:rFonts w:ascii="GHEA Grapalat" w:eastAsia="Times New Roman" w:hAnsi="GHEA Grapalat" w:cs="Times New Roman"/>
          <w:b/>
          <w:color w:val="404040"/>
          <w:szCs w:val="20"/>
          <w:lang w:val="hy-AM"/>
        </w:rPr>
        <w:t xml:space="preserve">ՀՆԱ կանխատեսումներից շեղումների ռիսկի և ենթադրություններից շեղումների ռիսկի վրա: </w:t>
      </w:r>
      <w:r w:rsidRPr="008B63B1">
        <w:rPr>
          <w:rFonts w:ascii="GHEA Grapalat" w:eastAsia="Times New Roman" w:hAnsi="GHEA Grapalat" w:cs="Times New Roman"/>
          <w:color w:val="404040"/>
          <w:szCs w:val="20"/>
          <w:lang w:val="hy-AM"/>
        </w:rPr>
        <w:t>Ռիսկերի առարկայացման գնահատումն իրականացվել է բայեսյան վեկտորային ավտոռեգրեսիոն մոդելով, որի նախնական արժեքները նշանակվել են հիմք ընդունելով ՀՀ ՖՆ «AFSM DSGE» կառուցվածքային մոդելով</w:t>
      </w:r>
      <w:r w:rsidRPr="008B63B1">
        <w:rPr>
          <w:rFonts w:ascii="GHEA Grapalat" w:eastAsia="Times New Roman" w:hAnsi="GHEA Grapalat" w:cs="Times New Roman"/>
          <w:color w:val="404040"/>
          <w:szCs w:val="20"/>
          <w:vertAlign w:val="superscript"/>
        </w:rPr>
        <w:footnoteReference w:id="25"/>
      </w:r>
      <w:r w:rsidRPr="008B63B1">
        <w:rPr>
          <w:rFonts w:ascii="GHEA Grapalat" w:eastAsia="Times New Roman" w:hAnsi="GHEA Grapalat" w:cs="Times New Roman"/>
          <w:color w:val="404040"/>
          <w:szCs w:val="20"/>
          <w:vertAlign w:val="superscript"/>
          <w:lang w:val="hy-AM"/>
        </w:rPr>
        <w:t xml:space="preserve"> </w:t>
      </w:r>
      <w:r w:rsidRPr="008B63B1">
        <w:rPr>
          <w:rFonts w:ascii="GHEA Grapalat" w:eastAsia="Times New Roman" w:hAnsi="GHEA Grapalat" w:cs="Times New Roman"/>
          <w:color w:val="404040"/>
          <w:szCs w:val="20"/>
          <w:lang w:val="hy-AM"/>
        </w:rPr>
        <w:t xml:space="preserve">գնահատված զգայունության գործակիցները։ </w:t>
      </w:r>
    </w:p>
    <w:p w14:paraId="2801D6D0" w14:textId="77777777" w:rsidR="009939F6" w:rsidRPr="008B63B1" w:rsidRDefault="009939F6" w:rsidP="009939F6">
      <w:pP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1. ՀՆԱ ԿԱՆԽԱՏԵՍՈՒՄՆԵՐԻՑ ՇԵՂՈՒՄՆԵՐԻ ՌԻՍԿ</w:t>
      </w:r>
    </w:p>
    <w:p w14:paraId="699AB95C"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ՀՆԱ-ի կանխատեսումների ռիսկը գնահատվել է 2010-2025 թվականներին միջնաժամկետ ծախսերի ծրագրերի հիմքում դրվող ՀՆԱ-ի կանխատեսված ցուցանիշների և ՀՆԱ-ի փաստացի ցուցանիշների միջև շեղման հիման վրա, որոնք վերջին տարիների համար եղել են 3.1-ից 3.7 տոկոսային կետ: Ընդ որում, պետք է նշել, որ այս գնահատականներն ամփոփում են կանխատեսումներից ինչպես դրական, այնպես էլ բացասական շեղումները՝ ըստ էության արտացոլելով ՀՆԱ պատմական տատանողականության և ՀՆԱ կանխատեսումների շուրջ ձևավորվող անորոշության ազդեցությունը։ </w:t>
      </w:r>
    </w:p>
    <w:p w14:paraId="6FC5E96B"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2027-2029թթ.-ի համար որպես ռիսկ է դիտարկվել ՀՆԱ-ի իրական աճի հավանականությունների բաշխման գծապատկերի 40% հավանականությանը համապատասխանող մակարդակը, որ կլինի 1.4-1.5 տոկոսային կետով ավելի ցածր կանխատեսված մակարդակից, և 30% հավանականությանը համապատասխանող մակարդակը, որ կլինի 1.9 տոկոսային կետով ավելի ցածր (տե՛ս 1.5. Մակրոտնտեսական կանխատեսումների ռիսկերը բաժինը):</w:t>
      </w:r>
    </w:p>
    <w:p w14:paraId="16989666"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Տնտեսական աճի՝ կանխատեսվածից 1.4-1.5 տոկոսային կետով ցածր լինելու սցենարի ազդեցությունը հարկային եկամուտների վրա՝ ֆինանսավորման պահանջի ավելացման ուղղությամբ, 2027 թվականին գնահատվում է 26.9 մլրդ ՀՀ դրամ, իսկ 2028 և 2029 թվականների համար գնահատվում է համապատասխանաբար 29.6 և 34.6 մլրդ ՀՀ դրամ: Տնտեսական աճի՝ 1.9 տոկոսային կետով ցածր լինելու սցենարի ազդեցությունը 2027 թվականին գնահատվում է 36.6 մլրդ ՀՀ դրամ, իսկ 2028 և 2029 թվականների համար գնահատվում է համապատասխանաբար 40.2 և 43.9 մլրդ ՀՀ դրամ։</w:t>
      </w:r>
    </w:p>
    <w:p w14:paraId="76CE8983" w14:textId="77777777" w:rsidR="009939F6" w:rsidRPr="008B63B1" w:rsidRDefault="009939F6" w:rsidP="009939F6">
      <w:pPr>
        <w:spacing w:before="360" w:after="0"/>
        <w:rPr>
          <w:rFonts w:ascii="GHEA Grapalat" w:eastAsia="Times New Roman" w:hAnsi="GHEA Grapalat" w:cs="Times New Roman"/>
          <w:color w:val="A6A6A6"/>
          <w:szCs w:val="20"/>
          <w:lang w:val="hy-AM"/>
        </w:rPr>
      </w:pPr>
      <w:r w:rsidRPr="008B63B1">
        <w:rPr>
          <w:rFonts w:ascii="GHEA Grapalat" w:eastAsia="Times New Roman" w:hAnsi="GHEA Grapalat" w:cs="Times New Roman"/>
          <w:color w:val="A6A6A6"/>
          <w:szCs w:val="20"/>
          <w:lang w:val="hy-AM"/>
        </w:rPr>
        <w:t>2. ԵՆԹԱԴՐՈՒԹՅՈՒՆՆԵՐԻՑ ՇԵՂՈՒՄՆԵՐԻ ՌԻՍԿ</w:t>
      </w:r>
    </w:p>
    <w:p w14:paraId="6C7E6B36"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Բյուջեի հիմքում դրվող կանխատեսումները կառուցվում են որոշակի ենթադրու</w:t>
      </w:r>
      <w:r w:rsidRPr="008B63B1">
        <w:rPr>
          <w:rFonts w:ascii="GHEA Grapalat" w:eastAsia="Times New Roman" w:hAnsi="GHEA Grapalat" w:cs="Times New Roman"/>
          <w:color w:val="404040"/>
          <w:szCs w:val="20"/>
          <w:lang w:val="hy-AM"/>
        </w:rPr>
        <w:softHyphen/>
        <w:t>թյու</w:t>
      </w:r>
      <w:r w:rsidRPr="008B63B1">
        <w:rPr>
          <w:rFonts w:ascii="GHEA Grapalat" w:eastAsia="Times New Roman" w:hAnsi="GHEA Grapalat" w:cs="Times New Roman"/>
          <w:color w:val="404040"/>
          <w:szCs w:val="20"/>
          <w:lang w:val="hy-AM"/>
        </w:rPr>
        <w:softHyphen/>
        <w:t xml:space="preserve">նների հիման վրա, որոնք էլ իրենց հերթին կախված են արտաքին կամ ներքին գործոններից։ Սակայն միշտ չէ, որ այդ ենթադրությունները կանխատեսվող հորիզոնում իրականություն են դառնում՝ կապված ՀՀ կառավարության և ՀՀ ԿԲ-ի կառավարման դաշտից դուրս ի հայտ եկող երևույթների հետ: </w:t>
      </w:r>
    </w:p>
    <w:p w14:paraId="48E3E3F0" w14:textId="77777777" w:rsidR="009939F6" w:rsidRPr="008B63B1" w:rsidRDefault="009939F6" w:rsidP="009939F6">
      <w:pPr>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2.1. Գնաճի շեղման հնարավոր չափը</w:t>
      </w:r>
    </w:p>
    <w:p w14:paraId="69AC48A0"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Գնաճի ցուցանիշի շեղման հնարավոր չափ է դիտարկվում վերջին տասնամյակում միջնաժամկետ ծախսերի ծրագրերի հիմքում դրվող գնաճի կանխատեսումներից փաստացի շեղումների միջին չափը: </w:t>
      </w:r>
    </w:p>
    <w:p w14:paraId="116B052F"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Կանխատեսված ցուցանիշից գնաճի շեղման ռիսկերը միջնաժամկետ հորիզոնում գնահատվում են միջինում դեպի ներքև` 1.6 տոկոսային կետի չափով: </w:t>
      </w:r>
    </w:p>
    <w:p w14:paraId="51B2947F"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Գնաճի շեղման ռիսկը կարող է ազդեցություն ունենալ ՀՀ պետական բյուջեի և՛ եկամտային, և՛ ծախսային կատարողականների վրա` անուղղակի հարկերի, ինչպես նաև ապրանքների և ծառայությունների գծով ծախսերի ուղղությամբ: Կանխատեսվածից ցածր գնաճի պայմաններում հարկային մուտքերը, այլ հավասար պայմաններում, կնվազեն բազային սցենարի համեմատ, և հակառակը: </w:t>
      </w:r>
    </w:p>
    <w:p w14:paraId="4AF79D5C"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Արդյունքում, գնաճի դանդաղման ռիսկի ազդեցությունը հարկային եկամուտների վրա 2027, 2028 և 2029 թվականների համար գնահատվում է համապատասխանաբար 18.0, 20.0 և 22.0 մլրդ ՀՀ դրամ ֆինանսավորման պահանջի ավելացման ուղղությամբ:</w:t>
      </w:r>
    </w:p>
    <w:p w14:paraId="185CA85E" w14:textId="77777777" w:rsidR="009939F6" w:rsidRPr="008B63B1" w:rsidRDefault="009939F6" w:rsidP="009939F6">
      <w:pPr>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2.2. Փոխարժեքի շեղման հնարավոր չափը</w:t>
      </w:r>
    </w:p>
    <w:p w14:paraId="35B3DEBD"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Չնայած ՀՀ ԿԲ-ն և ՀՀ ՖՆ-ն մշակում են փոխարժեքի վերաբերյալ սցենարներ, որոնք արտացոլում են փոխարժեքի վարքագիծը տարբեր մակրոտնտեսական հիմնարարների ներքո, ՀՀ-ում իրականացվում է լողացող փոխարժեքի քաղաքականություն, իսկ յուրաքանչյուր տարվա պետական բյուջեի ցուցանիշների կանխատեսումների հիմքում դրվում է փոխարժեքի անփոփոխ (որոշակի պահի դրությամբ) մակարդակ: Սակայն փոխարժեքի տատանումները կազդեն ներմուծումից ՀՀ պետական բյուջե մուտքագրվող հարկային եկամուտների վրա:</w:t>
      </w:r>
    </w:p>
    <w:p w14:paraId="5074C22A"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Հաշվի առնելով այն հանգամանքը, որ վերջին տարիների համար և՛ արժևորման, և՛ արժեզրկման ուղղությամբ փոխարժեքի տատանումների բացարձակ շեղման միջին չափը չի գերազանցել 6.0 տոկոսը` որպես ռիսկ է դիտարկվել ԱՄՆ դոլարի նկատմամբ ՀՀ դրամի 6.0 տոկոս արժեզրկումը: </w:t>
      </w:r>
    </w:p>
    <w:p w14:paraId="2A49A65E"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Արդյունքում, դրամի՝ ԱՄՆ դոլարի նկատմամբ 6.0 տոկոսով արժեզրկման ռիսկի դրսևորման դեպքում, այլ հավասար պայմաններում, 2027, 2028 և 2029 թվականներին կարելի է ապահովել հարկային եկամուտների համապատասխանաբար 20.6, 22.8 և 24.8 մլրդ ՀՀ դրամ լրացուցիչ մուտք՝ պայմանավորված ներմուծման դրամային համարժեքի մեծացմամբ։ </w:t>
      </w:r>
    </w:p>
    <w:p w14:paraId="66802735" w14:textId="77777777" w:rsidR="009939F6" w:rsidRPr="008B63B1" w:rsidRDefault="009939F6" w:rsidP="009939F6">
      <w:pPr>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2.3. Ներմուծման գծով ռիսկի հնարավոր չափը</w:t>
      </w:r>
    </w:p>
    <w:p w14:paraId="5D6D0BE5"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Քանի որ մաքսային սահմանին ներմուծումից գանձվող անուղղակի հարկերը էական կշիռ ունեն պետական բյուջեի ընդհանուր հարկային եկամուտներում, անհրաժեշտ է գնահատել նաև ներմուծման հնարավոր նվազման պարագայում հարկային եկամուտների նվազման ռիսկի չափը: ՄԺԾԾ-ում ներմուծման գծով վերջին շուրջ մեկուկես տասնամյակի ժամանակային հորիզոնում կանխատեսումների շեղման միջին բացարձակ չափը գտնվում է 7.3-14.3%-ի միջակայքում, ինչն էլ հաշվի է առնվել այս գործոնի ազդեցությունը գնահատելու համար: 2022-2025 թթ. գնահատականներում ներմուծման ցուցանիշները դիտարկվել են առանց վերաարտահանման ծավալների: 2027, 2028 և 2029 թվականների համար ծրագրվածից համապատասխանաբար 7.3, 12.3 և 14.3% պակաս ներմուծման ռիսկի դրսևորման պայմաններում հարկային եկամուտների վրա ազդեցությունը գնահատվել է համապատասխանաբար՝ 31.5, 57.9 և 73.5 մլրդ ՀՀ դրամ` ֆինանսավորման պահանջի ավելացման ուղղությամբ:</w:t>
      </w:r>
    </w:p>
    <w:p w14:paraId="3B6E42C2" w14:textId="77777777" w:rsidR="009939F6" w:rsidRPr="008B63B1" w:rsidRDefault="009939F6" w:rsidP="009939F6">
      <w:pPr>
        <w:jc w:val="both"/>
        <w:rPr>
          <w:rFonts w:ascii="GHEA Grapalat" w:eastAsia="Times New Roman" w:hAnsi="GHEA Grapalat" w:cs="Times New Roman"/>
          <w:b/>
          <w:color w:val="404040"/>
          <w:szCs w:val="20"/>
          <w:lang w:val="hy-AM"/>
        </w:rPr>
      </w:pPr>
      <w:r w:rsidRPr="008B63B1">
        <w:rPr>
          <w:rFonts w:ascii="GHEA Grapalat" w:eastAsia="Times New Roman" w:hAnsi="GHEA Grapalat" w:cs="Times New Roman"/>
          <w:b/>
          <w:color w:val="404040"/>
          <w:szCs w:val="20"/>
          <w:lang w:val="hy-AM"/>
        </w:rPr>
        <w:t>Ամփոփելով վերը նկարագրված կանխատեսումների ռիսկի և ենթադրություններից շեղումների ռիսկի գնահատականները, միջնաժամկետ հորիզոնում ՀՀ պետական բյուջեի հարկային եկամուտների վրա մակրոտնտեսական ցուցանիշների` իրական ՀՆԱ-ի աճի, գնաճի, փոխարժեքի տատանողականության և ներմուծման ռիսկերի ազդեցության քանակական ամփոփ գնահատականները ներկայացվում են ստորև.</w:t>
      </w:r>
    </w:p>
    <w:p w14:paraId="1003DBE7" w14:textId="77777777" w:rsidR="009939F6" w:rsidRPr="00A52417" w:rsidRDefault="009939F6" w:rsidP="00A52417">
      <w:pPr>
        <w:pStyle w:val="Charts"/>
        <w:ind w:right="-22"/>
        <w:rPr>
          <w:b w:val="0"/>
          <w:bCs/>
          <w:color w:val="auto"/>
          <w:sz w:val="20"/>
          <w:szCs w:val="18"/>
        </w:rPr>
      </w:pPr>
      <w:bookmarkStart w:id="483" w:name="_Toc178612158"/>
      <w:r w:rsidRPr="00A52417">
        <w:rPr>
          <w:b w:val="0"/>
          <w:bCs/>
          <w:color w:val="auto"/>
          <w:sz w:val="20"/>
          <w:szCs w:val="18"/>
        </w:rPr>
        <w:t>Աղյուսակ Հ2.1 Հարկային եկամուտների վրա մակրոտնտեսական կանխատեսումների և ենթադրությունների ռիսկերի ազդեցություն, մլրդ ՀՀ դրամ</w:t>
      </w:r>
      <w:r w:rsidRPr="00A52417">
        <w:rPr>
          <w:b w:val="0"/>
          <w:bCs/>
          <w:color w:val="auto"/>
          <w:sz w:val="20"/>
          <w:szCs w:val="18"/>
        </w:rPr>
        <w:footnoteReference w:id="26"/>
      </w:r>
      <w:bookmarkEnd w:id="483"/>
    </w:p>
    <w:tbl>
      <w:tblPr>
        <w:tblW w:w="9778" w:type="dxa"/>
        <w:tblBorders>
          <w:top w:val="single" w:sz="8" w:space="0" w:color="E1E1E3"/>
          <w:left w:val="single" w:sz="8" w:space="0" w:color="E1E1E3"/>
          <w:bottom w:val="single" w:sz="8" w:space="0" w:color="E1E1E3"/>
          <w:right w:val="single" w:sz="8" w:space="0" w:color="E1E1E3"/>
          <w:insideH w:val="single" w:sz="8" w:space="0" w:color="E1E1E3"/>
          <w:insideV w:val="single" w:sz="8" w:space="0" w:color="E1E1E3"/>
        </w:tblBorders>
        <w:tblLook w:val="04A0" w:firstRow="1" w:lastRow="0" w:firstColumn="1" w:lastColumn="0" w:noHBand="0" w:noVBand="1"/>
      </w:tblPr>
      <w:tblGrid>
        <w:gridCol w:w="5180"/>
        <w:gridCol w:w="1584"/>
        <w:gridCol w:w="1488"/>
        <w:gridCol w:w="1526"/>
      </w:tblGrid>
      <w:tr w:rsidR="009939F6" w:rsidRPr="008B63B1" w14:paraId="373029C8" w14:textId="77777777" w:rsidTr="00873AE6">
        <w:trPr>
          <w:trHeight w:val="432"/>
        </w:trPr>
        <w:tc>
          <w:tcPr>
            <w:tcW w:w="5180" w:type="dxa"/>
            <w:tcBorders>
              <w:top w:val="nil"/>
              <w:left w:val="nil"/>
              <w:bottom w:val="nil"/>
              <w:right w:val="nil"/>
            </w:tcBorders>
            <w:vAlign w:val="center"/>
            <w:hideMark/>
          </w:tcPr>
          <w:p w14:paraId="7F17F512" w14:textId="77777777" w:rsidR="009939F6" w:rsidRPr="008B63B1" w:rsidRDefault="009939F6" w:rsidP="009939F6">
            <w:pPr>
              <w:rPr>
                <w:rFonts w:ascii="GHEA Grapalat" w:eastAsia="Times New Roman" w:hAnsi="GHEA Grapalat" w:cs="Times New Roman"/>
                <w:color w:val="404040"/>
                <w:vertAlign w:val="superscript"/>
                <w:lang w:val="hy-AM"/>
              </w:rPr>
            </w:pPr>
          </w:p>
        </w:tc>
        <w:tc>
          <w:tcPr>
            <w:tcW w:w="1584" w:type="dxa"/>
            <w:tcBorders>
              <w:top w:val="nil"/>
              <w:left w:val="nil"/>
              <w:bottom w:val="nil"/>
              <w:right w:val="nil"/>
            </w:tcBorders>
            <w:vAlign w:val="center"/>
            <w:hideMark/>
          </w:tcPr>
          <w:p w14:paraId="5521B0AB" w14:textId="77777777" w:rsidR="009939F6" w:rsidRPr="008B63B1" w:rsidRDefault="009939F6" w:rsidP="009939F6">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000000"/>
                <w:sz w:val="18"/>
                <w:szCs w:val="20"/>
              </w:rPr>
              <w:t>2027</w:t>
            </w:r>
          </w:p>
        </w:tc>
        <w:tc>
          <w:tcPr>
            <w:tcW w:w="1488" w:type="dxa"/>
            <w:tcBorders>
              <w:top w:val="nil"/>
              <w:left w:val="nil"/>
              <w:bottom w:val="nil"/>
              <w:right w:val="nil"/>
            </w:tcBorders>
            <w:vAlign w:val="center"/>
            <w:hideMark/>
          </w:tcPr>
          <w:p w14:paraId="08837727" w14:textId="77777777" w:rsidR="009939F6" w:rsidRPr="008B63B1" w:rsidRDefault="009939F6" w:rsidP="009939F6">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000000"/>
                <w:sz w:val="18"/>
                <w:szCs w:val="20"/>
              </w:rPr>
              <w:t>2028</w:t>
            </w:r>
          </w:p>
        </w:tc>
        <w:tc>
          <w:tcPr>
            <w:tcW w:w="1526" w:type="dxa"/>
            <w:tcBorders>
              <w:top w:val="nil"/>
              <w:left w:val="nil"/>
              <w:bottom w:val="nil"/>
              <w:right w:val="nil"/>
            </w:tcBorders>
            <w:vAlign w:val="center"/>
            <w:hideMark/>
          </w:tcPr>
          <w:p w14:paraId="367EBD47" w14:textId="77777777" w:rsidR="009939F6" w:rsidRPr="008B63B1" w:rsidRDefault="009939F6" w:rsidP="009939F6">
            <w:pPr>
              <w:spacing w:after="0" w:line="240" w:lineRule="auto"/>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000000"/>
                <w:sz w:val="18"/>
                <w:szCs w:val="20"/>
              </w:rPr>
              <w:t>2029</w:t>
            </w:r>
          </w:p>
        </w:tc>
      </w:tr>
      <w:tr w:rsidR="009939F6" w:rsidRPr="008B63B1" w14:paraId="0257B549" w14:textId="77777777" w:rsidTr="00873AE6">
        <w:trPr>
          <w:trHeight w:val="432"/>
        </w:trPr>
        <w:tc>
          <w:tcPr>
            <w:tcW w:w="5180" w:type="dxa"/>
            <w:tcBorders>
              <w:top w:val="nil"/>
              <w:left w:val="single" w:sz="8" w:space="0" w:color="E1E1E3"/>
              <w:bottom w:val="single" w:sz="8" w:space="0" w:color="E1E1E3"/>
              <w:right w:val="single" w:sz="8" w:space="0" w:color="E1E1E3"/>
            </w:tcBorders>
            <w:shd w:val="clear" w:color="auto" w:fill="D5DCE4"/>
            <w:vAlign w:val="center"/>
            <w:hideMark/>
          </w:tcPr>
          <w:p w14:paraId="4DBFA117" w14:textId="77777777" w:rsidR="009939F6" w:rsidRPr="008B63B1" w:rsidRDefault="009939F6" w:rsidP="009939F6">
            <w:pPr>
              <w:spacing w:after="0" w:line="240" w:lineRule="auto"/>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Ռիսկի տեսակը</w:t>
            </w:r>
          </w:p>
        </w:tc>
        <w:tc>
          <w:tcPr>
            <w:tcW w:w="4598" w:type="dxa"/>
            <w:gridSpan w:val="3"/>
            <w:tcBorders>
              <w:top w:val="nil"/>
              <w:left w:val="single" w:sz="8" w:space="0" w:color="E1E1E3"/>
              <w:bottom w:val="single" w:sz="8" w:space="0" w:color="E1E1E3"/>
              <w:right w:val="single" w:sz="8" w:space="0" w:color="E1E1E3"/>
            </w:tcBorders>
            <w:shd w:val="clear" w:color="auto" w:fill="D5DCE4"/>
            <w:vAlign w:val="center"/>
            <w:hideMark/>
          </w:tcPr>
          <w:p w14:paraId="4B93DB7A" w14:textId="77777777" w:rsidR="009939F6" w:rsidRPr="008B63B1" w:rsidRDefault="009939F6" w:rsidP="009939F6">
            <w:pPr>
              <w:spacing w:after="0" w:line="240" w:lineRule="auto"/>
              <w:jc w:val="center"/>
              <w:rPr>
                <w:rFonts w:ascii="Calibri" w:eastAsia="Times New Roman" w:hAnsi="Calibri" w:cs="Calibri"/>
                <w:b/>
                <w:color w:val="404040"/>
                <w:sz w:val="18"/>
                <w:szCs w:val="18"/>
              </w:rPr>
            </w:pPr>
            <w:r w:rsidRPr="008B63B1">
              <w:rPr>
                <w:rFonts w:ascii="GHEA Grapalat" w:eastAsia="Times New Roman" w:hAnsi="GHEA Grapalat" w:cs="Times New Roman"/>
                <w:b/>
                <w:color w:val="404040"/>
                <w:sz w:val="18"/>
                <w:szCs w:val="18"/>
              </w:rPr>
              <w:t>Ազդեցության գնահատականը</w:t>
            </w:r>
          </w:p>
        </w:tc>
      </w:tr>
      <w:tr w:rsidR="009939F6" w:rsidRPr="008B63B1" w14:paraId="1631AB0F" w14:textId="77777777" w:rsidTr="00873AE6">
        <w:trPr>
          <w:trHeight w:val="432"/>
        </w:trPr>
        <w:tc>
          <w:tcPr>
            <w:tcW w:w="9778" w:type="dxa"/>
            <w:gridSpan w:val="4"/>
            <w:tcBorders>
              <w:top w:val="single" w:sz="8" w:space="0" w:color="E1E1E3"/>
              <w:left w:val="single" w:sz="8" w:space="0" w:color="E1E1E3"/>
              <w:bottom w:val="single" w:sz="8" w:space="0" w:color="E1E1E3"/>
              <w:right w:val="single" w:sz="8" w:space="0" w:color="E1E1E3"/>
            </w:tcBorders>
            <w:shd w:val="clear" w:color="auto" w:fill="D5DCE4"/>
            <w:vAlign w:val="center"/>
            <w:hideMark/>
          </w:tcPr>
          <w:p w14:paraId="79D25C73" w14:textId="77777777" w:rsidR="009939F6" w:rsidRPr="008B63B1" w:rsidRDefault="009939F6" w:rsidP="009939F6">
            <w:pPr>
              <w:spacing w:after="0" w:line="240" w:lineRule="auto"/>
              <w:rPr>
                <w:rFonts w:ascii="Calibri" w:eastAsia="Times New Roman" w:hAnsi="Calibri" w:cs="Calibri"/>
                <w:b/>
                <w:color w:val="404040"/>
                <w:sz w:val="18"/>
                <w:szCs w:val="18"/>
              </w:rPr>
            </w:pPr>
            <w:r w:rsidRPr="008B63B1">
              <w:rPr>
                <w:rFonts w:ascii="GHEA Grapalat" w:eastAsia="Times New Roman" w:hAnsi="GHEA Grapalat" w:cs="Times New Roman"/>
                <w:b/>
                <w:color w:val="404040"/>
                <w:sz w:val="18"/>
                <w:szCs w:val="18"/>
              </w:rPr>
              <w:t>Ռիսկերի առանձին հանդես գալու պայմաններում</w:t>
            </w:r>
          </w:p>
        </w:tc>
      </w:tr>
      <w:tr w:rsidR="009939F6" w:rsidRPr="008B63B1" w14:paraId="5A2EA130" w14:textId="77777777" w:rsidTr="00873AE6">
        <w:trPr>
          <w:trHeight w:val="432"/>
        </w:trPr>
        <w:tc>
          <w:tcPr>
            <w:tcW w:w="5180" w:type="dxa"/>
            <w:tcBorders>
              <w:top w:val="single" w:sz="8" w:space="0" w:color="E1E1E3"/>
              <w:left w:val="single" w:sz="8" w:space="0" w:color="E1E1E3"/>
              <w:bottom w:val="single" w:sz="8" w:space="0" w:color="E1E1E3"/>
              <w:right w:val="single" w:sz="8" w:space="0" w:color="E1E1E3"/>
            </w:tcBorders>
            <w:vAlign w:val="center"/>
            <w:hideMark/>
          </w:tcPr>
          <w:p w14:paraId="0A7C0BA2" w14:textId="77777777" w:rsidR="009939F6" w:rsidRPr="008B63B1" w:rsidRDefault="009939F6" w:rsidP="009939F6">
            <w:pPr>
              <w:spacing w:after="0"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000000"/>
                <w:sz w:val="18"/>
                <w:szCs w:val="20"/>
              </w:rPr>
              <w:t>1. Կանխատեսվածից ավելի ցածր իրական ՀՆԱ-ի աճ</w:t>
            </w:r>
          </w:p>
        </w:tc>
        <w:tc>
          <w:tcPr>
            <w:tcW w:w="1584" w:type="dxa"/>
            <w:tcBorders>
              <w:top w:val="single" w:sz="8" w:space="0" w:color="E1E1E3"/>
              <w:left w:val="single" w:sz="8" w:space="0" w:color="E1E1E3"/>
              <w:bottom w:val="single" w:sz="8" w:space="0" w:color="E1E1E3"/>
              <w:right w:val="single" w:sz="8" w:space="0" w:color="E1E1E3"/>
            </w:tcBorders>
            <w:vAlign w:val="center"/>
            <w:hideMark/>
          </w:tcPr>
          <w:p w14:paraId="53D70DA2" w14:textId="77777777" w:rsidR="009939F6" w:rsidRPr="008B63B1" w:rsidRDefault="009939F6" w:rsidP="009939F6">
            <w:pPr>
              <w:rPr>
                <w:rFonts w:ascii="GHEA Grapalat" w:eastAsia="Times New Roman" w:hAnsi="GHEA Grapalat" w:cs="Times New Roman"/>
                <w:color w:val="404040"/>
                <w:sz w:val="18"/>
                <w:szCs w:val="18"/>
              </w:rPr>
            </w:pPr>
          </w:p>
        </w:tc>
        <w:tc>
          <w:tcPr>
            <w:tcW w:w="1488" w:type="dxa"/>
            <w:tcBorders>
              <w:top w:val="single" w:sz="8" w:space="0" w:color="E1E1E3"/>
              <w:left w:val="single" w:sz="8" w:space="0" w:color="E1E1E3"/>
              <w:bottom w:val="single" w:sz="8" w:space="0" w:color="E1E1E3"/>
              <w:right w:val="single" w:sz="8" w:space="0" w:color="E1E1E3"/>
            </w:tcBorders>
            <w:vAlign w:val="center"/>
            <w:hideMark/>
          </w:tcPr>
          <w:p w14:paraId="7C32DA23" w14:textId="77777777" w:rsidR="009939F6" w:rsidRPr="008B63B1" w:rsidRDefault="009939F6" w:rsidP="009939F6">
            <w:pPr>
              <w:spacing w:after="0"/>
              <w:rPr>
                <w:rFonts w:ascii="GHEA Grapalat" w:eastAsia="Times New Roman" w:hAnsi="GHEA Grapalat" w:cs="Times New Roman"/>
                <w:sz w:val="20"/>
                <w:szCs w:val="20"/>
              </w:rPr>
            </w:pPr>
          </w:p>
        </w:tc>
        <w:tc>
          <w:tcPr>
            <w:tcW w:w="1526" w:type="dxa"/>
            <w:tcBorders>
              <w:top w:val="single" w:sz="8" w:space="0" w:color="E1E1E3"/>
              <w:left w:val="single" w:sz="8" w:space="0" w:color="E1E1E3"/>
              <w:bottom w:val="single" w:sz="8" w:space="0" w:color="E1E1E3"/>
              <w:right w:val="single" w:sz="8" w:space="0" w:color="E1E1E3"/>
            </w:tcBorders>
            <w:vAlign w:val="center"/>
            <w:hideMark/>
          </w:tcPr>
          <w:p w14:paraId="45E76C32" w14:textId="77777777" w:rsidR="009939F6" w:rsidRPr="008B63B1" w:rsidRDefault="009939F6" w:rsidP="009939F6">
            <w:pPr>
              <w:spacing w:after="0"/>
              <w:rPr>
                <w:rFonts w:ascii="GHEA Grapalat" w:eastAsia="Times New Roman" w:hAnsi="GHEA Grapalat" w:cs="Times New Roman"/>
                <w:sz w:val="20"/>
                <w:szCs w:val="20"/>
              </w:rPr>
            </w:pPr>
          </w:p>
        </w:tc>
      </w:tr>
      <w:tr w:rsidR="009939F6" w:rsidRPr="008B63B1" w14:paraId="2F27B577" w14:textId="77777777" w:rsidTr="00873AE6">
        <w:trPr>
          <w:trHeight w:val="432"/>
        </w:trPr>
        <w:tc>
          <w:tcPr>
            <w:tcW w:w="5180" w:type="dxa"/>
            <w:tcBorders>
              <w:top w:val="single" w:sz="8" w:space="0" w:color="E1E1E3"/>
              <w:left w:val="single" w:sz="8" w:space="0" w:color="E1E1E3"/>
              <w:bottom w:val="single" w:sz="8" w:space="0" w:color="E1E1E3"/>
              <w:right w:val="single" w:sz="8" w:space="0" w:color="E1E1E3"/>
            </w:tcBorders>
            <w:vAlign w:val="center"/>
            <w:hideMark/>
          </w:tcPr>
          <w:p w14:paraId="49EAA546" w14:textId="77777777" w:rsidR="009939F6" w:rsidRPr="008B63B1" w:rsidRDefault="009939F6" w:rsidP="009939F6">
            <w:pPr>
              <w:spacing w:after="0" w:line="240" w:lineRule="auto"/>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000000"/>
                <w:sz w:val="18"/>
                <w:szCs w:val="20"/>
                <w:lang w:val="hy-AM"/>
              </w:rPr>
              <w:t xml:space="preserve">    Կանխատեսումից 1.4-1.5 տոկոսային կետով ցածր աճ</w:t>
            </w:r>
          </w:p>
        </w:tc>
        <w:tc>
          <w:tcPr>
            <w:tcW w:w="1584" w:type="dxa"/>
            <w:tcBorders>
              <w:top w:val="single" w:sz="8" w:space="0" w:color="E1E1E3"/>
              <w:left w:val="single" w:sz="8" w:space="0" w:color="E1E1E3"/>
              <w:bottom w:val="single" w:sz="8" w:space="0" w:color="E1E1E3"/>
              <w:right w:val="single" w:sz="8" w:space="0" w:color="E1E1E3"/>
            </w:tcBorders>
            <w:vAlign w:val="center"/>
            <w:hideMark/>
          </w:tcPr>
          <w:p w14:paraId="49D34B6A"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-26.9</w:t>
            </w:r>
          </w:p>
        </w:tc>
        <w:tc>
          <w:tcPr>
            <w:tcW w:w="1488" w:type="dxa"/>
            <w:tcBorders>
              <w:top w:val="single" w:sz="8" w:space="0" w:color="E1E1E3"/>
              <w:left w:val="single" w:sz="8" w:space="0" w:color="E1E1E3"/>
              <w:bottom w:val="single" w:sz="8" w:space="0" w:color="E1E1E3"/>
              <w:right w:val="single" w:sz="8" w:space="0" w:color="E1E1E3"/>
            </w:tcBorders>
            <w:vAlign w:val="center"/>
            <w:hideMark/>
          </w:tcPr>
          <w:p w14:paraId="4A010B4E"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-29.6</w:t>
            </w:r>
          </w:p>
        </w:tc>
        <w:tc>
          <w:tcPr>
            <w:tcW w:w="1526" w:type="dxa"/>
            <w:tcBorders>
              <w:top w:val="single" w:sz="8" w:space="0" w:color="E1E1E3"/>
              <w:left w:val="single" w:sz="8" w:space="0" w:color="E1E1E3"/>
              <w:bottom w:val="single" w:sz="8" w:space="0" w:color="E1E1E3"/>
              <w:right w:val="single" w:sz="8" w:space="0" w:color="E1E1E3"/>
            </w:tcBorders>
            <w:vAlign w:val="center"/>
            <w:hideMark/>
          </w:tcPr>
          <w:p w14:paraId="251B9B76"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-34.6</w:t>
            </w:r>
          </w:p>
        </w:tc>
      </w:tr>
      <w:tr w:rsidR="009939F6" w:rsidRPr="008B63B1" w14:paraId="1B202355" w14:textId="77777777" w:rsidTr="00873AE6">
        <w:trPr>
          <w:trHeight w:val="432"/>
        </w:trPr>
        <w:tc>
          <w:tcPr>
            <w:tcW w:w="5180" w:type="dxa"/>
            <w:tcBorders>
              <w:top w:val="single" w:sz="8" w:space="0" w:color="E1E1E3"/>
              <w:left w:val="single" w:sz="8" w:space="0" w:color="E1E1E3"/>
              <w:bottom w:val="single" w:sz="8" w:space="0" w:color="E1E1E3"/>
              <w:right w:val="single" w:sz="8" w:space="0" w:color="E1E1E3"/>
            </w:tcBorders>
            <w:vAlign w:val="center"/>
            <w:hideMark/>
          </w:tcPr>
          <w:p w14:paraId="21696788" w14:textId="77777777" w:rsidR="009939F6" w:rsidRPr="008B63B1" w:rsidRDefault="009939F6" w:rsidP="009939F6">
            <w:pPr>
              <w:spacing w:after="0" w:line="240" w:lineRule="auto"/>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000000"/>
                <w:sz w:val="18"/>
                <w:szCs w:val="20"/>
                <w:lang w:val="hy-AM"/>
              </w:rPr>
              <w:t xml:space="preserve">    </w:t>
            </w:r>
            <w:r w:rsidRPr="008B63B1">
              <w:rPr>
                <w:rFonts w:ascii="GHEA Grapalat" w:eastAsia="Times New Roman" w:hAnsi="GHEA Grapalat" w:cs="Times New Roman"/>
                <w:color w:val="000000"/>
                <w:sz w:val="18"/>
                <w:szCs w:val="20"/>
              </w:rPr>
              <w:t>Կանխատեսումից 1.9 տոկոսային կետով ցածր աճ</w:t>
            </w:r>
          </w:p>
        </w:tc>
        <w:tc>
          <w:tcPr>
            <w:tcW w:w="1584" w:type="dxa"/>
            <w:tcBorders>
              <w:top w:val="single" w:sz="8" w:space="0" w:color="E1E1E3"/>
              <w:left w:val="single" w:sz="8" w:space="0" w:color="E1E1E3"/>
              <w:bottom w:val="single" w:sz="8" w:space="0" w:color="E1E1E3"/>
              <w:right w:val="single" w:sz="8" w:space="0" w:color="E1E1E3"/>
            </w:tcBorders>
            <w:vAlign w:val="center"/>
            <w:hideMark/>
          </w:tcPr>
          <w:p w14:paraId="63B582F4"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-36.6</w:t>
            </w:r>
          </w:p>
        </w:tc>
        <w:tc>
          <w:tcPr>
            <w:tcW w:w="1488" w:type="dxa"/>
            <w:tcBorders>
              <w:top w:val="single" w:sz="8" w:space="0" w:color="E1E1E3"/>
              <w:left w:val="single" w:sz="8" w:space="0" w:color="E1E1E3"/>
              <w:bottom w:val="single" w:sz="8" w:space="0" w:color="E1E1E3"/>
              <w:right w:val="single" w:sz="8" w:space="0" w:color="E1E1E3"/>
            </w:tcBorders>
            <w:vAlign w:val="center"/>
            <w:hideMark/>
          </w:tcPr>
          <w:p w14:paraId="456DAD79"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-40.2</w:t>
            </w:r>
          </w:p>
        </w:tc>
        <w:tc>
          <w:tcPr>
            <w:tcW w:w="1526" w:type="dxa"/>
            <w:tcBorders>
              <w:top w:val="single" w:sz="8" w:space="0" w:color="E1E1E3"/>
              <w:left w:val="single" w:sz="8" w:space="0" w:color="E1E1E3"/>
              <w:bottom w:val="single" w:sz="8" w:space="0" w:color="E1E1E3"/>
              <w:right w:val="single" w:sz="8" w:space="0" w:color="E1E1E3"/>
            </w:tcBorders>
            <w:vAlign w:val="center"/>
            <w:hideMark/>
          </w:tcPr>
          <w:p w14:paraId="1BA4C4D7"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-43.9</w:t>
            </w:r>
          </w:p>
        </w:tc>
      </w:tr>
      <w:tr w:rsidR="009939F6" w:rsidRPr="008B63B1" w14:paraId="0189AF46" w14:textId="77777777" w:rsidTr="00873AE6">
        <w:trPr>
          <w:trHeight w:val="432"/>
        </w:trPr>
        <w:tc>
          <w:tcPr>
            <w:tcW w:w="5180" w:type="dxa"/>
            <w:tcBorders>
              <w:top w:val="single" w:sz="8" w:space="0" w:color="E1E1E3"/>
              <w:left w:val="single" w:sz="8" w:space="0" w:color="E1E1E3"/>
              <w:bottom w:val="single" w:sz="8" w:space="0" w:color="E1E1E3"/>
              <w:right w:val="single" w:sz="8" w:space="0" w:color="E1E1E3"/>
            </w:tcBorders>
            <w:vAlign w:val="center"/>
            <w:hideMark/>
          </w:tcPr>
          <w:p w14:paraId="3AF82256" w14:textId="77777777" w:rsidR="009939F6" w:rsidRPr="008B63B1" w:rsidRDefault="009939F6" w:rsidP="009939F6">
            <w:pPr>
              <w:spacing w:after="0"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000000"/>
                <w:sz w:val="18"/>
                <w:szCs w:val="20"/>
              </w:rPr>
              <w:t xml:space="preserve">2. Ավելի ցածր գնաճի ռիսկ, 1.6 տոկոսային կետ </w:t>
            </w:r>
          </w:p>
        </w:tc>
        <w:tc>
          <w:tcPr>
            <w:tcW w:w="1584" w:type="dxa"/>
            <w:tcBorders>
              <w:top w:val="single" w:sz="8" w:space="0" w:color="E1E1E3"/>
              <w:left w:val="single" w:sz="8" w:space="0" w:color="E1E1E3"/>
              <w:bottom w:val="single" w:sz="8" w:space="0" w:color="E1E1E3"/>
              <w:right w:val="single" w:sz="8" w:space="0" w:color="E1E1E3"/>
            </w:tcBorders>
            <w:vAlign w:val="center"/>
            <w:hideMark/>
          </w:tcPr>
          <w:p w14:paraId="5C4A0865"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-18.0</w:t>
            </w:r>
          </w:p>
        </w:tc>
        <w:tc>
          <w:tcPr>
            <w:tcW w:w="1488" w:type="dxa"/>
            <w:tcBorders>
              <w:top w:val="single" w:sz="8" w:space="0" w:color="E1E1E3"/>
              <w:left w:val="single" w:sz="8" w:space="0" w:color="E1E1E3"/>
              <w:bottom w:val="single" w:sz="8" w:space="0" w:color="E1E1E3"/>
              <w:right w:val="single" w:sz="8" w:space="0" w:color="E1E1E3"/>
            </w:tcBorders>
            <w:vAlign w:val="center"/>
            <w:hideMark/>
          </w:tcPr>
          <w:p w14:paraId="1F30EBA7"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-20.0</w:t>
            </w:r>
          </w:p>
        </w:tc>
        <w:tc>
          <w:tcPr>
            <w:tcW w:w="1526" w:type="dxa"/>
            <w:tcBorders>
              <w:top w:val="single" w:sz="8" w:space="0" w:color="E1E1E3"/>
              <w:left w:val="single" w:sz="8" w:space="0" w:color="E1E1E3"/>
              <w:bottom w:val="single" w:sz="8" w:space="0" w:color="E1E1E3"/>
              <w:right w:val="single" w:sz="8" w:space="0" w:color="E1E1E3"/>
            </w:tcBorders>
            <w:vAlign w:val="center"/>
            <w:hideMark/>
          </w:tcPr>
          <w:p w14:paraId="32CD1ACB"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-22.0</w:t>
            </w:r>
          </w:p>
        </w:tc>
      </w:tr>
      <w:tr w:rsidR="009939F6" w:rsidRPr="008B63B1" w14:paraId="0583FE6A" w14:textId="77777777" w:rsidTr="00873AE6">
        <w:trPr>
          <w:trHeight w:val="432"/>
        </w:trPr>
        <w:tc>
          <w:tcPr>
            <w:tcW w:w="5180" w:type="dxa"/>
            <w:tcBorders>
              <w:top w:val="single" w:sz="8" w:space="0" w:color="E1E1E3"/>
              <w:left w:val="single" w:sz="8" w:space="0" w:color="E1E1E3"/>
              <w:bottom w:val="single" w:sz="8" w:space="0" w:color="E1E1E3"/>
              <w:right w:val="single" w:sz="8" w:space="0" w:color="E1E1E3"/>
            </w:tcBorders>
            <w:vAlign w:val="center"/>
            <w:hideMark/>
          </w:tcPr>
          <w:p w14:paraId="1A15B586" w14:textId="77777777" w:rsidR="009939F6" w:rsidRPr="008B63B1" w:rsidRDefault="009939F6" w:rsidP="009939F6">
            <w:pPr>
              <w:spacing w:after="0"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000000"/>
                <w:sz w:val="18"/>
                <w:szCs w:val="20"/>
              </w:rPr>
              <w:t>3. Փոխարժեքի 6.0 տոկոս արժեզրկման ռիսկ</w:t>
            </w:r>
          </w:p>
        </w:tc>
        <w:tc>
          <w:tcPr>
            <w:tcW w:w="1584" w:type="dxa"/>
            <w:tcBorders>
              <w:top w:val="single" w:sz="8" w:space="0" w:color="E1E1E3"/>
              <w:left w:val="single" w:sz="8" w:space="0" w:color="E1E1E3"/>
              <w:bottom w:val="single" w:sz="8" w:space="0" w:color="E1E1E3"/>
              <w:right w:val="single" w:sz="8" w:space="0" w:color="E1E1E3"/>
            </w:tcBorders>
            <w:vAlign w:val="center"/>
            <w:hideMark/>
          </w:tcPr>
          <w:p w14:paraId="4DE185C9"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20.6</w:t>
            </w:r>
          </w:p>
        </w:tc>
        <w:tc>
          <w:tcPr>
            <w:tcW w:w="1488" w:type="dxa"/>
            <w:tcBorders>
              <w:top w:val="single" w:sz="8" w:space="0" w:color="E1E1E3"/>
              <w:left w:val="single" w:sz="8" w:space="0" w:color="E1E1E3"/>
              <w:bottom w:val="single" w:sz="8" w:space="0" w:color="E1E1E3"/>
              <w:right w:val="single" w:sz="8" w:space="0" w:color="E1E1E3"/>
            </w:tcBorders>
            <w:vAlign w:val="center"/>
            <w:hideMark/>
          </w:tcPr>
          <w:p w14:paraId="5FD64686"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22.8</w:t>
            </w:r>
          </w:p>
        </w:tc>
        <w:tc>
          <w:tcPr>
            <w:tcW w:w="1526" w:type="dxa"/>
            <w:tcBorders>
              <w:top w:val="single" w:sz="8" w:space="0" w:color="E1E1E3"/>
              <w:left w:val="single" w:sz="8" w:space="0" w:color="E1E1E3"/>
              <w:bottom w:val="single" w:sz="8" w:space="0" w:color="E1E1E3"/>
              <w:right w:val="single" w:sz="8" w:space="0" w:color="E1E1E3"/>
            </w:tcBorders>
            <w:vAlign w:val="center"/>
            <w:hideMark/>
          </w:tcPr>
          <w:p w14:paraId="3A5C6463"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24.8</w:t>
            </w:r>
          </w:p>
        </w:tc>
      </w:tr>
      <w:tr w:rsidR="009939F6" w:rsidRPr="008B63B1" w14:paraId="729FF186" w14:textId="77777777" w:rsidTr="00873AE6">
        <w:trPr>
          <w:trHeight w:val="432"/>
        </w:trPr>
        <w:tc>
          <w:tcPr>
            <w:tcW w:w="5180" w:type="dxa"/>
            <w:tcBorders>
              <w:top w:val="single" w:sz="8" w:space="0" w:color="E1E1E3"/>
              <w:left w:val="single" w:sz="8" w:space="0" w:color="E1E1E3"/>
              <w:bottom w:val="single" w:sz="8" w:space="0" w:color="E1E1E3"/>
              <w:right w:val="single" w:sz="8" w:space="0" w:color="E1E1E3"/>
            </w:tcBorders>
            <w:vAlign w:val="center"/>
            <w:hideMark/>
          </w:tcPr>
          <w:p w14:paraId="33C3D0D2" w14:textId="77777777" w:rsidR="009939F6" w:rsidRPr="008B63B1" w:rsidRDefault="009939F6" w:rsidP="009939F6">
            <w:pPr>
              <w:spacing w:after="0"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000000"/>
                <w:sz w:val="18"/>
                <w:szCs w:val="20"/>
              </w:rPr>
              <w:t>4. Ներմուծման նվազման ռիսկ, 7.3-14.3 տոկոսային կետ</w:t>
            </w:r>
          </w:p>
        </w:tc>
        <w:tc>
          <w:tcPr>
            <w:tcW w:w="1584" w:type="dxa"/>
            <w:tcBorders>
              <w:top w:val="single" w:sz="8" w:space="0" w:color="E1E1E3"/>
              <w:left w:val="single" w:sz="8" w:space="0" w:color="E1E1E3"/>
              <w:bottom w:val="single" w:sz="8" w:space="0" w:color="E1E1E3"/>
              <w:right w:val="single" w:sz="8" w:space="0" w:color="E1E1E3"/>
            </w:tcBorders>
            <w:vAlign w:val="center"/>
            <w:hideMark/>
          </w:tcPr>
          <w:p w14:paraId="7A2ED77C"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-31.5</w:t>
            </w:r>
          </w:p>
        </w:tc>
        <w:tc>
          <w:tcPr>
            <w:tcW w:w="1488" w:type="dxa"/>
            <w:tcBorders>
              <w:top w:val="single" w:sz="8" w:space="0" w:color="E1E1E3"/>
              <w:left w:val="single" w:sz="8" w:space="0" w:color="E1E1E3"/>
              <w:bottom w:val="single" w:sz="8" w:space="0" w:color="E1E1E3"/>
              <w:right w:val="single" w:sz="8" w:space="0" w:color="E1E1E3"/>
            </w:tcBorders>
            <w:vAlign w:val="center"/>
            <w:hideMark/>
          </w:tcPr>
          <w:p w14:paraId="720DB006"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-57.9</w:t>
            </w:r>
          </w:p>
        </w:tc>
        <w:tc>
          <w:tcPr>
            <w:tcW w:w="1526" w:type="dxa"/>
            <w:tcBorders>
              <w:top w:val="single" w:sz="8" w:space="0" w:color="E1E1E3"/>
              <w:left w:val="single" w:sz="8" w:space="0" w:color="E1E1E3"/>
              <w:bottom w:val="single" w:sz="8" w:space="0" w:color="E1E1E3"/>
              <w:right w:val="single" w:sz="8" w:space="0" w:color="E1E1E3"/>
            </w:tcBorders>
            <w:vAlign w:val="center"/>
            <w:hideMark/>
          </w:tcPr>
          <w:p w14:paraId="1226B950"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-73.5</w:t>
            </w:r>
          </w:p>
        </w:tc>
      </w:tr>
      <w:tr w:rsidR="009939F6" w:rsidRPr="008B63B1" w14:paraId="41CED6E2" w14:textId="77777777" w:rsidTr="00873AE6">
        <w:trPr>
          <w:trHeight w:val="432"/>
        </w:trPr>
        <w:tc>
          <w:tcPr>
            <w:tcW w:w="9778" w:type="dxa"/>
            <w:gridSpan w:val="4"/>
            <w:tcBorders>
              <w:top w:val="single" w:sz="8" w:space="0" w:color="E1E1E3"/>
              <w:left w:val="single" w:sz="8" w:space="0" w:color="E1E1E3"/>
              <w:bottom w:val="single" w:sz="8" w:space="0" w:color="E1E1E3"/>
              <w:right w:val="single" w:sz="8" w:space="0" w:color="E1E1E3"/>
            </w:tcBorders>
            <w:shd w:val="clear" w:color="auto" w:fill="D5DCE4"/>
            <w:vAlign w:val="center"/>
            <w:hideMark/>
          </w:tcPr>
          <w:p w14:paraId="7D019C1C" w14:textId="77777777" w:rsidR="009939F6" w:rsidRPr="008B63B1" w:rsidRDefault="009939F6" w:rsidP="009939F6">
            <w:pPr>
              <w:spacing w:after="0" w:line="240" w:lineRule="auto"/>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 xml:space="preserve">Վերոնշյալ ռիսկերի </w:t>
            </w:r>
            <w:r w:rsidRPr="008B63B1">
              <w:rPr>
                <w:rFonts w:ascii="GHEA Grapalat" w:eastAsia="Times New Roman" w:hAnsi="GHEA Grapalat" w:cs="Times New Roman"/>
                <w:b/>
                <w:color w:val="404040"/>
                <w:sz w:val="18"/>
                <w:szCs w:val="18"/>
                <w:shd w:val="clear" w:color="auto" w:fill="D5DCE4"/>
              </w:rPr>
              <w:t>միաժամանակյա հանդես գալու պայմաններում</w:t>
            </w:r>
          </w:p>
        </w:tc>
      </w:tr>
      <w:tr w:rsidR="009939F6" w:rsidRPr="008B63B1" w14:paraId="791FE879" w14:textId="77777777" w:rsidTr="00873AE6">
        <w:trPr>
          <w:trHeight w:val="432"/>
        </w:trPr>
        <w:tc>
          <w:tcPr>
            <w:tcW w:w="5180" w:type="dxa"/>
            <w:tcBorders>
              <w:top w:val="single" w:sz="8" w:space="0" w:color="E1E1E3"/>
              <w:left w:val="single" w:sz="8" w:space="0" w:color="E1E1E3"/>
              <w:bottom w:val="single" w:sz="8" w:space="0" w:color="E1E1E3"/>
              <w:right w:val="single" w:sz="8" w:space="0" w:color="E1E1E3"/>
            </w:tcBorders>
            <w:vAlign w:val="center"/>
            <w:hideMark/>
          </w:tcPr>
          <w:p w14:paraId="3716678E" w14:textId="77777777" w:rsidR="009939F6" w:rsidRPr="008B63B1" w:rsidRDefault="009939F6" w:rsidP="009939F6">
            <w:pPr>
              <w:spacing w:after="0" w:line="240" w:lineRule="auto"/>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ԸՆԴԱՄԵՆԸ</w:t>
            </w:r>
          </w:p>
        </w:tc>
        <w:tc>
          <w:tcPr>
            <w:tcW w:w="1584" w:type="dxa"/>
            <w:tcBorders>
              <w:top w:val="single" w:sz="8" w:space="0" w:color="E1E1E3"/>
              <w:left w:val="single" w:sz="8" w:space="0" w:color="E1E1E3"/>
              <w:bottom w:val="single" w:sz="8" w:space="0" w:color="E1E1E3"/>
              <w:right w:val="single" w:sz="8" w:space="0" w:color="E1E1E3"/>
            </w:tcBorders>
            <w:vAlign w:val="center"/>
            <w:hideMark/>
          </w:tcPr>
          <w:p w14:paraId="718F890D" w14:textId="77777777" w:rsidR="009939F6" w:rsidRPr="008B63B1" w:rsidRDefault="009939F6" w:rsidP="009939F6">
            <w:pPr>
              <w:rPr>
                <w:rFonts w:ascii="GHEA Grapalat" w:eastAsia="Times New Roman" w:hAnsi="GHEA Grapalat" w:cs="Times New Roman"/>
                <w:b/>
                <w:color w:val="404040"/>
                <w:sz w:val="18"/>
                <w:szCs w:val="18"/>
              </w:rPr>
            </w:pPr>
          </w:p>
        </w:tc>
        <w:tc>
          <w:tcPr>
            <w:tcW w:w="1488" w:type="dxa"/>
            <w:tcBorders>
              <w:top w:val="single" w:sz="8" w:space="0" w:color="E1E1E3"/>
              <w:left w:val="single" w:sz="8" w:space="0" w:color="E1E1E3"/>
              <w:bottom w:val="single" w:sz="8" w:space="0" w:color="E1E1E3"/>
              <w:right w:val="single" w:sz="8" w:space="0" w:color="E1E1E3"/>
            </w:tcBorders>
            <w:vAlign w:val="center"/>
            <w:hideMark/>
          </w:tcPr>
          <w:p w14:paraId="2A89A917" w14:textId="77777777" w:rsidR="009939F6" w:rsidRPr="008B63B1" w:rsidRDefault="009939F6" w:rsidP="009939F6">
            <w:pPr>
              <w:spacing w:after="0"/>
              <w:rPr>
                <w:rFonts w:ascii="GHEA Grapalat" w:eastAsia="Times New Roman" w:hAnsi="GHEA Grapalat" w:cs="Times New Roman"/>
                <w:sz w:val="20"/>
                <w:szCs w:val="20"/>
              </w:rPr>
            </w:pPr>
          </w:p>
        </w:tc>
        <w:tc>
          <w:tcPr>
            <w:tcW w:w="1526" w:type="dxa"/>
            <w:tcBorders>
              <w:top w:val="single" w:sz="8" w:space="0" w:color="E1E1E3"/>
              <w:left w:val="single" w:sz="8" w:space="0" w:color="E1E1E3"/>
              <w:bottom w:val="single" w:sz="8" w:space="0" w:color="E1E1E3"/>
              <w:right w:val="single" w:sz="8" w:space="0" w:color="E1E1E3"/>
            </w:tcBorders>
            <w:vAlign w:val="center"/>
            <w:hideMark/>
          </w:tcPr>
          <w:p w14:paraId="7E28AA73" w14:textId="77777777" w:rsidR="009939F6" w:rsidRPr="008B63B1" w:rsidRDefault="009939F6" w:rsidP="009939F6">
            <w:pPr>
              <w:spacing w:after="0"/>
              <w:rPr>
                <w:rFonts w:ascii="GHEA Grapalat" w:eastAsia="Times New Roman" w:hAnsi="GHEA Grapalat" w:cs="Times New Roman"/>
                <w:sz w:val="20"/>
                <w:szCs w:val="20"/>
              </w:rPr>
            </w:pPr>
          </w:p>
        </w:tc>
      </w:tr>
      <w:tr w:rsidR="009939F6" w:rsidRPr="008B63B1" w14:paraId="32BFB86E" w14:textId="77777777" w:rsidTr="00873AE6">
        <w:trPr>
          <w:trHeight w:val="432"/>
        </w:trPr>
        <w:tc>
          <w:tcPr>
            <w:tcW w:w="5180" w:type="dxa"/>
            <w:tcBorders>
              <w:top w:val="single" w:sz="8" w:space="0" w:color="E1E1E3"/>
              <w:left w:val="single" w:sz="8" w:space="0" w:color="E1E1E3"/>
              <w:bottom w:val="single" w:sz="8" w:space="0" w:color="E1E1E3"/>
              <w:right w:val="single" w:sz="8" w:space="0" w:color="E1E1E3"/>
            </w:tcBorders>
            <w:vAlign w:val="center"/>
            <w:hideMark/>
          </w:tcPr>
          <w:p w14:paraId="58265CF9" w14:textId="77777777" w:rsidR="009939F6" w:rsidRPr="008B63B1" w:rsidRDefault="009939F6" w:rsidP="009939F6">
            <w:pPr>
              <w:spacing w:after="0"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000000"/>
                <w:sz w:val="18"/>
                <w:szCs w:val="18"/>
              </w:rPr>
              <w:t>1.4-1.5 տոկոսային կետով ավելի ցածր ՀՆԱ աճ</w:t>
            </w:r>
          </w:p>
        </w:tc>
        <w:tc>
          <w:tcPr>
            <w:tcW w:w="1584" w:type="dxa"/>
            <w:tcBorders>
              <w:top w:val="single" w:sz="8" w:space="0" w:color="E1E1E3"/>
              <w:left w:val="single" w:sz="8" w:space="0" w:color="E1E1E3"/>
              <w:bottom w:val="single" w:sz="8" w:space="0" w:color="E1E1E3"/>
              <w:right w:val="single" w:sz="8" w:space="0" w:color="E1E1E3"/>
            </w:tcBorders>
            <w:vAlign w:val="center"/>
            <w:hideMark/>
          </w:tcPr>
          <w:p w14:paraId="52C98F67"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-56.9</w:t>
            </w:r>
          </w:p>
        </w:tc>
        <w:tc>
          <w:tcPr>
            <w:tcW w:w="1488" w:type="dxa"/>
            <w:tcBorders>
              <w:top w:val="single" w:sz="8" w:space="0" w:color="E1E1E3"/>
              <w:left w:val="single" w:sz="8" w:space="0" w:color="E1E1E3"/>
              <w:bottom w:val="single" w:sz="8" w:space="0" w:color="E1E1E3"/>
              <w:right w:val="single" w:sz="8" w:space="0" w:color="E1E1E3"/>
            </w:tcBorders>
            <w:vAlign w:val="center"/>
            <w:hideMark/>
          </w:tcPr>
          <w:p w14:paraId="198F3F2F"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-83.8</w:t>
            </w:r>
          </w:p>
        </w:tc>
        <w:tc>
          <w:tcPr>
            <w:tcW w:w="1526" w:type="dxa"/>
            <w:tcBorders>
              <w:top w:val="single" w:sz="8" w:space="0" w:color="E1E1E3"/>
              <w:left w:val="single" w:sz="8" w:space="0" w:color="E1E1E3"/>
              <w:bottom w:val="single" w:sz="8" w:space="0" w:color="E1E1E3"/>
              <w:right w:val="single" w:sz="8" w:space="0" w:color="E1E1E3"/>
            </w:tcBorders>
            <w:vAlign w:val="center"/>
            <w:hideMark/>
          </w:tcPr>
          <w:p w14:paraId="27779C9B"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-103.1</w:t>
            </w:r>
          </w:p>
        </w:tc>
      </w:tr>
      <w:tr w:rsidR="009939F6" w:rsidRPr="008B63B1" w14:paraId="4AB9DD3B" w14:textId="77777777" w:rsidTr="00873AE6">
        <w:trPr>
          <w:trHeight w:val="432"/>
        </w:trPr>
        <w:tc>
          <w:tcPr>
            <w:tcW w:w="5180" w:type="dxa"/>
            <w:tcBorders>
              <w:top w:val="single" w:sz="8" w:space="0" w:color="E1E1E3"/>
              <w:left w:val="single" w:sz="8" w:space="0" w:color="E1E1E3"/>
              <w:bottom w:val="single" w:sz="8" w:space="0" w:color="E1E1E3"/>
              <w:right w:val="single" w:sz="8" w:space="0" w:color="E1E1E3"/>
            </w:tcBorders>
            <w:vAlign w:val="center"/>
            <w:hideMark/>
          </w:tcPr>
          <w:p w14:paraId="001330CD" w14:textId="77777777" w:rsidR="009939F6" w:rsidRPr="008B63B1" w:rsidRDefault="009939F6" w:rsidP="009939F6">
            <w:pPr>
              <w:spacing w:after="0"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000000"/>
                <w:sz w:val="18"/>
                <w:szCs w:val="18"/>
              </w:rPr>
              <w:t>1.9 տոկոսային կետով ավելի ցածր ՀՆԱ աճ</w:t>
            </w:r>
          </w:p>
        </w:tc>
        <w:tc>
          <w:tcPr>
            <w:tcW w:w="1584" w:type="dxa"/>
            <w:tcBorders>
              <w:top w:val="single" w:sz="8" w:space="0" w:color="E1E1E3"/>
              <w:left w:val="single" w:sz="8" w:space="0" w:color="E1E1E3"/>
              <w:bottom w:val="single" w:sz="8" w:space="0" w:color="E1E1E3"/>
              <w:right w:val="single" w:sz="8" w:space="0" w:color="E1E1E3"/>
            </w:tcBorders>
            <w:vAlign w:val="center"/>
            <w:hideMark/>
          </w:tcPr>
          <w:p w14:paraId="7B43DDF8"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-65.4</w:t>
            </w:r>
          </w:p>
        </w:tc>
        <w:tc>
          <w:tcPr>
            <w:tcW w:w="1488" w:type="dxa"/>
            <w:tcBorders>
              <w:top w:val="single" w:sz="8" w:space="0" w:color="E1E1E3"/>
              <w:left w:val="single" w:sz="8" w:space="0" w:color="E1E1E3"/>
              <w:bottom w:val="single" w:sz="8" w:space="0" w:color="E1E1E3"/>
              <w:right w:val="single" w:sz="8" w:space="0" w:color="E1E1E3"/>
            </w:tcBorders>
            <w:vAlign w:val="center"/>
            <w:hideMark/>
          </w:tcPr>
          <w:p w14:paraId="75A76775"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-93.1</w:t>
            </w:r>
          </w:p>
        </w:tc>
        <w:tc>
          <w:tcPr>
            <w:tcW w:w="1526" w:type="dxa"/>
            <w:tcBorders>
              <w:top w:val="single" w:sz="8" w:space="0" w:color="E1E1E3"/>
              <w:left w:val="single" w:sz="8" w:space="0" w:color="E1E1E3"/>
              <w:bottom w:val="single" w:sz="8" w:space="0" w:color="E1E1E3"/>
              <w:right w:val="single" w:sz="8" w:space="0" w:color="E1E1E3"/>
            </w:tcBorders>
            <w:vAlign w:val="center"/>
            <w:hideMark/>
          </w:tcPr>
          <w:p w14:paraId="3238DE6E"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-111.3</w:t>
            </w:r>
          </w:p>
        </w:tc>
      </w:tr>
    </w:tbl>
    <w:p w14:paraId="5768EDE9" w14:textId="77777777" w:rsidR="009939F6" w:rsidRPr="008B63B1" w:rsidRDefault="009939F6" w:rsidP="009939F6">
      <w:pPr>
        <w:jc w:val="both"/>
        <w:rPr>
          <w:rFonts w:ascii="GHEA Grapalat" w:eastAsia="Times New Roman" w:hAnsi="GHEA Grapalat" w:cs="Times New Roman"/>
          <w:color w:val="404040"/>
          <w:lang w:val="hy-AM" w:eastAsia="ru-RU"/>
        </w:rPr>
      </w:pPr>
    </w:p>
    <w:p w14:paraId="6F7BD670"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Այսպիսով, գնահատվում է, որ հարկային եկամուտների վրա ազդող վերոնշյալ ռիսկերի միաժամանակյա ի հայտ գալու պարագայում հարկային եկամուտների ծրագրված մակարդակից դիտարկված սցենարներում առավելագույն բացասական շեղումը 2027 թ.-ի համար կկազմի շուրջ 65.4 մլրդ ՀՀ դրամ, իսկ 2028 և 2029 թթ.-ի համար համապատասխանաբար 93.1 մլրդ ՀՀ դրամ և 111.3 մլրդ ՀՀ դրամ: </w:t>
      </w:r>
    </w:p>
    <w:p w14:paraId="7CDE7BDF"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Հարկային եկամուտների վրա առանձին ռիսկերի ազդեցության չափի վերաբերյալ պատկերացում են տալիս նաև ստորև ներկայացվող զգայունության գնահատականները:</w:t>
      </w:r>
    </w:p>
    <w:p w14:paraId="7E431D82" w14:textId="77777777" w:rsidR="009939F6" w:rsidRPr="00A52417" w:rsidRDefault="009939F6" w:rsidP="00A52417">
      <w:pPr>
        <w:pStyle w:val="Charts"/>
        <w:ind w:right="-22"/>
        <w:rPr>
          <w:b w:val="0"/>
          <w:bCs/>
          <w:color w:val="auto"/>
          <w:sz w:val="20"/>
          <w:szCs w:val="18"/>
        </w:rPr>
      </w:pPr>
      <w:bookmarkStart w:id="484" w:name="_Toc178612159"/>
      <w:r w:rsidRPr="00A52417">
        <w:rPr>
          <w:b w:val="0"/>
          <w:bCs/>
          <w:color w:val="auto"/>
          <w:sz w:val="20"/>
          <w:szCs w:val="18"/>
        </w:rPr>
        <w:t>Աղյուսակ Հ2.2 Հարկային եկամուտների զգայունությունը հիմնական տնտեսական գործոնների նկատմամբ, %</w:t>
      </w:r>
      <w:bookmarkEnd w:id="484"/>
    </w:p>
    <w:tbl>
      <w:tblPr>
        <w:tblW w:w="9357" w:type="dxa"/>
        <w:tblBorders>
          <w:top w:val="single" w:sz="4" w:space="0" w:color="E1E1E3"/>
          <w:left w:val="single" w:sz="4" w:space="0" w:color="E1E1E3"/>
          <w:bottom w:val="single" w:sz="4" w:space="0" w:color="E1E1E3"/>
          <w:right w:val="single" w:sz="4" w:space="0" w:color="E1E1E3"/>
          <w:insideH w:val="single" w:sz="4" w:space="0" w:color="E1E1E3"/>
          <w:insideV w:val="single" w:sz="4" w:space="0" w:color="E1E1E3"/>
        </w:tblBorders>
        <w:tblLook w:val="04A0" w:firstRow="1" w:lastRow="0" w:firstColumn="1" w:lastColumn="0" w:noHBand="0" w:noVBand="1"/>
      </w:tblPr>
      <w:tblGrid>
        <w:gridCol w:w="3931"/>
        <w:gridCol w:w="1208"/>
        <w:gridCol w:w="1220"/>
        <w:gridCol w:w="1492"/>
        <w:gridCol w:w="1506"/>
      </w:tblGrid>
      <w:tr w:rsidR="009939F6" w:rsidRPr="008B63B1" w14:paraId="7224B8E3" w14:textId="77777777" w:rsidTr="00873AE6">
        <w:trPr>
          <w:trHeight w:val="360"/>
        </w:trPr>
        <w:tc>
          <w:tcPr>
            <w:tcW w:w="3931" w:type="dxa"/>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6FCFFC09" w14:textId="77777777" w:rsidR="009939F6" w:rsidRPr="008B63B1" w:rsidRDefault="009939F6" w:rsidP="009939F6">
            <w:pPr>
              <w:jc w:val="both"/>
              <w:rPr>
                <w:rFonts w:ascii="GHEA Grapalat" w:eastAsia="Times New Roman" w:hAnsi="GHEA Grapalat" w:cs="Times New Roman"/>
                <w:color w:val="404040"/>
                <w:sz w:val="18"/>
                <w:szCs w:val="18"/>
                <w:lang w:val="hy-AM"/>
              </w:rPr>
            </w:pPr>
            <w:r w:rsidRPr="008B63B1">
              <w:rPr>
                <w:rFonts w:ascii="Calibri" w:eastAsia="Times New Roman" w:hAnsi="Calibri" w:cs="Calibri"/>
                <w:color w:val="404040"/>
                <w:sz w:val="18"/>
                <w:szCs w:val="18"/>
                <w:lang w:val="hy-AM"/>
              </w:rPr>
              <w:t> </w:t>
            </w:r>
          </w:p>
        </w:tc>
        <w:tc>
          <w:tcPr>
            <w:tcW w:w="1208" w:type="dxa"/>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1904D032" w14:textId="77777777" w:rsidR="009939F6" w:rsidRPr="008B63B1" w:rsidRDefault="009939F6" w:rsidP="009939F6">
            <w:pPr>
              <w:jc w:val="center"/>
              <w:rPr>
                <w:rFonts w:ascii="GHEA Grapalat" w:eastAsia="Times New Roman" w:hAnsi="GHEA Grapalat" w:cs="Times New Roman"/>
                <w:b/>
                <w:color w:val="404040"/>
                <w:sz w:val="18"/>
                <w:szCs w:val="18"/>
                <w:lang w:val="ru-RU"/>
              </w:rPr>
            </w:pPr>
            <w:r w:rsidRPr="008B63B1">
              <w:rPr>
                <w:rFonts w:ascii="GHEA Grapalat" w:eastAsia="Times New Roman" w:hAnsi="GHEA Grapalat" w:cs="Times New Roman"/>
                <w:b/>
                <w:color w:val="404040"/>
                <w:sz w:val="18"/>
                <w:szCs w:val="18"/>
              </w:rPr>
              <w:t>ՀՆԱ</w:t>
            </w:r>
          </w:p>
        </w:tc>
        <w:tc>
          <w:tcPr>
            <w:tcW w:w="1220" w:type="dxa"/>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68B3C96E" w14:textId="77777777" w:rsidR="009939F6" w:rsidRPr="008B63B1" w:rsidRDefault="009939F6" w:rsidP="009939F6">
            <w:pPr>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Գնաճ</w:t>
            </w:r>
          </w:p>
        </w:tc>
        <w:tc>
          <w:tcPr>
            <w:tcW w:w="1492" w:type="dxa"/>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544374CD" w14:textId="77777777" w:rsidR="009939F6" w:rsidRPr="008B63B1" w:rsidRDefault="009939F6" w:rsidP="009939F6">
            <w:pPr>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Փոխարժեք</w:t>
            </w:r>
          </w:p>
        </w:tc>
        <w:tc>
          <w:tcPr>
            <w:tcW w:w="1506" w:type="dxa"/>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3AE4AF45" w14:textId="77777777" w:rsidR="009939F6" w:rsidRPr="008B63B1" w:rsidRDefault="009939F6" w:rsidP="009939F6">
            <w:pPr>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Ներմուծում</w:t>
            </w:r>
          </w:p>
        </w:tc>
      </w:tr>
      <w:tr w:rsidR="009939F6" w:rsidRPr="008B63B1" w14:paraId="0E61FE80" w14:textId="77777777" w:rsidTr="00873AE6">
        <w:trPr>
          <w:trHeight w:val="360"/>
        </w:trPr>
        <w:tc>
          <w:tcPr>
            <w:tcW w:w="3931" w:type="dxa"/>
            <w:tcBorders>
              <w:top w:val="single" w:sz="4" w:space="0" w:color="E1E1E3"/>
              <w:left w:val="single" w:sz="4" w:space="0" w:color="E1E1E3"/>
              <w:bottom w:val="single" w:sz="4" w:space="0" w:color="E1E1E3"/>
              <w:right w:val="single" w:sz="4" w:space="0" w:color="E1E1E3"/>
            </w:tcBorders>
            <w:vAlign w:val="center"/>
            <w:hideMark/>
          </w:tcPr>
          <w:p w14:paraId="05D5DFF8" w14:textId="77777777" w:rsidR="009939F6" w:rsidRPr="008B63B1" w:rsidRDefault="009939F6" w:rsidP="009939F6">
            <w:pPr>
              <w:rPr>
                <w:rFonts w:ascii="GHEA Grapalat" w:eastAsia="Times New Roman" w:hAnsi="GHEA Grapalat" w:cs="Times New Roman"/>
                <w:color w:val="404040"/>
                <w:sz w:val="18"/>
                <w:szCs w:val="18"/>
              </w:rPr>
            </w:pPr>
            <w:r w:rsidRPr="008B63B1">
              <w:rPr>
                <w:rFonts w:ascii="GHEA Grapalat" w:eastAsia="Times New Roman" w:hAnsi="GHEA Grapalat" w:cs="Times New Roman"/>
                <w:color w:val="404040"/>
                <w:sz w:val="18"/>
                <w:szCs w:val="18"/>
              </w:rPr>
              <w:t>Տարեկան (շոկին հաջորդող 4 եռամսյակների) ազդեցություն</w:t>
            </w:r>
          </w:p>
        </w:tc>
        <w:tc>
          <w:tcPr>
            <w:tcW w:w="1208" w:type="dxa"/>
            <w:tcBorders>
              <w:top w:val="single" w:sz="4" w:space="0" w:color="E1E1E3"/>
              <w:left w:val="single" w:sz="4" w:space="0" w:color="E1E1E3"/>
              <w:bottom w:val="single" w:sz="4" w:space="0" w:color="E1E1E3"/>
              <w:right w:val="single" w:sz="4" w:space="0" w:color="E1E1E3"/>
            </w:tcBorders>
            <w:vAlign w:val="center"/>
            <w:hideMark/>
          </w:tcPr>
          <w:p w14:paraId="78FDD82D" w14:textId="77777777" w:rsidR="009939F6" w:rsidRPr="008B63B1" w:rsidRDefault="009939F6" w:rsidP="009939F6">
            <w:pPr>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0.99</w:t>
            </w:r>
          </w:p>
        </w:tc>
        <w:tc>
          <w:tcPr>
            <w:tcW w:w="1220" w:type="dxa"/>
            <w:tcBorders>
              <w:top w:val="single" w:sz="4" w:space="0" w:color="E1E1E3"/>
              <w:left w:val="single" w:sz="4" w:space="0" w:color="E1E1E3"/>
              <w:bottom w:val="single" w:sz="4" w:space="0" w:color="E1E1E3"/>
              <w:right w:val="single" w:sz="4" w:space="0" w:color="E1E1E3"/>
            </w:tcBorders>
            <w:vAlign w:val="center"/>
            <w:hideMark/>
          </w:tcPr>
          <w:p w14:paraId="3D5B2132" w14:textId="77777777" w:rsidR="009939F6" w:rsidRPr="008B63B1" w:rsidRDefault="009939F6" w:rsidP="009939F6">
            <w:pPr>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0.66</w:t>
            </w:r>
          </w:p>
        </w:tc>
        <w:tc>
          <w:tcPr>
            <w:tcW w:w="1492" w:type="dxa"/>
            <w:tcBorders>
              <w:top w:val="single" w:sz="4" w:space="0" w:color="E1E1E3"/>
              <w:left w:val="single" w:sz="4" w:space="0" w:color="E1E1E3"/>
              <w:bottom w:val="single" w:sz="4" w:space="0" w:color="E1E1E3"/>
              <w:right w:val="single" w:sz="4" w:space="0" w:color="E1E1E3"/>
            </w:tcBorders>
            <w:vAlign w:val="center"/>
            <w:hideMark/>
          </w:tcPr>
          <w:p w14:paraId="6C1555E6" w14:textId="77777777" w:rsidR="009939F6" w:rsidRPr="008B63B1" w:rsidRDefault="009939F6" w:rsidP="009939F6">
            <w:pPr>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0.26</w:t>
            </w:r>
          </w:p>
        </w:tc>
        <w:tc>
          <w:tcPr>
            <w:tcW w:w="1506" w:type="dxa"/>
            <w:tcBorders>
              <w:top w:val="single" w:sz="4" w:space="0" w:color="E1E1E3"/>
              <w:left w:val="single" w:sz="4" w:space="0" w:color="E1E1E3"/>
              <w:bottom w:val="single" w:sz="4" w:space="0" w:color="E1E1E3"/>
              <w:right w:val="single" w:sz="4" w:space="0" w:color="E1E1E3"/>
            </w:tcBorders>
            <w:vAlign w:val="center"/>
            <w:hideMark/>
          </w:tcPr>
          <w:p w14:paraId="098D577D" w14:textId="77777777" w:rsidR="009939F6" w:rsidRPr="008B63B1" w:rsidRDefault="009939F6" w:rsidP="009939F6">
            <w:pPr>
              <w:jc w:val="center"/>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0.13</w:t>
            </w:r>
          </w:p>
        </w:tc>
      </w:tr>
    </w:tbl>
    <w:p w14:paraId="606D2ECB" w14:textId="77777777" w:rsidR="009939F6" w:rsidRPr="008B63B1" w:rsidRDefault="009939F6" w:rsidP="009939F6">
      <w:pPr>
        <w:jc w:val="both"/>
        <w:rPr>
          <w:rFonts w:ascii="GHEA Grapalat" w:eastAsia="Times New Roman" w:hAnsi="GHEA Grapalat" w:cs="Times New Roman"/>
          <w:color w:val="404040"/>
          <w:lang w:val="hy-AM" w:eastAsia="ru-RU"/>
        </w:rPr>
      </w:pPr>
    </w:p>
    <w:p w14:paraId="57A907B9"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Ինչպես երևում է աղյուսակից, հարկերի հավաքագրման առումով առավել էական գործոններն են ՀՆԱ-ի և գնաճի փոփոխությունները:</w:t>
      </w:r>
    </w:p>
    <w:p w14:paraId="0A9A2638"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Հարկային եկամուտների կանխատեսումների հետ կապված անորոշությունների և ռիսկերի հաշվեկշռի վերաբերյալ գնահատականներն իրենց արտացոլումն են գտել ստորև ներկայացվող հարկային եկամուտների հավանականային բաշխման գծապատկերում և համապատասխան աղյուսակում (տես` Գծապատկեր Հ2.1 և Աղյուսակ Հ2.3): Հավանականային բաշխման գրաֆիկի կառուցման ժամանակ օգտագործվել են աղյուսակ Հ2.1-ում գնահատված ամբողջական ռիսկերի միաժամանակյա հանդես գալու պայմաններում ի հայտ եկող բացասական ռիսկերը, որոնք հանգեցրել են բաշխման դեպի ներքև շեղման։</w:t>
      </w:r>
    </w:p>
    <w:p w14:paraId="56B8D5EF" w14:textId="77777777" w:rsidR="009939F6" w:rsidRPr="00A52417" w:rsidRDefault="009939F6" w:rsidP="00A52417">
      <w:pPr>
        <w:pStyle w:val="Charts"/>
        <w:ind w:right="-22"/>
        <w:rPr>
          <w:b w:val="0"/>
          <w:bCs/>
          <w:color w:val="auto"/>
          <w:sz w:val="20"/>
          <w:szCs w:val="18"/>
        </w:rPr>
      </w:pPr>
      <w:bookmarkStart w:id="485" w:name="_Toc178612160"/>
      <w:bookmarkStart w:id="486" w:name="_Toc178595167"/>
      <w:r w:rsidRPr="00A52417">
        <w:rPr>
          <w:b w:val="0"/>
          <w:bCs/>
          <w:color w:val="auto"/>
          <w:sz w:val="20"/>
          <w:szCs w:val="18"/>
        </w:rPr>
        <w:t>Գծապատկեր Հ2.1. Հարկային եկամուտների տարեկան աճի տեմպերի կանխատեսումների հավանականային բաշխումը, %</w:t>
      </w:r>
      <w:bookmarkEnd w:id="485"/>
      <w:bookmarkEnd w:id="486"/>
    </w:p>
    <w:p w14:paraId="2E0B57F0" w14:textId="68E6BE91" w:rsidR="009939F6" w:rsidRPr="004B63C1" w:rsidRDefault="009939F6" w:rsidP="004B63C1">
      <w:pPr>
        <w:rPr>
          <w:rFonts w:ascii="GHEA Grapalat" w:eastAsia="Times New Roman" w:hAnsi="GHEA Grapalat" w:cs="Times New Roman"/>
          <w:color w:val="404040"/>
          <w:szCs w:val="20"/>
          <w:lang w:val="hy-AM"/>
        </w:rPr>
      </w:pPr>
      <w:r w:rsidRPr="008B63B1">
        <w:rPr>
          <w:rFonts w:ascii="GHEA Grapalat" w:eastAsia="Times New Roman" w:hAnsi="GHEA Grapalat" w:cs="Times New Roman"/>
          <w:noProof/>
          <w:color w:val="404040"/>
        </w:rPr>
        <w:drawing>
          <wp:inline distT="0" distB="0" distL="0" distR="0" wp14:anchorId="45D76C3B" wp14:editId="745FDDD6">
            <wp:extent cx="6035040" cy="2499360"/>
            <wp:effectExtent l="0" t="0" r="3810" b="15240"/>
            <wp:docPr id="1545876475" name="Chart 1545876475">
              <a:extLst xmlns:a="http://schemas.openxmlformats.org/drawingml/2006/main">
                <a:ext uri="{FF2B5EF4-FFF2-40B4-BE49-F238E27FC236}">
                  <a16:creationId xmlns:a16="http://schemas.microsoft.com/office/drawing/2014/main" id="{C2B0A62E-0AE8-4B9F-98B2-C858CF2818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04395DB8" w14:textId="77777777" w:rsidR="009939F6" w:rsidRPr="008B63B1" w:rsidRDefault="009939F6" w:rsidP="009939F6">
      <w:pPr>
        <w:jc w:val="both"/>
        <w:rPr>
          <w:rFonts w:ascii="GHEA Grapalat" w:eastAsia="Times New Roman" w:hAnsi="GHEA Grapalat" w:cs="Times New Roman"/>
          <w:color w:val="404040"/>
          <w:szCs w:val="20"/>
        </w:rPr>
      </w:pPr>
    </w:p>
    <w:p w14:paraId="27CD12EB"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Կանխատեսումների բաշխման հավանականություններն առավել պարզորոշ երևում են ստորև բերվող աղյուսակում:</w:t>
      </w:r>
    </w:p>
    <w:p w14:paraId="015B8842" w14:textId="77777777" w:rsidR="009939F6" w:rsidRPr="00A52417" w:rsidRDefault="009939F6" w:rsidP="00A52417">
      <w:pPr>
        <w:pStyle w:val="Charts"/>
        <w:ind w:right="-22"/>
        <w:rPr>
          <w:b w:val="0"/>
          <w:bCs/>
          <w:color w:val="auto"/>
          <w:sz w:val="20"/>
          <w:szCs w:val="18"/>
        </w:rPr>
      </w:pPr>
      <w:bookmarkStart w:id="487" w:name="_Toc178612161"/>
      <w:r w:rsidRPr="00A52417">
        <w:rPr>
          <w:b w:val="0"/>
          <w:bCs/>
          <w:color w:val="auto"/>
          <w:sz w:val="20"/>
          <w:szCs w:val="18"/>
        </w:rPr>
        <w:t>Աղյուսակ Հ2.3 Հարկային եկամուտների կանխատեսումների հավանականային բաշխումը</w:t>
      </w:r>
      <w:bookmarkEnd w:id="487"/>
      <w:r w:rsidRPr="00A52417">
        <w:rPr>
          <w:b w:val="0"/>
          <w:bCs/>
          <w:color w:val="auto"/>
          <w:sz w:val="20"/>
          <w:szCs w:val="18"/>
        </w:rPr>
        <w:t xml:space="preserve">  </w:t>
      </w:r>
    </w:p>
    <w:tbl>
      <w:tblPr>
        <w:tblW w:w="97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3"/>
        <w:gridCol w:w="2378"/>
        <w:gridCol w:w="2001"/>
        <w:gridCol w:w="2000"/>
      </w:tblGrid>
      <w:tr w:rsidR="009939F6" w:rsidRPr="008B63B1" w14:paraId="2C041CD2" w14:textId="77777777" w:rsidTr="00873AE6">
        <w:trPr>
          <w:trHeight w:val="360"/>
        </w:trPr>
        <w:tc>
          <w:tcPr>
            <w:tcW w:w="3323" w:type="dxa"/>
            <w:tcBorders>
              <w:top w:val="nil"/>
              <w:left w:val="nil"/>
              <w:bottom w:val="single" w:sz="4" w:space="0" w:color="E1E1E3"/>
              <w:right w:val="nil"/>
            </w:tcBorders>
            <w:vAlign w:val="center"/>
          </w:tcPr>
          <w:p w14:paraId="2F86F903" w14:textId="77777777" w:rsidR="009939F6" w:rsidRPr="008B63B1" w:rsidRDefault="009939F6" w:rsidP="009939F6">
            <w:pPr>
              <w:spacing w:after="0" w:line="240" w:lineRule="auto"/>
              <w:jc w:val="both"/>
              <w:rPr>
                <w:rFonts w:ascii="GHEA Grapalat" w:eastAsia="Times New Roman" w:hAnsi="GHEA Grapalat" w:cs="Times New Roman"/>
                <w:color w:val="404040"/>
                <w:sz w:val="18"/>
                <w:szCs w:val="18"/>
                <w:lang w:val="hy-AM"/>
              </w:rPr>
            </w:pPr>
          </w:p>
        </w:tc>
        <w:tc>
          <w:tcPr>
            <w:tcW w:w="2378" w:type="dxa"/>
            <w:tcBorders>
              <w:top w:val="nil"/>
              <w:left w:val="nil"/>
              <w:bottom w:val="single" w:sz="4" w:space="0" w:color="E1E1E3"/>
              <w:right w:val="nil"/>
            </w:tcBorders>
            <w:vAlign w:val="center"/>
            <w:hideMark/>
          </w:tcPr>
          <w:p w14:paraId="680BA1EF" w14:textId="77777777" w:rsidR="009939F6" w:rsidRPr="008B63B1" w:rsidRDefault="009939F6" w:rsidP="009939F6">
            <w:pPr>
              <w:spacing w:after="0"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000000"/>
                <w:sz w:val="18"/>
                <w:szCs w:val="18"/>
                <w:lang w:val="hy-AM"/>
              </w:rPr>
              <w:t>202</w:t>
            </w:r>
            <w:r w:rsidRPr="008B63B1">
              <w:rPr>
                <w:rFonts w:ascii="GHEA Grapalat" w:eastAsia="Times New Roman" w:hAnsi="GHEA Grapalat" w:cs="Times New Roman"/>
                <w:b/>
                <w:color w:val="000000"/>
                <w:sz w:val="18"/>
                <w:szCs w:val="18"/>
              </w:rPr>
              <w:t>7</w:t>
            </w:r>
          </w:p>
        </w:tc>
        <w:tc>
          <w:tcPr>
            <w:tcW w:w="2001" w:type="dxa"/>
            <w:tcBorders>
              <w:top w:val="nil"/>
              <w:left w:val="nil"/>
              <w:bottom w:val="single" w:sz="4" w:space="0" w:color="E1E1E3"/>
              <w:right w:val="nil"/>
            </w:tcBorders>
            <w:vAlign w:val="center"/>
            <w:hideMark/>
          </w:tcPr>
          <w:p w14:paraId="21503BDC" w14:textId="77777777" w:rsidR="009939F6" w:rsidRPr="008B63B1" w:rsidRDefault="009939F6" w:rsidP="009939F6">
            <w:pPr>
              <w:spacing w:after="0"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000000"/>
                <w:sz w:val="18"/>
                <w:szCs w:val="18"/>
                <w:lang w:val="hy-AM"/>
              </w:rPr>
              <w:t>202</w:t>
            </w:r>
            <w:r w:rsidRPr="008B63B1">
              <w:rPr>
                <w:rFonts w:ascii="GHEA Grapalat" w:eastAsia="Times New Roman" w:hAnsi="GHEA Grapalat" w:cs="Times New Roman"/>
                <w:b/>
                <w:color w:val="000000"/>
                <w:sz w:val="18"/>
                <w:szCs w:val="18"/>
              </w:rPr>
              <w:t>8</w:t>
            </w:r>
          </w:p>
        </w:tc>
        <w:tc>
          <w:tcPr>
            <w:tcW w:w="2000" w:type="dxa"/>
            <w:tcBorders>
              <w:top w:val="nil"/>
              <w:left w:val="nil"/>
              <w:bottom w:val="single" w:sz="4" w:space="0" w:color="E1E1E3"/>
              <w:right w:val="nil"/>
            </w:tcBorders>
            <w:vAlign w:val="center"/>
            <w:hideMark/>
          </w:tcPr>
          <w:p w14:paraId="1E15239E" w14:textId="77777777" w:rsidR="009939F6" w:rsidRPr="008B63B1" w:rsidRDefault="009939F6" w:rsidP="009939F6">
            <w:pPr>
              <w:spacing w:after="0"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000000"/>
                <w:sz w:val="18"/>
                <w:szCs w:val="18"/>
                <w:lang w:val="hy-AM"/>
              </w:rPr>
              <w:t>202</w:t>
            </w:r>
            <w:r w:rsidRPr="008B63B1">
              <w:rPr>
                <w:rFonts w:ascii="GHEA Grapalat" w:eastAsia="Times New Roman" w:hAnsi="GHEA Grapalat" w:cs="Times New Roman"/>
                <w:b/>
                <w:color w:val="000000"/>
                <w:sz w:val="18"/>
                <w:szCs w:val="18"/>
              </w:rPr>
              <w:t>9</w:t>
            </w:r>
          </w:p>
        </w:tc>
      </w:tr>
      <w:tr w:rsidR="009939F6" w:rsidRPr="008B63B1" w14:paraId="6C35605B" w14:textId="77777777" w:rsidTr="00873AE6">
        <w:trPr>
          <w:trHeight w:val="720"/>
        </w:trPr>
        <w:tc>
          <w:tcPr>
            <w:tcW w:w="3323" w:type="dxa"/>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34D27583" w14:textId="77777777" w:rsidR="009939F6" w:rsidRPr="008B63B1" w:rsidRDefault="009939F6" w:rsidP="009939F6">
            <w:pPr>
              <w:spacing w:after="0" w:line="240" w:lineRule="auto"/>
              <w:ind w:right="420"/>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Հարկային եկամուտների աճի միջակայքը</w:t>
            </w:r>
          </w:p>
        </w:tc>
        <w:tc>
          <w:tcPr>
            <w:tcW w:w="6379" w:type="dxa"/>
            <w:gridSpan w:val="3"/>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08F2F889" w14:textId="77777777" w:rsidR="009939F6" w:rsidRPr="008B63B1" w:rsidRDefault="009939F6" w:rsidP="009939F6">
            <w:pPr>
              <w:spacing w:after="0" w:line="240" w:lineRule="auto"/>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Հարկային եկամուտների աճի՝ տվյալ միջակայքում ձևավորվելու հավանականությունը</w:t>
            </w:r>
          </w:p>
        </w:tc>
      </w:tr>
      <w:tr w:rsidR="009939F6" w:rsidRPr="008B63B1" w14:paraId="48E2573C" w14:textId="77777777" w:rsidTr="00873AE6">
        <w:trPr>
          <w:trHeight w:val="360"/>
        </w:trPr>
        <w:tc>
          <w:tcPr>
            <w:tcW w:w="3323" w:type="dxa"/>
            <w:tcBorders>
              <w:top w:val="single" w:sz="4" w:space="0" w:color="E1E1E3"/>
              <w:left w:val="single" w:sz="4" w:space="0" w:color="E1E1E3"/>
              <w:bottom w:val="single" w:sz="4" w:space="0" w:color="E1E1E3"/>
              <w:right w:val="single" w:sz="4" w:space="0" w:color="E1E1E3"/>
            </w:tcBorders>
            <w:vAlign w:val="center"/>
            <w:hideMark/>
          </w:tcPr>
          <w:p w14:paraId="56BE72ED" w14:textId="77777777" w:rsidR="009939F6" w:rsidRPr="008B63B1" w:rsidRDefault="009939F6" w:rsidP="009939F6">
            <w:pPr>
              <w:spacing w:after="0" w:line="240" w:lineRule="auto"/>
              <w:jc w:val="both"/>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2-8 տոկոս</w:t>
            </w:r>
          </w:p>
        </w:tc>
        <w:tc>
          <w:tcPr>
            <w:tcW w:w="2378" w:type="dxa"/>
            <w:tcBorders>
              <w:top w:val="single" w:sz="4" w:space="0" w:color="E1E1E3"/>
              <w:left w:val="single" w:sz="4" w:space="0" w:color="E1E1E3"/>
              <w:bottom w:val="single" w:sz="4" w:space="0" w:color="E1E1E3"/>
              <w:right w:val="single" w:sz="4" w:space="0" w:color="E1E1E3"/>
            </w:tcBorders>
            <w:vAlign w:val="center"/>
            <w:hideMark/>
          </w:tcPr>
          <w:p w14:paraId="634BCF47"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0.11</w:t>
            </w:r>
          </w:p>
        </w:tc>
        <w:tc>
          <w:tcPr>
            <w:tcW w:w="2001" w:type="dxa"/>
            <w:tcBorders>
              <w:top w:val="single" w:sz="4" w:space="0" w:color="E1E1E3"/>
              <w:left w:val="single" w:sz="4" w:space="0" w:color="E1E1E3"/>
              <w:bottom w:val="single" w:sz="4" w:space="0" w:color="E1E1E3"/>
              <w:right w:val="single" w:sz="4" w:space="0" w:color="E1E1E3"/>
            </w:tcBorders>
            <w:vAlign w:val="center"/>
            <w:hideMark/>
          </w:tcPr>
          <w:p w14:paraId="6E5BC72F"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0.32</w:t>
            </w:r>
          </w:p>
        </w:tc>
        <w:tc>
          <w:tcPr>
            <w:tcW w:w="2000" w:type="dxa"/>
            <w:tcBorders>
              <w:top w:val="single" w:sz="4" w:space="0" w:color="E1E1E3"/>
              <w:left w:val="single" w:sz="4" w:space="0" w:color="E1E1E3"/>
              <w:bottom w:val="single" w:sz="4" w:space="0" w:color="E1E1E3"/>
              <w:right w:val="single" w:sz="4" w:space="0" w:color="E1E1E3"/>
            </w:tcBorders>
            <w:vAlign w:val="center"/>
            <w:hideMark/>
          </w:tcPr>
          <w:p w14:paraId="51F54198"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0.27</w:t>
            </w:r>
          </w:p>
        </w:tc>
      </w:tr>
      <w:tr w:rsidR="009939F6" w:rsidRPr="008B63B1" w14:paraId="7FCC3D74" w14:textId="77777777" w:rsidTr="00873AE6">
        <w:trPr>
          <w:trHeight w:val="360"/>
        </w:trPr>
        <w:tc>
          <w:tcPr>
            <w:tcW w:w="3323" w:type="dxa"/>
            <w:tcBorders>
              <w:top w:val="single" w:sz="4" w:space="0" w:color="E1E1E3"/>
              <w:left w:val="single" w:sz="4" w:space="0" w:color="E1E1E3"/>
              <w:bottom w:val="single" w:sz="4" w:space="0" w:color="E1E1E3"/>
              <w:right w:val="single" w:sz="4" w:space="0" w:color="E1E1E3"/>
            </w:tcBorders>
            <w:vAlign w:val="center"/>
            <w:hideMark/>
          </w:tcPr>
          <w:p w14:paraId="2E396BAB" w14:textId="77777777" w:rsidR="009939F6" w:rsidRPr="008B63B1" w:rsidRDefault="009939F6" w:rsidP="009939F6">
            <w:pPr>
              <w:spacing w:after="0" w:line="240" w:lineRule="auto"/>
              <w:jc w:val="both"/>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8-14 տոկոս</w:t>
            </w:r>
          </w:p>
        </w:tc>
        <w:tc>
          <w:tcPr>
            <w:tcW w:w="2378" w:type="dxa"/>
            <w:tcBorders>
              <w:top w:val="single" w:sz="4" w:space="0" w:color="E1E1E3"/>
              <w:left w:val="single" w:sz="4" w:space="0" w:color="E1E1E3"/>
              <w:bottom w:val="single" w:sz="4" w:space="0" w:color="E1E1E3"/>
              <w:right w:val="single" w:sz="4" w:space="0" w:color="E1E1E3"/>
            </w:tcBorders>
            <w:vAlign w:val="center"/>
            <w:hideMark/>
          </w:tcPr>
          <w:p w14:paraId="6BE454E9" w14:textId="77777777" w:rsidR="009939F6" w:rsidRPr="008B63B1" w:rsidRDefault="009939F6" w:rsidP="009939F6">
            <w:pPr>
              <w:spacing w:after="0" w:line="240" w:lineRule="auto"/>
              <w:jc w:val="center"/>
              <w:rPr>
                <w:rFonts w:ascii="GHEA Grapalat" w:eastAsia="Times New Roman" w:hAnsi="GHEA Grapalat" w:cs="Times New Roman"/>
                <w:b/>
                <w:color w:val="404040"/>
                <w:sz w:val="18"/>
                <w:szCs w:val="18"/>
                <w:u w:val="single"/>
              </w:rPr>
            </w:pPr>
            <w:r w:rsidRPr="008B63B1">
              <w:rPr>
                <w:rFonts w:ascii="GHEA Grapalat" w:eastAsia="Times New Roman" w:hAnsi="GHEA Grapalat" w:cs="Calibri"/>
                <w:b/>
                <w:bCs/>
                <w:i/>
                <w:iCs/>
                <w:color w:val="000000"/>
                <w:sz w:val="18"/>
                <w:szCs w:val="18"/>
                <w:u w:val="single"/>
              </w:rPr>
              <w:t>0.76</w:t>
            </w:r>
          </w:p>
        </w:tc>
        <w:tc>
          <w:tcPr>
            <w:tcW w:w="2001" w:type="dxa"/>
            <w:tcBorders>
              <w:top w:val="single" w:sz="4" w:space="0" w:color="E1E1E3"/>
              <w:left w:val="single" w:sz="4" w:space="0" w:color="E1E1E3"/>
              <w:bottom w:val="single" w:sz="4" w:space="0" w:color="E1E1E3"/>
              <w:right w:val="single" w:sz="4" w:space="0" w:color="E1E1E3"/>
            </w:tcBorders>
            <w:vAlign w:val="center"/>
            <w:hideMark/>
          </w:tcPr>
          <w:p w14:paraId="319A6E06" w14:textId="77777777" w:rsidR="009939F6" w:rsidRPr="008B63B1" w:rsidRDefault="009939F6" w:rsidP="009939F6">
            <w:pPr>
              <w:spacing w:after="0" w:line="240" w:lineRule="auto"/>
              <w:jc w:val="center"/>
              <w:rPr>
                <w:rFonts w:ascii="GHEA Grapalat" w:eastAsia="Times New Roman" w:hAnsi="GHEA Grapalat" w:cs="Times New Roman"/>
                <w:b/>
                <w:color w:val="404040"/>
                <w:sz w:val="18"/>
                <w:szCs w:val="18"/>
                <w:u w:val="single"/>
              </w:rPr>
            </w:pPr>
            <w:r w:rsidRPr="008B63B1">
              <w:rPr>
                <w:rFonts w:ascii="GHEA Grapalat" w:eastAsia="Times New Roman" w:hAnsi="GHEA Grapalat" w:cs="Calibri"/>
                <w:b/>
                <w:bCs/>
                <w:i/>
                <w:iCs/>
                <w:color w:val="000000"/>
                <w:sz w:val="18"/>
                <w:szCs w:val="18"/>
                <w:u w:val="single"/>
              </w:rPr>
              <w:t>0.66</w:t>
            </w:r>
          </w:p>
        </w:tc>
        <w:tc>
          <w:tcPr>
            <w:tcW w:w="2000" w:type="dxa"/>
            <w:tcBorders>
              <w:top w:val="single" w:sz="4" w:space="0" w:color="E1E1E3"/>
              <w:left w:val="single" w:sz="4" w:space="0" w:color="E1E1E3"/>
              <w:bottom w:val="single" w:sz="4" w:space="0" w:color="E1E1E3"/>
              <w:right w:val="single" w:sz="4" w:space="0" w:color="E1E1E3"/>
            </w:tcBorders>
            <w:vAlign w:val="center"/>
            <w:hideMark/>
          </w:tcPr>
          <w:p w14:paraId="0C7BADEE" w14:textId="77777777" w:rsidR="009939F6" w:rsidRPr="008B63B1" w:rsidRDefault="009939F6" w:rsidP="009939F6">
            <w:pPr>
              <w:spacing w:after="0" w:line="240" w:lineRule="auto"/>
              <w:jc w:val="center"/>
              <w:rPr>
                <w:rFonts w:ascii="GHEA Grapalat" w:eastAsia="Times New Roman" w:hAnsi="GHEA Grapalat" w:cs="Times New Roman"/>
                <w:b/>
                <w:color w:val="404040"/>
                <w:sz w:val="18"/>
                <w:szCs w:val="18"/>
                <w:u w:val="single"/>
              </w:rPr>
            </w:pPr>
            <w:r w:rsidRPr="008B63B1">
              <w:rPr>
                <w:rFonts w:ascii="GHEA Grapalat" w:eastAsia="Times New Roman" w:hAnsi="GHEA Grapalat" w:cs="Calibri"/>
                <w:b/>
                <w:bCs/>
                <w:i/>
                <w:iCs/>
                <w:color w:val="000000"/>
                <w:sz w:val="18"/>
                <w:szCs w:val="18"/>
                <w:u w:val="single"/>
              </w:rPr>
              <w:t>0.70</w:t>
            </w:r>
          </w:p>
        </w:tc>
      </w:tr>
      <w:tr w:rsidR="009939F6" w:rsidRPr="008B63B1" w14:paraId="0AF01E42" w14:textId="77777777" w:rsidTr="00873AE6">
        <w:trPr>
          <w:trHeight w:val="360"/>
        </w:trPr>
        <w:tc>
          <w:tcPr>
            <w:tcW w:w="3323" w:type="dxa"/>
            <w:tcBorders>
              <w:top w:val="single" w:sz="4" w:space="0" w:color="E1E1E3"/>
              <w:left w:val="single" w:sz="4" w:space="0" w:color="E1E1E3"/>
              <w:bottom w:val="single" w:sz="4" w:space="0" w:color="E1E1E3"/>
              <w:right w:val="single" w:sz="4" w:space="0" w:color="E1E1E3"/>
            </w:tcBorders>
            <w:vAlign w:val="center"/>
            <w:hideMark/>
          </w:tcPr>
          <w:p w14:paraId="595E7B9B" w14:textId="77777777" w:rsidR="009939F6" w:rsidRPr="008B63B1" w:rsidRDefault="009939F6" w:rsidP="009939F6">
            <w:pPr>
              <w:spacing w:after="0" w:line="240" w:lineRule="auto"/>
              <w:jc w:val="both"/>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14-20 տոկոս</w:t>
            </w:r>
          </w:p>
        </w:tc>
        <w:tc>
          <w:tcPr>
            <w:tcW w:w="2378" w:type="dxa"/>
            <w:tcBorders>
              <w:top w:val="single" w:sz="4" w:space="0" w:color="E1E1E3"/>
              <w:left w:val="single" w:sz="4" w:space="0" w:color="E1E1E3"/>
              <w:bottom w:val="single" w:sz="4" w:space="0" w:color="E1E1E3"/>
              <w:right w:val="single" w:sz="4" w:space="0" w:color="E1E1E3"/>
            </w:tcBorders>
            <w:vAlign w:val="center"/>
            <w:hideMark/>
          </w:tcPr>
          <w:p w14:paraId="18B8DBE0"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0.13</w:t>
            </w:r>
          </w:p>
        </w:tc>
        <w:tc>
          <w:tcPr>
            <w:tcW w:w="2001" w:type="dxa"/>
            <w:tcBorders>
              <w:top w:val="single" w:sz="4" w:space="0" w:color="E1E1E3"/>
              <w:left w:val="single" w:sz="4" w:space="0" w:color="E1E1E3"/>
              <w:bottom w:val="single" w:sz="4" w:space="0" w:color="E1E1E3"/>
              <w:right w:val="single" w:sz="4" w:space="0" w:color="E1E1E3"/>
            </w:tcBorders>
            <w:vAlign w:val="center"/>
            <w:hideMark/>
          </w:tcPr>
          <w:p w14:paraId="06D7EFCE"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0.02</w:t>
            </w:r>
          </w:p>
        </w:tc>
        <w:tc>
          <w:tcPr>
            <w:tcW w:w="2000" w:type="dxa"/>
            <w:tcBorders>
              <w:top w:val="single" w:sz="4" w:space="0" w:color="E1E1E3"/>
              <w:left w:val="single" w:sz="4" w:space="0" w:color="E1E1E3"/>
              <w:bottom w:val="single" w:sz="4" w:space="0" w:color="E1E1E3"/>
              <w:right w:val="single" w:sz="4" w:space="0" w:color="E1E1E3"/>
            </w:tcBorders>
            <w:vAlign w:val="center"/>
            <w:hideMark/>
          </w:tcPr>
          <w:p w14:paraId="251753A1"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0.03</w:t>
            </w:r>
          </w:p>
        </w:tc>
      </w:tr>
    </w:tbl>
    <w:p w14:paraId="38C58A7E" w14:textId="77777777" w:rsidR="009939F6" w:rsidRPr="008B63B1" w:rsidRDefault="009939F6" w:rsidP="009939F6">
      <w:pPr>
        <w:jc w:val="both"/>
        <w:rPr>
          <w:rFonts w:ascii="GHEA Grapalat" w:eastAsia="Times New Roman" w:hAnsi="GHEA Grapalat" w:cs="Times New Roman"/>
          <w:color w:val="404040"/>
          <w:lang w:val="hy-AM"/>
        </w:rPr>
      </w:pPr>
    </w:p>
    <w:p w14:paraId="0D5EC650" w14:textId="77777777" w:rsidR="009939F6" w:rsidRPr="008B63B1" w:rsidRDefault="009939F6" w:rsidP="009939F6">
      <w:pPr>
        <w:jc w:val="both"/>
        <w:rPr>
          <w:rFonts w:ascii="GHEA Grapalat" w:eastAsia="Times New Roman" w:hAnsi="GHEA Grapalat" w:cs="Times New Roman"/>
          <w:color w:val="404040"/>
          <w:lang w:val="hy-AM"/>
        </w:rPr>
      </w:pPr>
      <w:r w:rsidRPr="008B63B1">
        <w:rPr>
          <w:rFonts w:ascii="GHEA Grapalat" w:eastAsia="Times New Roman" w:hAnsi="GHEA Grapalat" w:cs="Times New Roman"/>
          <w:color w:val="404040"/>
          <w:lang w:val="hy-AM"/>
        </w:rPr>
        <w:t>Աղյուսակ Հ2.3-ի առաջին սյունը ներկայացնում է հարկային եկամուտների աճի միջակայքերը, իսկ 2-ից 4-րդ սյուները` նշված միջակայքերից յուրաքանչյուրում այդ աճի ձևավորվելու հավանականությունները` ըստ միջնաժամկետ կանխատեսումների: Համաձայն գնահատականների, 2027-2029 թվականներին հարկային եկամուտների աճի տեմպի՝ 8-14% միջակայքում գտնվելու հավանականությունն ամենաբարձրն է՝ անգամ հաշվի առնելով դիտարկված համաժամանակյա շոկի հանդես գալու սցենարը (Գծապատկեր Հ2.1-ում այն մուգ կարմիր է, իսկ Աղյուսակ Հ2.3-ում՝ թավատառ):</w:t>
      </w:r>
    </w:p>
    <w:p w14:paraId="07EAA9EE" w14:textId="77777777" w:rsidR="009939F6" w:rsidRPr="008B63B1" w:rsidRDefault="009939F6" w:rsidP="009939F6">
      <w:pPr>
        <w:spacing w:before="360" w:after="0"/>
        <w:rPr>
          <w:rFonts w:ascii="GHEA Grapalat" w:eastAsia="Times New Roman" w:hAnsi="GHEA Grapalat" w:cs="Times New Roman"/>
          <w:color w:val="A6A6A6"/>
          <w:szCs w:val="20"/>
          <w:lang w:val="hy-AM"/>
        </w:rPr>
      </w:pPr>
      <w:bookmarkStart w:id="488" w:name="_Toc170750604"/>
      <w:r w:rsidRPr="008B63B1">
        <w:rPr>
          <w:rFonts w:ascii="GHEA Grapalat" w:eastAsia="Times New Roman" w:hAnsi="GHEA Grapalat" w:cs="Times New Roman"/>
          <w:color w:val="A6A6A6"/>
          <w:szCs w:val="20"/>
          <w:lang w:val="hy-AM"/>
        </w:rPr>
        <w:t>Հ2.1.2. 2027 ԹՎԱԿԱՆԻ ՊԵՏԱԿԱՆ ԲՅՈՒՋԵԻ ԵՎ ՄԻՋՆԱԺԱՄԿԵՏ ՀՈՐԻԶՈՆԻ ՄԱԿՐՈՏՆՏԵՍԱԿԱՆ ՑՈՒՑԱՆԻՇՆԵՐԻ ԿԱՆԽԱՏԵՍՎԱԾԻՑ ՇԵՂՄԱՆ ՌԻՍԿԵՐԻ ԱԶԴԵՑՈՒԹՅԱՆ ԸՆԴՀԱՆՈՒՐ ԳՆԱՀԱՏԱԿԱՆԸ ԵՎ ԴՐԱՆՑ ՄԵՂՄՄԱՆ ՀՆԱՐԱՎՈՐՈՒԹՅՈՒՆՆԵՐԸ</w:t>
      </w:r>
      <w:bookmarkEnd w:id="488"/>
    </w:p>
    <w:p w14:paraId="5085D225"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Կանխատեսումներում մեծ ուշադրություն է դարձվում նաև պետական բյուջեի ծախսերի պլանավորված մակարդակների ապահովումը խաթարող ռիսկերին, որոնք կարող են հանգեցնել լրացուցիչ ֆինանսավորման պահանջի առաջացման: </w:t>
      </w:r>
    </w:p>
    <w:p w14:paraId="38DBC89B" w14:textId="77777777" w:rsidR="009939F6" w:rsidRPr="00A52417" w:rsidRDefault="009939F6" w:rsidP="00A52417">
      <w:pPr>
        <w:pStyle w:val="Charts"/>
        <w:ind w:right="-22"/>
        <w:rPr>
          <w:b w:val="0"/>
          <w:bCs/>
          <w:color w:val="auto"/>
          <w:sz w:val="20"/>
          <w:szCs w:val="18"/>
        </w:rPr>
      </w:pPr>
      <w:bookmarkStart w:id="489" w:name="_Toc178612162"/>
      <w:r w:rsidRPr="00A52417">
        <w:rPr>
          <w:b w:val="0"/>
          <w:bCs/>
          <w:color w:val="auto"/>
          <w:sz w:val="20"/>
          <w:szCs w:val="18"/>
        </w:rPr>
        <w:t>Աղյուսակ Հ2.4 ՀՀ պետական բյուջեի հարկային եկամուտների և ծախսերի, ինչպես նաև այլ հոսքերի գծով ռիսկերի ընդհանուր ազդեցությունը</w:t>
      </w:r>
      <w:r w:rsidRPr="00A52417">
        <w:rPr>
          <w:b w:val="0"/>
          <w:bCs/>
          <w:color w:val="auto"/>
          <w:sz w:val="20"/>
          <w:szCs w:val="18"/>
        </w:rPr>
        <w:footnoteReference w:id="27"/>
      </w:r>
      <w:r w:rsidRPr="00A52417">
        <w:rPr>
          <w:b w:val="0"/>
          <w:bCs/>
          <w:color w:val="auto"/>
          <w:sz w:val="20"/>
          <w:szCs w:val="18"/>
        </w:rPr>
        <w:t xml:space="preserve"> (ֆինանսավորման պահանջ` - պահանջի մեծացում, + պահանջի նվազում), մլրդ ՀՀ դրամ</w:t>
      </w:r>
      <w:bookmarkEnd w:id="489"/>
    </w:p>
    <w:tbl>
      <w:tblPr>
        <w:tblW w:w="9805" w:type="dxa"/>
        <w:tblBorders>
          <w:top w:val="single" w:sz="4" w:space="0" w:color="E1E1E3"/>
          <w:left w:val="single" w:sz="4" w:space="0" w:color="E1E1E3"/>
          <w:bottom w:val="single" w:sz="4" w:space="0" w:color="E1E1E3"/>
          <w:right w:val="single" w:sz="4" w:space="0" w:color="E1E1E3"/>
          <w:insideH w:val="single" w:sz="4" w:space="0" w:color="E1E1E3"/>
          <w:insideV w:val="single" w:sz="4" w:space="0" w:color="E1E1E3"/>
        </w:tblBorders>
        <w:tblLook w:val="04A0" w:firstRow="1" w:lastRow="0" w:firstColumn="1" w:lastColumn="0" w:noHBand="0" w:noVBand="1"/>
      </w:tblPr>
      <w:tblGrid>
        <w:gridCol w:w="5485"/>
        <w:gridCol w:w="1440"/>
        <w:gridCol w:w="1440"/>
        <w:gridCol w:w="1440"/>
      </w:tblGrid>
      <w:tr w:rsidR="009939F6" w:rsidRPr="008B63B1" w14:paraId="577030C7" w14:textId="77777777" w:rsidTr="00873AE6">
        <w:trPr>
          <w:trHeight w:val="580"/>
        </w:trPr>
        <w:tc>
          <w:tcPr>
            <w:tcW w:w="5485" w:type="dxa"/>
            <w:vMerge w:val="restart"/>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62ABC31D" w14:textId="77777777" w:rsidR="009939F6" w:rsidRPr="008B63B1" w:rsidRDefault="009939F6" w:rsidP="009939F6">
            <w:pPr>
              <w:spacing w:after="0" w:line="240" w:lineRule="auto"/>
              <w:ind w:right="22"/>
              <w:rPr>
                <w:rFonts w:ascii="GHEA Grapalat" w:eastAsia="Times New Roman" w:hAnsi="GHEA Grapalat" w:cs="Times New Roman"/>
                <w:b/>
                <w:color w:val="404040"/>
                <w:sz w:val="18"/>
                <w:szCs w:val="18"/>
                <w:lang w:val="ru-RU"/>
              </w:rPr>
            </w:pPr>
            <w:r w:rsidRPr="008B63B1">
              <w:rPr>
                <w:rFonts w:ascii="GHEA Grapalat" w:eastAsia="Times New Roman" w:hAnsi="GHEA Grapalat" w:cs="Times New Roman"/>
                <w:b/>
                <w:color w:val="404040"/>
                <w:sz w:val="18"/>
                <w:szCs w:val="18"/>
              </w:rPr>
              <w:t>Մակրոտնտեսական ցուցանիշների կանխատեսվող ռիսկեր</w:t>
            </w:r>
          </w:p>
        </w:tc>
        <w:tc>
          <w:tcPr>
            <w:tcW w:w="1440" w:type="dxa"/>
            <w:vMerge w:val="restart"/>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72692372" w14:textId="77777777" w:rsidR="009939F6" w:rsidRPr="008B63B1" w:rsidRDefault="009939F6" w:rsidP="009939F6">
            <w:pPr>
              <w:spacing w:after="0"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7</w:t>
            </w:r>
          </w:p>
        </w:tc>
        <w:tc>
          <w:tcPr>
            <w:tcW w:w="1440" w:type="dxa"/>
            <w:vMerge w:val="restart"/>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4681CC8B" w14:textId="77777777" w:rsidR="009939F6" w:rsidRPr="008B63B1" w:rsidRDefault="009939F6" w:rsidP="009939F6">
            <w:pPr>
              <w:spacing w:after="0"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8</w:t>
            </w:r>
          </w:p>
        </w:tc>
        <w:tc>
          <w:tcPr>
            <w:tcW w:w="1440" w:type="dxa"/>
            <w:vMerge w:val="restart"/>
            <w:tcBorders>
              <w:top w:val="single" w:sz="4" w:space="0" w:color="E1E1E3"/>
              <w:left w:val="single" w:sz="4" w:space="0" w:color="E1E1E3"/>
              <w:bottom w:val="single" w:sz="4" w:space="0" w:color="E1E1E3"/>
              <w:right w:val="single" w:sz="4" w:space="0" w:color="E1E1E3"/>
            </w:tcBorders>
            <w:shd w:val="clear" w:color="auto" w:fill="D5DCE4"/>
            <w:vAlign w:val="center"/>
            <w:hideMark/>
          </w:tcPr>
          <w:p w14:paraId="7C90BB59" w14:textId="77777777" w:rsidR="009939F6" w:rsidRPr="008B63B1" w:rsidRDefault="009939F6" w:rsidP="009939F6">
            <w:pPr>
              <w:spacing w:after="0" w:line="240" w:lineRule="auto"/>
              <w:jc w:val="center"/>
              <w:rPr>
                <w:rFonts w:ascii="GHEA Grapalat" w:eastAsia="Times New Roman" w:hAnsi="GHEA Grapalat" w:cs="Times New Roman"/>
                <w:b/>
                <w:color w:val="404040"/>
                <w:sz w:val="18"/>
                <w:szCs w:val="18"/>
                <w:lang w:val="hy-AM"/>
              </w:rPr>
            </w:pPr>
            <w:r w:rsidRPr="008B63B1">
              <w:rPr>
                <w:rFonts w:ascii="GHEA Grapalat" w:eastAsia="Times New Roman" w:hAnsi="GHEA Grapalat" w:cs="Times New Roman"/>
                <w:b/>
                <w:color w:val="404040"/>
                <w:sz w:val="18"/>
                <w:szCs w:val="18"/>
              </w:rPr>
              <w:t>202</w:t>
            </w:r>
            <w:r w:rsidRPr="008B63B1">
              <w:rPr>
                <w:rFonts w:ascii="GHEA Grapalat" w:eastAsia="Times New Roman" w:hAnsi="GHEA Grapalat" w:cs="Times New Roman"/>
                <w:b/>
                <w:color w:val="404040"/>
                <w:sz w:val="18"/>
                <w:szCs w:val="18"/>
                <w:lang w:val="hy-AM"/>
              </w:rPr>
              <w:t>9</w:t>
            </w:r>
          </w:p>
        </w:tc>
      </w:tr>
      <w:tr w:rsidR="009939F6" w:rsidRPr="008B63B1" w14:paraId="06163A7F" w14:textId="77777777" w:rsidTr="00873AE6">
        <w:trPr>
          <w:trHeight w:val="587"/>
        </w:trPr>
        <w:tc>
          <w:tcPr>
            <w:tcW w:w="0" w:type="auto"/>
            <w:vMerge/>
            <w:tcBorders>
              <w:top w:val="single" w:sz="4" w:space="0" w:color="E1E1E3"/>
              <w:left w:val="single" w:sz="4" w:space="0" w:color="E1E1E3"/>
              <w:bottom w:val="single" w:sz="4" w:space="0" w:color="E1E1E3"/>
              <w:right w:val="single" w:sz="4" w:space="0" w:color="E1E1E3"/>
            </w:tcBorders>
            <w:vAlign w:val="center"/>
            <w:hideMark/>
          </w:tcPr>
          <w:p w14:paraId="060C2E6B" w14:textId="77777777" w:rsidR="009939F6" w:rsidRPr="008B63B1" w:rsidRDefault="009939F6" w:rsidP="009939F6">
            <w:pPr>
              <w:spacing w:after="0"/>
              <w:rPr>
                <w:rFonts w:ascii="GHEA Grapalat" w:eastAsia="Times New Roman" w:hAnsi="GHEA Grapalat" w:cs="Times New Roman"/>
                <w:b/>
                <w:color w:val="404040"/>
                <w:sz w:val="18"/>
                <w:szCs w:val="18"/>
                <w:lang w:val="ru-RU"/>
              </w:rPr>
            </w:pPr>
          </w:p>
        </w:tc>
        <w:tc>
          <w:tcPr>
            <w:tcW w:w="0" w:type="auto"/>
            <w:vMerge/>
            <w:tcBorders>
              <w:top w:val="single" w:sz="4" w:space="0" w:color="E1E1E3"/>
              <w:left w:val="single" w:sz="4" w:space="0" w:color="E1E1E3"/>
              <w:bottom w:val="single" w:sz="4" w:space="0" w:color="E1E1E3"/>
              <w:right w:val="single" w:sz="4" w:space="0" w:color="E1E1E3"/>
            </w:tcBorders>
            <w:vAlign w:val="center"/>
            <w:hideMark/>
          </w:tcPr>
          <w:p w14:paraId="1C5D7678" w14:textId="77777777" w:rsidR="009939F6" w:rsidRPr="008B63B1" w:rsidRDefault="009939F6" w:rsidP="009939F6">
            <w:pPr>
              <w:spacing w:after="0"/>
              <w:rPr>
                <w:rFonts w:ascii="GHEA Grapalat" w:eastAsia="Times New Roman" w:hAnsi="GHEA Grapalat" w:cs="Times New Roman"/>
                <w:b/>
                <w:color w:val="404040"/>
                <w:sz w:val="18"/>
                <w:szCs w:val="18"/>
              </w:rPr>
            </w:pPr>
          </w:p>
        </w:tc>
        <w:tc>
          <w:tcPr>
            <w:tcW w:w="0" w:type="auto"/>
            <w:vMerge/>
            <w:tcBorders>
              <w:top w:val="single" w:sz="4" w:space="0" w:color="E1E1E3"/>
              <w:left w:val="single" w:sz="4" w:space="0" w:color="E1E1E3"/>
              <w:bottom w:val="single" w:sz="4" w:space="0" w:color="E1E1E3"/>
              <w:right w:val="single" w:sz="4" w:space="0" w:color="E1E1E3"/>
            </w:tcBorders>
            <w:vAlign w:val="center"/>
            <w:hideMark/>
          </w:tcPr>
          <w:p w14:paraId="4896AAE4" w14:textId="77777777" w:rsidR="009939F6" w:rsidRPr="008B63B1" w:rsidRDefault="009939F6" w:rsidP="009939F6">
            <w:pPr>
              <w:spacing w:after="0"/>
              <w:rPr>
                <w:rFonts w:ascii="GHEA Grapalat" w:eastAsia="Times New Roman" w:hAnsi="GHEA Grapalat" w:cs="Times New Roman"/>
                <w:b/>
                <w:color w:val="404040"/>
                <w:sz w:val="18"/>
                <w:szCs w:val="18"/>
              </w:rPr>
            </w:pPr>
          </w:p>
        </w:tc>
        <w:tc>
          <w:tcPr>
            <w:tcW w:w="0" w:type="auto"/>
            <w:vMerge/>
            <w:tcBorders>
              <w:top w:val="single" w:sz="4" w:space="0" w:color="E1E1E3"/>
              <w:left w:val="single" w:sz="4" w:space="0" w:color="E1E1E3"/>
              <w:bottom w:val="single" w:sz="4" w:space="0" w:color="E1E1E3"/>
              <w:right w:val="single" w:sz="4" w:space="0" w:color="E1E1E3"/>
            </w:tcBorders>
            <w:vAlign w:val="center"/>
            <w:hideMark/>
          </w:tcPr>
          <w:p w14:paraId="5726C9BD" w14:textId="77777777" w:rsidR="009939F6" w:rsidRPr="008B63B1" w:rsidRDefault="009939F6" w:rsidP="009939F6">
            <w:pPr>
              <w:spacing w:after="0"/>
              <w:rPr>
                <w:rFonts w:ascii="GHEA Grapalat" w:eastAsia="Times New Roman" w:hAnsi="GHEA Grapalat" w:cs="Times New Roman"/>
                <w:b/>
                <w:color w:val="404040"/>
                <w:sz w:val="18"/>
                <w:szCs w:val="18"/>
              </w:rPr>
            </w:pPr>
          </w:p>
        </w:tc>
      </w:tr>
      <w:tr w:rsidR="009939F6" w:rsidRPr="008B63B1" w14:paraId="1F4E8D41" w14:textId="77777777" w:rsidTr="00873AE6">
        <w:trPr>
          <w:trHeight w:val="360"/>
        </w:trPr>
        <w:tc>
          <w:tcPr>
            <w:tcW w:w="9805" w:type="dxa"/>
            <w:gridSpan w:val="4"/>
            <w:tcBorders>
              <w:top w:val="single" w:sz="8" w:space="0" w:color="E1E1E3"/>
              <w:left w:val="single" w:sz="8" w:space="0" w:color="E1E1E3"/>
              <w:bottom w:val="single" w:sz="8" w:space="0" w:color="E1E1E3"/>
              <w:right w:val="single" w:sz="8" w:space="0" w:color="E1E1E3"/>
            </w:tcBorders>
            <w:vAlign w:val="center"/>
            <w:hideMark/>
          </w:tcPr>
          <w:p w14:paraId="1DCEBDA8" w14:textId="77777777" w:rsidR="009939F6" w:rsidRPr="008B63B1" w:rsidRDefault="009939F6" w:rsidP="009939F6">
            <w:pPr>
              <w:spacing w:after="0" w:line="240" w:lineRule="auto"/>
              <w:rPr>
                <w:rFonts w:ascii="GHEA Grapalat" w:eastAsia="Times New Roman" w:hAnsi="GHEA Grapalat" w:cs="Times New Roman"/>
                <w:color w:val="404040"/>
                <w:sz w:val="18"/>
                <w:szCs w:val="18"/>
              </w:rPr>
            </w:pPr>
            <w:r w:rsidRPr="008B63B1">
              <w:rPr>
                <w:rFonts w:ascii="GHEA Grapalat" w:eastAsia="Times New Roman" w:hAnsi="GHEA Grapalat" w:cs="Times New Roman"/>
                <w:color w:val="000000"/>
                <w:sz w:val="18"/>
                <w:szCs w:val="20"/>
              </w:rPr>
              <w:t>1. Կանխատեսվածից ավելի ցածր իրական ՀՆԱ-ի աճ</w:t>
            </w:r>
          </w:p>
        </w:tc>
      </w:tr>
      <w:tr w:rsidR="009939F6" w:rsidRPr="008B63B1" w14:paraId="2261CBAE" w14:textId="77777777" w:rsidTr="00873AE6">
        <w:trPr>
          <w:trHeight w:val="360"/>
        </w:trPr>
        <w:tc>
          <w:tcPr>
            <w:tcW w:w="5485" w:type="dxa"/>
            <w:tcBorders>
              <w:top w:val="single" w:sz="8" w:space="0" w:color="E1E1E3"/>
              <w:left w:val="single" w:sz="8" w:space="0" w:color="E1E1E3"/>
              <w:bottom w:val="single" w:sz="8" w:space="0" w:color="E1E1E3"/>
              <w:right w:val="single" w:sz="8" w:space="0" w:color="E1E1E3"/>
            </w:tcBorders>
            <w:vAlign w:val="center"/>
            <w:hideMark/>
          </w:tcPr>
          <w:p w14:paraId="238DCB6F" w14:textId="77777777" w:rsidR="009939F6" w:rsidRPr="008B63B1" w:rsidRDefault="009939F6" w:rsidP="009939F6">
            <w:pPr>
              <w:spacing w:after="0" w:line="240" w:lineRule="auto"/>
              <w:ind w:right="202"/>
              <w:rPr>
                <w:rFonts w:ascii="GHEA Grapalat" w:eastAsia="Times New Roman" w:hAnsi="GHEA Grapalat" w:cs="Times New Roman"/>
                <w:color w:val="404040"/>
                <w:sz w:val="18"/>
                <w:szCs w:val="18"/>
                <w:lang w:val="hy-AM"/>
              </w:rPr>
            </w:pPr>
            <w:r w:rsidRPr="008B63B1">
              <w:rPr>
                <w:rFonts w:ascii="GHEA Grapalat" w:eastAsia="Times New Roman" w:hAnsi="GHEA Grapalat" w:cs="Times New Roman"/>
                <w:color w:val="000000"/>
                <w:sz w:val="18"/>
                <w:szCs w:val="20"/>
                <w:lang w:val="hy-AM"/>
              </w:rPr>
              <w:t xml:space="preserve">    Կանխատեսումից 1.4-1.5 տոկոսային կետով ցածր աճ</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11C22C7B"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-26.9</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61312547"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-29.6</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356FF048"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-34.6</w:t>
            </w:r>
          </w:p>
        </w:tc>
      </w:tr>
      <w:tr w:rsidR="009939F6" w:rsidRPr="008B63B1" w14:paraId="7B977976" w14:textId="77777777" w:rsidTr="00873AE6">
        <w:trPr>
          <w:trHeight w:val="360"/>
        </w:trPr>
        <w:tc>
          <w:tcPr>
            <w:tcW w:w="5485" w:type="dxa"/>
            <w:tcBorders>
              <w:top w:val="single" w:sz="8" w:space="0" w:color="E1E1E3"/>
              <w:left w:val="single" w:sz="8" w:space="0" w:color="E1E1E3"/>
              <w:bottom w:val="single" w:sz="8" w:space="0" w:color="E1E1E3"/>
              <w:right w:val="single" w:sz="8" w:space="0" w:color="E1E1E3"/>
            </w:tcBorders>
            <w:vAlign w:val="center"/>
            <w:hideMark/>
          </w:tcPr>
          <w:p w14:paraId="1CCF9DAB" w14:textId="77777777" w:rsidR="009939F6" w:rsidRPr="008B63B1" w:rsidRDefault="009939F6" w:rsidP="009939F6">
            <w:pPr>
              <w:spacing w:after="0" w:line="240" w:lineRule="auto"/>
              <w:ind w:right="202"/>
              <w:rPr>
                <w:rFonts w:ascii="GHEA Grapalat" w:eastAsia="Times New Roman" w:hAnsi="GHEA Grapalat" w:cs="Times New Roman"/>
                <w:color w:val="404040"/>
                <w:sz w:val="18"/>
                <w:szCs w:val="18"/>
              </w:rPr>
            </w:pPr>
            <w:r w:rsidRPr="008B63B1">
              <w:rPr>
                <w:rFonts w:ascii="GHEA Grapalat" w:eastAsia="Times New Roman" w:hAnsi="GHEA Grapalat" w:cs="Times New Roman"/>
                <w:color w:val="000000"/>
                <w:sz w:val="18"/>
                <w:szCs w:val="20"/>
                <w:lang w:val="hy-AM"/>
              </w:rPr>
              <w:t xml:space="preserve">    </w:t>
            </w:r>
            <w:r w:rsidRPr="008B63B1">
              <w:rPr>
                <w:rFonts w:ascii="GHEA Grapalat" w:eastAsia="Times New Roman" w:hAnsi="GHEA Grapalat" w:cs="Times New Roman"/>
                <w:color w:val="000000"/>
                <w:sz w:val="18"/>
                <w:szCs w:val="20"/>
              </w:rPr>
              <w:t>Կանխատեսումից 1.9 տոկոսային կետով ցածր աճ</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63E05939"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-36.6</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30CBD113"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-40.2</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162098ED"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-43.9</w:t>
            </w:r>
          </w:p>
        </w:tc>
      </w:tr>
      <w:tr w:rsidR="009939F6" w:rsidRPr="008B63B1" w14:paraId="7101BE0A" w14:textId="77777777" w:rsidTr="00873AE6">
        <w:trPr>
          <w:trHeight w:val="360"/>
        </w:trPr>
        <w:tc>
          <w:tcPr>
            <w:tcW w:w="5485" w:type="dxa"/>
            <w:tcBorders>
              <w:top w:val="single" w:sz="8" w:space="0" w:color="E1E1E3"/>
              <w:left w:val="single" w:sz="8" w:space="0" w:color="E1E1E3"/>
              <w:bottom w:val="single" w:sz="8" w:space="0" w:color="E1E1E3"/>
              <w:right w:val="single" w:sz="8" w:space="0" w:color="E1E1E3"/>
            </w:tcBorders>
            <w:vAlign w:val="center"/>
            <w:hideMark/>
          </w:tcPr>
          <w:p w14:paraId="7D1B9B00" w14:textId="77777777" w:rsidR="009939F6" w:rsidRPr="008B63B1" w:rsidRDefault="009939F6" w:rsidP="009939F6">
            <w:pPr>
              <w:spacing w:after="0" w:line="240" w:lineRule="auto"/>
              <w:ind w:right="202"/>
              <w:rPr>
                <w:rFonts w:ascii="GHEA Grapalat" w:eastAsia="Times New Roman" w:hAnsi="GHEA Grapalat" w:cs="Times New Roman"/>
                <w:color w:val="404040"/>
                <w:sz w:val="18"/>
                <w:szCs w:val="18"/>
              </w:rPr>
            </w:pPr>
            <w:r w:rsidRPr="008B63B1">
              <w:rPr>
                <w:rFonts w:ascii="GHEA Grapalat" w:eastAsia="Times New Roman" w:hAnsi="GHEA Grapalat" w:cs="Times New Roman"/>
                <w:color w:val="000000"/>
                <w:sz w:val="18"/>
                <w:szCs w:val="20"/>
              </w:rPr>
              <w:t xml:space="preserve">2. Ավելի ցածր գնաճի ռիսկ, 1.6 տոկոսային կետ </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27164803"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-18.0</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1CD55C0E"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-20.0</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40394B12"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-22.0</w:t>
            </w:r>
          </w:p>
        </w:tc>
      </w:tr>
      <w:tr w:rsidR="009939F6" w:rsidRPr="008B63B1" w14:paraId="417A5E5A" w14:textId="77777777" w:rsidTr="00873AE6">
        <w:trPr>
          <w:trHeight w:val="360"/>
        </w:trPr>
        <w:tc>
          <w:tcPr>
            <w:tcW w:w="5485" w:type="dxa"/>
            <w:tcBorders>
              <w:top w:val="single" w:sz="8" w:space="0" w:color="E1E1E3"/>
              <w:left w:val="single" w:sz="8" w:space="0" w:color="E1E1E3"/>
              <w:bottom w:val="single" w:sz="8" w:space="0" w:color="E1E1E3"/>
              <w:right w:val="single" w:sz="8" w:space="0" w:color="E1E1E3"/>
            </w:tcBorders>
            <w:vAlign w:val="center"/>
            <w:hideMark/>
          </w:tcPr>
          <w:p w14:paraId="6AE470EE" w14:textId="77777777" w:rsidR="009939F6" w:rsidRPr="008B63B1" w:rsidRDefault="009939F6" w:rsidP="009939F6">
            <w:pPr>
              <w:spacing w:after="0" w:line="240" w:lineRule="auto"/>
              <w:ind w:right="202"/>
              <w:rPr>
                <w:rFonts w:ascii="GHEA Grapalat" w:eastAsia="Times New Roman" w:hAnsi="GHEA Grapalat" w:cs="Times New Roman"/>
                <w:color w:val="404040"/>
                <w:sz w:val="18"/>
                <w:szCs w:val="18"/>
              </w:rPr>
            </w:pPr>
            <w:r w:rsidRPr="008B63B1">
              <w:rPr>
                <w:rFonts w:ascii="GHEA Grapalat" w:eastAsia="Times New Roman" w:hAnsi="GHEA Grapalat" w:cs="Times New Roman"/>
                <w:color w:val="000000"/>
                <w:sz w:val="18"/>
                <w:szCs w:val="20"/>
              </w:rPr>
              <w:t>3. Փոխարժեքի 6.0 տոկոս արժեզրկման ռիսկ</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58CD387F"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20.6</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53FD387A"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22.8</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346C8014"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24.8</w:t>
            </w:r>
          </w:p>
        </w:tc>
      </w:tr>
      <w:tr w:rsidR="009939F6" w:rsidRPr="008B63B1" w14:paraId="0C609274" w14:textId="77777777" w:rsidTr="00873AE6">
        <w:trPr>
          <w:trHeight w:val="360"/>
        </w:trPr>
        <w:tc>
          <w:tcPr>
            <w:tcW w:w="5485" w:type="dxa"/>
            <w:tcBorders>
              <w:top w:val="single" w:sz="8" w:space="0" w:color="E1E1E3"/>
              <w:left w:val="single" w:sz="8" w:space="0" w:color="E1E1E3"/>
              <w:bottom w:val="single" w:sz="8" w:space="0" w:color="E1E1E3"/>
              <w:right w:val="single" w:sz="8" w:space="0" w:color="E1E1E3"/>
            </w:tcBorders>
            <w:vAlign w:val="center"/>
            <w:hideMark/>
          </w:tcPr>
          <w:p w14:paraId="0E82696E" w14:textId="77777777" w:rsidR="009939F6" w:rsidRPr="008B63B1" w:rsidRDefault="009939F6" w:rsidP="009939F6">
            <w:pPr>
              <w:spacing w:after="0" w:line="240" w:lineRule="auto"/>
              <w:ind w:right="202"/>
              <w:rPr>
                <w:rFonts w:ascii="GHEA Grapalat" w:eastAsia="Times New Roman" w:hAnsi="GHEA Grapalat" w:cs="Times New Roman"/>
                <w:color w:val="404040"/>
                <w:sz w:val="18"/>
                <w:szCs w:val="18"/>
              </w:rPr>
            </w:pPr>
            <w:r w:rsidRPr="008B63B1">
              <w:rPr>
                <w:rFonts w:ascii="GHEA Grapalat" w:eastAsia="Times New Roman" w:hAnsi="GHEA Grapalat" w:cs="Times New Roman"/>
                <w:color w:val="000000"/>
                <w:sz w:val="18"/>
                <w:szCs w:val="20"/>
              </w:rPr>
              <w:t>4. Ներմուծման նվազման ռիսկ, 7.3-14.3 տոկոսային կետ</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3C13666C"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-31.5</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4F4CFF52"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-57.9</w:t>
            </w:r>
          </w:p>
        </w:tc>
        <w:tc>
          <w:tcPr>
            <w:tcW w:w="1440" w:type="dxa"/>
            <w:tcBorders>
              <w:top w:val="single" w:sz="8" w:space="0" w:color="E1E1E3"/>
              <w:left w:val="single" w:sz="8" w:space="0" w:color="E1E1E3"/>
              <w:bottom w:val="single" w:sz="8" w:space="0" w:color="E1E1E3"/>
              <w:right w:val="single" w:sz="8" w:space="0" w:color="E1E1E3"/>
            </w:tcBorders>
            <w:vAlign w:val="center"/>
            <w:hideMark/>
          </w:tcPr>
          <w:p w14:paraId="57EBCE92"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-73.5</w:t>
            </w:r>
          </w:p>
        </w:tc>
      </w:tr>
      <w:tr w:rsidR="009939F6" w:rsidRPr="008B63B1" w14:paraId="61421A3C" w14:textId="77777777" w:rsidTr="00873AE6">
        <w:trPr>
          <w:trHeight w:val="360"/>
        </w:trPr>
        <w:tc>
          <w:tcPr>
            <w:tcW w:w="9805" w:type="dxa"/>
            <w:gridSpan w:val="4"/>
            <w:tcBorders>
              <w:top w:val="single" w:sz="4" w:space="0" w:color="E1E1E3"/>
              <w:left w:val="single" w:sz="4" w:space="0" w:color="E1E1E3"/>
              <w:bottom w:val="single" w:sz="4" w:space="0" w:color="E1E1E3"/>
              <w:right w:val="single" w:sz="4" w:space="0" w:color="E1E1E3"/>
            </w:tcBorders>
            <w:vAlign w:val="center"/>
            <w:hideMark/>
          </w:tcPr>
          <w:p w14:paraId="6FDF36B1" w14:textId="77777777" w:rsidR="009939F6" w:rsidRPr="008B63B1" w:rsidRDefault="009939F6" w:rsidP="009939F6">
            <w:pPr>
              <w:spacing w:after="0" w:line="240" w:lineRule="auto"/>
              <w:rPr>
                <w:rFonts w:ascii="GHEA Grapalat" w:eastAsia="Times New Roman" w:hAnsi="GHEA Grapalat" w:cs="Times New Roman"/>
                <w:b/>
                <w:color w:val="404040"/>
                <w:sz w:val="18"/>
                <w:szCs w:val="18"/>
              </w:rPr>
            </w:pPr>
            <w:r w:rsidRPr="008B63B1">
              <w:rPr>
                <w:rFonts w:ascii="GHEA Grapalat" w:eastAsia="Times New Roman" w:hAnsi="GHEA Grapalat" w:cs="Times New Roman"/>
                <w:b/>
                <w:color w:val="404040"/>
                <w:sz w:val="18"/>
                <w:szCs w:val="18"/>
              </w:rPr>
              <w:t>Ընդամենը</w:t>
            </w:r>
          </w:p>
        </w:tc>
      </w:tr>
      <w:tr w:rsidR="009939F6" w:rsidRPr="008B63B1" w14:paraId="599C5CFC" w14:textId="77777777" w:rsidTr="00873AE6">
        <w:trPr>
          <w:trHeight w:val="360"/>
        </w:trPr>
        <w:tc>
          <w:tcPr>
            <w:tcW w:w="5485" w:type="dxa"/>
            <w:tcBorders>
              <w:top w:val="single" w:sz="8" w:space="0" w:color="E1E1E3"/>
              <w:left w:val="single" w:sz="8" w:space="0" w:color="E1E1E3"/>
              <w:bottom w:val="single" w:sz="8" w:space="0" w:color="E1E1E3"/>
              <w:right w:val="single" w:sz="8" w:space="0" w:color="E1E1E3"/>
            </w:tcBorders>
            <w:hideMark/>
          </w:tcPr>
          <w:p w14:paraId="3FF56C67" w14:textId="77777777" w:rsidR="009939F6" w:rsidRPr="008B63B1" w:rsidRDefault="009939F6" w:rsidP="009939F6">
            <w:pPr>
              <w:spacing w:after="0" w:line="240" w:lineRule="auto"/>
              <w:ind w:right="202"/>
              <w:rPr>
                <w:rFonts w:ascii="GHEA Grapalat" w:eastAsia="Times New Roman" w:hAnsi="GHEA Grapalat" w:cs="Times New Roman"/>
                <w:color w:val="404040"/>
                <w:sz w:val="18"/>
                <w:szCs w:val="18"/>
              </w:rPr>
            </w:pPr>
            <w:r w:rsidRPr="008B63B1">
              <w:rPr>
                <w:rFonts w:ascii="GHEA Grapalat" w:eastAsia="Times New Roman" w:hAnsi="GHEA Grapalat" w:cs="Times New Roman"/>
                <w:color w:val="000000"/>
                <w:sz w:val="18"/>
                <w:szCs w:val="18"/>
              </w:rPr>
              <w:t>1.4-1.5 տոկոսային կետով ավելի ցածր ՀՆԱ աճ</w:t>
            </w:r>
          </w:p>
        </w:tc>
        <w:tc>
          <w:tcPr>
            <w:tcW w:w="1440" w:type="dxa"/>
            <w:tcBorders>
              <w:top w:val="single" w:sz="4" w:space="0" w:color="E1E1E3"/>
              <w:left w:val="single" w:sz="4" w:space="0" w:color="E1E1E3"/>
              <w:bottom w:val="single" w:sz="4" w:space="0" w:color="E1E1E3"/>
              <w:right w:val="single" w:sz="4" w:space="0" w:color="E1E1E3"/>
            </w:tcBorders>
            <w:vAlign w:val="center"/>
            <w:hideMark/>
          </w:tcPr>
          <w:p w14:paraId="454C87E1"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-55.8</w:t>
            </w:r>
          </w:p>
        </w:tc>
        <w:tc>
          <w:tcPr>
            <w:tcW w:w="1440" w:type="dxa"/>
            <w:tcBorders>
              <w:top w:val="single" w:sz="4" w:space="0" w:color="E1E1E3"/>
              <w:left w:val="single" w:sz="4" w:space="0" w:color="E1E1E3"/>
              <w:bottom w:val="single" w:sz="4" w:space="0" w:color="E1E1E3"/>
              <w:right w:val="single" w:sz="4" w:space="0" w:color="E1E1E3"/>
            </w:tcBorders>
            <w:vAlign w:val="center"/>
            <w:hideMark/>
          </w:tcPr>
          <w:p w14:paraId="2405A220"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-84.7</w:t>
            </w:r>
          </w:p>
        </w:tc>
        <w:tc>
          <w:tcPr>
            <w:tcW w:w="1440" w:type="dxa"/>
            <w:tcBorders>
              <w:top w:val="single" w:sz="4" w:space="0" w:color="E1E1E3"/>
              <w:left w:val="single" w:sz="4" w:space="0" w:color="E1E1E3"/>
              <w:bottom w:val="single" w:sz="4" w:space="0" w:color="E1E1E3"/>
              <w:right w:val="single" w:sz="4" w:space="0" w:color="E1E1E3"/>
            </w:tcBorders>
            <w:vAlign w:val="center"/>
            <w:hideMark/>
          </w:tcPr>
          <w:p w14:paraId="072961DF"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-105.4</w:t>
            </w:r>
          </w:p>
        </w:tc>
      </w:tr>
      <w:tr w:rsidR="009939F6" w:rsidRPr="008B63B1" w14:paraId="3A3FADDB" w14:textId="77777777" w:rsidTr="00873AE6">
        <w:trPr>
          <w:trHeight w:val="360"/>
        </w:trPr>
        <w:tc>
          <w:tcPr>
            <w:tcW w:w="5485" w:type="dxa"/>
            <w:tcBorders>
              <w:top w:val="single" w:sz="8" w:space="0" w:color="E1E1E3"/>
              <w:left w:val="single" w:sz="8" w:space="0" w:color="E1E1E3"/>
              <w:bottom w:val="single" w:sz="8" w:space="0" w:color="E1E1E3"/>
              <w:right w:val="single" w:sz="8" w:space="0" w:color="E1E1E3"/>
            </w:tcBorders>
            <w:hideMark/>
          </w:tcPr>
          <w:p w14:paraId="5EA8197E" w14:textId="77777777" w:rsidR="009939F6" w:rsidRPr="008B63B1" w:rsidRDefault="009939F6" w:rsidP="009939F6">
            <w:pPr>
              <w:spacing w:after="0" w:line="240" w:lineRule="auto"/>
              <w:ind w:right="202"/>
              <w:rPr>
                <w:rFonts w:ascii="GHEA Grapalat" w:eastAsia="Times New Roman" w:hAnsi="GHEA Grapalat" w:cs="Times New Roman"/>
                <w:color w:val="404040"/>
                <w:sz w:val="18"/>
                <w:szCs w:val="18"/>
              </w:rPr>
            </w:pPr>
            <w:r w:rsidRPr="008B63B1">
              <w:rPr>
                <w:rFonts w:ascii="GHEA Grapalat" w:eastAsia="Times New Roman" w:hAnsi="GHEA Grapalat" w:cs="Times New Roman"/>
                <w:color w:val="000000"/>
                <w:sz w:val="18"/>
                <w:szCs w:val="18"/>
              </w:rPr>
              <w:t>1.9 տոկոսային կետով ավելի ցածր ՀՆԱ աճ</w:t>
            </w:r>
          </w:p>
        </w:tc>
        <w:tc>
          <w:tcPr>
            <w:tcW w:w="1440" w:type="dxa"/>
            <w:tcBorders>
              <w:top w:val="single" w:sz="4" w:space="0" w:color="E1E1E3"/>
              <w:left w:val="single" w:sz="4" w:space="0" w:color="E1E1E3"/>
              <w:bottom w:val="single" w:sz="4" w:space="0" w:color="E1E1E3"/>
              <w:right w:val="single" w:sz="4" w:space="0" w:color="E1E1E3"/>
            </w:tcBorders>
            <w:vAlign w:val="center"/>
            <w:hideMark/>
          </w:tcPr>
          <w:p w14:paraId="71E6F0D4"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-65.4</w:t>
            </w:r>
          </w:p>
        </w:tc>
        <w:tc>
          <w:tcPr>
            <w:tcW w:w="1440" w:type="dxa"/>
            <w:tcBorders>
              <w:top w:val="single" w:sz="4" w:space="0" w:color="E1E1E3"/>
              <w:left w:val="single" w:sz="4" w:space="0" w:color="E1E1E3"/>
              <w:bottom w:val="single" w:sz="4" w:space="0" w:color="E1E1E3"/>
              <w:right w:val="single" w:sz="4" w:space="0" w:color="E1E1E3"/>
            </w:tcBorders>
            <w:vAlign w:val="center"/>
            <w:hideMark/>
          </w:tcPr>
          <w:p w14:paraId="43B1F119"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-95.3</w:t>
            </w:r>
          </w:p>
        </w:tc>
        <w:tc>
          <w:tcPr>
            <w:tcW w:w="1440" w:type="dxa"/>
            <w:tcBorders>
              <w:top w:val="single" w:sz="4" w:space="0" w:color="E1E1E3"/>
              <w:left w:val="single" w:sz="4" w:space="0" w:color="E1E1E3"/>
              <w:bottom w:val="single" w:sz="4" w:space="0" w:color="E1E1E3"/>
              <w:right w:val="single" w:sz="4" w:space="0" w:color="E1E1E3"/>
            </w:tcBorders>
            <w:vAlign w:val="center"/>
            <w:hideMark/>
          </w:tcPr>
          <w:p w14:paraId="1C7B1E22" w14:textId="77777777" w:rsidR="009939F6" w:rsidRPr="008B63B1" w:rsidRDefault="009939F6" w:rsidP="009939F6">
            <w:pPr>
              <w:spacing w:after="0" w:line="240" w:lineRule="auto"/>
              <w:jc w:val="center"/>
              <w:rPr>
                <w:rFonts w:ascii="GHEA Grapalat" w:eastAsia="Times New Roman" w:hAnsi="GHEA Grapalat" w:cs="Times New Roman"/>
                <w:color w:val="404040"/>
                <w:sz w:val="18"/>
                <w:szCs w:val="18"/>
              </w:rPr>
            </w:pPr>
            <w:r w:rsidRPr="008B63B1">
              <w:rPr>
                <w:rFonts w:ascii="GHEA Grapalat" w:eastAsia="Times New Roman" w:hAnsi="GHEA Grapalat" w:cs="Calibri"/>
                <w:color w:val="000000"/>
                <w:sz w:val="18"/>
                <w:szCs w:val="18"/>
              </w:rPr>
              <w:t>-114.6</w:t>
            </w:r>
          </w:p>
        </w:tc>
      </w:tr>
    </w:tbl>
    <w:p w14:paraId="37FD8A8B" w14:textId="77777777" w:rsidR="009939F6" w:rsidRPr="008B63B1" w:rsidRDefault="009939F6" w:rsidP="009939F6">
      <w:pPr>
        <w:jc w:val="both"/>
        <w:rPr>
          <w:rFonts w:ascii="GHEA Grapalat" w:eastAsia="Times New Roman" w:hAnsi="GHEA Grapalat" w:cs="Times New Roman"/>
          <w:color w:val="404040"/>
          <w:lang w:val="hy-AM" w:eastAsia="ru-RU"/>
        </w:rPr>
      </w:pPr>
    </w:p>
    <w:p w14:paraId="14B8C420"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Աղյուսակ Հ2.4-ում ներկայացված գնահատականները ցույց են տալիս լրացուցիչ ֆինանսավորման պահանջի մեծացում։ Մասնավորապես, կանխատեսվածից ցածր գնաճի դեպքում հարկային եկամուտների նվազումը մեծացնում է ֆինանսավորման պահանջը։ Ծախսերի հնարավոր տնտեսման ազդեցությունը և բյուջեի զուտ արդյունքը գնահատելու համար անհրաժեշտ է առանձին ներկայացնել ծախսային արձագանքը։</w:t>
      </w:r>
    </w:p>
    <w:p w14:paraId="0F48B9FF"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 xml:space="preserve">Հաշվի առնելով մակրոտնտեսական ցուցանիշների կանխատեսվող մակարդակից վերոնշյալ հնարավոր շեղումների ռիսկերի գնահատականները` ՀՀ պետական բյուջեի եկամուտների հավաքագրման և ծախսերի կատարման տեսանկյունից 2027 թվականին ՀՀ պետական բյուջեի պակասուրդի լրացուցիչ ֆինանսավորման պահանջը դիտարկված սցենարներում առավելագույնը կկազմի շուրջ 65.4 մլրդ ՀՀ դրամ կամ ՀՆԱ-ի 0.5%-ը, իսկ 2028 և 2029 թթ.-ին կկազմի համապատասխանաբար 95.3 և 114.6 մլրդ ՀՀ դրամ կամ ՀՆԱ-ի 0.6-0.7%-ը: </w:t>
      </w:r>
    </w:p>
    <w:p w14:paraId="74143237" w14:textId="77777777" w:rsidR="009939F6" w:rsidRPr="008B63B1" w:rsidRDefault="009939F6" w:rsidP="009939F6">
      <w:pPr>
        <w:jc w:val="both"/>
        <w:rPr>
          <w:rFonts w:ascii="GHEA Grapalat" w:eastAsia="Times New Roman" w:hAnsi="GHEA Grapalat" w:cs="Times New Roman"/>
          <w:color w:val="404040"/>
          <w:szCs w:val="20"/>
          <w:lang w:val="hy-AM"/>
        </w:rPr>
      </w:pPr>
      <w:r w:rsidRPr="008B63B1">
        <w:rPr>
          <w:rFonts w:ascii="GHEA Grapalat" w:eastAsia="Times New Roman" w:hAnsi="GHEA Grapalat" w:cs="Times New Roman"/>
          <w:color w:val="404040"/>
          <w:szCs w:val="20"/>
          <w:lang w:val="hy-AM"/>
        </w:rPr>
        <w:t>Ռիսկերի առարկայացման դեպքում՝ բյուջեում նախատեսված հարկաբյուջետային ռիսկերի կառավարման պահուստային ֆոնդը (ՀՆԱ 0</w:t>
      </w:r>
      <w:r w:rsidRPr="008B63B1">
        <w:rPr>
          <w:rFonts w:ascii="Cambria Math" w:eastAsia="Times New Roman" w:hAnsi="Cambria Math" w:cs="Cambria Math"/>
          <w:color w:val="404040"/>
          <w:szCs w:val="20"/>
          <w:lang w:val="hy-AM"/>
        </w:rPr>
        <w:t>․</w:t>
      </w:r>
      <w:r w:rsidRPr="008B63B1">
        <w:rPr>
          <w:rFonts w:ascii="GHEA Grapalat" w:eastAsia="Times New Roman" w:hAnsi="GHEA Grapalat" w:cs="Times New Roman"/>
          <w:color w:val="404040"/>
          <w:szCs w:val="20"/>
          <w:lang w:val="hy-AM"/>
        </w:rPr>
        <w:t>3-0.6%-ի չափով) և գանձապետական իրացվելիության բարձի</w:t>
      </w:r>
      <w:r>
        <w:rPr>
          <w:rFonts w:ascii="GHEA Grapalat" w:eastAsia="Times New Roman" w:hAnsi="GHEA Grapalat" w:cs="Times New Roman"/>
          <w:color w:val="404040"/>
          <w:szCs w:val="20"/>
          <w:lang w:val="hy-AM"/>
        </w:rPr>
        <w:t>կը (նվազագույնը ՀՆԱ 1%-ի չափով)</w:t>
      </w:r>
      <w:r w:rsidRPr="008B63B1">
        <w:rPr>
          <w:rFonts w:ascii="GHEA Grapalat" w:eastAsia="Times New Roman" w:hAnsi="GHEA Grapalat" w:cs="Times New Roman"/>
          <w:color w:val="404040"/>
          <w:szCs w:val="20"/>
          <w:lang w:val="hy-AM"/>
        </w:rPr>
        <w:t xml:space="preserve">, կարող են մեղմել լրացուցիչ ծախսային ճնշումները։ </w:t>
      </w:r>
    </w:p>
    <w:p w14:paraId="29F1C29C" w14:textId="77777777" w:rsidR="006F75BA" w:rsidRPr="000232DD" w:rsidRDefault="006F75BA" w:rsidP="00082769">
      <w:pPr>
        <w:pStyle w:val="TOC2"/>
        <w:ind w:right="-22"/>
        <w:outlineLvl w:val="1"/>
        <w:rPr>
          <w:color w:val="auto"/>
          <w:lang w:val="hy-AM"/>
        </w:rPr>
      </w:pPr>
    </w:p>
    <w:p w14:paraId="23258DB2" w14:textId="77777777" w:rsidR="006F75BA" w:rsidRPr="000232DD" w:rsidRDefault="006F75BA" w:rsidP="00082769">
      <w:pPr>
        <w:pStyle w:val="Heading2"/>
        <w:spacing w:before="120" w:after="120"/>
        <w:ind w:right="-22"/>
        <w:jc w:val="both"/>
        <w:rPr>
          <w:rFonts w:ascii="GHEA Grapalat" w:hAnsi="GHEA Grapalat"/>
          <w:color w:val="auto"/>
          <w:sz w:val="28"/>
          <w:szCs w:val="20"/>
          <w:lang w:val="hy-AM"/>
        </w:rPr>
      </w:pPr>
      <w:bookmarkStart w:id="490" w:name="_Toc241687688"/>
      <w:bookmarkStart w:id="491" w:name="_Toc170906937"/>
      <w:bookmarkStart w:id="492" w:name="_Toc170906565"/>
      <w:bookmarkStart w:id="493" w:name="_Toc178595349"/>
      <w:bookmarkStart w:id="494" w:name="_Toc178604168"/>
      <w:bookmarkEnd w:id="434"/>
      <w:bookmarkEnd w:id="435"/>
      <w:bookmarkEnd w:id="436"/>
      <w:bookmarkEnd w:id="437"/>
      <w:r w:rsidRPr="000232DD">
        <w:rPr>
          <w:rFonts w:ascii="GHEA Grapalat" w:hAnsi="GHEA Grapalat"/>
          <w:color w:val="auto"/>
          <w:sz w:val="28"/>
          <w:szCs w:val="20"/>
          <w:lang w:val="hy-AM"/>
        </w:rPr>
        <w:t>3. ՀԱՐԿԱԲՅՈՒՋԵՏԱՅԻՆ ՀԱՏՈՒԿ ՌԻՍԿԵՐԻ ՎԵՐԼՈՒԾՈՒԹՅՈՒՆ</w:t>
      </w:r>
      <w:bookmarkEnd w:id="490"/>
    </w:p>
    <w:bookmarkEnd w:id="491"/>
    <w:bookmarkEnd w:id="492"/>
    <w:bookmarkEnd w:id="493"/>
    <w:bookmarkEnd w:id="494"/>
    <w:p w14:paraId="34E42366" w14:textId="77777777" w:rsidR="006F75BA" w:rsidRPr="000232DD" w:rsidRDefault="006F75BA" w:rsidP="00082769">
      <w:pPr>
        <w:pStyle w:val="TOC4"/>
        <w:ind w:right="-22"/>
        <w:rPr>
          <w:rFonts w:eastAsia="Times New Roman"/>
          <w:color w:val="auto"/>
          <w:lang w:val="hy-AM"/>
        </w:rPr>
      </w:pPr>
      <w:r w:rsidRPr="000232DD">
        <w:rPr>
          <w:rFonts w:eastAsia="Times New Roman"/>
          <w:color w:val="auto"/>
          <w:lang w:val="hy-AM"/>
        </w:rPr>
        <w:t>3.1 ՀԱՐԿԱԲՅՈՒՋԵՏԱՅԻՆ ՀԱՏՈՒԿ  ՌԻՍԿԵՐԻ ՎԵՐԼՈՒԾՈՒԹՅՈՒՆ</w:t>
      </w:r>
    </w:p>
    <w:p w14:paraId="2F2EC2BE" w14:textId="77777777" w:rsidR="006F75BA" w:rsidRPr="000232DD" w:rsidRDefault="006F75BA" w:rsidP="00082769">
      <w:pPr>
        <w:ind w:right="-22"/>
        <w:jc w:val="both"/>
        <w:rPr>
          <w:rFonts w:ascii="GHEA Grapalat" w:eastAsia="Times New Roman" w:hAnsi="GHEA Grapalat" w:cs="Times New Roman"/>
          <w:color w:val="auto"/>
          <w:szCs w:val="20"/>
          <w:lang w:val="hy-AM"/>
        </w:rPr>
      </w:pPr>
      <w:bookmarkStart w:id="495" w:name="_Toc170906938"/>
      <w:bookmarkStart w:id="496" w:name="_Toc170906566"/>
      <w:r w:rsidRPr="000232DD">
        <w:rPr>
          <w:rFonts w:ascii="GHEA Grapalat" w:eastAsia="Times New Roman" w:hAnsi="GHEA Grapalat" w:cs="Times New Roman"/>
          <w:color w:val="auto"/>
          <w:szCs w:val="20"/>
          <w:lang w:val="hy-AM"/>
        </w:rPr>
        <w:t>Սույն բաժնում վերլուծվել են հարկաբյուջետային</w:t>
      </w:r>
      <w:r w:rsidRPr="000232DD">
        <w:rPr>
          <w:rFonts w:ascii="GHEA Grapalat" w:eastAsia="Times New Roman" w:hAnsi="GHEA Grapalat" w:cs="Times New Roman"/>
          <w:color w:val="auto"/>
          <w:lang w:val="hy-AM"/>
        </w:rPr>
        <w:t xml:space="preserve"> </w:t>
      </w:r>
      <w:r w:rsidRPr="000232DD">
        <w:rPr>
          <w:rFonts w:ascii="GHEA Grapalat" w:eastAsia="Times New Roman" w:hAnsi="GHEA Grapalat" w:cs="Times New Roman"/>
          <w:color w:val="auto"/>
          <w:szCs w:val="20"/>
          <w:lang w:val="hy-AM"/>
        </w:rPr>
        <w:t>հատուկ ռիսկերի այն աղբյուրները, որոնք պետական բյուջեի կայունության տեսանկյունից համարվում են էական, և դրանց ազդեցության գնահատումն ու կառավարմանն ուղղված քայլերը նշանակալի են ֆիսկալ կայունության տեսանկյունից։ Դիտարկվել են այնպիսի ռիսկեր, որոնք բխում են պետական մասնակցությամբ ընկերություններից (այսուհետ՝ ՊՄԸ), բյուջետային վարկերից և երաշխիքներից, պետություն-մասնավոր գործընկերության (այսուհետ՝ ՊՄԳ) պայմանագրերից, բնական և մարդածին աղետներից, բնապահպանական պարտավորություններից, շրջակա միջավայրի դեգրադացիայից, ինչպես նաև՝ պետության դեմ դատական վարույթներից։</w:t>
      </w:r>
    </w:p>
    <w:p w14:paraId="2FF1BFD4" w14:textId="77777777" w:rsidR="006F75BA" w:rsidRPr="000232DD" w:rsidRDefault="006F75BA" w:rsidP="00082769">
      <w:pPr>
        <w:pStyle w:val="TOC4"/>
        <w:ind w:right="-22"/>
        <w:rPr>
          <w:rFonts w:eastAsia="Times New Roman"/>
          <w:color w:val="auto"/>
          <w:lang w:val="hy-AM"/>
        </w:rPr>
      </w:pPr>
      <w:r w:rsidRPr="000232DD">
        <w:rPr>
          <w:rFonts w:eastAsia="Times New Roman"/>
          <w:color w:val="auto"/>
          <w:lang w:val="af-ZA"/>
        </w:rPr>
        <w:t>3.1</w:t>
      </w:r>
      <w:r w:rsidRPr="000232DD">
        <w:rPr>
          <w:rFonts w:ascii="MS Mincho" w:eastAsia="MS Mincho" w:hAnsi="MS Mincho" w:cs="MS Mincho" w:hint="eastAsia"/>
          <w:color w:val="auto"/>
          <w:lang w:val="af-ZA"/>
        </w:rPr>
        <w:t>․</w:t>
      </w:r>
      <w:r w:rsidRPr="000232DD">
        <w:rPr>
          <w:rFonts w:eastAsia="Times New Roman"/>
          <w:color w:val="auto"/>
          <w:lang w:val="af-ZA"/>
        </w:rPr>
        <w:t xml:space="preserve">1 </w:t>
      </w:r>
      <w:r w:rsidRPr="000232DD">
        <w:rPr>
          <w:rFonts w:eastAsia="Times New Roman"/>
          <w:color w:val="auto"/>
          <w:lang w:val="hy-AM"/>
        </w:rPr>
        <w:t>ՊԵՏԱԿԱՆ</w:t>
      </w:r>
      <w:r w:rsidRPr="000232DD">
        <w:rPr>
          <w:rFonts w:eastAsia="Times New Roman"/>
          <w:color w:val="auto"/>
          <w:lang w:val="af-ZA"/>
        </w:rPr>
        <w:t xml:space="preserve"> </w:t>
      </w:r>
      <w:r w:rsidRPr="000232DD">
        <w:rPr>
          <w:rFonts w:eastAsia="Times New Roman"/>
          <w:color w:val="auto"/>
          <w:lang w:val="hy-AM"/>
        </w:rPr>
        <w:t>ՄԱՍՆԱԿՑՈՒԹՅԱՄԲ</w:t>
      </w:r>
      <w:r w:rsidRPr="000232DD">
        <w:rPr>
          <w:rFonts w:eastAsia="Times New Roman"/>
          <w:color w:val="auto"/>
          <w:lang w:val="af-ZA"/>
        </w:rPr>
        <w:t xml:space="preserve"> </w:t>
      </w:r>
      <w:r w:rsidRPr="000232DD">
        <w:rPr>
          <w:rFonts w:eastAsia="Times New Roman"/>
          <w:color w:val="auto"/>
          <w:lang w:val="hy-AM"/>
        </w:rPr>
        <w:t>ԸՆԿԵՐՈՒԹՅՈՒՆՆԵՐԻՑ</w:t>
      </w:r>
      <w:r w:rsidRPr="000232DD">
        <w:rPr>
          <w:rFonts w:eastAsia="Times New Roman"/>
          <w:color w:val="auto"/>
          <w:lang w:val="af-ZA"/>
        </w:rPr>
        <w:t xml:space="preserve"> </w:t>
      </w:r>
      <w:r w:rsidRPr="000232DD">
        <w:rPr>
          <w:rFonts w:eastAsia="Times New Roman"/>
          <w:color w:val="auto"/>
          <w:lang w:val="hy-AM"/>
        </w:rPr>
        <w:t>ԲԽՈՂ</w:t>
      </w:r>
      <w:r w:rsidRPr="000232DD">
        <w:rPr>
          <w:rFonts w:eastAsia="Times New Roman"/>
          <w:color w:val="auto"/>
          <w:lang w:val="af-ZA"/>
        </w:rPr>
        <w:t xml:space="preserve"> </w:t>
      </w:r>
      <w:r w:rsidRPr="000232DD">
        <w:rPr>
          <w:rFonts w:eastAsia="Times New Roman"/>
          <w:color w:val="auto"/>
          <w:lang w:val="hy-AM"/>
        </w:rPr>
        <w:t>ՀԱՐԿԱԲՅՈՒՋԵՏԱՅԻՆ</w:t>
      </w:r>
      <w:r w:rsidRPr="000232DD">
        <w:rPr>
          <w:rFonts w:eastAsia="Times New Roman"/>
          <w:color w:val="auto"/>
          <w:lang w:val="af-ZA"/>
        </w:rPr>
        <w:t xml:space="preserve"> </w:t>
      </w:r>
      <w:r w:rsidRPr="000232DD">
        <w:rPr>
          <w:rFonts w:eastAsia="Times New Roman"/>
          <w:color w:val="auto"/>
          <w:lang w:val="hy-AM"/>
        </w:rPr>
        <w:t>ՌԻՍԿԵՐ</w:t>
      </w:r>
      <w:bookmarkEnd w:id="495"/>
      <w:bookmarkEnd w:id="496"/>
    </w:p>
    <w:p w14:paraId="6858E275" w14:textId="77777777" w:rsidR="006F75BA" w:rsidRPr="000232DD" w:rsidRDefault="006F75BA"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Այս բաժնում  վերլուծվում է ՊՄԸ-ների առկա վիճակից և գործունեությունից բխող ֆիսկալ ռիսկերի մակարդակը։ Նշենք, որ ֆիսկալ ռիսկը կարող է ի հայտ գալ այն ժամանակ, երբ ՊՄԸ-ների գործունեությունը կամ ֆինանսական վիճակը հանգեցնում է լրացուցիչ փոխառությունների, սուբսիդիաների, սեփական կապիտալի ներարկումների կամ պետական բյուջեից այլ վճարումների անհրաժեշտության: Բացի այդ, ֆինանսական դժվարություններ ունեցող ՊՄԸ-ներից ակնկալվող շահութաբաժինների կամ փոխառությունների սպասարկման վճարումների չկատարումը կարող է բացասաբար անդրադառնալ պետական եկամուտների վրա:</w:t>
      </w:r>
    </w:p>
    <w:p w14:paraId="34F4966B" w14:textId="77777777" w:rsidR="006F75BA" w:rsidRPr="000232DD" w:rsidRDefault="006F75BA" w:rsidP="00082769">
      <w:pPr>
        <w:pStyle w:val="TOC4"/>
        <w:ind w:right="-22"/>
        <w:rPr>
          <w:rFonts w:eastAsia="Times New Roman"/>
          <w:color w:val="auto"/>
          <w:lang w:val="hy-AM"/>
        </w:rPr>
      </w:pPr>
      <w:r w:rsidRPr="000232DD">
        <w:rPr>
          <w:rFonts w:eastAsia="Times New Roman"/>
          <w:color w:val="auto"/>
          <w:lang w:val="hy-AM"/>
        </w:rPr>
        <w:t>ՊՄԸ-ՆԵՐԻ ՊՈՐՏՖԵԼԻ ՎԵՐԼՈՒԾՈՒԹՅՈՒՆ</w:t>
      </w:r>
    </w:p>
    <w:p w14:paraId="263B60A3" w14:textId="77777777" w:rsidR="006F75BA" w:rsidRPr="000232DD" w:rsidRDefault="006F75BA"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2025 թվականի տվյալներով ՀՀ-ում գործում է 182</w:t>
      </w:r>
      <w:r w:rsidRPr="000232DD">
        <w:rPr>
          <w:rFonts w:ascii="GHEA Grapalat" w:eastAsia="Times New Roman" w:hAnsi="GHEA Grapalat" w:cs="Times New Roman"/>
          <w:color w:val="auto"/>
          <w:szCs w:val="20"/>
          <w:vertAlign w:val="superscript"/>
          <w:lang w:val="hy-AM"/>
        </w:rPr>
        <w:footnoteReference w:id="28"/>
      </w:r>
      <w:r w:rsidRPr="000232DD">
        <w:rPr>
          <w:rFonts w:ascii="GHEA Grapalat" w:eastAsia="Times New Roman" w:hAnsi="GHEA Grapalat" w:cs="Times New Roman"/>
          <w:color w:val="auto"/>
          <w:szCs w:val="20"/>
          <w:lang w:val="hy-AM"/>
        </w:rPr>
        <w:t xml:space="preserve"> պետական մասնակցությամբ և համայնքային մասնակցությամբ ընկերություն, որոնցից 32-ը գտնվում է Երևանի քաղաքապետարանի կառավարման ներքո: Առկա է նաև 19 ընկերություն, որտեղ պետությունն ունի մինչև 50 տոկոս (մինորիտար) բաժնեմասնակցություն (տես՝ աղյուսակ 1):</w:t>
      </w:r>
    </w:p>
    <w:p w14:paraId="43E929D4" w14:textId="77777777" w:rsidR="006F75BA" w:rsidRPr="00A52417" w:rsidRDefault="006F75BA" w:rsidP="00A52417">
      <w:pPr>
        <w:pStyle w:val="Charts"/>
        <w:ind w:right="-22"/>
        <w:rPr>
          <w:b w:val="0"/>
          <w:bCs/>
          <w:color w:val="auto"/>
          <w:sz w:val="20"/>
          <w:szCs w:val="18"/>
        </w:rPr>
      </w:pPr>
      <w:r w:rsidRPr="00A52417">
        <w:rPr>
          <w:b w:val="0"/>
          <w:bCs/>
          <w:color w:val="auto"/>
          <w:sz w:val="20"/>
          <w:szCs w:val="18"/>
        </w:rPr>
        <w:t xml:space="preserve">Աղյուսակ 1. Պետական և համայնքային մասնակցությամբ ընկերությունների դասակարգումն՝ ըստ բաժնեմասնակցության </w:t>
      </w:r>
    </w:p>
    <w:tbl>
      <w:tblPr>
        <w:tblStyle w:val="GridTable4-Accent15"/>
        <w:tblW w:w="9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166"/>
        <w:gridCol w:w="2448"/>
        <w:gridCol w:w="2448"/>
        <w:gridCol w:w="2448"/>
      </w:tblGrid>
      <w:tr w:rsidR="004C0C21" w:rsidRPr="000232DD" w14:paraId="27A5A78E" w14:textId="77777777" w:rsidTr="000232DD">
        <w:trPr>
          <w:cnfStyle w:val="000000100000" w:firstRow="0" w:lastRow="0" w:firstColumn="0" w:lastColumn="0" w:oddVBand="0" w:evenVBand="0" w:oddHBand="1" w:evenHBand="0" w:firstRowFirstColumn="0" w:firstRowLastColumn="0" w:lastRowFirstColumn="0" w:lastRowLastColumn="0"/>
          <w:trHeight w:val="864"/>
          <w:jc w:val="center"/>
        </w:trPr>
        <w:tc>
          <w:tcPr>
            <w:tcW w:w="2166" w:type="dxa"/>
            <w:hideMark/>
          </w:tcPr>
          <w:p w14:paraId="62F67E62" w14:textId="77777777" w:rsidR="006F75BA" w:rsidRPr="000232DD" w:rsidRDefault="006F75BA" w:rsidP="00082769">
            <w:pPr>
              <w:spacing w:before="0" w:after="0" w:line="240" w:lineRule="auto"/>
              <w:ind w:right="-22"/>
              <w:jc w:val="center"/>
              <w:rPr>
                <w:rFonts w:ascii="GHEA Grapalat" w:eastAsia="Calibri" w:hAnsi="GHEA Grapalat" w:cs="Times New Roman"/>
                <w:b/>
                <w:color w:val="auto"/>
                <w:sz w:val="18"/>
                <w:szCs w:val="18"/>
              </w:rPr>
            </w:pPr>
            <w:r w:rsidRPr="000232DD">
              <w:rPr>
                <w:rFonts w:ascii="GHEA Grapalat" w:eastAsia="Calibri" w:hAnsi="GHEA Grapalat" w:cs="Times New Roman"/>
                <w:color w:val="auto"/>
              </w:rPr>
              <w:t>50 տոկոս և ավել</w:t>
            </w:r>
          </w:p>
        </w:tc>
        <w:tc>
          <w:tcPr>
            <w:tcW w:w="2448" w:type="dxa"/>
            <w:hideMark/>
          </w:tcPr>
          <w:p w14:paraId="255B63AC" w14:textId="77777777" w:rsidR="006F75BA" w:rsidRPr="000232DD" w:rsidRDefault="006F75BA" w:rsidP="00082769">
            <w:pPr>
              <w:spacing w:before="0" w:after="0" w:line="240" w:lineRule="auto"/>
              <w:ind w:right="-22"/>
              <w:jc w:val="center"/>
              <w:rPr>
                <w:rFonts w:ascii="GHEA Grapalat" w:eastAsia="Calibri" w:hAnsi="GHEA Grapalat" w:cs="Times New Roman"/>
                <w:b/>
                <w:color w:val="auto"/>
                <w:sz w:val="18"/>
                <w:szCs w:val="18"/>
              </w:rPr>
            </w:pPr>
            <w:r w:rsidRPr="000232DD">
              <w:rPr>
                <w:rFonts w:ascii="GHEA Grapalat" w:eastAsia="Calibri" w:hAnsi="GHEA Grapalat" w:cs="Times New Roman"/>
                <w:color w:val="auto"/>
              </w:rPr>
              <w:t>Երևանի Քաղաքապետարան</w:t>
            </w:r>
          </w:p>
        </w:tc>
        <w:tc>
          <w:tcPr>
            <w:tcW w:w="2448" w:type="dxa"/>
            <w:hideMark/>
          </w:tcPr>
          <w:p w14:paraId="3E0B90CE" w14:textId="77777777" w:rsidR="006F75BA" w:rsidRPr="000232DD" w:rsidRDefault="006F75BA" w:rsidP="00082769">
            <w:pPr>
              <w:spacing w:before="0" w:after="0" w:line="240" w:lineRule="auto"/>
              <w:ind w:right="-22"/>
              <w:jc w:val="center"/>
              <w:rPr>
                <w:rFonts w:ascii="GHEA Grapalat" w:eastAsia="Calibri" w:hAnsi="GHEA Grapalat" w:cs="Times New Roman"/>
                <w:b/>
                <w:color w:val="auto"/>
                <w:sz w:val="18"/>
                <w:szCs w:val="18"/>
              </w:rPr>
            </w:pPr>
            <w:r w:rsidRPr="000232DD">
              <w:rPr>
                <w:rFonts w:ascii="GHEA Grapalat" w:eastAsia="Calibri" w:hAnsi="GHEA Grapalat" w:cs="Times New Roman"/>
                <w:color w:val="auto"/>
              </w:rPr>
              <w:t>Մինչև 50 տոկոս</w:t>
            </w:r>
          </w:p>
        </w:tc>
        <w:tc>
          <w:tcPr>
            <w:tcW w:w="2448" w:type="dxa"/>
            <w:hideMark/>
          </w:tcPr>
          <w:p w14:paraId="5CBF0813" w14:textId="77777777" w:rsidR="006F75BA" w:rsidRPr="000232DD" w:rsidRDefault="006F75BA" w:rsidP="00082769">
            <w:pPr>
              <w:spacing w:before="0" w:after="0" w:line="240" w:lineRule="auto"/>
              <w:ind w:right="-22"/>
              <w:jc w:val="center"/>
              <w:rPr>
                <w:rFonts w:ascii="GHEA Grapalat" w:eastAsia="Calibri" w:hAnsi="GHEA Grapalat" w:cs="Times New Roman"/>
                <w:b/>
                <w:color w:val="auto"/>
                <w:sz w:val="18"/>
                <w:szCs w:val="18"/>
              </w:rPr>
            </w:pPr>
            <w:r w:rsidRPr="000232DD">
              <w:rPr>
                <w:rFonts w:ascii="GHEA Grapalat" w:eastAsia="Calibri" w:hAnsi="GHEA Grapalat" w:cs="Times New Roman"/>
                <w:color w:val="auto"/>
              </w:rPr>
              <w:t>Ընդհանուր</w:t>
            </w:r>
          </w:p>
        </w:tc>
      </w:tr>
      <w:tr w:rsidR="004C0C21" w:rsidRPr="000232DD" w14:paraId="76C26FE7" w14:textId="77777777" w:rsidTr="000232DD">
        <w:trPr>
          <w:trHeight w:val="432"/>
          <w:jc w:val="center"/>
        </w:trPr>
        <w:tc>
          <w:tcPr>
            <w:tcW w:w="2166" w:type="dxa"/>
            <w:hideMark/>
          </w:tcPr>
          <w:p w14:paraId="1919C695" w14:textId="77777777" w:rsidR="006F75BA" w:rsidRPr="000232DD" w:rsidRDefault="006F75BA" w:rsidP="00082769">
            <w:pPr>
              <w:spacing w:before="0" w:after="0" w:line="240" w:lineRule="auto"/>
              <w:ind w:right="-22"/>
              <w:jc w:val="center"/>
              <w:rPr>
                <w:rFonts w:ascii="GHEA Grapalat" w:eastAsia="Calibri" w:hAnsi="GHEA Grapalat" w:cs="Times New Roman"/>
                <w:b/>
                <w:color w:val="auto"/>
                <w:sz w:val="18"/>
                <w:szCs w:val="18"/>
                <w:lang w:val="hy-AM"/>
              </w:rPr>
            </w:pPr>
            <w:r w:rsidRPr="000232DD">
              <w:rPr>
                <w:rFonts w:ascii="GHEA Grapalat" w:eastAsia="Calibri" w:hAnsi="GHEA Grapalat" w:cs="Times New Roman"/>
                <w:color w:val="auto"/>
                <w:lang w:val="hy-AM"/>
              </w:rPr>
              <w:t>1</w:t>
            </w:r>
            <w:r w:rsidRPr="000232DD">
              <w:rPr>
                <w:rFonts w:ascii="GHEA Grapalat" w:eastAsia="Calibri" w:hAnsi="GHEA Grapalat" w:cs="Times New Roman"/>
                <w:color w:val="auto"/>
              </w:rPr>
              <w:t>50</w:t>
            </w:r>
          </w:p>
        </w:tc>
        <w:tc>
          <w:tcPr>
            <w:tcW w:w="2448" w:type="dxa"/>
            <w:hideMark/>
          </w:tcPr>
          <w:p w14:paraId="0CE40D5C" w14:textId="77777777" w:rsidR="006F75BA" w:rsidRPr="000232DD" w:rsidRDefault="006F75BA" w:rsidP="00082769">
            <w:pPr>
              <w:spacing w:before="0" w:after="0" w:line="240" w:lineRule="auto"/>
              <w:ind w:right="-22"/>
              <w:jc w:val="center"/>
              <w:rPr>
                <w:rFonts w:ascii="GHEA Grapalat" w:eastAsia="Calibri" w:hAnsi="GHEA Grapalat" w:cs="Times New Roman"/>
                <w:b/>
                <w:color w:val="auto"/>
                <w:sz w:val="18"/>
                <w:szCs w:val="18"/>
              </w:rPr>
            </w:pPr>
            <w:r w:rsidRPr="000232DD">
              <w:rPr>
                <w:rFonts w:ascii="GHEA Grapalat" w:eastAsia="Calibri" w:hAnsi="GHEA Grapalat" w:cs="Times New Roman"/>
                <w:color w:val="auto"/>
              </w:rPr>
              <w:t>3</w:t>
            </w:r>
            <w:r w:rsidRPr="000232DD">
              <w:rPr>
                <w:rFonts w:ascii="GHEA Grapalat" w:eastAsia="Calibri" w:hAnsi="GHEA Grapalat" w:cs="Times New Roman"/>
                <w:color w:val="auto"/>
                <w:lang w:val="hy-AM"/>
              </w:rPr>
              <w:t>2</w:t>
            </w:r>
          </w:p>
        </w:tc>
        <w:tc>
          <w:tcPr>
            <w:tcW w:w="2448" w:type="dxa"/>
            <w:hideMark/>
          </w:tcPr>
          <w:p w14:paraId="23E143FC" w14:textId="77777777" w:rsidR="006F75BA" w:rsidRPr="000232DD" w:rsidRDefault="006F75BA" w:rsidP="00082769">
            <w:pPr>
              <w:spacing w:before="0" w:after="0" w:line="240" w:lineRule="auto"/>
              <w:ind w:right="-22"/>
              <w:jc w:val="center"/>
              <w:rPr>
                <w:rFonts w:ascii="GHEA Grapalat" w:eastAsia="Calibri" w:hAnsi="GHEA Grapalat" w:cs="Times New Roman"/>
                <w:b/>
                <w:color w:val="auto"/>
                <w:sz w:val="18"/>
                <w:szCs w:val="18"/>
              </w:rPr>
            </w:pPr>
            <w:r w:rsidRPr="000232DD">
              <w:rPr>
                <w:rFonts w:ascii="GHEA Grapalat" w:eastAsia="Calibri" w:hAnsi="GHEA Grapalat" w:cs="Times New Roman"/>
                <w:color w:val="auto"/>
              </w:rPr>
              <w:t>19</w:t>
            </w:r>
          </w:p>
        </w:tc>
        <w:tc>
          <w:tcPr>
            <w:tcW w:w="2448" w:type="dxa"/>
            <w:hideMark/>
          </w:tcPr>
          <w:p w14:paraId="13F9F1EB" w14:textId="77777777" w:rsidR="006F75BA" w:rsidRPr="000232DD" w:rsidRDefault="006F75BA" w:rsidP="00082769">
            <w:pPr>
              <w:spacing w:before="0" w:after="0" w:line="240" w:lineRule="auto"/>
              <w:ind w:right="-22"/>
              <w:jc w:val="center"/>
              <w:rPr>
                <w:rFonts w:ascii="GHEA Grapalat" w:eastAsia="Calibri" w:hAnsi="GHEA Grapalat" w:cs="Times New Roman"/>
                <w:color w:val="auto"/>
              </w:rPr>
            </w:pPr>
            <w:r w:rsidRPr="000232DD">
              <w:rPr>
                <w:rFonts w:ascii="GHEA Grapalat" w:eastAsia="Calibri" w:hAnsi="GHEA Grapalat" w:cs="Times New Roman"/>
                <w:color w:val="auto"/>
              </w:rPr>
              <w:t>201</w:t>
            </w:r>
          </w:p>
        </w:tc>
      </w:tr>
    </w:tbl>
    <w:p w14:paraId="1C4BDF37" w14:textId="77777777" w:rsidR="006F75BA" w:rsidRPr="000232DD" w:rsidRDefault="006F75BA" w:rsidP="00082769">
      <w:pPr>
        <w:ind w:right="-22"/>
        <w:jc w:val="both"/>
        <w:rPr>
          <w:rFonts w:ascii="GHEA Grapalat" w:eastAsia="Times New Roman" w:hAnsi="GHEA Grapalat" w:cs="Times New Roman"/>
          <w:color w:val="auto"/>
          <w:lang w:val="hy-AM" w:eastAsia="ru-RU"/>
        </w:rPr>
      </w:pPr>
    </w:p>
    <w:p w14:paraId="25BF02D8" w14:textId="77777777" w:rsidR="006F75BA" w:rsidRPr="000232DD" w:rsidRDefault="006F75BA"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 xml:space="preserve">ՊՄԸ-ները հիմնականում գործում են այնպիսի ռազմավարական ոլորտներում, ինչպիսիք են էներգետիկան, առողջապահությունը, ջրային տնտեսությունը և այլն։ Ընկերությունների ակտիվների և պարտավորությունների մեծ մասը կենտրոնացված է էներգետիկայի ոլորտում՝ կազմելով ՊՄԸ-ների ընդհանուր պորտֆելի, համապատասխանաբար, 49.0%-ը և 60.8%-ը (գծապատկեր 1): </w:t>
      </w:r>
    </w:p>
    <w:p w14:paraId="4CBE3D9B" w14:textId="49D25822" w:rsidR="006F75BA" w:rsidRPr="00A52417" w:rsidRDefault="006F75BA" w:rsidP="00082769">
      <w:pPr>
        <w:pStyle w:val="Charts"/>
        <w:ind w:right="-22"/>
        <w:rPr>
          <w:b w:val="0"/>
          <w:bCs/>
          <w:color w:val="auto"/>
          <w:sz w:val="20"/>
          <w:szCs w:val="18"/>
        </w:rPr>
      </w:pPr>
      <w:r w:rsidRPr="00A52417">
        <w:rPr>
          <w:bCs/>
          <w:sz w:val="20"/>
          <w:szCs w:val="18"/>
        </w:rPr>
        <w:t>Գծապատկեր 1</w:t>
      </w:r>
      <w:r w:rsidRPr="00A52417">
        <w:rPr>
          <w:rFonts w:ascii="Cambria Math" w:hAnsi="Cambria Math" w:cs="Cambria Math"/>
          <w:bCs/>
          <w:sz w:val="20"/>
          <w:szCs w:val="18"/>
        </w:rPr>
        <w:t>․</w:t>
      </w:r>
      <w:r w:rsidRPr="00A52417">
        <w:rPr>
          <w:bCs/>
          <w:sz w:val="20"/>
          <w:szCs w:val="18"/>
        </w:rPr>
        <w:t xml:space="preserve"> Պետական մասնակցությամբ ընկերությունների ակտիվները և պարտավորությունները՝ ըստ ոլորտներ</w:t>
      </w:r>
      <w:r w:rsidRPr="00A52417">
        <w:rPr>
          <w:b w:val="0"/>
          <w:bCs/>
          <w:color w:val="auto"/>
          <w:sz w:val="20"/>
          <w:szCs w:val="18"/>
        </w:rPr>
        <w:t>ի</w:t>
      </w:r>
    </w:p>
    <w:p w14:paraId="645BC2DF" w14:textId="258BE027" w:rsidR="006F75BA" w:rsidRPr="000232DD" w:rsidRDefault="00ED1FDB" w:rsidP="00082769">
      <w:pPr>
        <w:ind w:right="-22"/>
        <w:jc w:val="both"/>
        <w:rPr>
          <w:rFonts w:ascii="GHEA Grapalat" w:eastAsia="Times New Roman" w:hAnsi="GHEA Grapalat" w:cs="Times New Roman"/>
          <w:color w:val="auto"/>
          <w:szCs w:val="20"/>
          <w:lang w:val="hy-AM"/>
        </w:rPr>
      </w:pPr>
      <w:r w:rsidRPr="000232DD">
        <w:rPr>
          <w:rStyle w:val="ChartsChar"/>
          <w:noProof/>
          <w:color w:val="auto"/>
          <w:lang w:val="en-US"/>
        </w:rPr>
        <w:drawing>
          <wp:anchor distT="0" distB="0" distL="114300" distR="114300" simplePos="0" relativeHeight="251675648" behindDoc="0" locked="0" layoutInCell="1" allowOverlap="1" wp14:anchorId="2F475175" wp14:editId="21265C0B">
            <wp:simplePos x="0" y="0"/>
            <wp:positionH relativeFrom="margin">
              <wp:posOffset>85725</wp:posOffset>
            </wp:positionH>
            <wp:positionV relativeFrom="paragraph">
              <wp:posOffset>4445</wp:posOffset>
            </wp:positionV>
            <wp:extent cx="2714625" cy="190881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714625" cy="1908810"/>
                    </a:xfrm>
                    <a:prstGeom prst="rect">
                      <a:avLst/>
                    </a:prstGeom>
                    <a:noFill/>
                  </pic:spPr>
                </pic:pic>
              </a:graphicData>
            </a:graphic>
            <wp14:sizeRelH relativeFrom="margin">
              <wp14:pctWidth>0</wp14:pctWidth>
            </wp14:sizeRelH>
            <wp14:sizeRelV relativeFrom="margin">
              <wp14:pctHeight>0</wp14:pctHeight>
            </wp14:sizeRelV>
          </wp:anchor>
        </w:drawing>
      </w:r>
      <w:r w:rsidR="006F75BA" w:rsidRPr="000232DD">
        <w:rPr>
          <w:noProof/>
          <w:color w:val="auto"/>
          <w:sz w:val="24"/>
          <w:szCs w:val="24"/>
        </w:rPr>
        <w:drawing>
          <wp:inline distT="0" distB="0" distL="0" distR="0" wp14:anchorId="224FDF2A" wp14:editId="53167F81">
            <wp:extent cx="2908935" cy="1952535"/>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941231" cy="1974213"/>
                    </a:xfrm>
                    <a:prstGeom prst="rect">
                      <a:avLst/>
                    </a:prstGeom>
                    <a:noFill/>
                  </pic:spPr>
                </pic:pic>
              </a:graphicData>
            </a:graphic>
          </wp:inline>
        </w:drawing>
      </w:r>
      <w:r w:rsidR="006F75BA" w:rsidRPr="000232DD">
        <w:rPr>
          <w:rFonts w:ascii="GHEA Grapalat" w:eastAsia="Times New Roman" w:hAnsi="GHEA Grapalat" w:cs="Times New Roman"/>
          <w:color w:val="auto"/>
          <w:szCs w:val="20"/>
          <w:lang w:val="hy-AM"/>
        </w:rPr>
        <w:br w:type="textWrapping" w:clear="all"/>
      </w:r>
    </w:p>
    <w:p w14:paraId="43E2A3A1" w14:textId="55B74EF9" w:rsidR="005D4274" w:rsidRDefault="005D4274" w:rsidP="00082769">
      <w:pPr>
        <w:pStyle w:val="BodyText1"/>
        <w:ind w:left="0" w:right="-22"/>
        <w:rPr>
          <w:color w:val="auto"/>
          <w:szCs w:val="22"/>
          <w:lang w:val="hy-AM"/>
        </w:rPr>
      </w:pPr>
      <w:r w:rsidRPr="000232DD">
        <w:rPr>
          <w:color w:val="auto"/>
          <w:szCs w:val="22"/>
          <w:lang w:val="hy-AM"/>
        </w:rPr>
        <w:t xml:space="preserve">2025թ.-ին ՊՄԸ-ների ակտիվների ծավալը կազմել է 882.6 մլրդ ՀՀ դրամ՝ աճելով 2020թ.-ի նկատմամբ 10.9%-ով, իսկ պարտավորությունների ծավալը կազմել է 445.4 մլրդ ՀՀ դրամ՝ 2020թ.-ի նկատմամբ նվազելով 18.7%-ով (գծապատկեր 2): </w:t>
      </w:r>
    </w:p>
    <w:p w14:paraId="745D798D" w14:textId="630B41AD" w:rsidR="00695F67" w:rsidRDefault="00695F67" w:rsidP="00695F67">
      <w:pPr>
        <w:rPr>
          <w:rFonts w:ascii="Arial" w:hAnsi="Arial"/>
          <w:lang w:val="hy-AM"/>
        </w:rPr>
      </w:pPr>
    </w:p>
    <w:p w14:paraId="41E36F60" w14:textId="77777777" w:rsidR="00695F67" w:rsidRPr="00695F67" w:rsidRDefault="00695F67" w:rsidP="00695F67">
      <w:pPr>
        <w:rPr>
          <w:rFonts w:ascii="Arial" w:hAnsi="Arial"/>
          <w:lang w:val="hy-AM"/>
        </w:rPr>
      </w:pPr>
    </w:p>
    <w:p w14:paraId="72BA252E" w14:textId="77777777" w:rsidR="005D4274" w:rsidRPr="00A52417" w:rsidRDefault="005D4274" w:rsidP="00082769">
      <w:pPr>
        <w:pStyle w:val="Charts"/>
        <w:ind w:right="-22"/>
        <w:rPr>
          <w:b w:val="0"/>
          <w:bCs/>
          <w:color w:val="auto"/>
          <w:sz w:val="20"/>
          <w:szCs w:val="18"/>
        </w:rPr>
      </w:pPr>
      <w:r w:rsidRPr="00A52417">
        <w:rPr>
          <w:b w:val="0"/>
          <w:bCs/>
          <w:color w:val="auto"/>
          <w:sz w:val="20"/>
          <w:szCs w:val="18"/>
        </w:rPr>
        <w:t>Գծապատկեր 2</w:t>
      </w:r>
      <w:r w:rsidRPr="00A52417">
        <w:rPr>
          <w:rFonts w:hint="eastAsia"/>
          <w:b w:val="0"/>
          <w:bCs/>
          <w:color w:val="auto"/>
          <w:sz w:val="20"/>
          <w:szCs w:val="18"/>
        </w:rPr>
        <w:t>․</w:t>
      </w:r>
      <w:r w:rsidRPr="00A52417">
        <w:rPr>
          <w:b w:val="0"/>
          <w:bCs/>
          <w:color w:val="auto"/>
          <w:sz w:val="20"/>
          <w:szCs w:val="18"/>
        </w:rPr>
        <w:t xml:space="preserve"> ՊՄԸ-ների ակտիվների և պարտավորությունների ծավալը 2020-2025թթ.</w:t>
      </w:r>
      <w:r w:rsidRPr="00A52417">
        <w:rPr>
          <w:b w:val="0"/>
          <w:bCs/>
          <w:color w:val="auto"/>
          <w:sz w:val="20"/>
          <w:szCs w:val="18"/>
        </w:rPr>
        <w:footnoteReference w:id="29"/>
      </w:r>
    </w:p>
    <w:p w14:paraId="6A31566F" w14:textId="77777777" w:rsidR="005D4274" w:rsidRPr="000232DD" w:rsidRDefault="005D4274" w:rsidP="00082769">
      <w:pPr>
        <w:ind w:right="-22"/>
        <w:jc w:val="center"/>
        <w:rPr>
          <w:color w:val="auto"/>
        </w:rPr>
      </w:pPr>
      <w:r w:rsidRPr="000232DD">
        <w:rPr>
          <w:noProof/>
          <w:color w:val="auto"/>
        </w:rPr>
        <w:drawing>
          <wp:inline distT="0" distB="0" distL="0" distR="0" wp14:anchorId="01CDE2EE" wp14:editId="52876893">
            <wp:extent cx="5029200" cy="275272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637354B6" w14:textId="62218DDB" w:rsidR="006F75BA" w:rsidRPr="000232DD" w:rsidRDefault="005D4274"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2025 թվականին 20 ՊՄԸ-ների ֆինանսական հաշվետվությունների՝ առնվազն 5 տարիների հիման վրա, իրականացվել է ֆինանսական վիճակի գնահատում՝ Արժույթի միջազգային հիմնադրամի «Ֆինանսական առողջության գնահատման» և «z-score» գործիքակազմի կիրառմամբ: Առանձնացնելով ՊՄԸ-ների պորտֆելում ակտիվների մեծ տեսակարար կշիռ ունեցող 20 ընկերություն՝ կատարվել են մի շարք վերլուծություններ։ Մասնավորապես՝ 2025 թվականին 20 ընկերության ակտիվների ծավալը կազմել է ընդհանուր ակտիվների պորտֆելի 74.6%-ը, իսկ նրանց պարտավորությունները կազմում են ընդհանուր պարտավորությունների պորտֆելի 73.0%-ը</w:t>
      </w:r>
      <w:r w:rsidRPr="00695F67">
        <w:rPr>
          <w:rFonts w:ascii="GHEA Grapalat" w:eastAsia="Times New Roman" w:hAnsi="GHEA Grapalat" w:cs="Times New Roman"/>
          <w:color w:val="auto"/>
          <w:sz w:val="16"/>
          <w:szCs w:val="16"/>
        </w:rPr>
        <w:footnoteReference w:id="30"/>
      </w:r>
      <w:r w:rsidRPr="000232DD">
        <w:rPr>
          <w:rFonts w:ascii="GHEA Grapalat" w:eastAsia="Times New Roman" w:hAnsi="GHEA Grapalat" w:cs="Times New Roman"/>
          <w:color w:val="auto"/>
          <w:szCs w:val="20"/>
          <w:lang w:val="hy-AM"/>
        </w:rPr>
        <w:t>: Ուսումնասիրված ընկերություններն են՝ «Բարձրավոլտ էլեկտրացանցեր» ՓԲԸ-ն, «Երևանի ՋԷԿ» ՓԲԸ-ն, «Հայկական ատոմային էլեկտրակայան» ՓԲԸ-ն,  «Ջրառ» ՓԲԸ-ն, «Հայփոստ» ՓԲԸ-ն, «Կարեն Դեմիրճյանի անվան Երևանի մետրոպոլիտեն» ՓԲԸ-ն, ««Սուրբ Գրիգոր Լուսավորիչ» բժշկական կենտրոն» ՓԲԸ-ն, Հայաէրոնավիգացիա ՓԲԸ-ն, Հայաստան</w:t>
      </w:r>
      <w:r w:rsidR="00B75923">
        <w:rPr>
          <w:rFonts w:ascii="GHEA Grapalat" w:eastAsia="Times New Roman" w:hAnsi="GHEA Grapalat" w:cs="Times New Roman"/>
          <w:color w:val="auto"/>
          <w:szCs w:val="20"/>
          <w:lang w:val="hy-AM"/>
        </w:rPr>
        <w:t>ի հեռուստատեսային և ռադիոհաղորդի</w:t>
      </w:r>
      <w:r w:rsidRPr="000232DD">
        <w:rPr>
          <w:rFonts w:ascii="GHEA Grapalat" w:eastAsia="Times New Roman" w:hAnsi="GHEA Grapalat" w:cs="Times New Roman"/>
          <w:color w:val="auto"/>
          <w:szCs w:val="20"/>
          <w:lang w:val="hy-AM"/>
        </w:rPr>
        <w:t>չ ցանց ՓԲԸ-ն, Էլեկտրաէներգետիկական համակարգի օպերատոր ՓԲԸ-ն, «Հայաստանի հանրային հեռուստաընկերություն» ՓԲԸ-ն, «Վ. Ա. Ֆանարջյանի անվան ուռուցքաբանության ազգային կենտրոն» ՓԲԸ-ն, Վանաձորի բժշկական կենտրոն ՓԲԸ-ն, «Պրոֆեսոր Ռ. Օ. Յոլյանի անվան արյունաբանական կենտրոն» ՓԲԸ-ն, Հայաստանի հանրային ռադիոընկերություն  ՓԲԸ-ն, «Կարեն Դեմիրճյանի անվան մարզահամերգային համալիր» ՓԲԸ-ն, «Հայաստանի արտահանման ապահովագրական գործակալություն» ԱՓԲԸ-ն, «Հայ-Ալմաստ» ՓԲԸ, Հաշվարկային կենտրոն ՓԲԸ-ն և «Գյումրու բժշկական կենտրոն» ՓԲԸ-ն:</w:t>
      </w:r>
    </w:p>
    <w:p w14:paraId="55EDB8BF" w14:textId="77777777" w:rsidR="005D4274" w:rsidRPr="000232DD" w:rsidRDefault="005D4274" w:rsidP="00082769">
      <w:pPr>
        <w:ind w:right="-22"/>
        <w:jc w:val="both"/>
        <w:rPr>
          <w:rFonts w:ascii="GHEA Grapalat" w:eastAsia="Times New Roman" w:hAnsi="GHEA Grapalat" w:cs="Times New Roman"/>
          <w:b/>
          <w:color w:val="auto"/>
          <w:szCs w:val="20"/>
          <w:vertAlign w:val="superscript"/>
          <w:lang w:val="hy-AM"/>
        </w:rPr>
      </w:pPr>
      <w:r w:rsidRPr="000232DD">
        <w:rPr>
          <w:rFonts w:ascii="GHEA Grapalat" w:eastAsia="Times New Roman" w:hAnsi="GHEA Grapalat" w:cs="Times New Roman"/>
          <w:b/>
          <w:color w:val="auto"/>
          <w:szCs w:val="20"/>
          <w:lang w:val="hy-AM"/>
        </w:rPr>
        <w:t>ՊՄԸ-ՆԵՐԻ ՖԻՆԱՆՍԱԿԱՆ ԱՌՈՂՋՈՒԹՅԱՆ ՎԵՐԼՈՒԾՈՒԹՅՈՒՆ</w:t>
      </w:r>
    </w:p>
    <w:p w14:paraId="1BD54E88" w14:textId="50B0F561" w:rsidR="005D4274" w:rsidRPr="000232DD" w:rsidRDefault="005D4274" w:rsidP="00082769">
      <w:pPr>
        <w:ind w:right="-22"/>
        <w:jc w:val="both"/>
        <w:rPr>
          <w:rFonts w:ascii="GHEA Grapalat" w:eastAsia="Times New Roman" w:hAnsi="GHEA Grapalat" w:cs="Times New Roman"/>
          <w:color w:val="auto"/>
          <w:szCs w:val="20"/>
          <w:lang w:val="hy-AM"/>
        </w:rPr>
      </w:pPr>
      <w:r w:rsidRPr="000232DD">
        <w:rPr>
          <w:rFonts w:ascii="GHEA Grapalat" w:eastAsia="Times New Roman" w:hAnsi="GHEA Grapalat" w:cs="Times New Roman"/>
          <w:color w:val="auto"/>
          <w:szCs w:val="20"/>
          <w:lang w:val="hy-AM"/>
        </w:rPr>
        <w:t xml:space="preserve">Վերլուծությունը կատարվել է շահութաբերության, իրացվելիության և վճարունակության ցուցանիշների գնահատումների հիման վրա, որոնց արդյունքում ռիսկայնության մակարդակը դասակարգվել է ըստ </w:t>
      </w:r>
      <w:r w:rsidR="00B75923">
        <w:rPr>
          <w:rFonts w:ascii="GHEA Grapalat" w:eastAsia="Times New Roman" w:hAnsi="GHEA Grapalat" w:cs="Times New Roman"/>
          <w:color w:val="auto"/>
          <w:szCs w:val="20"/>
          <w:lang w:val="hy-AM"/>
        </w:rPr>
        <w:t>կատեգորիան</w:t>
      </w:r>
      <w:r w:rsidRPr="000232DD">
        <w:rPr>
          <w:rFonts w:ascii="GHEA Grapalat" w:eastAsia="Times New Roman" w:hAnsi="GHEA Grapalat" w:cs="Times New Roman"/>
          <w:color w:val="auto"/>
          <w:szCs w:val="20"/>
          <w:lang w:val="hy-AM"/>
        </w:rPr>
        <w:t>երի: Ընդ որում, 1-ին կատեգորիան նշում է ռիսկի ցածր մակարդակ, իսկ 5-րդը՝ ռիսկի բարձր մակարդակ (տես՝ աղյուսակ 2): Վերլուծության համաձայն՝ ՊՄԸ-ների ռիսկի միջին կշռված մակարդակը 2025թ. դրությամբ 3-րդ կատեգորիայում է (տես՝ աղյուսակ 3): Նշենք, որ 2025թ</w:t>
      </w:r>
      <w:r w:rsidRPr="000232DD">
        <w:rPr>
          <w:rFonts w:ascii="Cambria Math" w:eastAsia="Times New Roman" w:hAnsi="Cambria Math" w:cs="Cambria Math"/>
          <w:color w:val="auto"/>
          <w:szCs w:val="20"/>
          <w:lang w:val="hy-AM"/>
        </w:rPr>
        <w:t>․</w:t>
      </w:r>
      <w:r w:rsidRPr="000232DD">
        <w:rPr>
          <w:rFonts w:ascii="GHEA Grapalat" w:eastAsia="Times New Roman" w:hAnsi="GHEA Grapalat" w:cs="Times New Roman"/>
          <w:color w:val="auto"/>
          <w:szCs w:val="20"/>
          <w:lang w:val="hy-AM"/>
        </w:rPr>
        <w:t>-ին դիտարկված 20 ընկերություններից 14-ը շահութաբեր են եղել, իսկ 6-ը աշխատել են վնասով:</w:t>
      </w:r>
    </w:p>
    <w:p w14:paraId="2EC431E5" w14:textId="77777777" w:rsidR="005D4274" w:rsidRPr="000232DD" w:rsidRDefault="005D4274" w:rsidP="00082769">
      <w:pPr>
        <w:pStyle w:val="TableTitleCharCharCharCharCharCharCharCharCharChar1"/>
        <w:ind w:right="-22"/>
        <w:rPr>
          <w:rFonts w:ascii="GHEA Grapalat" w:hAnsi="GHEA Grapalat"/>
          <w:color w:val="auto"/>
          <w:lang w:val="hy-AM"/>
        </w:rPr>
      </w:pPr>
    </w:p>
    <w:p w14:paraId="37BADDA8" w14:textId="77777777" w:rsidR="005D4274" w:rsidRPr="00A52417" w:rsidRDefault="005D4274" w:rsidP="00A52417">
      <w:pPr>
        <w:pStyle w:val="Charts"/>
        <w:ind w:right="-22"/>
        <w:rPr>
          <w:b w:val="0"/>
          <w:bCs/>
          <w:color w:val="auto"/>
          <w:sz w:val="20"/>
          <w:szCs w:val="18"/>
        </w:rPr>
      </w:pPr>
      <w:r w:rsidRPr="00A52417">
        <w:rPr>
          <w:b w:val="0"/>
          <w:bCs/>
          <w:color w:val="auto"/>
          <w:sz w:val="20"/>
          <w:szCs w:val="18"/>
        </w:rPr>
        <w:t>Աղյուսակ 2. Ռիսկի դասակարգումը</w:t>
      </w:r>
    </w:p>
    <w:tbl>
      <w:tblPr>
        <w:tblStyle w:val="TableGrid"/>
        <w:tblW w:w="988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0"/>
        <w:gridCol w:w="1938"/>
        <w:gridCol w:w="1890"/>
        <w:gridCol w:w="1189"/>
        <w:gridCol w:w="800"/>
        <w:gridCol w:w="969"/>
        <w:gridCol w:w="1382"/>
        <w:gridCol w:w="18"/>
      </w:tblGrid>
      <w:tr w:rsidR="004C0C21" w:rsidRPr="000232DD" w14:paraId="063B8AAA" w14:textId="77777777" w:rsidTr="00821159">
        <w:trPr>
          <w:gridAfter w:val="1"/>
          <w:wAfter w:w="18" w:type="dxa"/>
          <w:trHeight w:val="360"/>
          <w:jc w:val="center"/>
        </w:trPr>
        <w:tc>
          <w:tcPr>
            <w:tcW w:w="1700" w:type="dxa"/>
            <w:shd w:val="clear" w:color="auto" w:fill="008A3E"/>
            <w:vAlign w:val="center"/>
          </w:tcPr>
          <w:p w14:paraId="16D64A1B" w14:textId="77777777" w:rsidR="005D4274" w:rsidRPr="000232DD" w:rsidRDefault="005D4274" w:rsidP="00082769">
            <w:pPr>
              <w:ind w:right="-22"/>
              <w:rPr>
                <w:color w:val="auto"/>
                <w:sz w:val="20"/>
                <w:lang w:val="hy-AM"/>
              </w:rPr>
            </w:pPr>
            <w:r w:rsidRPr="000232DD">
              <w:rPr>
                <w:color w:val="auto"/>
                <w:sz w:val="20"/>
                <w:lang w:val="hy-AM"/>
              </w:rPr>
              <w:t>1-ին կատեգորիա</w:t>
            </w:r>
          </w:p>
        </w:tc>
        <w:tc>
          <w:tcPr>
            <w:tcW w:w="1938" w:type="dxa"/>
            <w:shd w:val="clear" w:color="auto" w:fill="FFC000"/>
            <w:vAlign w:val="center"/>
          </w:tcPr>
          <w:p w14:paraId="35E599A5" w14:textId="77777777" w:rsidR="005D4274" w:rsidRPr="000232DD" w:rsidRDefault="005D4274" w:rsidP="00082769">
            <w:pPr>
              <w:ind w:right="-22"/>
              <w:rPr>
                <w:color w:val="auto"/>
                <w:sz w:val="20"/>
              </w:rPr>
            </w:pPr>
            <w:r w:rsidRPr="000232DD">
              <w:rPr>
                <w:color w:val="auto"/>
                <w:sz w:val="20"/>
                <w:lang w:val="hy-AM"/>
              </w:rPr>
              <w:t>2-րդ կատեգորիա</w:t>
            </w:r>
          </w:p>
        </w:tc>
        <w:tc>
          <w:tcPr>
            <w:tcW w:w="1890" w:type="dxa"/>
            <w:shd w:val="clear" w:color="auto" w:fill="E97132" w:themeFill="accent2"/>
            <w:vAlign w:val="center"/>
          </w:tcPr>
          <w:p w14:paraId="44440C62" w14:textId="77777777" w:rsidR="005D4274" w:rsidRPr="000232DD" w:rsidRDefault="005D4274" w:rsidP="00082769">
            <w:pPr>
              <w:ind w:right="-22"/>
              <w:rPr>
                <w:color w:val="auto"/>
                <w:sz w:val="20"/>
              </w:rPr>
            </w:pPr>
            <w:r w:rsidRPr="000232DD">
              <w:rPr>
                <w:color w:val="auto"/>
                <w:sz w:val="20"/>
                <w:lang w:val="hy-AM"/>
              </w:rPr>
              <w:t>3-րդ կատեգորիա</w:t>
            </w:r>
          </w:p>
        </w:tc>
        <w:tc>
          <w:tcPr>
            <w:tcW w:w="1989" w:type="dxa"/>
            <w:gridSpan w:val="2"/>
            <w:shd w:val="clear" w:color="auto" w:fill="FF0000"/>
            <w:vAlign w:val="center"/>
          </w:tcPr>
          <w:p w14:paraId="019BE359" w14:textId="77777777" w:rsidR="005D4274" w:rsidRPr="000232DD" w:rsidRDefault="005D4274" w:rsidP="00082769">
            <w:pPr>
              <w:ind w:right="-22"/>
              <w:rPr>
                <w:color w:val="auto"/>
                <w:sz w:val="20"/>
              </w:rPr>
            </w:pPr>
            <w:r w:rsidRPr="000232DD">
              <w:rPr>
                <w:color w:val="auto"/>
                <w:sz w:val="20"/>
                <w:lang w:val="hy-AM"/>
              </w:rPr>
              <w:t>4-րդ կատեգորիա</w:t>
            </w:r>
          </w:p>
        </w:tc>
        <w:tc>
          <w:tcPr>
            <w:tcW w:w="2351" w:type="dxa"/>
            <w:gridSpan w:val="2"/>
            <w:shd w:val="clear" w:color="auto" w:fill="C00000"/>
            <w:vAlign w:val="center"/>
          </w:tcPr>
          <w:p w14:paraId="546D7558" w14:textId="77777777" w:rsidR="005D4274" w:rsidRPr="000232DD" w:rsidRDefault="005D4274" w:rsidP="00082769">
            <w:pPr>
              <w:ind w:right="-22"/>
              <w:rPr>
                <w:color w:val="auto"/>
                <w:sz w:val="20"/>
              </w:rPr>
            </w:pPr>
            <w:r w:rsidRPr="000232DD">
              <w:rPr>
                <w:color w:val="auto"/>
                <w:sz w:val="20"/>
                <w:lang w:val="hy-AM"/>
              </w:rPr>
              <w:t>5-րդ կատեգորիա</w:t>
            </w:r>
          </w:p>
        </w:tc>
      </w:tr>
      <w:tr w:rsidR="004C0C21" w:rsidRPr="000232DD" w14:paraId="70AB54D5" w14:textId="77777777" w:rsidTr="0052459E">
        <w:trPr>
          <w:trHeight w:val="576"/>
          <w:jc w:val="center"/>
        </w:trPr>
        <w:tc>
          <w:tcPr>
            <w:tcW w:w="9886" w:type="dxa"/>
            <w:gridSpan w:val="8"/>
            <w:vAlign w:val="bottom"/>
          </w:tcPr>
          <w:p w14:paraId="35434498" w14:textId="77777777" w:rsidR="005D4274" w:rsidRPr="000232DD" w:rsidRDefault="005D4274" w:rsidP="00082769">
            <w:pPr>
              <w:ind w:right="-22"/>
              <w:jc w:val="center"/>
              <w:rPr>
                <w:color w:val="auto"/>
                <w:lang w:val="hy-AM"/>
              </w:rPr>
            </w:pPr>
            <w:r w:rsidRPr="000232DD">
              <w:rPr>
                <w:color w:val="auto"/>
                <w:lang w:val="hy-AM"/>
              </w:rPr>
              <w:t>ռիսկայնություն</w:t>
            </w:r>
          </w:p>
        </w:tc>
      </w:tr>
      <w:tr w:rsidR="004C0C21" w:rsidRPr="000232DD" w14:paraId="77348C98" w14:textId="77777777" w:rsidTr="0052459E">
        <w:trPr>
          <w:trHeight w:val="288"/>
          <w:jc w:val="center"/>
        </w:trPr>
        <w:tc>
          <w:tcPr>
            <w:tcW w:w="6717" w:type="dxa"/>
            <w:gridSpan w:val="4"/>
            <w:vAlign w:val="center"/>
          </w:tcPr>
          <w:p w14:paraId="77E25282" w14:textId="77777777" w:rsidR="005D4274" w:rsidRPr="000232DD" w:rsidRDefault="005D4274" w:rsidP="00082769">
            <w:pPr>
              <w:ind w:right="-22"/>
              <w:rPr>
                <w:color w:val="auto"/>
                <w:sz w:val="18"/>
                <w:szCs w:val="18"/>
                <w:lang w:val="hy-AM"/>
              </w:rPr>
            </w:pPr>
            <w:r w:rsidRPr="000232DD">
              <w:rPr>
                <w:noProof/>
                <w:color w:val="auto"/>
              </w:rPr>
              <mc:AlternateContent>
                <mc:Choice Requires="wps">
                  <w:drawing>
                    <wp:anchor distT="0" distB="0" distL="114300" distR="114300" simplePos="0" relativeHeight="251677696" behindDoc="0" locked="0" layoutInCell="1" allowOverlap="1" wp14:anchorId="3602A944" wp14:editId="1F246DE5">
                      <wp:simplePos x="0" y="0"/>
                      <wp:positionH relativeFrom="column">
                        <wp:posOffset>539750</wp:posOffset>
                      </wp:positionH>
                      <wp:positionV relativeFrom="paragraph">
                        <wp:posOffset>107315</wp:posOffset>
                      </wp:positionV>
                      <wp:extent cx="5120640" cy="0"/>
                      <wp:effectExtent l="0" t="95250" r="0" b="95250"/>
                      <wp:wrapNone/>
                      <wp:docPr id="16120839" name="Straight Arrow Connector 16120839"/>
                      <wp:cNvGraphicFramePr/>
                      <a:graphic xmlns:a="http://schemas.openxmlformats.org/drawingml/2006/main">
                        <a:graphicData uri="http://schemas.microsoft.com/office/word/2010/wordprocessingShape">
                          <wps:wsp>
                            <wps:cNvCnPr/>
                            <wps:spPr>
                              <a:xfrm flipV="1">
                                <a:off x="0" y="0"/>
                                <a:ext cx="5120640" cy="0"/>
                              </a:xfrm>
                              <a:prstGeom prst="straightConnector1">
                                <a:avLst/>
                              </a:prstGeom>
                              <a:ln w="38100">
                                <a:gradFill flip="none" rotWithShape="1">
                                  <a:gsLst>
                                    <a:gs pos="0">
                                      <a:srgbClr val="00B050"/>
                                    </a:gs>
                                    <a:gs pos="26000">
                                      <a:schemeClr val="accent4"/>
                                    </a:gs>
                                    <a:gs pos="74000">
                                      <a:srgbClr val="FF0000"/>
                                    </a:gs>
                                    <a:gs pos="50000">
                                      <a:schemeClr val="accent2"/>
                                    </a:gs>
                                    <a:gs pos="100000">
                                      <a:srgbClr val="C00000"/>
                                    </a:gs>
                                  </a:gsLst>
                                  <a:lin ang="0" scaled="1"/>
                                  <a:tileRect/>
                                </a:gra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F4421A4" id="_x0000_t32" coordsize="21600,21600" o:spt="32" o:oned="t" path="m,l21600,21600e" filled="f">
                      <v:path arrowok="t" fillok="f" o:connecttype="none"/>
                      <o:lock v:ext="edit" shapetype="t"/>
                    </v:shapetype>
                    <v:shape id="Straight Arrow Connector 16120839" o:spid="_x0000_s1026" type="#_x0000_t32" style="position:absolute;margin-left:42.5pt;margin-top:8.45pt;width:403.2pt;height:0;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" strokeweight="3pt">
                      <v:stroke startarrow="block" endarrow="block" joinstyle="miter"/>
                    </v:shape>
                  </w:pict>
                </mc:Fallback>
              </mc:AlternateContent>
            </w:r>
            <w:r w:rsidRPr="000232DD">
              <w:rPr>
                <w:color w:val="auto"/>
                <w:sz w:val="18"/>
                <w:szCs w:val="18"/>
                <w:lang w:val="hy-AM"/>
              </w:rPr>
              <w:t xml:space="preserve">     ՑԱԾՐ</w:t>
            </w:r>
          </w:p>
        </w:tc>
        <w:tc>
          <w:tcPr>
            <w:tcW w:w="1769" w:type="dxa"/>
            <w:gridSpan w:val="2"/>
            <w:vAlign w:val="center"/>
          </w:tcPr>
          <w:p w14:paraId="40842B0E" w14:textId="77777777" w:rsidR="005D4274" w:rsidRPr="000232DD" w:rsidRDefault="005D4274" w:rsidP="00082769">
            <w:pPr>
              <w:ind w:right="-22"/>
              <w:jc w:val="center"/>
              <w:rPr>
                <w:color w:val="auto"/>
                <w:sz w:val="18"/>
                <w:szCs w:val="18"/>
              </w:rPr>
            </w:pPr>
          </w:p>
        </w:tc>
        <w:tc>
          <w:tcPr>
            <w:tcW w:w="1400" w:type="dxa"/>
            <w:gridSpan w:val="2"/>
            <w:vAlign w:val="center"/>
          </w:tcPr>
          <w:p w14:paraId="29748C3B" w14:textId="77777777" w:rsidR="005D4274" w:rsidRPr="000232DD" w:rsidRDefault="005D4274" w:rsidP="00082769">
            <w:pPr>
              <w:ind w:right="-22"/>
              <w:rPr>
                <w:color w:val="auto"/>
                <w:sz w:val="18"/>
                <w:szCs w:val="18"/>
                <w:lang w:val="hy-AM"/>
              </w:rPr>
            </w:pPr>
            <w:r w:rsidRPr="000232DD">
              <w:rPr>
                <w:color w:val="auto"/>
                <w:sz w:val="18"/>
                <w:szCs w:val="18"/>
                <w:lang w:val="hy-AM"/>
              </w:rPr>
              <w:t xml:space="preserve">       ԲԱՐՁՐ</w:t>
            </w:r>
          </w:p>
        </w:tc>
      </w:tr>
    </w:tbl>
    <w:p w14:paraId="2E28FF36" w14:textId="77777777" w:rsidR="005D4274" w:rsidRPr="00A52417" w:rsidRDefault="005D4274" w:rsidP="00A52417">
      <w:pPr>
        <w:pStyle w:val="Charts"/>
        <w:ind w:right="-22"/>
        <w:rPr>
          <w:b w:val="0"/>
          <w:bCs/>
          <w:color w:val="auto"/>
          <w:sz w:val="20"/>
          <w:szCs w:val="18"/>
        </w:rPr>
      </w:pPr>
      <w:r w:rsidRPr="00A52417">
        <w:rPr>
          <w:b w:val="0"/>
          <w:bCs/>
          <w:color w:val="auto"/>
          <w:sz w:val="20"/>
          <w:szCs w:val="18"/>
        </w:rPr>
        <w:t xml:space="preserve">Աղյուսակ 3. ՊՄԸ-ների պորտֆելում ակտիվների մեծ տեսակարար կշիռ ունեցող 10 ընկերությունների ռիսկայնության մակարդակը </w:t>
      </w:r>
    </w:p>
    <w:tbl>
      <w:tblPr>
        <w:tblW w:w="10350"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0"/>
        <w:gridCol w:w="1800"/>
        <w:gridCol w:w="1530"/>
        <w:gridCol w:w="1350"/>
        <w:gridCol w:w="1350"/>
        <w:gridCol w:w="1350"/>
      </w:tblGrid>
      <w:tr w:rsidR="004C0C21" w:rsidRPr="000232DD" w14:paraId="50955F1A" w14:textId="77777777" w:rsidTr="00ED1FDB">
        <w:trPr>
          <w:trHeight w:val="615"/>
        </w:trPr>
        <w:tc>
          <w:tcPr>
            <w:tcW w:w="2970" w:type="dxa"/>
            <w:shd w:val="clear" w:color="auto" w:fill="auto"/>
            <w:vAlign w:val="center"/>
          </w:tcPr>
          <w:p w14:paraId="7CDC4510" w14:textId="77777777" w:rsidR="005D4274" w:rsidRPr="000232DD" w:rsidRDefault="005D4274" w:rsidP="00082769">
            <w:pPr>
              <w:spacing w:after="0"/>
              <w:ind w:right="-22"/>
              <w:jc w:val="center"/>
              <w:rPr>
                <w:b/>
                <w:color w:val="auto"/>
                <w:sz w:val="18"/>
                <w:szCs w:val="20"/>
              </w:rPr>
            </w:pPr>
            <w:r w:rsidRPr="000232DD">
              <w:rPr>
                <w:b/>
                <w:color w:val="auto"/>
                <w:sz w:val="18"/>
                <w:szCs w:val="20"/>
              </w:rPr>
              <w:t>Կազմակերպության անվանում</w:t>
            </w:r>
          </w:p>
        </w:tc>
        <w:tc>
          <w:tcPr>
            <w:tcW w:w="1800" w:type="dxa"/>
            <w:shd w:val="clear" w:color="auto" w:fill="auto"/>
            <w:vAlign w:val="center"/>
          </w:tcPr>
          <w:p w14:paraId="2952809B" w14:textId="77777777" w:rsidR="005D4274" w:rsidRPr="000232DD" w:rsidRDefault="005D4274" w:rsidP="00082769">
            <w:pPr>
              <w:spacing w:after="0"/>
              <w:ind w:right="-22"/>
              <w:jc w:val="center"/>
              <w:rPr>
                <w:b/>
                <w:color w:val="auto"/>
                <w:sz w:val="18"/>
                <w:szCs w:val="20"/>
              </w:rPr>
            </w:pPr>
            <w:r w:rsidRPr="000232DD">
              <w:rPr>
                <w:b/>
                <w:color w:val="auto"/>
                <w:sz w:val="18"/>
                <w:szCs w:val="20"/>
              </w:rPr>
              <w:t>2021</w:t>
            </w:r>
          </w:p>
        </w:tc>
        <w:tc>
          <w:tcPr>
            <w:tcW w:w="1530" w:type="dxa"/>
            <w:shd w:val="clear" w:color="auto" w:fill="auto"/>
            <w:vAlign w:val="center"/>
          </w:tcPr>
          <w:p w14:paraId="5D1C95A5" w14:textId="77777777" w:rsidR="005D4274" w:rsidRPr="000232DD" w:rsidRDefault="005D4274" w:rsidP="00082769">
            <w:pPr>
              <w:spacing w:after="0"/>
              <w:ind w:right="-22"/>
              <w:jc w:val="center"/>
              <w:rPr>
                <w:b/>
                <w:color w:val="auto"/>
                <w:sz w:val="18"/>
                <w:szCs w:val="20"/>
              </w:rPr>
            </w:pPr>
            <w:r w:rsidRPr="000232DD">
              <w:rPr>
                <w:b/>
                <w:color w:val="auto"/>
                <w:sz w:val="18"/>
                <w:szCs w:val="20"/>
              </w:rPr>
              <w:t>2022</w:t>
            </w:r>
          </w:p>
        </w:tc>
        <w:tc>
          <w:tcPr>
            <w:tcW w:w="1350" w:type="dxa"/>
            <w:vAlign w:val="center"/>
          </w:tcPr>
          <w:p w14:paraId="2CA5C4E4" w14:textId="77777777" w:rsidR="005D4274" w:rsidRPr="000232DD" w:rsidRDefault="005D4274" w:rsidP="00082769">
            <w:pPr>
              <w:spacing w:after="0"/>
              <w:ind w:right="-22"/>
              <w:jc w:val="center"/>
              <w:rPr>
                <w:b/>
                <w:color w:val="auto"/>
                <w:sz w:val="18"/>
                <w:szCs w:val="20"/>
              </w:rPr>
            </w:pPr>
            <w:r w:rsidRPr="000232DD">
              <w:rPr>
                <w:b/>
                <w:color w:val="auto"/>
                <w:sz w:val="18"/>
                <w:szCs w:val="20"/>
              </w:rPr>
              <w:t>2023</w:t>
            </w:r>
          </w:p>
        </w:tc>
        <w:tc>
          <w:tcPr>
            <w:tcW w:w="1350" w:type="dxa"/>
            <w:vAlign w:val="center"/>
          </w:tcPr>
          <w:p w14:paraId="6E7F3285" w14:textId="77777777" w:rsidR="005D4274" w:rsidRPr="000232DD" w:rsidRDefault="005D4274" w:rsidP="00082769">
            <w:pPr>
              <w:spacing w:after="0"/>
              <w:ind w:right="-22"/>
              <w:jc w:val="center"/>
              <w:rPr>
                <w:b/>
                <w:color w:val="auto"/>
                <w:sz w:val="18"/>
                <w:szCs w:val="20"/>
              </w:rPr>
            </w:pPr>
            <w:r w:rsidRPr="000232DD">
              <w:rPr>
                <w:b/>
                <w:color w:val="auto"/>
                <w:sz w:val="18"/>
                <w:szCs w:val="20"/>
              </w:rPr>
              <w:t>2024</w:t>
            </w:r>
          </w:p>
        </w:tc>
        <w:tc>
          <w:tcPr>
            <w:tcW w:w="1350" w:type="dxa"/>
            <w:vAlign w:val="center"/>
          </w:tcPr>
          <w:p w14:paraId="20C21466" w14:textId="77777777" w:rsidR="005D4274" w:rsidRPr="000232DD" w:rsidRDefault="005D4274" w:rsidP="00082769">
            <w:pPr>
              <w:spacing w:after="0"/>
              <w:ind w:right="-22"/>
              <w:jc w:val="center"/>
              <w:rPr>
                <w:b/>
                <w:color w:val="auto"/>
                <w:sz w:val="18"/>
                <w:szCs w:val="20"/>
                <w:lang w:val="hy-AM"/>
              </w:rPr>
            </w:pPr>
            <w:r w:rsidRPr="000232DD">
              <w:rPr>
                <w:b/>
                <w:color w:val="auto"/>
                <w:sz w:val="18"/>
                <w:szCs w:val="20"/>
              </w:rPr>
              <w:t>202</w:t>
            </w:r>
            <w:r w:rsidRPr="000232DD">
              <w:rPr>
                <w:b/>
                <w:color w:val="auto"/>
                <w:sz w:val="18"/>
                <w:szCs w:val="20"/>
                <w:lang w:val="hy-AM"/>
              </w:rPr>
              <w:t>5</w:t>
            </w:r>
          </w:p>
        </w:tc>
      </w:tr>
      <w:tr w:rsidR="004C0C21" w:rsidRPr="000232DD" w14:paraId="32140930" w14:textId="77777777" w:rsidTr="00ED1FDB">
        <w:trPr>
          <w:trHeight w:val="186"/>
        </w:trPr>
        <w:tc>
          <w:tcPr>
            <w:tcW w:w="2970" w:type="dxa"/>
            <w:shd w:val="clear" w:color="auto" w:fill="FAE2D5" w:themeFill="accent2" w:themeFillTint="33"/>
            <w:vAlign w:val="center"/>
          </w:tcPr>
          <w:p w14:paraId="0D6E3E51" w14:textId="77777777" w:rsidR="005D4274" w:rsidRPr="000232DD" w:rsidRDefault="005D4274" w:rsidP="00082769">
            <w:pPr>
              <w:spacing w:after="0"/>
              <w:ind w:right="-22"/>
              <w:jc w:val="center"/>
              <w:rPr>
                <w:color w:val="auto"/>
                <w:sz w:val="18"/>
                <w:szCs w:val="20"/>
              </w:rPr>
            </w:pPr>
            <w:r w:rsidRPr="000232DD">
              <w:rPr>
                <w:color w:val="auto"/>
                <w:sz w:val="18"/>
                <w:szCs w:val="20"/>
              </w:rPr>
              <w:t>«Բարձրավոլտ էլեկտրացանցեր» ՓԲԸ</w:t>
            </w:r>
          </w:p>
        </w:tc>
        <w:tc>
          <w:tcPr>
            <w:tcW w:w="1800" w:type="dxa"/>
            <w:shd w:val="clear" w:color="auto" w:fill="E97132" w:themeFill="accent2"/>
            <w:vAlign w:val="center"/>
          </w:tcPr>
          <w:p w14:paraId="5959630B"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530" w:type="dxa"/>
            <w:shd w:val="clear" w:color="auto" w:fill="E97132" w:themeFill="accent2"/>
            <w:vAlign w:val="center"/>
          </w:tcPr>
          <w:p w14:paraId="553990FC"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350" w:type="dxa"/>
            <w:shd w:val="clear" w:color="auto" w:fill="E97132" w:themeFill="accent2"/>
            <w:vAlign w:val="center"/>
          </w:tcPr>
          <w:p w14:paraId="1C7BF448"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350" w:type="dxa"/>
            <w:shd w:val="clear" w:color="auto" w:fill="E97132" w:themeFill="accent2"/>
            <w:vAlign w:val="center"/>
          </w:tcPr>
          <w:p w14:paraId="5A5734BD"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350" w:type="dxa"/>
            <w:shd w:val="clear" w:color="auto" w:fill="E97132" w:themeFill="accent2"/>
            <w:vAlign w:val="center"/>
          </w:tcPr>
          <w:p w14:paraId="5E8F148B"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r>
      <w:tr w:rsidR="004C0C21" w:rsidRPr="000232DD" w14:paraId="7C0B7DE0" w14:textId="77777777" w:rsidTr="00821159">
        <w:trPr>
          <w:trHeight w:val="186"/>
        </w:trPr>
        <w:tc>
          <w:tcPr>
            <w:tcW w:w="2970" w:type="dxa"/>
            <w:shd w:val="clear" w:color="auto" w:fill="FAE2D5" w:themeFill="accent2" w:themeFillTint="33"/>
            <w:vAlign w:val="center"/>
          </w:tcPr>
          <w:p w14:paraId="45B15778" w14:textId="77777777" w:rsidR="005D4274" w:rsidRPr="000232DD" w:rsidRDefault="005D4274" w:rsidP="00082769">
            <w:pPr>
              <w:spacing w:after="0"/>
              <w:ind w:right="-22"/>
              <w:jc w:val="center"/>
              <w:rPr>
                <w:color w:val="auto"/>
                <w:sz w:val="18"/>
                <w:szCs w:val="20"/>
              </w:rPr>
            </w:pPr>
            <w:r w:rsidRPr="000232DD">
              <w:rPr>
                <w:color w:val="auto"/>
                <w:sz w:val="18"/>
                <w:szCs w:val="20"/>
              </w:rPr>
              <w:t>«Երևանի Ջերմաէլեկտրակենտրոն» ՓԲԸ</w:t>
            </w:r>
          </w:p>
        </w:tc>
        <w:tc>
          <w:tcPr>
            <w:tcW w:w="1800" w:type="dxa"/>
            <w:shd w:val="clear" w:color="auto" w:fill="FF0000"/>
            <w:vAlign w:val="center"/>
          </w:tcPr>
          <w:p w14:paraId="3F75790D" w14:textId="77777777" w:rsidR="005D4274" w:rsidRPr="000232DD" w:rsidRDefault="005D4274" w:rsidP="00082769">
            <w:pPr>
              <w:spacing w:after="0"/>
              <w:ind w:right="-22"/>
              <w:jc w:val="center"/>
              <w:rPr>
                <w:color w:val="auto"/>
                <w:sz w:val="18"/>
                <w:szCs w:val="18"/>
              </w:rPr>
            </w:pPr>
            <w:r w:rsidRPr="000232DD">
              <w:rPr>
                <w:color w:val="auto"/>
                <w:sz w:val="18"/>
                <w:szCs w:val="18"/>
              </w:rPr>
              <w:t>4-րդ կատեգորիա</w:t>
            </w:r>
          </w:p>
        </w:tc>
        <w:tc>
          <w:tcPr>
            <w:tcW w:w="1530" w:type="dxa"/>
            <w:shd w:val="clear" w:color="auto" w:fill="FFC000"/>
            <w:vAlign w:val="center"/>
          </w:tcPr>
          <w:p w14:paraId="18B1B520" w14:textId="77777777" w:rsidR="005D4274" w:rsidRPr="000232DD" w:rsidRDefault="005D4274" w:rsidP="00082769">
            <w:pPr>
              <w:spacing w:after="0"/>
              <w:ind w:right="-22"/>
              <w:jc w:val="center"/>
              <w:rPr>
                <w:color w:val="auto"/>
                <w:sz w:val="18"/>
                <w:szCs w:val="18"/>
              </w:rPr>
            </w:pPr>
            <w:r w:rsidRPr="000232DD">
              <w:rPr>
                <w:color w:val="auto"/>
                <w:sz w:val="18"/>
                <w:szCs w:val="18"/>
              </w:rPr>
              <w:t>2-րդ կատեգորիա</w:t>
            </w:r>
          </w:p>
        </w:tc>
        <w:tc>
          <w:tcPr>
            <w:tcW w:w="1350" w:type="dxa"/>
            <w:shd w:val="clear" w:color="auto" w:fill="ED7D31"/>
            <w:vAlign w:val="center"/>
          </w:tcPr>
          <w:p w14:paraId="747E5873"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350" w:type="dxa"/>
            <w:shd w:val="clear" w:color="auto" w:fill="ED7D31"/>
            <w:vAlign w:val="center"/>
          </w:tcPr>
          <w:p w14:paraId="2E142D16"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350" w:type="dxa"/>
            <w:shd w:val="clear" w:color="auto" w:fill="FFC000"/>
            <w:vAlign w:val="center"/>
          </w:tcPr>
          <w:p w14:paraId="571281D4" w14:textId="77777777" w:rsidR="005D4274" w:rsidRPr="000232DD" w:rsidRDefault="005D4274" w:rsidP="00082769">
            <w:pPr>
              <w:spacing w:after="0"/>
              <w:ind w:right="-22"/>
              <w:jc w:val="center"/>
              <w:rPr>
                <w:color w:val="auto"/>
                <w:sz w:val="18"/>
                <w:szCs w:val="18"/>
              </w:rPr>
            </w:pPr>
            <w:r w:rsidRPr="000232DD">
              <w:rPr>
                <w:color w:val="auto"/>
                <w:sz w:val="18"/>
                <w:szCs w:val="18"/>
              </w:rPr>
              <w:t>2-րդ կատեգորիա</w:t>
            </w:r>
          </w:p>
        </w:tc>
      </w:tr>
      <w:tr w:rsidR="004C0C21" w:rsidRPr="000232DD" w14:paraId="33EDD518" w14:textId="77777777" w:rsidTr="00ED1FDB">
        <w:trPr>
          <w:trHeight w:val="186"/>
        </w:trPr>
        <w:tc>
          <w:tcPr>
            <w:tcW w:w="2970" w:type="dxa"/>
            <w:tcBorders>
              <w:top w:val="single" w:sz="4" w:space="0" w:color="000000"/>
              <w:left w:val="single" w:sz="4" w:space="0" w:color="000000"/>
              <w:bottom w:val="single" w:sz="4" w:space="0" w:color="000000"/>
              <w:right w:val="single" w:sz="4" w:space="0" w:color="000000"/>
            </w:tcBorders>
            <w:shd w:val="clear" w:color="auto" w:fill="FAE2D5" w:themeFill="accent2" w:themeFillTint="33"/>
            <w:vAlign w:val="center"/>
          </w:tcPr>
          <w:p w14:paraId="5FE8EEBD" w14:textId="77777777" w:rsidR="005D4274" w:rsidRPr="000232DD" w:rsidRDefault="005D4274" w:rsidP="00082769">
            <w:pPr>
              <w:spacing w:after="0"/>
              <w:ind w:right="-22"/>
              <w:jc w:val="center"/>
              <w:rPr>
                <w:color w:val="auto"/>
                <w:sz w:val="18"/>
                <w:szCs w:val="20"/>
              </w:rPr>
            </w:pPr>
            <w:r w:rsidRPr="000232DD">
              <w:rPr>
                <w:color w:val="auto"/>
                <w:sz w:val="18"/>
                <w:szCs w:val="20"/>
              </w:rPr>
              <w:t>«Հայկական ատոմային էլեկտրակայան» ՓԲԸ</w:t>
            </w:r>
          </w:p>
        </w:tc>
        <w:tc>
          <w:tcPr>
            <w:tcW w:w="1800"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061BA5F3" w14:textId="77777777" w:rsidR="005D4274" w:rsidRPr="000232DD" w:rsidRDefault="005D4274" w:rsidP="00082769">
            <w:pPr>
              <w:spacing w:after="0"/>
              <w:ind w:right="-22"/>
              <w:jc w:val="center"/>
              <w:rPr>
                <w:color w:val="auto"/>
                <w:sz w:val="18"/>
                <w:szCs w:val="18"/>
              </w:rPr>
            </w:pPr>
            <w:r w:rsidRPr="000232DD">
              <w:rPr>
                <w:color w:val="auto"/>
                <w:sz w:val="18"/>
                <w:szCs w:val="18"/>
              </w:rPr>
              <w:t>4-րդ կատեգորիա</w:t>
            </w:r>
          </w:p>
        </w:tc>
        <w:tc>
          <w:tcPr>
            <w:tcW w:w="1530" w:type="dxa"/>
            <w:tcBorders>
              <w:top w:val="single" w:sz="4" w:space="0" w:color="000000"/>
              <w:left w:val="single" w:sz="4" w:space="0" w:color="000000"/>
              <w:bottom w:val="single" w:sz="4" w:space="0" w:color="000000"/>
              <w:right w:val="single" w:sz="4" w:space="0" w:color="000000"/>
            </w:tcBorders>
            <w:shd w:val="clear" w:color="auto" w:fill="E97132" w:themeFill="accent2"/>
            <w:vAlign w:val="center"/>
          </w:tcPr>
          <w:p w14:paraId="6DBA1438"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350"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16A6AA59" w14:textId="77777777" w:rsidR="005D4274" w:rsidRPr="000232DD" w:rsidRDefault="005D4274" w:rsidP="00082769">
            <w:pPr>
              <w:spacing w:after="0"/>
              <w:ind w:right="-22"/>
              <w:jc w:val="center"/>
              <w:rPr>
                <w:color w:val="auto"/>
                <w:sz w:val="18"/>
                <w:szCs w:val="18"/>
              </w:rPr>
            </w:pPr>
            <w:r w:rsidRPr="000232DD">
              <w:rPr>
                <w:color w:val="auto"/>
                <w:sz w:val="18"/>
                <w:szCs w:val="18"/>
              </w:rPr>
              <w:t>4-րդ կատեգորիա</w:t>
            </w:r>
          </w:p>
        </w:tc>
        <w:tc>
          <w:tcPr>
            <w:tcW w:w="1350"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12E1D181" w14:textId="77777777" w:rsidR="005D4274" w:rsidRPr="000232DD" w:rsidRDefault="005D4274" w:rsidP="00082769">
            <w:pPr>
              <w:spacing w:after="0"/>
              <w:ind w:right="-22"/>
              <w:jc w:val="center"/>
              <w:rPr>
                <w:color w:val="auto"/>
                <w:sz w:val="18"/>
                <w:szCs w:val="18"/>
              </w:rPr>
            </w:pPr>
            <w:r w:rsidRPr="000232DD">
              <w:rPr>
                <w:color w:val="auto"/>
                <w:sz w:val="18"/>
                <w:szCs w:val="18"/>
              </w:rPr>
              <w:t>4-րդ կատեգորիա</w:t>
            </w:r>
          </w:p>
        </w:tc>
        <w:tc>
          <w:tcPr>
            <w:tcW w:w="1350"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7C2F0C0A" w14:textId="77777777" w:rsidR="005D4274" w:rsidRPr="000232DD" w:rsidRDefault="005D4274" w:rsidP="00082769">
            <w:pPr>
              <w:spacing w:after="0"/>
              <w:ind w:right="-22"/>
              <w:jc w:val="center"/>
              <w:rPr>
                <w:color w:val="auto"/>
                <w:sz w:val="18"/>
                <w:szCs w:val="18"/>
              </w:rPr>
            </w:pPr>
            <w:r w:rsidRPr="000232DD">
              <w:rPr>
                <w:color w:val="auto"/>
                <w:sz w:val="18"/>
                <w:szCs w:val="18"/>
              </w:rPr>
              <w:t xml:space="preserve">4-րդ կատեգորիա </w:t>
            </w:r>
          </w:p>
        </w:tc>
      </w:tr>
      <w:tr w:rsidR="004C0C21" w:rsidRPr="000232DD" w14:paraId="4BDC3509" w14:textId="77777777" w:rsidTr="00ED1FDB">
        <w:trPr>
          <w:trHeight w:val="186"/>
        </w:trPr>
        <w:tc>
          <w:tcPr>
            <w:tcW w:w="2970" w:type="dxa"/>
            <w:shd w:val="clear" w:color="auto" w:fill="FAE2D5" w:themeFill="accent2" w:themeFillTint="33"/>
            <w:vAlign w:val="center"/>
          </w:tcPr>
          <w:p w14:paraId="4614BE21" w14:textId="77777777" w:rsidR="005D4274" w:rsidRPr="000232DD" w:rsidRDefault="005D4274" w:rsidP="00082769">
            <w:pPr>
              <w:spacing w:after="0"/>
              <w:ind w:right="-22"/>
              <w:jc w:val="center"/>
              <w:rPr>
                <w:color w:val="auto"/>
                <w:sz w:val="18"/>
                <w:szCs w:val="20"/>
              </w:rPr>
            </w:pPr>
            <w:r w:rsidRPr="000232DD">
              <w:rPr>
                <w:color w:val="auto"/>
                <w:sz w:val="18"/>
                <w:szCs w:val="20"/>
              </w:rPr>
              <w:t>«Ջրառ» ՓԲԸ</w:t>
            </w:r>
          </w:p>
        </w:tc>
        <w:tc>
          <w:tcPr>
            <w:tcW w:w="1800" w:type="dxa"/>
            <w:shd w:val="clear" w:color="auto" w:fill="E97132" w:themeFill="accent2"/>
            <w:vAlign w:val="center"/>
          </w:tcPr>
          <w:p w14:paraId="24CECB9C"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530" w:type="dxa"/>
            <w:shd w:val="clear" w:color="auto" w:fill="E97132" w:themeFill="accent2"/>
            <w:vAlign w:val="center"/>
          </w:tcPr>
          <w:p w14:paraId="2C65EE6C"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350" w:type="dxa"/>
            <w:shd w:val="clear" w:color="auto" w:fill="E97132" w:themeFill="accent2"/>
            <w:vAlign w:val="center"/>
          </w:tcPr>
          <w:p w14:paraId="5D787B67"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350" w:type="dxa"/>
            <w:shd w:val="clear" w:color="auto" w:fill="E97132" w:themeFill="accent2"/>
            <w:vAlign w:val="center"/>
          </w:tcPr>
          <w:p w14:paraId="7222F3E9"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350" w:type="dxa"/>
            <w:shd w:val="clear" w:color="auto" w:fill="E97132" w:themeFill="accent2"/>
            <w:vAlign w:val="center"/>
          </w:tcPr>
          <w:p w14:paraId="41F41526"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r>
      <w:tr w:rsidR="004C0C21" w:rsidRPr="000232DD" w14:paraId="1B226955" w14:textId="77777777" w:rsidTr="00ED1FDB">
        <w:trPr>
          <w:trHeight w:val="186"/>
        </w:trPr>
        <w:tc>
          <w:tcPr>
            <w:tcW w:w="2970" w:type="dxa"/>
            <w:shd w:val="clear" w:color="auto" w:fill="FCE4D6"/>
            <w:vAlign w:val="center"/>
          </w:tcPr>
          <w:p w14:paraId="59EB7921" w14:textId="77777777" w:rsidR="005D4274" w:rsidRPr="000232DD" w:rsidRDefault="005D4274" w:rsidP="00082769">
            <w:pPr>
              <w:spacing w:after="0"/>
              <w:ind w:right="-22"/>
              <w:jc w:val="center"/>
              <w:rPr>
                <w:color w:val="auto"/>
                <w:sz w:val="18"/>
                <w:szCs w:val="20"/>
              </w:rPr>
            </w:pPr>
            <w:r w:rsidRPr="000232DD">
              <w:rPr>
                <w:color w:val="auto"/>
                <w:sz w:val="18"/>
                <w:szCs w:val="20"/>
              </w:rPr>
              <w:t>«Հայփոստ» ՓԲԸ</w:t>
            </w:r>
          </w:p>
        </w:tc>
        <w:tc>
          <w:tcPr>
            <w:tcW w:w="1800" w:type="dxa"/>
            <w:shd w:val="clear" w:color="auto" w:fill="FF0000"/>
            <w:vAlign w:val="center"/>
          </w:tcPr>
          <w:p w14:paraId="3992BF2E" w14:textId="77777777" w:rsidR="005D4274" w:rsidRPr="000232DD" w:rsidRDefault="005D4274" w:rsidP="00082769">
            <w:pPr>
              <w:spacing w:after="0"/>
              <w:ind w:right="-22"/>
              <w:jc w:val="center"/>
              <w:rPr>
                <w:color w:val="auto"/>
                <w:sz w:val="18"/>
                <w:szCs w:val="18"/>
              </w:rPr>
            </w:pPr>
            <w:r w:rsidRPr="000232DD">
              <w:rPr>
                <w:color w:val="auto"/>
                <w:sz w:val="18"/>
                <w:szCs w:val="18"/>
              </w:rPr>
              <w:t>4-րդ կատեգորիա</w:t>
            </w:r>
          </w:p>
        </w:tc>
        <w:tc>
          <w:tcPr>
            <w:tcW w:w="1530" w:type="dxa"/>
            <w:shd w:val="clear" w:color="auto" w:fill="FF0000"/>
            <w:vAlign w:val="center"/>
          </w:tcPr>
          <w:p w14:paraId="4DBD1988" w14:textId="77777777" w:rsidR="005D4274" w:rsidRPr="000232DD" w:rsidRDefault="005D4274" w:rsidP="00082769">
            <w:pPr>
              <w:spacing w:after="0"/>
              <w:ind w:right="-22"/>
              <w:jc w:val="center"/>
              <w:rPr>
                <w:color w:val="auto"/>
                <w:sz w:val="18"/>
                <w:szCs w:val="18"/>
              </w:rPr>
            </w:pPr>
            <w:r w:rsidRPr="000232DD">
              <w:rPr>
                <w:color w:val="auto"/>
                <w:sz w:val="18"/>
                <w:szCs w:val="18"/>
              </w:rPr>
              <w:t>4-րդ կատեգորիա</w:t>
            </w:r>
          </w:p>
        </w:tc>
        <w:tc>
          <w:tcPr>
            <w:tcW w:w="1350" w:type="dxa"/>
            <w:shd w:val="clear" w:color="auto" w:fill="ED7D31"/>
            <w:vAlign w:val="center"/>
          </w:tcPr>
          <w:p w14:paraId="6A895DBB"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3-րդ կատեգորիա</w:t>
            </w:r>
          </w:p>
        </w:tc>
        <w:tc>
          <w:tcPr>
            <w:tcW w:w="1350" w:type="dxa"/>
            <w:shd w:val="clear" w:color="auto" w:fill="FF0000"/>
            <w:vAlign w:val="center"/>
          </w:tcPr>
          <w:p w14:paraId="32DDBB48"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4-րդ կատեգորիա</w:t>
            </w:r>
          </w:p>
        </w:tc>
        <w:tc>
          <w:tcPr>
            <w:tcW w:w="1350" w:type="dxa"/>
            <w:shd w:val="clear" w:color="auto" w:fill="E97132" w:themeFill="accent2"/>
            <w:vAlign w:val="center"/>
          </w:tcPr>
          <w:p w14:paraId="7F6685A8"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3-րդ կատեգորիա</w:t>
            </w:r>
          </w:p>
        </w:tc>
      </w:tr>
      <w:tr w:rsidR="004C0C21" w:rsidRPr="000232DD" w14:paraId="24A676BB" w14:textId="77777777" w:rsidTr="00821159">
        <w:trPr>
          <w:trHeight w:val="186"/>
        </w:trPr>
        <w:tc>
          <w:tcPr>
            <w:tcW w:w="2970" w:type="dxa"/>
            <w:tcBorders>
              <w:top w:val="single" w:sz="4" w:space="0" w:color="000000"/>
              <w:left w:val="single" w:sz="4" w:space="0" w:color="000000"/>
              <w:bottom w:val="single" w:sz="4" w:space="0" w:color="000000"/>
              <w:right w:val="single" w:sz="4" w:space="0" w:color="000000"/>
            </w:tcBorders>
            <w:shd w:val="clear" w:color="auto" w:fill="FCE4D6"/>
            <w:vAlign w:val="center"/>
          </w:tcPr>
          <w:p w14:paraId="122F998E" w14:textId="77777777" w:rsidR="005D4274" w:rsidRPr="000232DD" w:rsidRDefault="005D4274" w:rsidP="00082769">
            <w:pPr>
              <w:spacing w:after="0"/>
              <w:ind w:right="-22"/>
              <w:jc w:val="center"/>
              <w:rPr>
                <w:color w:val="auto"/>
                <w:sz w:val="18"/>
                <w:szCs w:val="20"/>
              </w:rPr>
            </w:pPr>
            <w:r w:rsidRPr="000232DD">
              <w:rPr>
                <w:color w:val="auto"/>
                <w:sz w:val="18"/>
                <w:szCs w:val="20"/>
              </w:rPr>
              <w:t>«Կարեն Դեմիրճյանի անվան Երևանի մետրոպոլիտեն» ՓԲԸ</w:t>
            </w:r>
          </w:p>
        </w:tc>
        <w:tc>
          <w:tcPr>
            <w:tcW w:w="180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7228E7D" w14:textId="77777777" w:rsidR="005D4274" w:rsidRPr="000232DD" w:rsidRDefault="005D4274" w:rsidP="00082769">
            <w:pPr>
              <w:spacing w:after="0"/>
              <w:ind w:right="-22"/>
              <w:jc w:val="center"/>
              <w:rPr>
                <w:color w:val="auto"/>
                <w:sz w:val="18"/>
                <w:szCs w:val="18"/>
              </w:rPr>
            </w:pPr>
            <w:r w:rsidRPr="000232DD">
              <w:rPr>
                <w:color w:val="auto"/>
                <w:sz w:val="18"/>
                <w:szCs w:val="18"/>
              </w:rPr>
              <w:t>2-րդ կատեգորիա</w:t>
            </w:r>
          </w:p>
        </w:tc>
        <w:tc>
          <w:tcPr>
            <w:tcW w:w="153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3C12A34" w14:textId="77777777" w:rsidR="005D4274" w:rsidRPr="000232DD" w:rsidRDefault="005D4274" w:rsidP="00082769">
            <w:pPr>
              <w:spacing w:after="0"/>
              <w:ind w:right="-22"/>
              <w:jc w:val="center"/>
              <w:rPr>
                <w:color w:val="auto"/>
                <w:sz w:val="18"/>
                <w:szCs w:val="18"/>
              </w:rPr>
            </w:pPr>
            <w:r w:rsidRPr="000232DD">
              <w:rPr>
                <w:color w:val="auto"/>
                <w:sz w:val="18"/>
                <w:szCs w:val="18"/>
              </w:rPr>
              <w:t>2-րդ կատեգորիա</w:t>
            </w:r>
          </w:p>
        </w:tc>
        <w:tc>
          <w:tcPr>
            <w:tcW w:w="1350" w:type="dxa"/>
            <w:tcBorders>
              <w:top w:val="single" w:sz="4" w:space="0" w:color="000000"/>
              <w:left w:val="single" w:sz="4" w:space="0" w:color="000000"/>
              <w:bottom w:val="single" w:sz="4" w:space="0" w:color="000000"/>
              <w:right w:val="single" w:sz="4" w:space="0" w:color="000000"/>
            </w:tcBorders>
            <w:shd w:val="clear" w:color="auto" w:fill="ED7D31"/>
            <w:vAlign w:val="center"/>
          </w:tcPr>
          <w:p w14:paraId="747CC9BB"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3-րդ կատեգորիա</w:t>
            </w:r>
          </w:p>
        </w:tc>
        <w:tc>
          <w:tcPr>
            <w:tcW w:w="1350" w:type="dxa"/>
            <w:tcBorders>
              <w:top w:val="single" w:sz="4" w:space="0" w:color="000000"/>
              <w:left w:val="single" w:sz="4" w:space="0" w:color="000000"/>
              <w:bottom w:val="single" w:sz="4" w:space="0" w:color="000000"/>
              <w:right w:val="single" w:sz="4" w:space="0" w:color="000000"/>
            </w:tcBorders>
            <w:shd w:val="clear" w:color="auto" w:fill="E97132" w:themeFill="accent2"/>
            <w:vAlign w:val="center"/>
          </w:tcPr>
          <w:p w14:paraId="7253F7A7"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3-րդ կատեգորիա</w:t>
            </w:r>
          </w:p>
        </w:tc>
        <w:tc>
          <w:tcPr>
            <w:tcW w:w="1350"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1A50B117"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4-րդ կատեգորիա</w:t>
            </w:r>
          </w:p>
        </w:tc>
      </w:tr>
      <w:tr w:rsidR="004C0C21" w:rsidRPr="000232DD" w14:paraId="7FB673E0" w14:textId="77777777" w:rsidTr="00821159">
        <w:trPr>
          <w:trHeight w:val="186"/>
        </w:trPr>
        <w:tc>
          <w:tcPr>
            <w:tcW w:w="2970" w:type="dxa"/>
            <w:shd w:val="clear" w:color="auto" w:fill="FCE4D6"/>
            <w:vAlign w:val="center"/>
          </w:tcPr>
          <w:p w14:paraId="2125A054" w14:textId="77777777" w:rsidR="005D4274" w:rsidRPr="000232DD" w:rsidRDefault="005D4274" w:rsidP="00082769">
            <w:pPr>
              <w:spacing w:after="0"/>
              <w:ind w:right="-22"/>
              <w:jc w:val="center"/>
              <w:rPr>
                <w:color w:val="auto"/>
                <w:sz w:val="18"/>
                <w:szCs w:val="20"/>
              </w:rPr>
            </w:pPr>
            <w:r w:rsidRPr="000232DD">
              <w:rPr>
                <w:color w:val="auto"/>
                <w:sz w:val="18"/>
                <w:szCs w:val="20"/>
              </w:rPr>
              <w:t>««Սուրբ Գրիգոր Լուսավորիչ» բժշկական կենտրոն» ՓԲԸ</w:t>
            </w:r>
          </w:p>
        </w:tc>
        <w:tc>
          <w:tcPr>
            <w:tcW w:w="1800" w:type="dxa"/>
            <w:shd w:val="clear" w:color="auto" w:fill="FF0000"/>
            <w:vAlign w:val="center"/>
          </w:tcPr>
          <w:p w14:paraId="3B84796D" w14:textId="77777777" w:rsidR="005D4274" w:rsidRPr="000232DD" w:rsidRDefault="005D4274" w:rsidP="00082769">
            <w:pPr>
              <w:spacing w:after="0"/>
              <w:ind w:right="-22"/>
              <w:jc w:val="center"/>
              <w:rPr>
                <w:color w:val="auto"/>
                <w:sz w:val="18"/>
                <w:szCs w:val="18"/>
              </w:rPr>
            </w:pPr>
            <w:r w:rsidRPr="000232DD">
              <w:rPr>
                <w:color w:val="auto"/>
                <w:sz w:val="18"/>
                <w:szCs w:val="18"/>
              </w:rPr>
              <w:t>4-րդ կատեգորիա</w:t>
            </w:r>
          </w:p>
        </w:tc>
        <w:tc>
          <w:tcPr>
            <w:tcW w:w="1530" w:type="dxa"/>
            <w:shd w:val="clear" w:color="auto" w:fill="E97132" w:themeFill="accent2"/>
            <w:vAlign w:val="center"/>
          </w:tcPr>
          <w:p w14:paraId="64332C4D"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350" w:type="dxa"/>
            <w:shd w:val="clear" w:color="auto" w:fill="FFC000"/>
            <w:vAlign w:val="center"/>
          </w:tcPr>
          <w:p w14:paraId="1A3780C8"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2-րդ կատեգորիա</w:t>
            </w:r>
          </w:p>
        </w:tc>
        <w:tc>
          <w:tcPr>
            <w:tcW w:w="1350" w:type="dxa"/>
            <w:shd w:val="clear" w:color="auto" w:fill="ED7D31"/>
            <w:vAlign w:val="center"/>
          </w:tcPr>
          <w:p w14:paraId="5E544754"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3-րդ կատեգորիա</w:t>
            </w:r>
          </w:p>
        </w:tc>
        <w:tc>
          <w:tcPr>
            <w:tcW w:w="1350" w:type="dxa"/>
            <w:shd w:val="clear" w:color="auto" w:fill="E97132" w:themeFill="accent2"/>
            <w:vAlign w:val="center"/>
          </w:tcPr>
          <w:p w14:paraId="62415714"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3-րդ կատեգորիա</w:t>
            </w:r>
          </w:p>
        </w:tc>
      </w:tr>
      <w:tr w:rsidR="004C0C21" w:rsidRPr="000232DD" w14:paraId="697344C1" w14:textId="77777777" w:rsidTr="00821159">
        <w:trPr>
          <w:trHeight w:val="186"/>
        </w:trPr>
        <w:tc>
          <w:tcPr>
            <w:tcW w:w="2970" w:type="dxa"/>
            <w:tcBorders>
              <w:top w:val="single" w:sz="4" w:space="0" w:color="000000"/>
              <w:left w:val="single" w:sz="4" w:space="0" w:color="000000"/>
              <w:bottom w:val="single" w:sz="4" w:space="0" w:color="000000"/>
              <w:right w:val="single" w:sz="4" w:space="0" w:color="000000"/>
            </w:tcBorders>
            <w:shd w:val="clear" w:color="auto" w:fill="FCE4D6"/>
            <w:vAlign w:val="center"/>
          </w:tcPr>
          <w:p w14:paraId="158861DF" w14:textId="77777777" w:rsidR="005D4274" w:rsidRPr="000232DD" w:rsidRDefault="005D4274" w:rsidP="00082769">
            <w:pPr>
              <w:spacing w:after="0"/>
              <w:ind w:right="-22"/>
              <w:jc w:val="center"/>
              <w:rPr>
                <w:color w:val="auto"/>
                <w:sz w:val="18"/>
                <w:szCs w:val="20"/>
              </w:rPr>
            </w:pPr>
            <w:r w:rsidRPr="000232DD">
              <w:rPr>
                <w:color w:val="auto"/>
                <w:sz w:val="18"/>
                <w:szCs w:val="20"/>
              </w:rPr>
              <w:t>Հայաէրոնավիգացիա ՓԲԸ</w:t>
            </w:r>
          </w:p>
        </w:tc>
        <w:tc>
          <w:tcPr>
            <w:tcW w:w="180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C1F677A" w14:textId="77777777" w:rsidR="005D4274" w:rsidRPr="000232DD" w:rsidRDefault="005D4274" w:rsidP="00082769">
            <w:pPr>
              <w:spacing w:after="0"/>
              <w:ind w:right="-22"/>
              <w:jc w:val="center"/>
              <w:rPr>
                <w:color w:val="auto"/>
                <w:sz w:val="18"/>
                <w:szCs w:val="18"/>
              </w:rPr>
            </w:pPr>
            <w:r w:rsidRPr="000232DD">
              <w:rPr>
                <w:color w:val="auto"/>
                <w:sz w:val="18"/>
                <w:szCs w:val="18"/>
              </w:rPr>
              <w:t>2-րդ կատեգորիա</w:t>
            </w:r>
          </w:p>
        </w:tc>
        <w:tc>
          <w:tcPr>
            <w:tcW w:w="153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BD18764" w14:textId="77777777" w:rsidR="005D4274" w:rsidRPr="000232DD" w:rsidRDefault="005D4274" w:rsidP="00082769">
            <w:pPr>
              <w:spacing w:after="0"/>
              <w:ind w:right="-22"/>
              <w:jc w:val="center"/>
              <w:rPr>
                <w:color w:val="auto"/>
                <w:sz w:val="18"/>
                <w:szCs w:val="18"/>
              </w:rPr>
            </w:pPr>
            <w:r w:rsidRPr="000232DD">
              <w:rPr>
                <w:color w:val="auto"/>
                <w:sz w:val="18"/>
                <w:szCs w:val="18"/>
              </w:rPr>
              <w:t>2-րդ կատեգորիա</w:t>
            </w:r>
          </w:p>
        </w:tc>
        <w:tc>
          <w:tcPr>
            <w:tcW w:w="135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043D986"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2-րդ կատեգորիա</w:t>
            </w:r>
          </w:p>
        </w:tc>
        <w:tc>
          <w:tcPr>
            <w:tcW w:w="135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5FCCD7D"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2-րդ կատեգորիա</w:t>
            </w:r>
          </w:p>
        </w:tc>
        <w:tc>
          <w:tcPr>
            <w:tcW w:w="1350"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4E63E5CA"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1-ին կատեգորիա</w:t>
            </w:r>
          </w:p>
        </w:tc>
      </w:tr>
      <w:tr w:rsidR="004C0C21" w:rsidRPr="000232DD" w14:paraId="7748FFD8" w14:textId="77777777" w:rsidTr="00821159">
        <w:trPr>
          <w:trHeight w:val="186"/>
        </w:trPr>
        <w:tc>
          <w:tcPr>
            <w:tcW w:w="2970" w:type="dxa"/>
            <w:shd w:val="clear" w:color="auto" w:fill="FCE4D6"/>
            <w:vAlign w:val="center"/>
          </w:tcPr>
          <w:p w14:paraId="0621A02B" w14:textId="77777777" w:rsidR="005D4274" w:rsidRPr="000232DD" w:rsidRDefault="005D4274" w:rsidP="00082769">
            <w:pPr>
              <w:spacing w:before="0" w:after="0" w:line="240" w:lineRule="auto"/>
              <w:ind w:right="-22"/>
              <w:jc w:val="center"/>
              <w:rPr>
                <w:color w:val="auto"/>
                <w:sz w:val="18"/>
                <w:szCs w:val="20"/>
              </w:rPr>
            </w:pPr>
            <w:r w:rsidRPr="000232DD">
              <w:rPr>
                <w:color w:val="auto"/>
                <w:sz w:val="18"/>
                <w:szCs w:val="20"/>
              </w:rPr>
              <w:t>«Հայաստանի հեռուստատեսային և ռադիոհաղորդ</w:t>
            </w:r>
            <w:r w:rsidRPr="000232DD">
              <w:rPr>
                <w:color w:val="auto"/>
                <w:sz w:val="18"/>
                <w:szCs w:val="20"/>
                <w:lang w:val="hy-AM"/>
              </w:rPr>
              <w:t>ի</w:t>
            </w:r>
            <w:r w:rsidRPr="000232DD">
              <w:rPr>
                <w:color w:val="auto"/>
                <w:sz w:val="18"/>
                <w:szCs w:val="20"/>
              </w:rPr>
              <w:t>չ ցանց» ՓԲԸ</w:t>
            </w:r>
          </w:p>
        </w:tc>
        <w:tc>
          <w:tcPr>
            <w:tcW w:w="1800" w:type="dxa"/>
            <w:shd w:val="clear" w:color="auto" w:fill="FFC000"/>
            <w:vAlign w:val="center"/>
          </w:tcPr>
          <w:p w14:paraId="530A555B" w14:textId="77777777" w:rsidR="005D4274" w:rsidRPr="000232DD" w:rsidRDefault="005D4274" w:rsidP="00082769">
            <w:pPr>
              <w:spacing w:after="0"/>
              <w:ind w:right="-22"/>
              <w:jc w:val="center"/>
              <w:rPr>
                <w:color w:val="auto"/>
                <w:sz w:val="18"/>
                <w:szCs w:val="18"/>
              </w:rPr>
            </w:pPr>
            <w:r w:rsidRPr="000232DD">
              <w:rPr>
                <w:color w:val="auto"/>
                <w:sz w:val="18"/>
                <w:szCs w:val="18"/>
              </w:rPr>
              <w:t>2-րդ կատեգորիա</w:t>
            </w:r>
          </w:p>
        </w:tc>
        <w:tc>
          <w:tcPr>
            <w:tcW w:w="1530" w:type="dxa"/>
            <w:shd w:val="clear" w:color="auto" w:fill="FFC000"/>
            <w:vAlign w:val="center"/>
          </w:tcPr>
          <w:p w14:paraId="4E7965B1" w14:textId="77777777" w:rsidR="005D4274" w:rsidRPr="000232DD" w:rsidRDefault="005D4274" w:rsidP="00082769">
            <w:pPr>
              <w:spacing w:after="0"/>
              <w:ind w:right="-22"/>
              <w:jc w:val="center"/>
              <w:rPr>
                <w:color w:val="auto"/>
                <w:sz w:val="18"/>
                <w:szCs w:val="18"/>
              </w:rPr>
            </w:pPr>
            <w:r w:rsidRPr="000232DD">
              <w:rPr>
                <w:color w:val="auto"/>
                <w:sz w:val="18"/>
                <w:szCs w:val="18"/>
              </w:rPr>
              <w:t>2-րդ կատեգորիա</w:t>
            </w:r>
          </w:p>
        </w:tc>
        <w:tc>
          <w:tcPr>
            <w:tcW w:w="1350" w:type="dxa"/>
            <w:shd w:val="clear" w:color="auto" w:fill="FFC000"/>
            <w:vAlign w:val="center"/>
          </w:tcPr>
          <w:p w14:paraId="223F04C7"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2-րդ կատեգորիա</w:t>
            </w:r>
          </w:p>
        </w:tc>
        <w:tc>
          <w:tcPr>
            <w:tcW w:w="1350" w:type="dxa"/>
            <w:shd w:val="clear" w:color="auto" w:fill="FFC000"/>
            <w:vAlign w:val="center"/>
          </w:tcPr>
          <w:p w14:paraId="66A71916"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2-րդ կատեգորիա</w:t>
            </w:r>
          </w:p>
        </w:tc>
        <w:tc>
          <w:tcPr>
            <w:tcW w:w="1350" w:type="dxa"/>
            <w:shd w:val="clear" w:color="auto" w:fill="FFC000"/>
            <w:vAlign w:val="center"/>
          </w:tcPr>
          <w:p w14:paraId="337A562E"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2-րդ կատեգորիա</w:t>
            </w:r>
          </w:p>
        </w:tc>
      </w:tr>
      <w:tr w:rsidR="004C0C21" w:rsidRPr="000232DD" w14:paraId="2C84A185" w14:textId="77777777" w:rsidTr="00821159">
        <w:trPr>
          <w:trHeight w:val="186"/>
        </w:trPr>
        <w:tc>
          <w:tcPr>
            <w:tcW w:w="2970" w:type="dxa"/>
            <w:shd w:val="clear" w:color="auto" w:fill="FCE4D6"/>
            <w:vAlign w:val="center"/>
          </w:tcPr>
          <w:p w14:paraId="468BF934" w14:textId="77777777" w:rsidR="005D4274" w:rsidRPr="000232DD" w:rsidRDefault="005D4274" w:rsidP="00082769">
            <w:pPr>
              <w:spacing w:after="0"/>
              <w:ind w:right="-22"/>
              <w:jc w:val="center"/>
              <w:rPr>
                <w:color w:val="auto"/>
                <w:sz w:val="18"/>
                <w:szCs w:val="20"/>
              </w:rPr>
            </w:pPr>
            <w:r w:rsidRPr="000232DD">
              <w:rPr>
                <w:color w:val="auto"/>
                <w:sz w:val="18"/>
                <w:szCs w:val="20"/>
              </w:rPr>
              <w:t>«ԷլեկտրաԷներգետիկական Համակարգի Օպերատոր» ՓԲԸ</w:t>
            </w:r>
          </w:p>
        </w:tc>
        <w:tc>
          <w:tcPr>
            <w:tcW w:w="1800" w:type="dxa"/>
            <w:shd w:val="clear" w:color="auto" w:fill="E97132" w:themeFill="accent2"/>
            <w:vAlign w:val="center"/>
          </w:tcPr>
          <w:p w14:paraId="02E423ED"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530" w:type="dxa"/>
            <w:shd w:val="clear" w:color="auto" w:fill="E97132" w:themeFill="accent2"/>
            <w:vAlign w:val="center"/>
          </w:tcPr>
          <w:p w14:paraId="0542DB05" w14:textId="77777777" w:rsidR="005D4274" w:rsidRPr="000232DD" w:rsidRDefault="005D4274" w:rsidP="00082769">
            <w:pPr>
              <w:spacing w:after="0"/>
              <w:ind w:right="-22"/>
              <w:jc w:val="center"/>
              <w:rPr>
                <w:color w:val="auto"/>
                <w:sz w:val="18"/>
                <w:szCs w:val="18"/>
              </w:rPr>
            </w:pPr>
            <w:r w:rsidRPr="000232DD">
              <w:rPr>
                <w:color w:val="auto"/>
                <w:sz w:val="18"/>
                <w:szCs w:val="18"/>
              </w:rPr>
              <w:t>3-րդ կատեգորիա</w:t>
            </w:r>
          </w:p>
        </w:tc>
        <w:tc>
          <w:tcPr>
            <w:tcW w:w="1350" w:type="dxa"/>
            <w:shd w:val="clear" w:color="auto" w:fill="ED7D31"/>
            <w:vAlign w:val="center"/>
          </w:tcPr>
          <w:p w14:paraId="70D910D4"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3-րդ կատեգորիա</w:t>
            </w:r>
          </w:p>
        </w:tc>
        <w:tc>
          <w:tcPr>
            <w:tcW w:w="1350" w:type="dxa"/>
            <w:shd w:val="clear" w:color="auto" w:fill="ED7D31"/>
            <w:vAlign w:val="center"/>
          </w:tcPr>
          <w:p w14:paraId="526786D2"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3-րդ կատեգորիա</w:t>
            </w:r>
          </w:p>
        </w:tc>
        <w:tc>
          <w:tcPr>
            <w:tcW w:w="1350" w:type="dxa"/>
            <w:shd w:val="clear" w:color="auto" w:fill="FFC000"/>
            <w:vAlign w:val="center"/>
          </w:tcPr>
          <w:p w14:paraId="68AC13E8" w14:textId="77777777" w:rsidR="005D4274" w:rsidRPr="000232DD" w:rsidRDefault="005D4274" w:rsidP="00082769">
            <w:pPr>
              <w:spacing w:after="160" w:line="259" w:lineRule="auto"/>
              <w:ind w:right="-22"/>
              <w:jc w:val="center"/>
              <w:rPr>
                <w:color w:val="auto"/>
                <w:sz w:val="18"/>
                <w:szCs w:val="18"/>
              </w:rPr>
            </w:pPr>
            <w:r w:rsidRPr="000232DD">
              <w:rPr>
                <w:color w:val="auto"/>
                <w:sz w:val="18"/>
                <w:szCs w:val="18"/>
              </w:rPr>
              <w:t>2-րդ կատեգորիա</w:t>
            </w:r>
          </w:p>
        </w:tc>
      </w:tr>
    </w:tbl>
    <w:p w14:paraId="3158CB5A" w14:textId="77777777" w:rsidR="005D4274" w:rsidRPr="000232DD" w:rsidRDefault="005D4274" w:rsidP="00082769">
      <w:pPr>
        <w:pStyle w:val="BodyText1"/>
        <w:ind w:left="0" w:right="-22"/>
        <w:rPr>
          <w:color w:val="auto"/>
          <w:szCs w:val="22"/>
          <w:lang w:val="hy-AM"/>
        </w:rPr>
      </w:pPr>
      <w:r w:rsidRPr="000232DD">
        <w:rPr>
          <w:color w:val="auto"/>
          <w:szCs w:val="22"/>
          <w:lang w:val="hy-AM"/>
        </w:rPr>
        <w:t>2025թ</w:t>
      </w:r>
      <w:r w:rsidRPr="000232DD">
        <w:rPr>
          <w:rFonts w:ascii="Cambria Math" w:hAnsi="Cambria Math" w:cs="Cambria Math"/>
          <w:color w:val="auto"/>
          <w:szCs w:val="22"/>
          <w:lang w:val="hy-AM"/>
        </w:rPr>
        <w:t>․</w:t>
      </w:r>
      <w:r w:rsidRPr="000232DD">
        <w:rPr>
          <w:color w:val="auto"/>
          <w:szCs w:val="22"/>
          <w:lang w:val="hy-AM"/>
        </w:rPr>
        <w:t>-ին դիտարկված 20 ընկերություններից 14-ը շահութաբեր են եղել, իսկ 6-ը աշխատել են վնասով:</w:t>
      </w:r>
    </w:p>
    <w:p w14:paraId="24318D5F" w14:textId="769E3F26" w:rsidR="005A4602" w:rsidRPr="00ED1FDB" w:rsidRDefault="005D4274" w:rsidP="00082769">
      <w:pPr>
        <w:pStyle w:val="BodyText1"/>
        <w:ind w:left="0" w:right="-22"/>
        <w:rPr>
          <w:color w:val="auto"/>
          <w:szCs w:val="22"/>
          <w:lang w:val="hy-AM"/>
        </w:rPr>
      </w:pPr>
      <w:r w:rsidRPr="000232DD">
        <w:rPr>
          <w:color w:val="auto"/>
          <w:szCs w:val="22"/>
          <w:lang w:val="hy-AM"/>
        </w:rPr>
        <w:t>Չնայած նրան, որ ընկերությունների վճարունակությունը բարելավման միտումներ ունի, այնուամենայնիվ, պարտք/ակտիվներ հարաբերակցությունը (աջ առանցք)</w:t>
      </w:r>
      <w:r w:rsidRPr="000232DD">
        <w:rPr>
          <w:color w:val="auto"/>
        </w:rPr>
        <w:footnoteReference w:id="31"/>
      </w:r>
      <w:r w:rsidRPr="000232DD">
        <w:rPr>
          <w:color w:val="auto"/>
          <w:szCs w:val="22"/>
          <w:lang w:val="hy-AM"/>
        </w:rPr>
        <w:t>, և պարտք/սեփական կապիտալ հարաբերակցությունը (ձախ առանցք)</w:t>
      </w:r>
      <w:r w:rsidRPr="000232DD">
        <w:rPr>
          <w:color w:val="auto"/>
        </w:rPr>
        <w:footnoteReference w:id="32"/>
      </w:r>
      <w:r w:rsidRPr="000232DD">
        <w:rPr>
          <w:color w:val="auto"/>
          <w:szCs w:val="22"/>
          <w:lang w:val="hy-AM"/>
        </w:rPr>
        <w:t xml:space="preserve"> 2024-2025թթ. գրեթե մնացել են անփոփոխ (գծապատկեր 3): </w:t>
      </w:r>
    </w:p>
    <w:p w14:paraId="72687100" w14:textId="77777777" w:rsidR="005D4274" w:rsidRPr="00A52417" w:rsidRDefault="005D4274" w:rsidP="00082769">
      <w:pPr>
        <w:pStyle w:val="Charts"/>
        <w:ind w:right="-22"/>
        <w:rPr>
          <w:b w:val="0"/>
          <w:bCs/>
          <w:color w:val="auto"/>
          <w:sz w:val="20"/>
          <w:szCs w:val="18"/>
        </w:rPr>
      </w:pPr>
      <w:r w:rsidRPr="00A52417">
        <w:rPr>
          <w:b w:val="0"/>
          <w:bCs/>
          <w:color w:val="auto"/>
          <w:sz w:val="20"/>
          <w:szCs w:val="18"/>
        </w:rPr>
        <w:t>Գծապատկեր 3. ՊՄԸ-ների վճարունակությունը</w:t>
      </w:r>
    </w:p>
    <w:p w14:paraId="0D644B23" w14:textId="1B6E99FE" w:rsidR="00B43595" w:rsidRPr="000232DD" w:rsidRDefault="005D4274" w:rsidP="00082769">
      <w:pPr>
        <w:pStyle w:val="TOC2"/>
        <w:ind w:right="-22"/>
        <w:rPr>
          <w:color w:val="auto"/>
        </w:rPr>
      </w:pPr>
      <w:r w:rsidRPr="000232DD">
        <w:rPr>
          <w:noProof/>
          <w:color w:val="auto"/>
        </w:rPr>
        <w:drawing>
          <wp:inline distT="0" distB="0" distL="0" distR="0" wp14:anchorId="7D166569" wp14:editId="5F3D5990">
            <wp:extent cx="5219700" cy="2447925"/>
            <wp:effectExtent l="0" t="0" r="0"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24BFD568" w14:textId="77777777" w:rsidR="005D4274" w:rsidRPr="000232DD" w:rsidRDefault="005D4274" w:rsidP="00082769">
      <w:pPr>
        <w:pStyle w:val="BodyText1"/>
        <w:ind w:left="0" w:right="-22"/>
        <w:rPr>
          <w:color w:val="auto"/>
          <w:lang w:val="hy-AM"/>
        </w:rPr>
      </w:pPr>
      <w:r w:rsidRPr="000232DD">
        <w:rPr>
          <w:color w:val="auto"/>
          <w:lang w:val="hy-AM"/>
        </w:rPr>
        <w:t>Ըստ առանձին ՊՄԸ-ների պարտավորությունների չափի և ընդհանուր ռիսկի՝ փոխկապվածությունը ներկայացված է Գծապատկեր 4-ում: Վերջինից երևում է, որ չնայած ընկերությունների պարտավորությունների բարձր չափի, նրանք գտնվում են ռիսկայնության ավելի ցածր մակարդակում, քան այն ընկերությունները, որոնց պարտավորությունները ավելի ցածր են:</w:t>
      </w:r>
    </w:p>
    <w:p w14:paraId="647D4CD0" w14:textId="727838DA" w:rsidR="005D4274" w:rsidRDefault="005D4274" w:rsidP="00082769">
      <w:pPr>
        <w:pStyle w:val="BodyText1"/>
        <w:ind w:left="0" w:right="-22"/>
        <w:rPr>
          <w:color w:val="auto"/>
          <w:lang w:val="hy-AM"/>
        </w:rPr>
      </w:pPr>
      <w:r w:rsidRPr="000232DD">
        <w:rPr>
          <w:color w:val="auto"/>
          <w:lang w:val="hy-AM"/>
        </w:rPr>
        <w:t>Այս հանգամանքը հիմնավորվում է նրանով, որ մոդելի յուրաքանչյուր ցուցանիշին տրված է հավասար կշիռ, և մեկ ցուցանիշի բարձր ռիսկային արդյունքը կարող է փոխհատուցվել մեկ այլ ցուցանիշի ցածր ռիսկային արդյունքով:</w:t>
      </w:r>
    </w:p>
    <w:p w14:paraId="0929E727" w14:textId="43648483" w:rsidR="00760928" w:rsidRDefault="00760928" w:rsidP="00760928">
      <w:pPr>
        <w:rPr>
          <w:rFonts w:ascii="Arial" w:hAnsi="Arial"/>
          <w:lang w:val="hy-AM"/>
        </w:rPr>
      </w:pPr>
    </w:p>
    <w:p w14:paraId="023C7F9E" w14:textId="18F0168D" w:rsidR="00760928" w:rsidRDefault="00760928" w:rsidP="00760928">
      <w:pPr>
        <w:rPr>
          <w:rFonts w:ascii="Arial" w:hAnsi="Arial"/>
          <w:lang w:val="hy-AM"/>
        </w:rPr>
      </w:pPr>
    </w:p>
    <w:p w14:paraId="4D9DE941" w14:textId="15E2043C" w:rsidR="00760928" w:rsidRDefault="00760928" w:rsidP="00760928">
      <w:pPr>
        <w:rPr>
          <w:rFonts w:ascii="Arial" w:hAnsi="Arial"/>
          <w:lang w:val="hy-AM"/>
        </w:rPr>
      </w:pPr>
    </w:p>
    <w:p w14:paraId="1AC92CFE" w14:textId="1CF7DBF1" w:rsidR="00760928" w:rsidRDefault="00760928" w:rsidP="00760928">
      <w:pPr>
        <w:rPr>
          <w:rFonts w:ascii="Arial" w:hAnsi="Arial"/>
          <w:lang w:val="hy-AM"/>
        </w:rPr>
      </w:pPr>
    </w:p>
    <w:p w14:paraId="6BBD6605" w14:textId="7B275F0E" w:rsidR="00760928" w:rsidRDefault="00760928" w:rsidP="00760928">
      <w:pPr>
        <w:rPr>
          <w:rFonts w:ascii="Arial" w:hAnsi="Arial"/>
          <w:lang w:val="hy-AM"/>
        </w:rPr>
      </w:pPr>
    </w:p>
    <w:p w14:paraId="30769B17" w14:textId="77777777" w:rsidR="00760928" w:rsidRPr="00760928" w:rsidRDefault="00760928" w:rsidP="00760928">
      <w:pPr>
        <w:rPr>
          <w:rFonts w:ascii="Arial" w:hAnsi="Arial"/>
          <w:lang w:val="hy-AM"/>
        </w:rPr>
      </w:pPr>
    </w:p>
    <w:p w14:paraId="45562DDE" w14:textId="77777777" w:rsidR="005D4274" w:rsidRPr="00A52417" w:rsidRDefault="005D4274" w:rsidP="00082769">
      <w:pPr>
        <w:pStyle w:val="Charts"/>
        <w:ind w:right="-22"/>
        <w:rPr>
          <w:b w:val="0"/>
          <w:bCs/>
          <w:color w:val="auto"/>
          <w:sz w:val="20"/>
          <w:szCs w:val="18"/>
        </w:rPr>
      </w:pPr>
      <w:r w:rsidRPr="00A52417">
        <w:rPr>
          <w:b w:val="0"/>
          <w:bCs/>
          <w:color w:val="auto"/>
          <w:sz w:val="20"/>
          <w:szCs w:val="18"/>
        </w:rPr>
        <w:t>Գծապատկեր 4. ՊՄԸ-ների պարտավորությունների չափի և ընդհանուր ռիսկի փոխկապվածությունը 2025թ., հազար ՀՀ դրամ</w:t>
      </w:r>
    </w:p>
    <w:p w14:paraId="79CF676E" w14:textId="5FD56619" w:rsidR="005D4274" w:rsidRPr="000232DD" w:rsidRDefault="005D4274" w:rsidP="00082769">
      <w:pPr>
        <w:pStyle w:val="TOC2"/>
        <w:ind w:right="-22"/>
        <w:rPr>
          <w:color w:val="auto"/>
          <w:lang w:val="hy-AM"/>
        </w:rPr>
      </w:pPr>
      <w:r w:rsidRPr="000232DD">
        <w:rPr>
          <w:noProof/>
          <w:color w:val="auto"/>
        </w:rPr>
        <w:drawing>
          <wp:inline distT="0" distB="0" distL="0" distR="0" wp14:anchorId="18BAA56D" wp14:editId="5DCB259C">
            <wp:extent cx="5629275" cy="3095625"/>
            <wp:effectExtent l="0" t="0" r="9525"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3F2B7197"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«Հայկական ատոմային էլեկտրակայան» ՓԲԸ</w:t>
      </w:r>
    </w:p>
    <w:p w14:paraId="00B171F8"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«Բարձրավոլտ էլեկտրացանցեր» ՓԲԸ</w:t>
      </w:r>
    </w:p>
    <w:p w14:paraId="326DEED7"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«Երևանի ՋԷԿ» ՓԲԸ</w:t>
      </w:r>
    </w:p>
    <w:p w14:paraId="3E708D57"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Հայաստանի հանրային ռադիոընկերություն ՓԲԸ</w:t>
      </w:r>
    </w:p>
    <w:p w14:paraId="7EEB22C6"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«Հայփոստ» ՓԲԸ</w:t>
      </w:r>
    </w:p>
    <w:p w14:paraId="1DA1F81F"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«Կարեն Դեմիրճյանի անվան Երևանի մետրոպոլիտեն» ՓԲԸ</w:t>
      </w:r>
    </w:p>
    <w:p w14:paraId="69B89035"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««Սուրբ Գրիգոր Լուսավորիչ» բժշկական կենտրոն» ՓԲԸ</w:t>
      </w:r>
    </w:p>
    <w:p w14:paraId="68811E03"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«Էլեկտրաէներգետիկական համակարգի օպերատոր» ՓԲԸ</w:t>
      </w:r>
    </w:p>
    <w:p w14:paraId="3C695459"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«Վ. Ա. Ֆանարջյանի անվան ուռուցքաբանության ազգային կենտրոն» ՓԲԸ</w:t>
      </w:r>
    </w:p>
    <w:p w14:paraId="2FD5AC74"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«Հայաստանի արտահանման ապահովագրական գործակալություն» ԱՓԲԸ</w:t>
      </w:r>
    </w:p>
    <w:p w14:paraId="3345BAFA"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Calibri" w:eastAsia="GHEA Grapalat" w:hAnsi="Calibri" w:cs="Calibri"/>
          <w:color w:val="auto"/>
        </w:rPr>
        <w:t> </w:t>
      </w:r>
      <w:r w:rsidRPr="000232DD">
        <w:rPr>
          <w:rFonts w:ascii="GHEA Grapalat" w:eastAsia="GHEA Grapalat" w:hAnsi="GHEA Grapalat"/>
          <w:color w:val="auto"/>
        </w:rPr>
        <w:t>«Կարեն Դեմիրճյանի անվան մարզահամերգային համալիր» ՓԲԸ</w:t>
      </w:r>
    </w:p>
    <w:p w14:paraId="1522E4AF"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«Հայաստանի հանրային հեռուստաընկերություն» ՓԲԸ</w:t>
      </w:r>
    </w:p>
    <w:p w14:paraId="76ABDB92"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«Վանաձորի բժշկական կենտրոն» ՓԲԸ</w:t>
      </w:r>
    </w:p>
    <w:p w14:paraId="3A13739D"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«Գյումրու բժշկական կենտրոն» ՓԲԸ</w:t>
      </w:r>
    </w:p>
    <w:p w14:paraId="17472661"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«Հայ-Ալմաստ» ՓԲԸ</w:t>
      </w:r>
    </w:p>
    <w:p w14:paraId="1F9810A3"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«Հայաէրոնավիգացիա» ՓԲԸ</w:t>
      </w:r>
    </w:p>
    <w:p w14:paraId="27C2F5F0" w14:textId="5A329686"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 xml:space="preserve">«Հայաստանի հեռուստատեսային և </w:t>
      </w:r>
      <w:r w:rsidR="00B75923">
        <w:rPr>
          <w:rFonts w:ascii="GHEA Grapalat" w:eastAsia="GHEA Grapalat" w:hAnsi="GHEA Grapalat"/>
          <w:color w:val="auto"/>
        </w:rPr>
        <w:t>ռադիոհաղորդ</w:t>
      </w:r>
      <w:r w:rsidR="00B75923">
        <w:rPr>
          <w:rFonts w:ascii="GHEA Grapalat" w:eastAsia="GHEA Grapalat" w:hAnsi="GHEA Grapalat"/>
          <w:color w:val="auto"/>
          <w:lang w:val="hy-AM"/>
        </w:rPr>
        <w:t>ի</w:t>
      </w:r>
      <w:r w:rsidRPr="000232DD">
        <w:rPr>
          <w:rFonts w:ascii="GHEA Grapalat" w:eastAsia="GHEA Grapalat" w:hAnsi="GHEA Grapalat"/>
          <w:color w:val="auto"/>
        </w:rPr>
        <w:t>չ ցանց» ՓԲԸ</w:t>
      </w:r>
    </w:p>
    <w:p w14:paraId="7D61BEEB"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«Հաշվարկային կենտրոն» ՓԲԸ</w:t>
      </w:r>
    </w:p>
    <w:p w14:paraId="29E62932"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 xml:space="preserve">«Պրոֆեսոր Ռ. Օ. Յոլյանի անվան արյունաբանական կենտրոն» ՓԲԸ </w:t>
      </w:r>
    </w:p>
    <w:p w14:paraId="7DC72553" w14:textId="77777777" w:rsidR="005D4274" w:rsidRPr="000232DD" w:rsidRDefault="005D4274" w:rsidP="00082769">
      <w:pPr>
        <w:pStyle w:val="ListParagraph"/>
        <w:numPr>
          <w:ilvl w:val="0"/>
          <w:numId w:val="4"/>
        </w:numPr>
        <w:pBdr>
          <w:top w:val="nil"/>
          <w:left w:val="nil"/>
          <w:bottom w:val="nil"/>
          <w:right w:val="nil"/>
          <w:between w:val="nil"/>
        </w:pBdr>
        <w:spacing w:after="0"/>
        <w:ind w:left="0" w:right="-22" w:firstLine="0"/>
        <w:jc w:val="both"/>
        <w:rPr>
          <w:rFonts w:ascii="GHEA Grapalat" w:eastAsia="GHEA Grapalat" w:hAnsi="GHEA Grapalat"/>
          <w:color w:val="auto"/>
        </w:rPr>
      </w:pPr>
      <w:r w:rsidRPr="000232DD">
        <w:rPr>
          <w:rFonts w:ascii="GHEA Grapalat" w:eastAsia="GHEA Grapalat" w:hAnsi="GHEA Grapalat"/>
          <w:color w:val="auto"/>
        </w:rPr>
        <w:t>«Ջրառ» ՓԲԸ</w:t>
      </w:r>
    </w:p>
    <w:p w14:paraId="568152A9" w14:textId="77777777" w:rsidR="005D4274" w:rsidRPr="000232DD" w:rsidRDefault="005D4274" w:rsidP="00082769">
      <w:pPr>
        <w:pStyle w:val="BodyText1"/>
        <w:ind w:left="0" w:right="-22"/>
        <w:rPr>
          <w:color w:val="auto"/>
          <w:lang w:val="hy-AM"/>
        </w:rPr>
      </w:pPr>
      <w:r w:rsidRPr="000232DD">
        <w:rPr>
          <w:color w:val="auto"/>
          <w:lang w:val="hy-AM"/>
        </w:rPr>
        <w:t>2017-2025թթ. ընդհանուր ՊՄԸ-ների կողմից պետական բյուջե փաստացի վճարված շահութաբաժինների գումարի առավելագույն չափը արձանագրվել է 2024 թվականին՝ կազմելով 38.8 մլրդ ՀՀ դրամ: 2025 թվականին վճարված շահաբաժինների ծավալը (2026 թվականի սեպտեմբերի 17-ի դրությամբ) կազմել է 15.6 մլրդ ՀՀ դրամ, ինչը շուրջ 2.5 անգամ ցածր է 2024 թվականի համապատասխան ցուցանիշից (2024 թվականին ցուցանիշի բարձր մակարդակը պայմանավորված է «Զանգեզուրի պղնձամոլիբդենային կոմբինատ» ՓԲԸ-ի կողմից 2023 թվականին հայտարարված և 2024 թվականին պետական բյուջե փաստացի վճարված շահութաբաժինների գումարով, որը կազմել է շուրջ 33.3 մլրդ ՀՀ դրամ): Միևնույն ժամանակ, փաստացի վճարված շահութաբաժինների կշիռը պետական բյուջեի եկամուտներում կազմել է 0.5%:</w:t>
      </w:r>
    </w:p>
    <w:p w14:paraId="3A4CF00B" w14:textId="01218F0D" w:rsidR="005D4274" w:rsidRPr="000232DD" w:rsidRDefault="005D4274" w:rsidP="00082769">
      <w:pPr>
        <w:pStyle w:val="BodyText1"/>
        <w:ind w:left="0" w:right="-22"/>
        <w:rPr>
          <w:color w:val="auto"/>
          <w:lang w:val="hy-AM"/>
        </w:rPr>
      </w:pPr>
      <w:r w:rsidRPr="000232DD">
        <w:rPr>
          <w:color w:val="auto"/>
          <w:lang w:val="hy-AM"/>
        </w:rPr>
        <w:t>Գծապատկեր 5-ում ներկայացված են փաստացի վճարված շահութաբաժինների չափերը և դրանց կշիռները պետական բյուջեի եկամուտներում՝ 2017-2025թթ</w:t>
      </w:r>
      <w:r w:rsidRPr="000232DD">
        <w:rPr>
          <w:rFonts w:ascii="Cambria Math" w:hAnsi="Cambria Math" w:cs="Cambria Math"/>
          <w:color w:val="auto"/>
          <w:lang w:val="hy-AM"/>
        </w:rPr>
        <w:t>․</w:t>
      </w:r>
      <w:r w:rsidRPr="000232DD">
        <w:rPr>
          <w:color w:val="auto"/>
          <w:lang w:val="hy-AM"/>
        </w:rPr>
        <w:t>-ի</w:t>
      </w:r>
      <w:r w:rsidR="00802FF2" w:rsidRPr="000232DD">
        <w:rPr>
          <w:color w:val="auto"/>
          <w:lang w:val="hy-AM"/>
        </w:rPr>
        <w:t>ն</w:t>
      </w:r>
      <w:r w:rsidR="00802FF2" w:rsidRPr="000232DD">
        <w:rPr>
          <w:rStyle w:val="FootnoteReference"/>
          <w:color w:val="auto"/>
          <w:lang w:val="hy-AM"/>
        </w:rPr>
        <w:footnoteReference w:id="33"/>
      </w:r>
      <w:r w:rsidRPr="000232DD">
        <w:rPr>
          <w:color w:val="auto"/>
          <w:lang w:val="hy-AM"/>
        </w:rPr>
        <w:t>։</w:t>
      </w:r>
    </w:p>
    <w:p w14:paraId="3CAB3AC4" w14:textId="77777777" w:rsidR="00802FF2" w:rsidRPr="00A52417" w:rsidRDefault="00802FF2" w:rsidP="00082769">
      <w:pPr>
        <w:pStyle w:val="Charts"/>
        <w:ind w:right="-22"/>
        <w:rPr>
          <w:b w:val="0"/>
          <w:bCs/>
          <w:color w:val="auto"/>
          <w:sz w:val="20"/>
          <w:szCs w:val="18"/>
        </w:rPr>
      </w:pPr>
      <w:r w:rsidRPr="00A52417">
        <w:rPr>
          <w:b w:val="0"/>
          <w:bCs/>
          <w:color w:val="auto"/>
          <w:sz w:val="20"/>
          <w:szCs w:val="18"/>
        </w:rPr>
        <w:t>Գծապատկեր 5</w:t>
      </w:r>
      <w:r w:rsidRPr="00A52417">
        <w:rPr>
          <w:rFonts w:hint="eastAsia"/>
          <w:b w:val="0"/>
          <w:bCs/>
          <w:color w:val="auto"/>
          <w:sz w:val="20"/>
          <w:szCs w:val="18"/>
        </w:rPr>
        <w:t>․</w:t>
      </w:r>
      <w:r w:rsidRPr="00A52417">
        <w:rPr>
          <w:b w:val="0"/>
          <w:bCs/>
          <w:color w:val="auto"/>
          <w:sz w:val="20"/>
          <w:szCs w:val="18"/>
        </w:rPr>
        <w:t xml:space="preserve"> Շահութաբաժինների գծով փաստացի բյուջետային մուտքերը և դրանց կշիռը պետական բյուջեի եկամուտներում</w:t>
      </w:r>
    </w:p>
    <w:p w14:paraId="0FFA4CD8" w14:textId="77777777" w:rsidR="00802FF2" w:rsidRPr="000232DD" w:rsidRDefault="00802FF2" w:rsidP="00082769">
      <w:pPr>
        <w:ind w:right="-22"/>
        <w:jc w:val="center"/>
        <w:rPr>
          <w:rFonts w:ascii="GHEA Grapalat" w:eastAsia="Times New Roman" w:hAnsi="GHEA Grapalat" w:cs="Times New Roman"/>
          <w:color w:val="auto"/>
          <w:sz w:val="24"/>
          <w:szCs w:val="24"/>
        </w:rPr>
      </w:pPr>
      <w:r w:rsidRPr="000232DD">
        <w:rPr>
          <w:rFonts w:ascii="GHEA Grapalat" w:eastAsia="Times New Roman" w:hAnsi="GHEA Grapalat" w:cs="Times New Roman"/>
          <w:noProof/>
          <w:color w:val="auto"/>
        </w:rPr>
        <w:drawing>
          <wp:inline distT="0" distB="0" distL="0" distR="0" wp14:anchorId="5F85D0FE" wp14:editId="2BAF8D25">
            <wp:extent cx="5600700" cy="295275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1062B391" w14:textId="77777777" w:rsidR="00802FF2" w:rsidRPr="000232DD" w:rsidRDefault="00802FF2" w:rsidP="00082769">
      <w:pPr>
        <w:spacing w:after="0"/>
        <w:ind w:right="-22"/>
        <w:jc w:val="both"/>
        <w:rPr>
          <w:rFonts w:ascii="GHEA Grapalat" w:hAnsi="GHEA Grapalat"/>
          <w:color w:val="auto"/>
          <w:lang w:val="hy-AM"/>
        </w:rPr>
      </w:pPr>
      <w:r w:rsidRPr="000232DD">
        <w:rPr>
          <w:rFonts w:ascii="GHEA Grapalat" w:hAnsi="GHEA Grapalat" w:cs="Arial"/>
          <w:color w:val="auto"/>
          <w:lang w:val="hy-AM"/>
        </w:rPr>
        <w:t>ՊՄԸ</w:t>
      </w:r>
      <w:r w:rsidRPr="000232DD">
        <w:rPr>
          <w:rFonts w:ascii="GHEA Grapalat" w:hAnsi="GHEA Grapalat"/>
          <w:color w:val="auto"/>
          <w:lang w:val="hy-AM"/>
        </w:rPr>
        <w:t>-</w:t>
      </w:r>
      <w:r w:rsidRPr="000232DD">
        <w:rPr>
          <w:rFonts w:ascii="GHEA Grapalat" w:hAnsi="GHEA Grapalat" w:cs="Arial"/>
          <w:color w:val="auto"/>
          <w:lang w:val="hy-AM"/>
        </w:rPr>
        <w:t>ներից</w:t>
      </w:r>
      <w:r w:rsidRPr="000232DD">
        <w:rPr>
          <w:rFonts w:ascii="GHEA Grapalat" w:hAnsi="GHEA Grapalat"/>
          <w:color w:val="auto"/>
          <w:lang w:val="hy-AM"/>
        </w:rPr>
        <w:t xml:space="preserve"> </w:t>
      </w:r>
      <w:r w:rsidRPr="000232DD">
        <w:rPr>
          <w:rFonts w:ascii="GHEA Grapalat" w:hAnsi="GHEA Grapalat" w:cs="Arial"/>
          <w:color w:val="auto"/>
          <w:lang w:val="hy-AM"/>
        </w:rPr>
        <w:t>բխող</w:t>
      </w:r>
      <w:r w:rsidRPr="000232DD">
        <w:rPr>
          <w:rFonts w:ascii="GHEA Grapalat" w:hAnsi="GHEA Grapalat"/>
          <w:color w:val="auto"/>
          <w:lang w:val="hy-AM"/>
        </w:rPr>
        <w:t xml:space="preserve"> </w:t>
      </w:r>
      <w:r w:rsidRPr="000232DD">
        <w:rPr>
          <w:rFonts w:ascii="GHEA Grapalat" w:hAnsi="GHEA Grapalat" w:cs="Arial"/>
          <w:color w:val="auto"/>
          <w:lang w:val="hy-AM"/>
        </w:rPr>
        <w:t>հարկաբյուջետային</w:t>
      </w:r>
      <w:r w:rsidRPr="000232DD">
        <w:rPr>
          <w:rFonts w:ascii="GHEA Grapalat" w:hAnsi="GHEA Grapalat"/>
          <w:color w:val="auto"/>
          <w:lang w:val="hy-AM"/>
        </w:rPr>
        <w:t xml:space="preserve"> </w:t>
      </w:r>
      <w:r w:rsidRPr="000232DD">
        <w:rPr>
          <w:rFonts w:ascii="GHEA Grapalat" w:hAnsi="GHEA Grapalat" w:cs="Arial"/>
          <w:color w:val="auto"/>
          <w:lang w:val="hy-AM"/>
        </w:rPr>
        <w:t>ռիսկի</w:t>
      </w:r>
      <w:r w:rsidRPr="000232DD">
        <w:rPr>
          <w:rFonts w:ascii="GHEA Grapalat" w:hAnsi="GHEA Grapalat"/>
          <w:color w:val="auto"/>
          <w:lang w:val="hy-AM"/>
        </w:rPr>
        <w:t xml:space="preserve"> </w:t>
      </w:r>
      <w:r w:rsidRPr="000232DD">
        <w:rPr>
          <w:rFonts w:ascii="GHEA Grapalat" w:hAnsi="GHEA Grapalat" w:cs="Arial"/>
          <w:color w:val="auto"/>
          <w:lang w:val="hy-AM"/>
        </w:rPr>
        <w:t>վրա</w:t>
      </w:r>
      <w:r w:rsidRPr="000232DD">
        <w:rPr>
          <w:rFonts w:ascii="GHEA Grapalat" w:hAnsi="GHEA Grapalat"/>
          <w:color w:val="auto"/>
          <w:lang w:val="hy-AM"/>
        </w:rPr>
        <w:t xml:space="preserve"> </w:t>
      </w:r>
      <w:r w:rsidRPr="000232DD">
        <w:rPr>
          <w:rFonts w:ascii="GHEA Grapalat" w:hAnsi="GHEA Grapalat" w:cs="Arial"/>
          <w:color w:val="auto"/>
          <w:lang w:val="hy-AM"/>
        </w:rPr>
        <w:t>էական</w:t>
      </w:r>
      <w:r w:rsidRPr="000232DD">
        <w:rPr>
          <w:rFonts w:ascii="GHEA Grapalat" w:hAnsi="GHEA Grapalat"/>
          <w:color w:val="auto"/>
          <w:lang w:val="hy-AM"/>
        </w:rPr>
        <w:t xml:space="preserve"> </w:t>
      </w:r>
      <w:r w:rsidRPr="000232DD">
        <w:rPr>
          <w:rFonts w:ascii="GHEA Grapalat" w:hAnsi="GHEA Grapalat" w:cs="Arial"/>
          <w:color w:val="auto"/>
          <w:lang w:val="hy-AM"/>
        </w:rPr>
        <w:t>ազդեցություն</w:t>
      </w:r>
      <w:r w:rsidRPr="000232DD">
        <w:rPr>
          <w:rFonts w:ascii="GHEA Grapalat" w:hAnsi="GHEA Grapalat"/>
          <w:color w:val="auto"/>
          <w:lang w:val="hy-AM"/>
        </w:rPr>
        <w:t xml:space="preserve"> </w:t>
      </w:r>
      <w:r w:rsidRPr="000232DD">
        <w:rPr>
          <w:rFonts w:ascii="GHEA Grapalat" w:hAnsi="GHEA Grapalat" w:cs="Arial"/>
          <w:color w:val="auto"/>
          <w:lang w:val="hy-AM"/>
        </w:rPr>
        <w:t>ունեն</w:t>
      </w:r>
      <w:r w:rsidRPr="000232DD">
        <w:rPr>
          <w:rFonts w:ascii="GHEA Grapalat" w:hAnsi="GHEA Grapalat"/>
          <w:color w:val="auto"/>
          <w:lang w:val="hy-AM"/>
        </w:rPr>
        <w:t xml:space="preserve"> </w:t>
      </w:r>
      <w:r w:rsidRPr="000232DD">
        <w:rPr>
          <w:rFonts w:ascii="GHEA Grapalat" w:hAnsi="GHEA Grapalat" w:cs="Arial"/>
          <w:color w:val="auto"/>
          <w:lang w:val="hy-AM"/>
        </w:rPr>
        <w:t>նաև</w:t>
      </w:r>
      <w:r w:rsidRPr="000232DD">
        <w:rPr>
          <w:rFonts w:ascii="GHEA Grapalat" w:hAnsi="GHEA Grapalat"/>
          <w:color w:val="auto"/>
          <w:lang w:val="hy-AM"/>
        </w:rPr>
        <w:t xml:space="preserve"> </w:t>
      </w:r>
      <w:r w:rsidRPr="000232DD">
        <w:rPr>
          <w:rFonts w:ascii="GHEA Grapalat" w:hAnsi="GHEA Grapalat" w:cs="Arial"/>
          <w:color w:val="auto"/>
          <w:lang w:val="hy-AM"/>
        </w:rPr>
        <w:t>դրանց</w:t>
      </w:r>
      <w:r w:rsidRPr="000232DD">
        <w:rPr>
          <w:rFonts w:ascii="GHEA Grapalat" w:hAnsi="GHEA Grapalat"/>
          <w:color w:val="auto"/>
          <w:lang w:val="hy-AM"/>
        </w:rPr>
        <w:t xml:space="preserve"> </w:t>
      </w:r>
      <w:r w:rsidRPr="000232DD">
        <w:rPr>
          <w:rFonts w:ascii="GHEA Grapalat" w:hAnsi="GHEA Grapalat" w:cs="Arial"/>
          <w:color w:val="auto"/>
          <w:lang w:val="hy-AM"/>
        </w:rPr>
        <w:t>տրամադրված</w:t>
      </w:r>
      <w:r w:rsidRPr="000232DD">
        <w:rPr>
          <w:rFonts w:ascii="GHEA Grapalat" w:hAnsi="GHEA Grapalat"/>
          <w:color w:val="auto"/>
          <w:lang w:val="hy-AM"/>
        </w:rPr>
        <w:t xml:space="preserve"> </w:t>
      </w:r>
      <w:r w:rsidRPr="000232DD">
        <w:rPr>
          <w:rFonts w:ascii="GHEA Grapalat" w:hAnsi="GHEA Grapalat" w:cs="Arial"/>
          <w:color w:val="auto"/>
          <w:lang w:val="hy-AM"/>
        </w:rPr>
        <w:t>բյուջետային</w:t>
      </w:r>
      <w:r w:rsidRPr="000232DD">
        <w:rPr>
          <w:rFonts w:ascii="GHEA Grapalat" w:hAnsi="GHEA Grapalat"/>
          <w:color w:val="auto"/>
          <w:lang w:val="hy-AM"/>
        </w:rPr>
        <w:t xml:space="preserve"> </w:t>
      </w:r>
      <w:r w:rsidRPr="000232DD">
        <w:rPr>
          <w:rFonts w:ascii="GHEA Grapalat" w:hAnsi="GHEA Grapalat" w:cs="Arial"/>
          <w:color w:val="auto"/>
          <w:lang w:val="hy-AM"/>
        </w:rPr>
        <w:t>վարկերը</w:t>
      </w:r>
      <w:r w:rsidRPr="000232DD">
        <w:rPr>
          <w:rFonts w:ascii="GHEA Grapalat" w:hAnsi="GHEA Grapalat"/>
          <w:color w:val="auto"/>
          <w:lang w:val="hy-AM"/>
        </w:rPr>
        <w:t xml:space="preserve"> (</w:t>
      </w:r>
      <w:r w:rsidRPr="000232DD">
        <w:rPr>
          <w:rFonts w:ascii="GHEA Grapalat" w:hAnsi="GHEA Grapalat" w:cs="Arial"/>
          <w:color w:val="auto"/>
          <w:lang w:val="hy-AM"/>
        </w:rPr>
        <w:t>ենթավարկերը</w:t>
      </w:r>
      <w:r w:rsidRPr="000232DD">
        <w:rPr>
          <w:rFonts w:ascii="GHEA Grapalat" w:hAnsi="GHEA Grapalat"/>
          <w:color w:val="auto"/>
          <w:lang w:val="hy-AM"/>
        </w:rPr>
        <w:t xml:space="preserve">) </w:t>
      </w:r>
      <w:r w:rsidRPr="000232DD">
        <w:rPr>
          <w:rFonts w:ascii="GHEA Grapalat" w:hAnsi="GHEA Grapalat" w:cs="Arial"/>
          <w:color w:val="auto"/>
          <w:lang w:val="hy-AM"/>
        </w:rPr>
        <w:t>և</w:t>
      </w:r>
      <w:r w:rsidRPr="000232DD">
        <w:rPr>
          <w:rFonts w:ascii="GHEA Grapalat" w:hAnsi="GHEA Grapalat"/>
          <w:color w:val="auto"/>
          <w:lang w:val="hy-AM"/>
        </w:rPr>
        <w:t xml:space="preserve"> </w:t>
      </w:r>
      <w:r w:rsidRPr="000232DD">
        <w:rPr>
          <w:rFonts w:ascii="GHEA Grapalat" w:hAnsi="GHEA Grapalat" w:cs="Arial"/>
          <w:color w:val="auto"/>
          <w:lang w:val="hy-AM"/>
        </w:rPr>
        <w:t>երաշխիքները</w:t>
      </w:r>
      <w:r w:rsidRPr="000232DD">
        <w:rPr>
          <w:rFonts w:ascii="GHEA Grapalat" w:hAnsi="GHEA Grapalat"/>
          <w:color w:val="auto"/>
          <w:lang w:val="hy-AM"/>
        </w:rPr>
        <w:t xml:space="preserve">, </w:t>
      </w:r>
      <w:r w:rsidRPr="000232DD">
        <w:rPr>
          <w:rFonts w:ascii="GHEA Grapalat" w:hAnsi="GHEA Grapalat" w:cs="Arial"/>
          <w:color w:val="auto"/>
          <w:lang w:val="hy-AM"/>
        </w:rPr>
        <w:t>որը</w:t>
      </w:r>
      <w:r w:rsidRPr="000232DD">
        <w:rPr>
          <w:rFonts w:ascii="GHEA Grapalat" w:hAnsi="GHEA Grapalat"/>
          <w:color w:val="auto"/>
          <w:lang w:val="hy-AM"/>
        </w:rPr>
        <w:t xml:space="preserve"> </w:t>
      </w:r>
      <w:r w:rsidRPr="000232DD">
        <w:rPr>
          <w:rFonts w:ascii="GHEA Grapalat" w:hAnsi="GHEA Grapalat" w:cs="Arial"/>
          <w:color w:val="auto"/>
          <w:lang w:val="hy-AM"/>
        </w:rPr>
        <w:t>պայմանավորված</w:t>
      </w:r>
      <w:r w:rsidRPr="000232DD">
        <w:rPr>
          <w:rFonts w:ascii="GHEA Grapalat" w:hAnsi="GHEA Grapalat"/>
          <w:color w:val="auto"/>
          <w:lang w:val="hy-AM"/>
        </w:rPr>
        <w:t xml:space="preserve"> </w:t>
      </w:r>
      <w:r w:rsidRPr="000232DD">
        <w:rPr>
          <w:rFonts w:ascii="GHEA Grapalat" w:hAnsi="GHEA Grapalat" w:cs="Arial"/>
          <w:color w:val="auto"/>
          <w:lang w:val="hy-AM"/>
        </w:rPr>
        <w:t>է</w:t>
      </w:r>
      <w:r w:rsidRPr="000232DD">
        <w:rPr>
          <w:rFonts w:ascii="GHEA Grapalat" w:hAnsi="GHEA Grapalat"/>
          <w:color w:val="auto"/>
          <w:lang w:val="hy-AM"/>
        </w:rPr>
        <w:t xml:space="preserve"> </w:t>
      </w:r>
      <w:r w:rsidRPr="000232DD">
        <w:rPr>
          <w:rFonts w:ascii="GHEA Grapalat" w:hAnsi="GHEA Grapalat" w:cs="Arial"/>
          <w:color w:val="auto"/>
          <w:lang w:val="hy-AM"/>
        </w:rPr>
        <w:t>այն</w:t>
      </w:r>
      <w:r w:rsidRPr="000232DD">
        <w:rPr>
          <w:rFonts w:ascii="GHEA Grapalat" w:hAnsi="GHEA Grapalat"/>
          <w:color w:val="auto"/>
          <w:lang w:val="hy-AM"/>
        </w:rPr>
        <w:t xml:space="preserve"> </w:t>
      </w:r>
      <w:r w:rsidRPr="000232DD">
        <w:rPr>
          <w:rFonts w:ascii="GHEA Grapalat" w:hAnsi="GHEA Grapalat" w:cs="Arial"/>
          <w:color w:val="auto"/>
          <w:lang w:val="hy-AM"/>
        </w:rPr>
        <w:t>հանգամանքով</w:t>
      </w:r>
      <w:r w:rsidRPr="000232DD">
        <w:rPr>
          <w:rFonts w:ascii="GHEA Grapalat" w:hAnsi="GHEA Grapalat"/>
          <w:color w:val="auto"/>
          <w:lang w:val="hy-AM"/>
        </w:rPr>
        <w:t xml:space="preserve">, </w:t>
      </w:r>
      <w:r w:rsidRPr="000232DD">
        <w:rPr>
          <w:rFonts w:ascii="GHEA Grapalat" w:hAnsi="GHEA Grapalat" w:cs="Arial"/>
          <w:color w:val="auto"/>
          <w:lang w:val="hy-AM"/>
        </w:rPr>
        <w:t>որ</w:t>
      </w:r>
      <w:r w:rsidRPr="000232DD">
        <w:rPr>
          <w:rFonts w:ascii="GHEA Grapalat" w:hAnsi="GHEA Grapalat"/>
          <w:color w:val="auto"/>
          <w:lang w:val="hy-AM"/>
        </w:rPr>
        <w:t xml:space="preserve"> </w:t>
      </w:r>
      <w:r w:rsidRPr="000232DD">
        <w:rPr>
          <w:rFonts w:ascii="GHEA Grapalat" w:hAnsi="GHEA Grapalat" w:cs="Arial"/>
          <w:color w:val="auto"/>
          <w:lang w:val="hy-AM"/>
        </w:rPr>
        <w:t>վերջիններս</w:t>
      </w:r>
      <w:r w:rsidRPr="000232DD">
        <w:rPr>
          <w:rFonts w:ascii="GHEA Grapalat" w:hAnsi="GHEA Grapalat"/>
          <w:color w:val="auto"/>
          <w:lang w:val="hy-AM"/>
        </w:rPr>
        <w:t xml:space="preserve"> </w:t>
      </w:r>
      <w:r w:rsidRPr="000232DD">
        <w:rPr>
          <w:rFonts w:ascii="GHEA Grapalat" w:hAnsi="GHEA Grapalat" w:cs="Arial"/>
          <w:color w:val="auto"/>
          <w:lang w:val="hy-AM"/>
        </w:rPr>
        <w:t>արտահայտված</w:t>
      </w:r>
      <w:r w:rsidRPr="000232DD">
        <w:rPr>
          <w:rFonts w:ascii="GHEA Grapalat" w:hAnsi="GHEA Grapalat"/>
          <w:color w:val="auto"/>
          <w:lang w:val="hy-AM"/>
        </w:rPr>
        <w:t xml:space="preserve"> </w:t>
      </w:r>
      <w:r w:rsidRPr="000232DD">
        <w:rPr>
          <w:rFonts w:ascii="GHEA Grapalat" w:hAnsi="GHEA Grapalat" w:cs="Arial"/>
          <w:color w:val="auto"/>
          <w:lang w:val="hy-AM"/>
        </w:rPr>
        <w:t>են</w:t>
      </w:r>
      <w:r w:rsidRPr="000232DD">
        <w:rPr>
          <w:rFonts w:ascii="GHEA Grapalat" w:hAnsi="GHEA Grapalat"/>
          <w:color w:val="auto"/>
          <w:lang w:val="hy-AM"/>
        </w:rPr>
        <w:t xml:space="preserve"> </w:t>
      </w:r>
      <w:r w:rsidRPr="000232DD">
        <w:rPr>
          <w:rFonts w:ascii="GHEA Grapalat" w:hAnsi="GHEA Grapalat" w:cs="Arial"/>
          <w:color w:val="auto"/>
          <w:lang w:val="hy-AM"/>
        </w:rPr>
        <w:t>հիմնականում</w:t>
      </w:r>
      <w:r w:rsidRPr="000232DD">
        <w:rPr>
          <w:rFonts w:ascii="GHEA Grapalat" w:hAnsi="GHEA Grapalat"/>
          <w:color w:val="auto"/>
          <w:lang w:val="hy-AM"/>
        </w:rPr>
        <w:t xml:space="preserve"> </w:t>
      </w:r>
      <w:r w:rsidRPr="000232DD">
        <w:rPr>
          <w:rFonts w:ascii="GHEA Grapalat" w:hAnsi="GHEA Grapalat" w:cs="Arial"/>
          <w:color w:val="auto"/>
          <w:lang w:val="hy-AM"/>
        </w:rPr>
        <w:t>արտարժույթով</w:t>
      </w:r>
      <w:r w:rsidRPr="000232DD">
        <w:rPr>
          <w:rFonts w:ascii="GHEA Grapalat" w:hAnsi="GHEA Grapalat"/>
          <w:color w:val="auto"/>
          <w:lang w:val="hy-AM"/>
        </w:rPr>
        <w:t xml:space="preserve">: </w:t>
      </w:r>
      <w:r w:rsidRPr="000232DD">
        <w:rPr>
          <w:rFonts w:ascii="GHEA Grapalat" w:hAnsi="GHEA Grapalat" w:cs="Arial"/>
          <w:color w:val="auto"/>
          <w:lang w:val="hy-AM"/>
        </w:rPr>
        <w:t>Վերջինիս</w:t>
      </w:r>
      <w:r w:rsidRPr="000232DD">
        <w:rPr>
          <w:rFonts w:ascii="GHEA Grapalat" w:hAnsi="GHEA Grapalat"/>
          <w:color w:val="auto"/>
          <w:lang w:val="hy-AM"/>
        </w:rPr>
        <w:t xml:space="preserve"> </w:t>
      </w:r>
      <w:r w:rsidRPr="000232DD">
        <w:rPr>
          <w:rFonts w:ascii="GHEA Grapalat" w:hAnsi="GHEA Grapalat" w:cs="Arial"/>
          <w:color w:val="auto"/>
          <w:lang w:val="hy-AM"/>
        </w:rPr>
        <w:t>տատանումները</w:t>
      </w:r>
      <w:r w:rsidRPr="000232DD">
        <w:rPr>
          <w:rFonts w:ascii="GHEA Grapalat" w:hAnsi="GHEA Grapalat"/>
          <w:color w:val="auto"/>
          <w:lang w:val="hy-AM"/>
        </w:rPr>
        <w:t xml:space="preserve"> </w:t>
      </w:r>
      <w:r w:rsidRPr="000232DD">
        <w:rPr>
          <w:rFonts w:ascii="GHEA Grapalat" w:hAnsi="GHEA Grapalat" w:cs="Arial"/>
          <w:color w:val="auto"/>
          <w:lang w:val="hy-AM"/>
        </w:rPr>
        <w:t>կարող</w:t>
      </w:r>
      <w:r w:rsidRPr="000232DD">
        <w:rPr>
          <w:rFonts w:ascii="GHEA Grapalat" w:hAnsi="GHEA Grapalat"/>
          <w:color w:val="auto"/>
          <w:lang w:val="hy-AM"/>
        </w:rPr>
        <w:t xml:space="preserve"> </w:t>
      </w:r>
      <w:r w:rsidRPr="000232DD">
        <w:rPr>
          <w:rFonts w:ascii="GHEA Grapalat" w:hAnsi="GHEA Grapalat" w:cs="Arial"/>
          <w:color w:val="auto"/>
          <w:lang w:val="hy-AM"/>
        </w:rPr>
        <w:t>են</w:t>
      </w:r>
      <w:r w:rsidRPr="000232DD">
        <w:rPr>
          <w:rFonts w:ascii="GHEA Grapalat" w:hAnsi="GHEA Grapalat"/>
          <w:color w:val="auto"/>
          <w:lang w:val="hy-AM"/>
        </w:rPr>
        <w:t xml:space="preserve"> </w:t>
      </w:r>
      <w:r w:rsidRPr="000232DD">
        <w:rPr>
          <w:rFonts w:ascii="GHEA Grapalat" w:hAnsi="GHEA Grapalat" w:cs="Arial"/>
          <w:color w:val="auto"/>
          <w:lang w:val="hy-AM"/>
        </w:rPr>
        <w:t>բացասաբար</w:t>
      </w:r>
      <w:r w:rsidRPr="000232DD">
        <w:rPr>
          <w:rFonts w:ascii="GHEA Grapalat" w:hAnsi="GHEA Grapalat"/>
          <w:color w:val="auto"/>
          <w:lang w:val="hy-AM"/>
        </w:rPr>
        <w:t xml:space="preserve"> </w:t>
      </w:r>
      <w:r w:rsidRPr="000232DD">
        <w:rPr>
          <w:rFonts w:ascii="GHEA Grapalat" w:hAnsi="GHEA Grapalat" w:cs="Arial"/>
          <w:color w:val="auto"/>
          <w:lang w:val="hy-AM"/>
        </w:rPr>
        <w:t>ազդել</w:t>
      </w:r>
      <w:r w:rsidRPr="000232DD">
        <w:rPr>
          <w:rFonts w:ascii="GHEA Grapalat" w:hAnsi="GHEA Grapalat"/>
          <w:color w:val="auto"/>
          <w:lang w:val="hy-AM"/>
        </w:rPr>
        <w:t xml:space="preserve"> </w:t>
      </w:r>
      <w:r w:rsidRPr="000232DD">
        <w:rPr>
          <w:rFonts w:ascii="GHEA Grapalat" w:hAnsi="GHEA Grapalat" w:cs="Arial"/>
          <w:color w:val="auto"/>
          <w:lang w:val="hy-AM"/>
        </w:rPr>
        <w:t>պարտքի</w:t>
      </w:r>
      <w:r w:rsidRPr="000232DD">
        <w:rPr>
          <w:rFonts w:ascii="GHEA Grapalat" w:hAnsi="GHEA Grapalat"/>
          <w:color w:val="auto"/>
          <w:lang w:val="hy-AM"/>
        </w:rPr>
        <w:t xml:space="preserve"> </w:t>
      </w:r>
      <w:r w:rsidRPr="000232DD">
        <w:rPr>
          <w:rFonts w:ascii="GHEA Grapalat" w:hAnsi="GHEA Grapalat" w:cs="Arial"/>
          <w:color w:val="auto"/>
          <w:lang w:val="hy-AM"/>
        </w:rPr>
        <w:t>սպասարկման</w:t>
      </w:r>
      <w:r w:rsidRPr="000232DD">
        <w:rPr>
          <w:rFonts w:ascii="GHEA Grapalat" w:hAnsi="GHEA Grapalat"/>
          <w:color w:val="auto"/>
          <w:lang w:val="hy-AM"/>
        </w:rPr>
        <w:t xml:space="preserve"> </w:t>
      </w:r>
      <w:r w:rsidRPr="000232DD">
        <w:rPr>
          <w:rFonts w:ascii="GHEA Grapalat" w:hAnsi="GHEA Grapalat" w:cs="Arial"/>
          <w:color w:val="auto"/>
          <w:lang w:val="hy-AM"/>
        </w:rPr>
        <w:t>ծախսերի</w:t>
      </w:r>
      <w:r w:rsidRPr="000232DD">
        <w:rPr>
          <w:rFonts w:ascii="GHEA Grapalat" w:hAnsi="GHEA Grapalat"/>
          <w:color w:val="auto"/>
          <w:lang w:val="hy-AM"/>
        </w:rPr>
        <w:t xml:space="preserve"> </w:t>
      </w:r>
      <w:r w:rsidRPr="000232DD">
        <w:rPr>
          <w:rFonts w:ascii="GHEA Grapalat" w:hAnsi="GHEA Grapalat" w:cs="Arial"/>
          <w:color w:val="auto"/>
          <w:lang w:val="hy-AM"/>
        </w:rPr>
        <w:t>վրա</w:t>
      </w:r>
      <w:r w:rsidRPr="000232DD">
        <w:rPr>
          <w:rFonts w:ascii="GHEA Grapalat" w:hAnsi="GHEA Grapalat"/>
          <w:color w:val="auto"/>
          <w:lang w:val="hy-AM"/>
        </w:rPr>
        <w:t xml:space="preserve"> </w:t>
      </w:r>
      <w:r w:rsidRPr="000232DD">
        <w:rPr>
          <w:rFonts w:ascii="GHEA Grapalat" w:hAnsi="GHEA Grapalat" w:cs="Arial"/>
          <w:color w:val="auto"/>
          <w:lang w:val="hy-AM"/>
        </w:rPr>
        <w:t>և</w:t>
      </w:r>
      <w:r w:rsidRPr="000232DD">
        <w:rPr>
          <w:rFonts w:ascii="GHEA Grapalat" w:hAnsi="GHEA Grapalat"/>
          <w:color w:val="auto"/>
          <w:lang w:val="hy-AM"/>
        </w:rPr>
        <w:t xml:space="preserve"> </w:t>
      </w:r>
      <w:r w:rsidRPr="000232DD">
        <w:rPr>
          <w:rFonts w:ascii="GHEA Grapalat" w:hAnsi="GHEA Grapalat" w:cs="Arial"/>
          <w:color w:val="auto"/>
          <w:lang w:val="hy-AM"/>
        </w:rPr>
        <w:t>մեծացնել</w:t>
      </w:r>
      <w:r w:rsidRPr="000232DD">
        <w:rPr>
          <w:rFonts w:ascii="GHEA Grapalat" w:hAnsi="GHEA Grapalat"/>
          <w:color w:val="auto"/>
          <w:lang w:val="hy-AM"/>
        </w:rPr>
        <w:t xml:space="preserve"> </w:t>
      </w:r>
      <w:r w:rsidRPr="000232DD">
        <w:rPr>
          <w:rFonts w:ascii="GHEA Grapalat" w:hAnsi="GHEA Grapalat" w:cs="Arial"/>
          <w:color w:val="auto"/>
          <w:lang w:val="hy-AM"/>
        </w:rPr>
        <w:t>ՊՄԸ</w:t>
      </w:r>
      <w:r w:rsidRPr="000232DD">
        <w:rPr>
          <w:rFonts w:ascii="GHEA Grapalat" w:hAnsi="GHEA Grapalat"/>
          <w:color w:val="auto"/>
          <w:lang w:val="hy-AM"/>
        </w:rPr>
        <w:t>-</w:t>
      </w:r>
      <w:r w:rsidRPr="000232DD">
        <w:rPr>
          <w:rFonts w:ascii="GHEA Grapalat" w:hAnsi="GHEA Grapalat" w:cs="Arial"/>
          <w:color w:val="auto"/>
          <w:lang w:val="hy-AM"/>
        </w:rPr>
        <w:t>ների</w:t>
      </w:r>
      <w:r w:rsidRPr="000232DD">
        <w:rPr>
          <w:rFonts w:ascii="GHEA Grapalat" w:hAnsi="GHEA Grapalat"/>
          <w:color w:val="auto"/>
          <w:lang w:val="hy-AM"/>
        </w:rPr>
        <w:t xml:space="preserve"> </w:t>
      </w:r>
      <w:r w:rsidRPr="000232DD">
        <w:rPr>
          <w:rFonts w:ascii="GHEA Grapalat" w:hAnsi="GHEA Grapalat" w:cs="Arial"/>
          <w:color w:val="auto"/>
          <w:lang w:val="hy-AM"/>
        </w:rPr>
        <w:t>կողմից</w:t>
      </w:r>
      <w:r w:rsidRPr="000232DD">
        <w:rPr>
          <w:rFonts w:ascii="GHEA Grapalat" w:hAnsi="GHEA Grapalat"/>
          <w:color w:val="auto"/>
          <w:lang w:val="hy-AM"/>
        </w:rPr>
        <w:t xml:space="preserve"> </w:t>
      </w:r>
      <w:r w:rsidRPr="000232DD">
        <w:rPr>
          <w:rFonts w:ascii="GHEA Grapalat" w:hAnsi="GHEA Grapalat" w:cs="Arial"/>
          <w:color w:val="auto"/>
          <w:lang w:val="hy-AM"/>
        </w:rPr>
        <w:t>դրանց</w:t>
      </w:r>
      <w:r w:rsidRPr="000232DD">
        <w:rPr>
          <w:rFonts w:ascii="GHEA Grapalat" w:hAnsi="GHEA Grapalat"/>
          <w:color w:val="auto"/>
          <w:lang w:val="hy-AM"/>
        </w:rPr>
        <w:t xml:space="preserve"> </w:t>
      </w:r>
      <w:r w:rsidRPr="000232DD">
        <w:rPr>
          <w:rFonts w:ascii="GHEA Grapalat" w:hAnsi="GHEA Grapalat" w:cs="Arial"/>
          <w:color w:val="auto"/>
          <w:lang w:val="hy-AM"/>
        </w:rPr>
        <w:t>վճարման</w:t>
      </w:r>
      <w:r w:rsidRPr="000232DD">
        <w:rPr>
          <w:rFonts w:ascii="GHEA Grapalat" w:hAnsi="GHEA Grapalat"/>
          <w:color w:val="auto"/>
          <w:lang w:val="hy-AM"/>
        </w:rPr>
        <w:t xml:space="preserve"> </w:t>
      </w:r>
      <w:r w:rsidRPr="000232DD">
        <w:rPr>
          <w:rFonts w:ascii="GHEA Grapalat" w:hAnsi="GHEA Grapalat" w:cs="Arial"/>
          <w:color w:val="auto"/>
          <w:lang w:val="hy-AM"/>
        </w:rPr>
        <w:t>ընդհանուր</w:t>
      </w:r>
      <w:r w:rsidRPr="000232DD">
        <w:rPr>
          <w:rFonts w:ascii="GHEA Grapalat" w:hAnsi="GHEA Grapalat"/>
          <w:color w:val="auto"/>
          <w:lang w:val="hy-AM"/>
        </w:rPr>
        <w:t xml:space="preserve"> </w:t>
      </w:r>
      <w:r w:rsidRPr="000232DD">
        <w:rPr>
          <w:rFonts w:ascii="GHEA Grapalat" w:hAnsi="GHEA Grapalat" w:cs="Arial"/>
          <w:color w:val="auto"/>
          <w:lang w:val="hy-AM"/>
        </w:rPr>
        <w:t>ֆինանսական</w:t>
      </w:r>
      <w:r w:rsidRPr="000232DD">
        <w:rPr>
          <w:rFonts w:ascii="GHEA Grapalat" w:hAnsi="GHEA Grapalat"/>
          <w:color w:val="auto"/>
          <w:lang w:val="hy-AM"/>
        </w:rPr>
        <w:t xml:space="preserve"> </w:t>
      </w:r>
      <w:r w:rsidRPr="000232DD">
        <w:rPr>
          <w:rFonts w:ascii="GHEA Grapalat" w:hAnsi="GHEA Grapalat" w:cs="Arial"/>
          <w:color w:val="auto"/>
          <w:lang w:val="hy-AM"/>
        </w:rPr>
        <w:t>բեռը</w:t>
      </w:r>
      <w:r w:rsidRPr="000232DD">
        <w:rPr>
          <w:rFonts w:ascii="GHEA Grapalat" w:hAnsi="GHEA Grapalat"/>
          <w:color w:val="auto"/>
          <w:lang w:val="hy-AM"/>
        </w:rPr>
        <w:t xml:space="preserve">: </w:t>
      </w:r>
      <w:r w:rsidRPr="000232DD">
        <w:rPr>
          <w:rFonts w:ascii="GHEA Grapalat" w:hAnsi="GHEA Grapalat" w:cs="Arial"/>
          <w:color w:val="auto"/>
          <w:lang w:val="hy-AM"/>
        </w:rPr>
        <w:t>ՊՄԸ</w:t>
      </w:r>
      <w:r w:rsidRPr="000232DD">
        <w:rPr>
          <w:rFonts w:ascii="GHEA Grapalat" w:hAnsi="GHEA Grapalat"/>
          <w:color w:val="auto"/>
          <w:lang w:val="hy-AM"/>
        </w:rPr>
        <w:t>-</w:t>
      </w:r>
      <w:r w:rsidRPr="000232DD">
        <w:rPr>
          <w:rFonts w:ascii="GHEA Grapalat" w:hAnsi="GHEA Grapalat" w:cs="Arial"/>
          <w:color w:val="auto"/>
          <w:lang w:val="hy-AM"/>
        </w:rPr>
        <w:t>ներին</w:t>
      </w:r>
      <w:r w:rsidRPr="000232DD">
        <w:rPr>
          <w:rFonts w:ascii="GHEA Grapalat" w:hAnsi="GHEA Grapalat"/>
          <w:color w:val="auto"/>
          <w:lang w:val="hy-AM"/>
        </w:rPr>
        <w:t xml:space="preserve"> </w:t>
      </w:r>
      <w:r w:rsidRPr="000232DD">
        <w:rPr>
          <w:rFonts w:ascii="GHEA Grapalat" w:hAnsi="GHEA Grapalat" w:cs="Arial"/>
          <w:color w:val="auto"/>
          <w:lang w:val="hy-AM"/>
        </w:rPr>
        <w:t>տրամադրված</w:t>
      </w:r>
      <w:r w:rsidRPr="000232DD">
        <w:rPr>
          <w:rFonts w:ascii="GHEA Grapalat" w:hAnsi="GHEA Grapalat"/>
          <w:color w:val="auto"/>
          <w:lang w:val="hy-AM"/>
        </w:rPr>
        <w:t xml:space="preserve"> </w:t>
      </w:r>
      <w:r w:rsidRPr="000232DD">
        <w:rPr>
          <w:rFonts w:ascii="GHEA Grapalat" w:hAnsi="GHEA Grapalat" w:cs="Arial"/>
          <w:color w:val="auto"/>
          <w:lang w:val="hy-AM"/>
        </w:rPr>
        <w:t>վարկերը</w:t>
      </w:r>
      <w:r w:rsidRPr="000232DD">
        <w:rPr>
          <w:rFonts w:ascii="GHEA Grapalat" w:hAnsi="GHEA Grapalat"/>
          <w:color w:val="auto"/>
          <w:lang w:val="hy-AM"/>
        </w:rPr>
        <w:t xml:space="preserve"> </w:t>
      </w:r>
      <w:r w:rsidRPr="000232DD">
        <w:rPr>
          <w:rFonts w:ascii="GHEA Grapalat" w:hAnsi="GHEA Grapalat" w:cs="Arial"/>
          <w:color w:val="auto"/>
          <w:lang w:val="hy-AM"/>
        </w:rPr>
        <w:t>և</w:t>
      </w:r>
      <w:r w:rsidRPr="000232DD">
        <w:rPr>
          <w:rFonts w:ascii="GHEA Grapalat" w:hAnsi="GHEA Grapalat"/>
          <w:color w:val="auto"/>
          <w:lang w:val="hy-AM"/>
        </w:rPr>
        <w:t xml:space="preserve"> </w:t>
      </w:r>
      <w:r w:rsidRPr="000232DD">
        <w:rPr>
          <w:rFonts w:ascii="GHEA Grapalat" w:hAnsi="GHEA Grapalat" w:cs="Arial"/>
          <w:color w:val="auto"/>
          <w:lang w:val="hy-AM"/>
        </w:rPr>
        <w:t>ենթավարկերը</w:t>
      </w:r>
      <w:r w:rsidRPr="000232DD">
        <w:rPr>
          <w:rFonts w:ascii="GHEA Grapalat" w:hAnsi="GHEA Grapalat"/>
          <w:color w:val="auto"/>
          <w:lang w:val="hy-AM"/>
        </w:rPr>
        <w:t xml:space="preserve"> 2025 </w:t>
      </w:r>
      <w:r w:rsidRPr="000232DD">
        <w:rPr>
          <w:rFonts w:ascii="GHEA Grapalat" w:hAnsi="GHEA Grapalat" w:cs="Arial"/>
          <w:color w:val="auto"/>
          <w:lang w:val="hy-AM"/>
        </w:rPr>
        <w:t>թվականի</w:t>
      </w:r>
      <w:r w:rsidRPr="000232DD">
        <w:rPr>
          <w:rFonts w:ascii="GHEA Grapalat" w:hAnsi="GHEA Grapalat"/>
          <w:color w:val="auto"/>
          <w:lang w:val="hy-AM"/>
        </w:rPr>
        <w:t xml:space="preserve"> </w:t>
      </w:r>
      <w:r w:rsidRPr="000232DD">
        <w:rPr>
          <w:rFonts w:ascii="GHEA Grapalat" w:hAnsi="GHEA Grapalat" w:cs="Arial"/>
          <w:color w:val="auto"/>
          <w:lang w:val="hy-AM"/>
        </w:rPr>
        <w:t>դեկտեմբերի</w:t>
      </w:r>
      <w:r w:rsidRPr="000232DD">
        <w:rPr>
          <w:rFonts w:ascii="GHEA Grapalat" w:hAnsi="GHEA Grapalat"/>
          <w:color w:val="auto"/>
          <w:lang w:val="hy-AM"/>
        </w:rPr>
        <w:t xml:space="preserve"> 31-</w:t>
      </w:r>
      <w:r w:rsidRPr="000232DD">
        <w:rPr>
          <w:rFonts w:ascii="GHEA Grapalat" w:hAnsi="GHEA Grapalat" w:cs="Arial"/>
          <w:color w:val="auto"/>
          <w:lang w:val="hy-AM"/>
        </w:rPr>
        <w:t>ի</w:t>
      </w:r>
      <w:r w:rsidRPr="000232DD">
        <w:rPr>
          <w:rFonts w:ascii="GHEA Grapalat" w:hAnsi="GHEA Grapalat"/>
          <w:color w:val="auto"/>
          <w:lang w:val="hy-AM"/>
        </w:rPr>
        <w:t xml:space="preserve"> </w:t>
      </w:r>
      <w:r w:rsidRPr="000232DD">
        <w:rPr>
          <w:rFonts w:ascii="GHEA Grapalat" w:hAnsi="GHEA Grapalat" w:cs="Arial"/>
          <w:color w:val="auto"/>
          <w:lang w:val="hy-AM"/>
        </w:rPr>
        <w:t>դրությամբ</w:t>
      </w:r>
      <w:r w:rsidRPr="000232DD">
        <w:rPr>
          <w:rFonts w:ascii="GHEA Grapalat" w:hAnsi="GHEA Grapalat"/>
          <w:color w:val="auto"/>
          <w:lang w:val="hy-AM"/>
        </w:rPr>
        <w:t xml:space="preserve"> </w:t>
      </w:r>
      <w:r w:rsidRPr="000232DD">
        <w:rPr>
          <w:rFonts w:ascii="GHEA Grapalat" w:hAnsi="GHEA Grapalat" w:cs="Arial"/>
          <w:color w:val="auto"/>
          <w:lang w:val="hy-AM"/>
        </w:rPr>
        <w:t>կազմում</w:t>
      </w:r>
      <w:r w:rsidRPr="000232DD">
        <w:rPr>
          <w:rFonts w:ascii="GHEA Grapalat" w:hAnsi="GHEA Grapalat"/>
          <w:color w:val="auto"/>
          <w:lang w:val="hy-AM"/>
        </w:rPr>
        <w:t xml:space="preserve"> </w:t>
      </w:r>
      <w:r w:rsidRPr="000232DD">
        <w:rPr>
          <w:rFonts w:ascii="GHEA Grapalat" w:hAnsi="GHEA Grapalat" w:cs="Arial"/>
          <w:color w:val="auto"/>
          <w:lang w:val="hy-AM"/>
        </w:rPr>
        <w:t>են</w:t>
      </w:r>
      <w:r w:rsidRPr="000232DD">
        <w:rPr>
          <w:rFonts w:ascii="GHEA Grapalat" w:hAnsi="GHEA Grapalat"/>
          <w:color w:val="auto"/>
          <w:lang w:val="hy-AM"/>
        </w:rPr>
        <w:t xml:space="preserve"> </w:t>
      </w:r>
      <w:r w:rsidRPr="000232DD">
        <w:rPr>
          <w:rFonts w:ascii="GHEA Grapalat" w:hAnsi="GHEA Grapalat" w:cs="Arial"/>
          <w:color w:val="auto"/>
          <w:lang w:val="hy-AM"/>
        </w:rPr>
        <w:t>ընդհանուր</w:t>
      </w:r>
      <w:r w:rsidRPr="000232DD">
        <w:rPr>
          <w:rFonts w:ascii="GHEA Grapalat" w:hAnsi="GHEA Grapalat"/>
          <w:color w:val="auto"/>
          <w:lang w:val="hy-AM"/>
        </w:rPr>
        <w:t xml:space="preserve"> </w:t>
      </w:r>
      <w:r w:rsidRPr="000232DD">
        <w:rPr>
          <w:rFonts w:ascii="GHEA Grapalat" w:hAnsi="GHEA Grapalat" w:cs="Arial"/>
          <w:color w:val="auto"/>
          <w:lang w:val="hy-AM"/>
        </w:rPr>
        <w:t>վարկային</w:t>
      </w:r>
      <w:r w:rsidRPr="000232DD">
        <w:rPr>
          <w:rFonts w:ascii="GHEA Grapalat" w:hAnsi="GHEA Grapalat"/>
          <w:color w:val="auto"/>
          <w:lang w:val="hy-AM"/>
        </w:rPr>
        <w:t xml:space="preserve"> </w:t>
      </w:r>
      <w:r w:rsidRPr="000232DD">
        <w:rPr>
          <w:rFonts w:ascii="GHEA Grapalat" w:hAnsi="GHEA Grapalat" w:cs="Arial"/>
          <w:color w:val="auto"/>
          <w:lang w:val="hy-AM"/>
        </w:rPr>
        <w:t>պորտֆելի</w:t>
      </w:r>
      <w:r w:rsidRPr="000232DD">
        <w:rPr>
          <w:rFonts w:ascii="GHEA Grapalat" w:hAnsi="GHEA Grapalat"/>
          <w:color w:val="auto"/>
          <w:lang w:val="hy-AM"/>
        </w:rPr>
        <w:t xml:space="preserve"> 59.9%</w:t>
      </w:r>
      <w:r w:rsidRPr="000232DD">
        <w:rPr>
          <w:rFonts w:ascii="GHEA Grapalat" w:hAnsi="GHEA Grapalat" w:cs="Arial"/>
          <w:color w:val="auto"/>
          <w:lang w:val="hy-AM"/>
        </w:rPr>
        <w:t>՝</w:t>
      </w:r>
      <w:r w:rsidRPr="000232DD">
        <w:rPr>
          <w:rFonts w:ascii="GHEA Grapalat" w:hAnsi="GHEA Grapalat"/>
          <w:color w:val="auto"/>
          <w:lang w:val="hy-AM"/>
        </w:rPr>
        <w:t xml:space="preserve"> </w:t>
      </w:r>
      <w:r w:rsidRPr="000232DD">
        <w:rPr>
          <w:rFonts w:ascii="GHEA Grapalat" w:hAnsi="GHEA Grapalat" w:cs="Arial"/>
          <w:color w:val="auto"/>
          <w:lang w:val="hy-AM"/>
        </w:rPr>
        <w:t>շուրջ</w:t>
      </w:r>
      <w:r w:rsidRPr="000232DD">
        <w:rPr>
          <w:rFonts w:ascii="GHEA Grapalat" w:hAnsi="GHEA Grapalat"/>
          <w:color w:val="auto"/>
          <w:lang w:val="hy-AM"/>
        </w:rPr>
        <w:t xml:space="preserve"> 202.1 </w:t>
      </w:r>
      <w:r w:rsidRPr="000232DD">
        <w:rPr>
          <w:rFonts w:ascii="GHEA Grapalat" w:hAnsi="GHEA Grapalat" w:cs="Arial"/>
          <w:color w:val="auto"/>
          <w:lang w:val="hy-AM"/>
        </w:rPr>
        <w:t>մլրդ</w:t>
      </w:r>
      <w:r w:rsidRPr="000232DD">
        <w:rPr>
          <w:rFonts w:ascii="GHEA Grapalat" w:hAnsi="GHEA Grapalat"/>
          <w:color w:val="auto"/>
          <w:lang w:val="hy-AM"/>
        </w:rPr>
        <w:t xml:space="preserve"> </w:t>
      </w:r>
      <w:r w:rsidRPr="000232DD">
        <w:rPr>
          <w:rFonts w:ascii="GHEA Grapalat" w:hAnsi="GHEA Grapalat" w:cs="Arial"/>
          <w:color w:val="auto"/>
          <w:lang w:val="hy-AM"/>
        </w:rPr>
        <w:t>ՀՀ</w:t>
      </w:r>
      <w:r w:rsidRPr="000232DD">
        <w:rPr>
          <w:rFonts w:ascii="GHEA Grapalat" w:hAnsi="GHEA Grapalat"/>
          <w:color w:val="auto"/>
          <w:lang w:val="hy-AM"/>
        </w:rPr>
        <w:t xml:space="preserve"> </w:t>
      </w:r>
      <w:r w:rsidRPr="000232DD">
        <w:rPr>
          <w:rFonts w:ascii="GHEA Grapalat" w:hAnsi="GHEA Grapalat" w:cs="Arial"/>
          <w:color w:val="auto"/>
          <w:lang w:val="hy-AM"/>
        </w:rPr>
        <w:t>դրամ</w:t>
      </w:r>
      <w:r w:rsidRPr="000232DD">
        <w:rPr>
          <w:rFonts w:ascii="GHEA Grapalat" w:hAnsi="GHEA Grapalat"/>
          <w:color w:val="auto"/>
          <w:lang w:val="hy-AM"/>
        </w:rPr>
        <w:t xml:space="preserve">: </w:t>
      </w:r>
      <w:r w:rsidRPr="000232DD">
        <w:rPr>
          <w:rFonts w:ascii="GHEA Grapalat" w:hAnsi="GHEA Grapalat" w:cs="Arial"/>
          <w:color w:val="auto"/>
          <w:lang w:val="hy-AM"/>
        </w:rPr>
        <w:t>Այդ</w:t>
      </w:r>
      <w:r w:rsidRPr="000232DD">
        <w:rPr>
          <w:rFonts w:ascii="GHEA Grapalat" w:hAnsi="GHEA Grapalat"/>
          <w:color w:val="auto"/>
          <w:lang w:val="hy-AM"/>
        </w:rPr>
        <w:t xml:space="preserve"> </w:t>
      </w:r>
      <w:r w:rsidRPr="000232DD">
        <w:rPr>
          <w:rFonts w:ascii="GHEA Grapalat" w:hAnsi="GHEA Grapalat" w:cs="Arial"/>
          <w:color w:val="auto"/>
          <w:lang w:val="hy-AM"/>
        </w:rPr>
        <w:t>ընկերություններն</w:t>
      </w:r>
      <w:r w:rsidRPr="000232DD">
        <w:rPr>
          <w:rFonts w:ascii="GHEA Grapalat" w:hAnsi="GHEA Grapalat"/>
          <w:color w:val="auto"/>
          <w:lang w:val="hy-AM"/>
        </w:rPr>
        <w:t xml:space="preserve"> </w:t>
      </w:r>
      <w:r w:rsidRPr="000232DD">
        <w:rPr>
          <w:rFonts w:ascii="GHEA Grapalat" w:hAnsi="GHEA Grapalat" w:cs="Arial"/>
          <w:color w:val="auto"/>
          <w:lang w:val="hy-AM"/>
        </w:rPr>
        <w:t>են՝</w:t>
      </w:r>
      <w:r w:rsidRPr="000232DD">
        <w:rPr>
          <w:rFonts w:ascii="GHEA Grapalat" w:hAnsi="GHEA Grapalat"/>
          <w:color w:val="auto"/>
          <w:lang w:val="hy-AM"/>
        </w:rPr>
        <w:t xml:space="preserve"> «</w:t>
      </w:r>
      <w:r w:rsidRPr="000232DD">
        <w:rPr>
          <w:rFonts w:ascii="GHEA Grapalat" w:hAnsi="GHEA Grapalat" w:cs="Arial"/>
          <w:color w:val="auto"/>
          <w:lang w:val="hy-AM"/>
        </w:rPr>
        <w:t>Հայկական</w:t>
      </w:r>
      <w:r w:rsidRPr="000232DD">
        <w:rPr>
          <w:rFonts w:ascii="GHEA Grapalat" w:hAnsi="GHEA Grapalat"/>
          <w:color w:val="auto"/>
          <w:lang w:val="hy-AM"/>
        </w:rPr>
        <w:t xml:space="preserve"> </w:t>
      </w:r>
      <w:r w:rsidRPr="000232DD">
        <w:rPr>
          <w:rFonts w:ascii="GHEA Grapalat" w:hAnsi="GHEA Grapalat" w:cs="Arial"/>
          <w:color w:val="auto"/>
          <w:lang w:val="hy-AM"/>
        </w:rPr>
        <w:t>ատոմային</w:t>
      </w:r>
      <w:r w:rsidRPr="000232DD">
        <w:rPr>
          <w:rFonts w:ascii="GHEA Grapalat" w:hAnsi="GHEA Grapalat"/>
          <w:color w:val="auto"/>
          <w:lang w:val="hy-AM"/>
        </w:rPr>
        <w:t xml:space="preserve"> </w:t>
      </w:r>
      <w:r w:rsidRPr="000232DD">
        <w:rPr>
          <w:rFonts w:ascii="GHEA Grapalat" w:hAnsi="GHEA Grapalat" w:cs="Arial"/>
          <w:color w:val="auto"/>
          <w:lang w:val="hy-AM"/>
        </w:rPr>
        <w:t>էլեկտրակայան</w:t>
      </w:r>
      <w:r w:rsidRPr="000232DD">
        <w:rPr>
          <w:rFonts w:ascii="GHEA Grapalat" w:hAnsi="GHEA Grapalat"/>
          <w:color w:val="auto"/>
          <w:lang w:val="hy-AM"/>
        </w:rPr>
        <w:t xml:space="preserve">» </w:t>
      </w:r>
      <w:r w:rsidRPr="000232DD">
        <w:rPr>
          <w:rFonts w:ascii="GHEA Grapalat" w:hAnsi="GHEA Grapalat" w:cs="Arial"/>
          <w:color w:val="auto"/>
          <w:lang w:val="hy-AM"/>
        </w:rPr>
        <w:t>ՓԲԸ</w:t>
      </w:r>
      <w:r w:rsidRPr="000232DD">
        <w:rPr>
          <w:rFonts w:ascii="GHEA Grapalat" w:hAnsi="GHEA Grapalat"/>
          <w:color w:val="auto"/>
          <w:lang w:val="hy-AM"/>
        </w:rPr>
        <w:t>-</w:t>
      </w:r>
      <w:r w:rsidRPr="000232DD">
        <w:rPr>
          <w:rFonts w:ascii="GHEA Grapalat" w:hAnsi="GHEA Grapalat" w:cs="Arial"/>
          <w:color w:val="auto"/>
          <w:lang w:val="hy-AM"/>
        </w:rPr>
        <w:t>ն</w:t>
      </w:r>
      <w:r w:rsidRPr="000232DD">
        <w:rPr>
          <w:rFonts w:ascii="GHEA Grapalat" w:hAnsi="GHEA Grapalat"/>
          <w:color w:val="auto"/>
          <w:lang w:val="hy-AM"/>
        </w:rPr>
        <w:t>, «</w:t>
      </w:r>
      <w:r w:rsidRPr="000232DD">
        <w:rPr>
          <w:rFonts w:ascii="GHEA Grapalat" w:hAnsi="GHEA Grapalat" w:cs="Arial"/>
          <w:color w:val="auto"/>
          <w:lang w:val="hy-AM"/>
        </w:rPr>
        <w:t>Երևան</w:t>
      </w:r>
      <w:r w:rsidRPr="000232DD">
        <w:rPr>
          <w:rFonts w:ascii="GHEA Grapalat" w:hAnsi="GHEA Grapalat"/>
          <w:color w:val="auto"/>
          <w:lang w:val="hy-AM"/>
        </w:rPr>
        <w:t xml:space="preserve"> </w:t>
      </w:r>
      <w:r w:rsidRPr="000232DD">
        <w:rPr>
          <w:rFonts w:ascii="GHEA Grapalat" w:hAnsi="GHEA Grapalat" w:cs="Arial"/>
          <w:color w:val="auto"/>
          <w:lang w:val="hy-AM"/>
        </w:rPr>
        <w:t>Ջերմաէլեկտրակենտրոն</w:t>
      </w:r>
      <w:r w:rsidRPr="000232DD">
        <w:rPr>
          <w:rFonts w:ascii="GHEA Grapalat" w:hAnsi="GHEA Grapalat"/>
          <w:color w:val="auto"/>
          <w:lang w:val="hy-AM"/>
        </w:rPr>
        <w:t xml:space="preserve">» </w:t>
      </w:r>
      <w:r w:rsidRPr="000232DD">
        <w:rPr>
          <w:rFonts w:ascii="GHEA Grapalat" w:hAnsi="GHEA Grapalat" w:cs="Arial"/>
          <w:color w:val="auto"/>
          <w:lang w:val="hy-AM"/>
        </w:rPr>
        <w:t>ՓԲԸ</w:t>
      </w:r>
      <w:r w:rsidRPr="000232DD">
        <w:rPr>
          <w:rFonts w:ascii="GHEA Grapalat" w:hAnsi="GHEA Grapalat"/>
          <w:color w:val="auto"/>
          <w:lang w:val="hy-AM"/>
        </w:rPr>
        <w:t>-</w:t>
      </w:r>
      <w:r w:rsidRPr="000232DD">
        <w:rPr>
          <w:rFonts w:ascii="GHEA Grapalat" w:hAnsi="GHEA Grapalat" w:cs="Arial"/>
          <w:color w:val="auto"/>
          <w:lang w:val="hy-AM"/>
        </w:rPr>
        <w:t>ն</w:t>
      </w:r>
      <w:r w:rsidRPr="000232DD">
        <w:rPr>
          <w:rFonts w:ascii="GHEA Grapalat" w:hAnsi="GHEA Grapalat"/>
          <w:color w:val="auto"/>
          <w:lang w:val="hy-AM"/>
        </w:rPr>
        <w:t>, «</w:t>
      </w:r>
      <w:r w:rsidRPr="000232DD">
        <w:rPr>
          <w:rFonts w:ascii="GHEA Grapalat" w:hAnsi="GHEA Grapalat" w:cs="Arial"/>
          <w:color w:val="auto"/>
          <w:lang w:val="hy-AM"/>
        </w:rPr>
        <w:t>Բարձրավոլտ</w:t>
      </w:r>
      <w:r w:rsidRPr="000232DD">
        <w:rPr>
          <w:rFonts w:ascii="GHEA Grapalat" w:hAnsi="GHEA Grapalat"/>
          <w:color w:val="auto"/>
          <w:lang w:val="hy-AM"/>
        </w:rPr>
        <w:t xml:space="preserve"> </w:t>
      </w:r>
      <w:r w:rsidRPr="000232DD">
        <w:rPr>
          <w:rFonts w:ascii="GHEA Grapalat" w:hAnsi="GHEA Grapalat" w:cs="Arial"/>
          <w:color w:val="auto"/>
          <w:lang w:val="hy-AM"/>
        </w:rPr>
        <w:t>էլեկտրացանցեր</w:t>
      </w:r>
      <w:r w:rsidRPr="000232DD">
        <w:rPr>
          <w:rFonts w:ascii="GHEA Grapalat" w:hAnsi="GHEA Grapalat"/>
          <w:color w:val="auto"/>
          <w:lang w:val="hy-AM"/>
        </w:rPr>
        <w:t xml:space="preserve">» </w:t>
      </w:r>
      <w:r w:rsidRPr="000232DD">
        <w:rPr>
          <w:rFonts w:ascii="GHEA Grapalat" w:hAnsi="GHEA Grapalat" w:cs="Arial"/>
          <w:color w:val="auto"/>
          <w:lang w:val="hy-AM"/>
        </w:rPr>
        <w:t>ՓԲԸ</w:t>
      </w:r>
      <w:r w:rsidRPr="000232DD">
        <w:rPr>
          <w:rFonts w:ascii="GHEA Grapalat" w:hAnsi="GHEA Grapalat"/>
          <w:color w:val="auto"/>
          <w:lang w:val="hy-AM"/>
        </w:rPr>
        <w:t>-</w:t>
      </w:r>
      <w:r w:rsidRPr="000232DD">
        <w:rPr>
          <w:rFonts w:ascii="GHEA Grapalat" w:hAnsi="GHEA Grapalat" w:cs="Arial"/>
          <w:color w:val="auto"/>
          <w:lang w:val="hy-AM"/>
        </w:rPr>
        <w:t>ն</w:t>
      </w:r>
      <w:r w:rsidRPr="000232DD">
        <w:rPr>
          <w:rFonts w:ascii="GHEA Grapalat" w:hAnsi="GHEA Grapalat"/>
          <w:color w:val="auto"/>
          <w:lang w:val="hy-AM"/>
        </w:rPr>
        <w:t>, «</w:t>
      </w:r>
      <w:r w:rsidRPr="000232DD">
        <w:rPr>
          <w:rFonts w:ascii="GHEA Grapalat" w:hAnsi="GHEA Grapalat" w:cs="Arial"/>
          <w:color w:val="auto"/>
          <w:lang w:val="hy-AM"/>
        </w:rPr>
        <w:t>Էլեկտրաէներգետիկական</w:t>
      </w:r>
      <w:r w:rsidRPr="000232DD">
        <w:rPr>
          <w:rFonts w:ascii="GHEA Grapalat" w:hAnsi="GHEA Grapalat"/>
          <w:color w:val="auto"/>
          <w:lang w:val="hy-AM"/>
        </w:rPr>
        <w:t xml:space="preserve"> </w:t>
      </w:r>
      <w:r w:rsidRPr="000232DD">
        <w:rPr>
          <w:rFonts w:ascii="GHEA Grapalat" w:hAnsi="GHEA Grapalat" w:cs="Arial"/>
          <w:color w:val="auto"/>
          <w:lang w:val="hy-AM"/>
        </w:rPr>
        <w:t>համակարգի</w:t>
      </w:r>
      <w:r w:rsidRPr="000232DD">
        <w:rPr>
          <w:rFonts w:ascii="GHEA Grapalat" w:hAnsi="GHEA Grapalat"/>
          <w:color w:val="auto"/>
          <w:lang w:val="hy-AM"/>
        </w:rPr>
        <w:t xml:space="preserve"> </w:t>
      </w:r>
      <w:r w:rsidRPr="000232DD">
        <w:rPr>
          <w:rFonts w:ascii="GHEA Grapalat" w:hAnsi="GHEA Grapalat" w:cs="Arial"/>
          <w:color w:val="auto"/>
          <w:lang w:val="hy-AM"/>
        </w:rPr>
        <w:t>օպերատոր</w:t>
      </w:r>
      <w:r w:rsidRPr="000232DD">
        <w:rPr>
          <w:rFonts w:ascii="GHEA Grapalat" w:hAnsi="GHEA Grapalat"/>
          <w:color w:val="auto"/>
          <w:lang w:val="hy-AM"/>
        </w:rPr>
        <w:t xml:space="preserve">» </w:t>
      </w:r>
      <w:r w:rsidRPr="000232DD">
        <w:rPr>
          <w:rFonts w:ascii="GHEA Grapalat" w:hAnsi="GHEA Grapalat" w:cs="Arial"/>
          <w:color w:val="auto"/>
          <w:lang w:val="hy-AM"/>
        </w:rPr>
        <w:t>ՓԲԸ</w:t>
      </w:r>
      <w:r w:rsidRPr="000232DD">
        <w:rPr>
          <w:rFonts w:ascii="GHEA Grapalat" w:hAnsi="GHEA Grapalat"/>
          <w:color w:val="auto"/>
          <w:lang w:val="hy-AM"/>
        </w:rPr>
        <w:t>-</w:t>
      </w:r>
      <w:r w:rsidRPr="000232DD">
        <w:rPr>
          <w:rFonts w:ascii="GHEA Grapalat" w:hAnsi="GHEA Grapalat" w:cs="Arial"/>
          <w:color w:val="auto"/>
          <w:lang w:val="hy-AM"/>
        </w:rPr>
        <w:t>ն</w:t>
      </w:r>
      <w:r w:rsidRPr="000232DD">
        <w:rPr>
          <w:rFonts w:ascii="GHEA Grapalat" w:hAnsi="GHEA Grapalat"/>
          <w:color w:val="auto"/>
          <w:lang w:val="hy-AM"/>
        </w:rPr>
        <w:t>, «</w:t>
      </w:r>
      <w:r w:rsidRPr="000232DD">
        <w:rPr>
          <w:rFonts w:ascii="GHEA Grapalat" w:hAnsi="GHEA Grapalat" w:cs="Arial"/>
          <w:color w:val="auto"/>
          <w:lang w:val="hy-AM"/>
        </w:rPr>
        <w:t>Կարեն</w:t>
      </w:r>
      <w:r w:rsidRPr="000232DD">
        <w:rPr>
          <w:rFonts w:ascii="GHEA Grapalat" w:hAnsi="GHEA Grapalat"/>
          <w:color w:val="auto"/>
          <w:lang w:val="hy-AM"/>
        </w:rPr>
        <w:t xml:space="preserve"> </w:t>
      </w:r>
      <w:r w:rsidRPr="000232DD">
        <w:rPr>
          <w:rFonts w:ascii="GHEA Grapalat" w:hAnsi="GHEA Grapalat" w:cs="Arial"/>
          <w:color w:val="auto"/>
          <w:lang w:val="hy-AM"/>
        </w:rPr>
        <w:t>Դեմիրճյանի</w:t>
      </w:r>
      <w:r w:rsidRPr="000232DD">
        <w:rPr>
          <w:rFonts w:ascii="GHEA Grapalat" w:hAnsi="GHEA Grapalat"/>
          <w:color w:val="auto"/>
          <w:lang w:val="hy-AM"/>
        </w:rPr>
        <w:t xml:space="preserve"> </w:t>
      </w:r>
      <w:r w:rsidRPr="000232DD">
        <w:rPr>
          <w:rFonts w:ascii="GHEA Grapalat" w:hAnsi="GHEA Grapalat" w:cs="Arial"/>
          <w:color w:val="auto"/>
          <w:lang w:val="hy-AM"/>
        </w:rPr>
        <w:t>անվան</w:t>
      </w:r>
      <w:r w:rsidRPr="000232DD">
        <w:rPr>
          <w:rFonts w:ascii="GHEA Grapalat" w:hAnsi="GHEA Grapalat"/>
          <w:color w:val="auto"/>
          <w:lang w:val="hy-AM"/>
        </w:rPr>
        <w:t xml:space="preserve"> </w:t>
      </w:r>
      <w:r w:rsidRPr="000232DD">
        <w:rPr>
          <w:rFonts w:ascii="GHEA Grapalat" w:hAnsi="GHEA Grapalat" w:cs="Arial"/>
          <w:color w:val="auto"/>
          <w:lang w:val="hy-AM"/>
        </w:rPr>
        <w:t>Երևանի</w:t>
      </w:r>
      <w:r w:rsidRPr="000232DD">
        <w:rPr>
          <w:rFonts w:ascii="GHEA Grapalat" w:hAnsi="GHEA Grapalat"/>
          <w:color w:val="auto"/>
          <w:lang w:val="hy-AM"/>
        </w:rPr>
        <w:t xml:space="preserve"> </w:t>
      </w:r>
      <w:r w:rsidRPr="000232DD">
        <w:rPr>
          <w:rFonts w:ascii="GHEA Grapalat" w:hAnsi="GHEA Grapalat" w:cs="Arial"/>
          <w:color w:val="auto"/>
          <w:lang w:val="hy-AM"/>
        </w:rPr>
        <w:t>մետրոպոլիտեն</w:t>
      </w:r>
      <w:r w:rsidRPr="000232DD">
        <w:rPr>
          <w:rFonts w:ascii="GHEA Grapalat" w:hAnsi="GHEA Grapalat"/>
          <w:color w:val="auto"/>
          <w:lang w:val="hy-AM"/>
        </w:rPr>
        <w:t xml:space="preserve">» </w:t>
      </w:r>
      <w:r w:rsidRPr="000232DD">
        <w:rPr>
          <w:rFonts w:ascii="GHEA Grapalat" w:hAnsi="GHEA Grapalat" w:cs="Arial"/>
          <w:color w:val="auto"/>
          <w:lang w:val="hy-AM"/>
        </w:rPr>
        <w:t>ՓԲԸ</w:t>
      </w:r>
      <w:r w:rsidRPr="000232DD">
        <w:rPr>
          <w:rFonts w:ascii="GHEA Grapalat" w:hAnsi="GHEA Grapalat"/>
          <w:color w:val="auto"/>
          <w:lang w:val="hy-AM"/>
        </w:rPr>
        <w:t>-</w:t>
      </w:r>
      <w:r w:rsidRPr="000232DD">
        <w:rPr>
          <w:rFonts w:ascii="GHEA Grapalat" w:hAnsi="GHEA Grapalat" w:cs="Arial"/>
          <w:color w:val="auto"/>
          <w:lang w:val="hy-AM"/>
        </w:rPr>
        <w:t>ն</w:t>
      </w:r>
      <w:r w:rsidRPr="000232DD">
        <w:rPr>
          <w:rFonts w:ascii="GHEA Grapalat" w:hAnsi="GHEA Grapalat"/>
          <w:color w:val="auto"/>
          <w:lang w:val="hy-AM"/>
        </w:rPr>
        <w:t>, «</w:t>
      </w:r>
      <w:r w:rsidRPr="000232DD">
        <w:rPr>
          <w:rFonts w:ascii="GHEA Grapalat" w:hAnsi="GHEA Grapalat" w:cs="Arial"/>
          <w:color w:val="auto"/>
          <w:lang w:val="hy-AM"/>
        </w:rPr>
        <w:t>Հայ</w:t>
      </w:r>
      <w:r w:rsidRPr="000232DD">
        <w:rPr>
          <w:rFonts w:ascii="GHEA Grapalat" w:hAnsi="GHEA Grapalat"/>
          <w:color w:val="auto"/>
          <w:lang w:val="hy-AM"/>
        </w:rPr>
        <w:t>-</w:t>
      </w:r>
      <w:r w:rsidRPr="000232DD">
        <w:rPr>
          <w:rFonts w:ascii="GHEA Grapalat" w:hAnsi="GHEA Grapalat" w:cs="Arial"/>
          <w:color w:val="auto"/>
          <w:lang w:val="hy-AM"/>
        </w:rPr>
        <w:t>Ալմաստ</w:t>
      </w:r>
      <w:r w:rsidRPr="000232DD">
        <w:rPr>
          <w:rFonts w:ascii="GHEA Grapalat" w:hAnsi="GHEA Grapalat"/>
          <w:color w:val="auto"/>
          <w:lang w:val="hy-AM"/>
        </w:rPr>
        <w:t xml:space="preserve">» </w:t>
      </w:r>
      <w:r w:rsidRPr="000232DD">
        <w:rPr>
          <w:rFonts w:ascii="GHEA Grapalat" w:hAnsi="GHEA Grapalat" w:cs="Arial"/>
          <w:color w:val="auto"/>
          <w:lang w:val="hy-AM"/>
        </w:rPr>
        <w:t>ՓԲԸ</w:t>
      </w:r>
      <w:r w:rsidRPr="000232DD">
        <w:rPr>
          <w:rFonts w:ascii="GHEA Grapalat" w:hAnsi="GHEA Grapalat"/>
          <w:color w:val="auto"/>
          <w:lang w:val="hy-AM"/>
        </w:rPr>
        <w:t>-</w:t>
      </w:r>
      <w:r w:rsidRPr="000232DD">
        <w:rPr>
          <w:rFonts w:ascii="GHEA Grapalat" w:hAnsi="GHEA Grapalat" w:cs="Arial"/>
          <w:color w:val="auto"/>
          <w:lang w:val="hy-AM"/>
        </w:rPr>
        <w:t>ն</w:t>
      </w:r>
      <w:r w:rsidRPr="000232DD">
        <w:rPr>
          <w:rFonts w:ascii="GHEA Grapalat" w:hAnsi="GHEA Grapalat"/>
          <w:color w:val="auto"/>
          <w:lang w:val="hy-AM"/>
        </w:rPr>
        <w:t>, «</w:t>
      </w:r>
      <w:r w:rsidRPr="000232DD">
        <w:rPr>
          <w:rFonts w:ascii="GHEA Grapalat" w:hAnsi="GHEA Grapalat" w:cs="Arial"/>
          <w:color w:val="auto"/>
          <w:lang w:val="hy-AM"/>
        </w:rPr>
        <w:t>Կարեն</w:t>
      </w:r>
      <w:r w:rsidRPr="000232DD">
        <w:rPr>
          <w:rFonts w:ascii="GHEA Grapalat" w:hAnsi="GHEA Grapalat"/>
          <w:color w:val="auto"/>
          <w:lang w:val="hy-AM"/>
        </w:rPr>
        <w:t xml:space="preserve"> </w:t>
      </w:r>
      <w:r w:rsidRPr="000232DD">
        <w:rPr>
          <w:rFonts w:ascii="GHEA Grapalat" w:hAnsi="GHEA Grapalat" w:cs="Arial"/>
          <w:color w:val="auto"/>
          <w:lang w:val="hy-AM"/>
        </w:rPr>
        <w:t>Դեմիրճյանի</w:t>
      </w:r>
      <w:r w:rsidRPr="000232DD">
        <w:rPr>
          <w:rFonts w:ascii="GHEA Grapalat" w:hAnsi="GHEA Grapalat"/>
          <w:color w:val="auto"/>
          <w:lang w:val="hy-AM"/>
        </w:rPr>
        <w:t xml:space="preserve"> </w:t>
      </w:r>
      <w:r w:rsidRPr="000232DD">
        <w:rPr>
          <w:rFonts w:ascii="GHEA Grapalat" w:hAnsi="GHEA Grapalat" w:cs="Arial"/>
          <w:color w:val="auto"/>
          <w:lang w:val="hy-AM"/>
        </w:rPr>
        <w:t>անվան</w:t>
      </w:r>
      <w:r w:rsidRPr="000232DD">
        <w:rPr>
          <w:rFonts w:ascii="GHEA Grapalat" w:hAnsi="GHEA Grapalat"/>
          <w:color w:val="auto"/>
          <w:lang w:val="hy-AM"/>
        </w:rPr>
        <w:t xml:space="preserve"> </w:t>
      </w:r>
      <w:r w:rsidRPr="000232DD">
        <w:rPr>
          <w:rFonts w:ascii="GHEA Grapalat" w:hAnsi="GHEA Grapalat" w:cs="Arial"/>
          <w:color w:val="auto"/>
          <w:lang w:val="hy-AM"/>
        </w:rPr>
        <w:t>մարզահամերգային</w:t>
      </w:r>
      <w:r w:rsidRPr="000232DD">
        <w:rPr>
          <w:rFonts w:ascii="GHEA Grapalat" w:hAnsi="GHEA Grapalat"/>
          <w:color w:val="auto"/>
          <w:lang w:val="hy-AM"/>
        </w:rPr>
        <w:t xml:space="preserve"> </w:t>
      </w:r>
      <w:r w:rsidRPr="000232DD">
        <w:rPr>
          <w:rFonts w:ascii="GHEA Grapalat" w:hAnsi="GHEA Grapalat" w:cs="Arial"/>
          <w:color w:val="auto"/>
          <w:lang w:val="hy-AM"/>
        </w:rPr>
        <w:t>համալիր</w:t>
      </w:r>
      <w:r w:rsidRPr="000232DD">
        <w:rPr>
          <w:rFonts w:ascii="GHEA Grapalat" w:hAnsi="GHEA Grapalat"/>
          <w:color w:val="auto"/>
          <w:lang w:val="hy-AM"/>
        </w:rPr>
        <w:t xml:space="preserve">» </w:t>
      </w:r>
      <w:r w:rsidRPr="000232DD">
        <w:rPr>
          <w:rFonts w:ascii="GHEA Grapalat" w:hAnsi="GHEA Grapalat" w:cs="Arial"/>
          <w:color w:val="auto"/>
          <w:lang w:val="hy-AM"/>
        </w:rPr>
        <w:t>ՓԲԸ</w:t>
      </w:r>
      <w:r w:rsidRPr="000232DD">
        <w:rPr>
          <w:rFonts w:ascii="GHEA Grapalat" w:hAnsi="GHEA Grapalat"/>
          <w:color w:val="auto"/>
          <w:lang w:val="hy-AM"/>
        </w:rPr>
        <w:t>-</w:t>
      </w:r>
      <w:r w:rsidRPr="000232DD">
        <w:rPr>
          <w:rFonts w:ascii="GHEA Grapalat" w:hAnsi="GHEA Grapalat" w:cs="Arial"/>
          <w:color w:val="auto"/>
          <w:lang w:val="hy-AM"/>
        </w:rPr>
        <w:t>ն</w:t>
      </w:r>
      <w:r w:rsidRPr="000232DD">
        <w:rPr>
          <w:rFonts w:ascii="GHEA Grapalat" w:hAnsi="GHEA Grapalat"/>
          <w:color w:val="auto"/>
          <w:lang w:val="hy-AM"/>
        </w:rPr>
        <w:t xml:space="preserve">: </w:t>
      </w:r>
      <w:r w:rsidRPr="000232DD">
        <w:rPr>
          <w:rFonts w:ascii="GHEA Grapalat" w:hAnsi="GHEA Grapalat" w:cs="Arial"/>
          <w:color w:val="auto"/>
          <w:lang w:val="hy-AM"/>
        </w:rPr>
        <w:t>Միաժամանակ</w:t>
      </w:r>
      <w:r w:rsidRPr="000232DD">
        <w:rPr>
          <w:rFonts w:ascii="GHEA Grapalat" w:hAnsi="GHEA Grapalat"/>
          <w:color w:val="auto"/>
          <w:lang w:val="hy-AM"/>
        </w:rPr>
        <w:t xml:space="preserve">, </w:t>
      </w:r>
      <w:r w:rsidRPr="000232DD">
        <w:rPr>
          <w:rFonts w:ascii="GHEA Grapalat" w:hAnsi="GHEA Grapalat" w:cs="Arial"/>
          <w:color w:val="auto"/>
          <w:lang w:val="hy-AM"/>
        </w:rPr>
        <w:t>վարկերի</w:t>
      </w:r>
      <w:r w:rsidRPr="000232DD">
        <w:rPr>
          <w:rFonts w:ascii="GHEA Grapalat" w:hAnsi="GHEA Grapalat"/>
          <w:color w:val="auto"/>
          <w:lang w:val="hy-AM"/>
        </w:rPr>
        <w:t xml:space="preserve"> </w:t>
      </w:r>
      <w:r w:rsidRPr="000232DD">
        <w:rPr>
          <w:rFonts w:ascii="GHEA Grapalat" w:hAnsi="GHEA Grapalat" w:cs="Arial"/>
          <w:color w:val="auto"/>
          <w:lang w:val="hy-AM"/>
        </w:rPr>
        <w:t>և</w:t>
      </w:r>
      <w:r w:rsidRPr="000232DD">
        <w:rPr>
          <w:rFonts w:ascii="GHEA Grapalat" w:hAnsi="GHEA Grapalat"/>
          <w:color w:val="auto"/>
          <w:lang w:val="hy-AM"/>
        </w:rPr>
        <w:t xml:space="preserve"> </w:t>
      </w:r>
      <w:r w:rsidRPr="000232DD">
        <w:rPr>
          <w:rFonts w:ascii="GHEA Grapalat" w:hAnsi="GHEA Grapalat" w:cs="Arial"/>
          <w:color w:val="auto"/>
          <w:lang w:val="hy-AM"/>
        </w:rPr>
        <w:t>ենթավարկերի</w:t>
      </w:r>
      <w:r w:rsidRPr="000232DD">
        <w:rPr>
          <w:rFonts w:ascii="GHEA Grapalat" w:hAnsi="GHEA Grapalat"/>
          <w:color w:val="auto"/>
          <w:lang w:val="hy-AM"/>
        </w:rPr>
        <w:t xml:space="preserve"> </w:t>
      </w:r>
      <w:r w:rsidRPr="000232DD">
        <w:rPr>
          <w:rFonts w:ascii="GHEA Grapalat" w:hAnsi="GHEA Grapalat" w:cs="Arial"/>
          <w:color w:val="auto"/>
          <w:lang w:val="hy-AM"/>
        </w:rPr>
        <w:t>հիմնական</w:t>
      </w:r>
      <w:r w:rsidRPr="000232DD">
        <w:rPr>
          <w:rFonts w:ascii="GHEA Grapalat" w:hAnsi="GHEA Grapalat"/>
          <w:color w:val="auto"/>
          <w:lang w:val="hy-AM"/>
        </w:rPr>
        <w:t xml:space="preserve"> </w:t>
      </w:r>
      <w:r w:rsidRPr="000232DD">
        <w:rPr>
          <w:rFonts w:ascii="GHEA Grapalat" w:hAnsi="GHEA Grapalat" w:cs="Arial"/>
          <w:color w:val="auto"/>
          <w:lang w:val="hy-AM"/>
        </w:rPr>
        <w:t>մասը</w:t>
      </w:r>
      <w:r w:rsidRPr="000232DD">
        <w:rPr>
          <w:rFonts w:ascii="GHEA Grapalat" w:hAnsi="GHEA Grapalat"/>
          <w:color w:val="auto"/>
          <w:lang w:val="hy-AM"/>
        </w:rPr>
        <w:t xml:space="preserve"> </w:t>
      </w:r>
      <w:r w:rsidRPr="000232DD">
        <w:rPr>
          <w:rFonts w:ascii="GHEA Grapalat" w:hAnsi="GHEA Grapalat" w:cs="Arial"/>
          <w:color w:val="auto"/>
          <w:lang w:val="hy-AM"/>
        </w:rPr>
        <w:t>կենտրոնացված</w:t>
      </w:r>
      <w:r w:rsidRPr="000232DD">
        <w:rPr>
          <w:rFonts w:ascii="GHEA Grapalat" w:hAnsi="GHEA Grapalat"/>
          <w:color w:val="auto"/>
          <w:lang w:val="hy-AM"/>
        </w:rPr>
        <w:t xml:space="preserve"> </w:t>
      </w:r>
      <w:r w:rsidRPr="000232DD">
        <w:rPr>
          <w:rFonts w:ascii="GHEA Grapalat" w:hAnsi="GHEA Grapalat" w:cs="Arial"/>
          <w:color w:val="auto"/>
          <w:lang w:val="hy-AM"/>
        </w:rPr>
        <w:t>է</w:t>
      </w:r>
      <w:r w:rsidRPr="000232DD">
        <w:rPr>
          <w:rFonts w:ascii="GHEA Grapalat" w:hAnsi="GHEA Grapalat"/>
          <w:color w:val="auto"/>
          <w:lang w:val="hy-AM"/>
        </w:rPr>
        <w:t xml:space="preserve"> </w:t>
      </w:r>
      <w:r w:rsidRPr="000232DD">
        <w:rPr>
          <w:rFonts w:ascii="GHEA Grapalat" w:hAnsi="GHEA Grapalat" w:cs="Arial"/>
          <w:color w:val="auto"/>
          <w:lang w:val="hy-AM"/>
        </w:rPr>
        <w:t>էներգետիկ</w:t>
      </w:r>
      <w:r w:rsidRPr="000232DD">
        <w:rPr>
          <w:rFonts w:ascii="GHEA Grapalat" w:hAnsi="GHEA Grapalat"/>
          <w:color w:val="auto"/>
          <w:lang w:val="hy-AM"/>
        </w:rPr>
        <w:t xml:space="preserve"> </w:t>
      </w:r>
      <w:r w:rsidRPr="000232DD">
        <w:rPr>
          <w:rFonts w:ascii="GHEA Grapalat" w:hAnsi="GHEA Grapalat" w:cs="Arial"/>
          <w:color w:val="auto"/>
          <w:lang w:val="hy-AM"/>
        </w:rPr>
        <w:t>ոլորտում</w:t>
      </w:r>
      <w:r w:rsidRPr="000232DD">
        <w:rPr>
          <w:rFonts w:ascii="GHEA Grapalat" w:hAnsi="GHEA Grapalat"/>
          <w:color w:val="auto"/>
          <w:lang w:val="hy-AM"/>
        </w:rPr>
        <w:t xml:space="preserve"> («</w:t>
      </w:r>
      <w:r w:rsidRPr="000232DD">
        <w:rPr>
          <w:rFonts w:ascii="GHEA Grapalat" w:hAnsi="GHEA Grapalat" w:cs="Arial"/>
          <w:color w:val="auto"/>
          <w:lang w:val="hy-AM"/>
        </w:rPr>
        <w:t>Հայկական</w:t>
      </w:r>
      <w:r w:rsidRPr="000232DD">
        <w:rPr>
          <w:rFonts w:ascii="GHEA Grapalat" w:hAnsi="GHEA Grapalat"/>
          <w:color w:val="auto"/>
          <w:lang w:val="hy-AM"/>
        </w:rPr>
        <w:t xml:space="preserve"> </w:t>
      </w:r>
      <w:r w:rsidRPr="000232DD">
        <w:rPr>
          <w:rFonts w:ascii="GHEA Grapalat" w:hAnsi="GHEA Grapalat" w:cs="Arial"/>
          <w:color w:val="auto"/>
          <w:lang w:val="hy-AM"/>
        </w:rPr>
        <w:t>ատոմային</w:t>
      </w:r>
      <w:r w:rsidRPr="000232DD">
        <w:rPr>
          <w:rFonts w:ascii="GHEA Grapalat" w:hAnsi="GHEA Grapalat"/>
          <w:color w:val="auto"/>
          <w:lang w:val="hy-AM"/>
        </w:rPr>
        <w:t xml:space="preserve"> </w:t>
      </w:r>
      <w:r w:rsidRPr="000232DD">
        <w:rPr>
          <w:rFonts w:ascii="GHEA Grapalat" w:hAnsi="GHEA Grapalat" w:cs="Arial"/>
          <w:color w:val="auto"/>
          <w:lang w:val="hy-AM"/>
        </w:rPr>
        <w:t>էլեկտրակայան</w:t>
      </w:r>
      <w:r w:rsidRPr="000232DD">
        <w:rPr>
          <w:rFonts w:ascii="GHEA Grapalat" w:hAnsi="GHEA Grapalat"/>
          <w:color w:val="auto"/>
          <w:lang w:val="hy-AM"/>
        </w:rPr>
        <w:t xml:space="preserve">» </w:t>
      </w:r>
      <w:r w:rsidRPr="000232DD">
        <w:rPr>
          <w:rFonts w:ascii="GHEA Grapalat" w:hAnsi="GHEA Grapalat" w:cs="Arial"/>
          <w:color w:val="auto"/>
          <w:lang w:val="hy-AM"/>
        </w:rPr>
        <w:t>ՓԲԸ</w:t>
      </w:r>
      <w:r w:rsidRPr="000232DD">
        <w:rPr>
          <w:rFonts w:ascii="GHEA Grapalat" w:hAnsi="GHEA Grapalat"/>
          <w:color w:val="auto"/>
          <w:lang w:val="hy-AM"/>
        </w:rPr>
        <w:t>, «</w:t>
      </w:r>
      <w:r w:rsidRPr="000232DD">
        <w:rPr>
          <w:rFonts w:ascii="GHEA Grapalat" w:hAnsi="GHEA Grapalat" w:cs="Arial"/>
          <w:color w:val="auto"/>
          <w:lang w:val="hy-AM"/>
        </w:rPr>
        <w:t>Երևան</w:t>
      </w:r>
      <w:r w:rsidRPr="000232DD">
        <w:rPr>
          <w:rFonts w:ascii="GHEA Grapalat" w:hAnsi="GHEA Grapalat"/>
          <w:color w:val="auto"/>
          <w:lang w:val="hy-AM"/>
        </w:rPr>
        <w:t xml:space="preserve"> </w:t>
      </w:r>
      <w:r w:rsidRPr="000232DD">
        <w:rPr>
          <w:rFonts w:ascii="GHEA Grapalat" w:hAnsi="GHEA Grapalat" w:cs="Arial"/>
          <w:color w:val="auto"/>
          <w:lang w:val="hy-AM"/>
        </w:rPr>
        <w:t>ՋԷԿ</w:t>
      </w:r>
      <w:r w:rsidRPr="000232DD">
        <w:rPr>
          <w:rFonts w:ascii="GHEA Grapalat" w:hAnsi="GHEA Grapalat"/>
          <w:color w:val="auto"/>
          <w:lang w:val="hy-AM"/>
        </w:rPr>
        <w:t xml:space="preserve">» </w:t>
      </w:r>
      <w:r w:rsidRPr="000232DD">
        <w:rPr>
          <w:rFonts w:ascii="GHEA Grapalat" w:hAnsi="GHEA Grapalat" w:cs="Arial"/>
          <w:color w:val="auto"/>
          <w:lang w:val="hy-AM"/>
        </w:rPr>
        <w:t>ՓԲԸ</w:t>
      </w:r>
      <w:r w:rsidRPr="000232DD">
        <w:rPr>
          <w:rFonts w:ascii="GHEA Grapalat" w:hAnsi="GHEA Grapalat"/>
          <w:color w:val="auto"/>
          <w:lang w:val="hy-AM"/>
        </w:rPr>
        <w:t>, «</w:t>
      </w:r>
      <w:r w:rsidRPr="000232DD">
        <w:rPr>
          <w:rFonts w:ascii="GHEA Grapalat" w:hAnsi="GHEA Grapalat" w:cs="Arial"/>
          <w:color w:val="auto"/>
          <w:lang w:val="hy-AM"/>
        </w:rPr>
        <w:t>Բարձրավոլտ</w:t>
      </w:r>
      <w:r w:rsidRPr="000232DD">
        <w:rPr>
          <w:rFonts w:ascii="GHEA Grapalat" w:hAnsi="GHEA Grapalat"/>
          <w:color w:val="auto"/>
          <w:lang w:val="hy-AM"/>
        </w:rPr>
        <w:t xml:space="preserve"> </w:t>
      </w:r>
      <w:r w:rsidRPr="000232DD">
        <w:rPr>
          <w:rFonts w:ascii="GHEA Grapalat" w:hAnsi="GHEA Grapalat" w:cs="Arial"/>
          <w:color w:val="auto"/>
          <w:lang w:val="hy-AM"/>
        </w:rPr>
        <w:t>էլեկտրական</w:t>
      </w:r>
      <w:r w:rsidRPr="000232DD">
        <w:rPr>
          <w:rFonts w:ascii="GHEA Grapalat" w:hAnsi="GHEA Grapalat"/>
          <w:color w:val="auto"/>
          <w:lang w:val="hy-AM"/>
        </w:rPr>
        <w:t xml:space="preserve"> </w:t>
      </w:r>
      <w:r w:rsidRPr="000232DD">
        <w:rPr>
          <w:rFonts w:ascii="GHEA Grapalat" w:hAnsi="GHEA Grapalat" w:cs="Arial"/>
          <w:color w:val="auto"/>
          <w:lang w:val="hy-AM"/>
        </w:rPr>
        <w:t>ցանցեր</w:t>
      </w:r>
      <w:r w:rsidRPr="000232DD">
        <w:rPr>
          <w:rFonts w:ascii="GHEA Grapalat" w:hAnsi="GHEA Grapalat"/>
          <w:color w:val="auto"/>
          <w:lang w:val="hy-AM"/>
        </w:rPr>
        <w:t xml:space="preserve">» </w:t>
      </w:r>
      <w:r w:rsidRPr="000232DD">
        <w:rPr>
          <w:rFonts w:ascii="GHEA Grapalat" w:hAnsi="GHEA Grapalat" w:cs="Arial"/>
          <w:color w:val="auto"/>
          <w:lang w:val="hy-AM"/>
        </w:rPr>
        <w:t>ՓԲԸ</w:t>
      </w:r>
      <w:r w:rsidRPr="000232DD">
        <w:rPr>
          <w:rFonts w:ascii="GHEA Grapalat" w:hAnsi="GHEA Grapalat"/>
          <w:color w:val="auto"/>
          <w:lang w:val="hy-AM"/>
        </w:rPr>
        <w:t>, «</w:t>
      </w:r>
      <w:r w:rsidRPr="000232DD">
        <w:rPr>
          <w:rFonts w:ascii="GHEA Grapalat" w:hAnsi="GHEA Grapalat" w:cs="Arial"/>
          <w:color w:val="auto"/>
          <w:lang w:val="hy-AM"/>
        </w:rPr>
        <w:t>ԷլեկտրաԷներգետիկական</w:t>
      </w:r>
      <w:r w:rsidRPr="000232DD">
        <w:rPr>
          <w:rFonts w:ascii="GHEA Grapalat" w:hAnsi="GHEA Grapalat"/>
          <w:color w:val="auto"/>
          <w:lang w:val="hy-AM"/>
        </w:rPr>
        <w:t xml:space="preserve"> </w:t>
      </w:r>
      <w:r w:rsidRPr="000232DD">
        <w:rPr>
          <w:rFonts w:ascii="GHEA Grapalat" w:hAnsi="GHEA Grapalat" w:cs="Arial"/>
          <w:color w:val="auto"/>
          <w:lang w:val="hy-AM"/>
        </w:rPr>
        <w:t>Համակարգի</w:t>
      </w:r>
      <w:r w:rsidRPr="000232DD">
        <w:rPr>
          <w:rFonts w:ascii="GHEA Grapalat" w:hAnsi="GHEA Grapalat"/>
          <w:color w:val="auto"/>
          <w:lang w:val="hy-AM"/>
        </w:rPr>
        <w:t xml:space="preserve"> </w:t>
      </w:r>
      <w:r w:rsidRPr="000232DD">
        <w:rPr>
          <w:rFonts w:ascii="GHEA Grapalat" w:hAnsi="GHEA Grapalat" w:cs="Arial"/>
          <w:color w:val="auto"/>
          <w:lang w:val="hy-AM"/>
        </w:rPr>
        <w:t>Օպերատոր</w:t>
      </w:r>
      <w:r w:rsidRPr="000232DD">
        <w:rPr>
          <w:rFonts w:ascii="GHEA Grapalat" w:hAnsi="GHEA Grapalat"/>
          <w:color w:val="auto"/>
          <w:lang w:val="hy-AM"/>
        </w:rPr>
        <w:t xml:space="preserve">» </w:t>
      </w:r>
      <w:r w:rsidRPr="000232DD">
        <w:rPr>
          <w:rFonts w:ascii="GHEA Grapalat" w:hAnsi="GHEA Grapalat" w:cs="Arial"/>
          <w:color w:val="auto"/>
          <w:lang w:val="hy-AM"/>
        </w:rPr>
        <w:t>ՓԲԸ</w:t>
      </w:r>
      <w:r w:rsidRPr="000232DD">
        <w:rPr>
          <w:rFonts w:ascii="GHEA Grapalat" w:hAnsi="GHEA Grapalat"/>
          <w:color w:val="auto"/>
          <w:lang w:val="hy-AM"/>
        </w:rPr>
        <w:t xml:space="preserve">): </w:t>
      </w:r>
    </w:p>
    <w:p w14:paraId="358F84E3" w14:textId="77777777" w:rsidR="00802FF2" w:rsidRPr="001226F0" w:rsidRDefault="00802FF2" w:rsidP="00082769">
      <w:pPr>
        <w:pStyle w:val="TOC4"/>
        <w:ind w:right="-22"/>
        <w:rPr>
          <w:color w:val="ADADAD" w:themeColor="background2" w:themeShade="BF"/>
          <w:lang w:val="hy-AM"/>
        </w:rPr>
      </w:pPr>
      <w:bookmarkStart w:id="497" w:name="_Toc170906939"/>
      <w:bookmarkStart w:id="498" w:name="_Toc170906567"/>
      <w:r w:rsidRPr="001226F0">
        <w:rPr>
          <w:color w:val="ADADAD" w:themeColor="background2" w:themeShade="BF"/>
          <w:lang w:val="hy-AM"/>
        </w:rPr>
        <w:t>3.1</w:t>
      </w:r>
      <w:r w:rsidRPr="001226F0">
        <w:rPr>
          <w:rFonts w:ascii="MS Mincho" w:eastAsia="MS Mincho" w:hAnsi="MS Mincho" w:cs="MS Mincho" w:hint="eastAsia"/>
          <w:color w:val="ADADAD" w:themeColor="background2" w:themeShade="BF"/>
          <w:lang w:val="hy-AM"/>
        </w:rPr>
        <w:t>․</w:t>
      </w:r>
      <w:r w:rsidRPr="001226F0">
        <w:rPr>
          <w:color w:val="ADADAD" w:themeColor="background2" w:themeShade="BF"/>
          <w:lang w:val="hy-AM"/>
        </w:rPr>
        <w:t>2 ԲՅՈՒՋԵՏԱՅԻՆ ՎԱՐԿԵՐԻՑ ԲԽՈՂ ՀԱՐԿԱԲՅՈՒՋԵՏԱՅԻՆ ՌԻՍԿԵՐ</w:t>
      </w:r>
      <w:bookmarkEnd w:id="497"/>
      <w:bookmarkEnd w:id="498"/>
    </w:p>
    <w:p w14:paraId="5DE9CFAE" w14:textId="77777777" w:rsidR="00802FF2" w:rsidRPr="000232DD" w:rsidRDefault="00802FF2" w:rsidP="00082769">
      <w:pPr>
        <w:spacing w:after="0"/>
        <w:ind w:right="-22"/>
        <w:jc w:val="both"/>
        <w:rPr>
          <w:rFonts w:ascii="GHEA Grapalat" w:hAnsi="GHEA Grapalat"/>
          <w:color w:val="auto"/>
          <w:lang w:val="hy-AM"/>
        </w:rPr>
      </w:pPr>
      <w:bookmarkStart w:id="499" w:name="_Toc170906940"/>
      <w:bookmarkStart w:id="500" w:name="_Toc170906568"/>
      <w:r w:rsidRPr="000232DD">
        <w:rPr>
          <w:rFonts w:ascii="GHEA Grapalat" w:hAnsi="GHEA Grapalat" w:cs="Arial"/>
          <w:color w:val="auto"/>
          <w:lang w:val="hy-AM"/>
        </w:rPr>
        <w:t>Այս</w:t>
      </w:r>
      <w:r w:rsidRPr="000232DD">
        <w:rPr>
          <w:rFonts w:ascii="GHEA Grapalat" w:hAnsi="GHEA Grapalat"/>
          <w:color w:val="auto"/>
          <w:lang w:val="hy-AM"/>
        </w:rPr>
        <w:t xml:space="preserve"> </w:t>
      </w:r>
      <w:r w:rsidRPr="000232DD">
        <w:rPr>
          <w:rFonts w:ascii="GHEA Grapalat" w:hAnsi="GHEA Grapalat" w:cs="Arial"/>
          <w:color w:val="auto"/>
          <w:lang w:val="hy-AM"/>
        </w:rPr>
        <w:t>բաժնում</w:t>
      </w:r>
      <w:r w:rsidRPr="000232DD">
        <w:rPr>
          <w:rFonts w:ascii="GHEA Grapalat" w:hAnsi="GHEA Grapalat"/>
          <w:color w:val="auto"/>
          <w:lang w:val="hy-AM"/>
        </w:rPr>
        <w:t xml:space="preserve"> </w:t>
      </w:r>
      <w:r w:rsidRPr="000232DD">
        <w:rPr>
          <w:rFonts w:ascii="GHEA Grapalat" w:hAnsi="GHEA Grapalat" w:cs="Arial"/>
          <w:color w:val="auto"/>
          <w:lang w:val="hy-AM"/>
        </w:rPr>
        <w:t>վերլուծվում</w:t>
      </w:r>
      <w:r w:rsidRPr="000232DD">
        <w:rPr>
          <w:rFonts w:ascii="GHEA Grapalat" w:hAnsi="GHEA Grapalat"/>
          <w:color w:val="auto"/>
          <w:lang w:val="hy-AM"/>
        </w:rPr>
        <w:t xml:space="preserve"> </w:t>
      </w:r>
      <w:r w:rsidRPr="000232DD">
        <w:rPr>
          <w:rFonts w:ascii="GHEA Grapalat" w:hAnsi="GHEA Grapalat" w:cs="Arial"/>
          <w:color w:val="auto"/>
          <w:lang w:val="hy-AM"/>
        </w:rPr>
        <w:t>է</w:t>
      </w:r>
      <w:r w:rsidRPr="000232DD">
        <w:rPr>
          <w:rFonts w:ascii="GHEA Grapalat" w:hAnsi="GHEA Grapalat"/>
          <w:color w:val="auto"/>
          <w:lang w:val="hy-AM"/>
        </w:rPr>
        <w:t xml:space="preserve"> </w:t>
      </w:r>
      <w:r w:rsidRPr="000232DD">
        <w:rPr>
          <w:rFonts w:ascii="GHEA Grapalat" w:hAnsi="GHEA Grapalat" w:cs="Arial"/>
          <w:color w:val="auto"/>
          <w:lang w:val="hy-AM"/>
        </w:rPr>
        <w:t>տրամադրված</w:t>
      </w:r>
      <w:r w:rsidRPr="000232DD">
        <w:rPr>
          <w:rFonts w:ascii="GHEA Grapalat" w:hAnsi="GHEA Grapalat"/>
          <w:color w:val="auto"/>
          <w:lang w:val="hy-AM"/>
        </w:rPr>
        <w:t xml:space="preserve"> </w:t>
      </w:r>
      <w:r w:rsidRPr="000232DD">
        <w:rPr>
          <w:rFonts w:ascii="GHEA Grapalat" w:hAnsi="GHEA Grapalat" w:cs="Arial"/>
          <w:color w:val="auto"/>
          <w:lang w:val="hy-AM"/>
        </w:rPr>
        <w:t>բյուջետային</w:t>
      </w:r>
      <w:r w:rsidRPr="000232DD">
        <w:rPr>
          <w:rFonts w:ascii="GHEA Grapalat" w:hAnsi="GHEA Grapalat"/>
          <w:color w:val="auto"/>
          <w:lang w:val="hy-AM"/>
        </w:rPr>
        <w:t xml:space="preserve"> </w:t>
      </w:r>
      <w:r w:rsidRPr="000232DD">
        <w:rPr>
          <w:rFonts w:ascii="GHEA Grapalat" w:hAnsi="GHEA Grapalat" w:cs="Arial"/>
          <w:color w:val="auto"/>
          <w:lang w:val="hy-AM"/>
        </w:rPr>
        <w:t>վարկերից</w:t>
      </w:r>
      <w:r w:rsidRPr="000232DD">
        <w:rPr>
          <w:rFonts w:ascii="GHEA Grapalat" w:hAnsi="GHEA Grapalat"/>
          <w:color w:val="auto"/>
          <w:lang w:val="hy-AM"/>
        </w:rPr>
        <w:t xml:space="preserve"> </w:t>
      </w:r>
      <w:r w:rsidRPr="000232DD">
        <w:rPr>
          <w:rFonts w:ascii="GHEA Grapalat" w:hAnsi="GHEA Grapalat" w:cs="Arial"/>
          <w:color w:val="auto"/>
          <w:lang w:val="hy-AM"/>
        </w:rPr>
        <w:t>և</w:t>
      </w:r>
      <w:r w:rsidRPr="000232DD">
        <w:rPr>
          <w:rFonts w:ascii="GHEA Grapalat" w:hAnsi="GHEA Grapalat"/>
          <w:color w:val="auto"/>
          <w:lang w:val="hy-AM"/>
        </w:rPr>
        <w:t xml:space="preserve"> </w:t>
      </w:r>
      <w:r w:rsidRPr="000232DD">
        <w:rPr>
          <w:rFonts w:ascii="GHEA Grapalat" w:hAnsi="GHEA Grapalat" w:cs="Arial"/>
          <w:color w:val="auto"/>
          <w:lang w:val="hy-AM"/>
        </w:rPr>
        <w:t>երաշխիքներից</w:t>
      </w:r>
      <w:r w:rsidRPr="000232DD">
        <w:rPr>
          <w:rFonts w:ascii="GHEA Grapalat" w:hAnsi="GHEA Grapalat"/>
          <w:color w:val="auto"/>
          <w:lang w:val="hy-AM"/>
        </w:rPr>
        <w:t xml:space="preserve"> </w:t>
      </w:r>
      <w:r w:rsidRPr="000232DD">
        <w:rPr>
          <w:rFonts w:ascii="GHEA Grapalat" w:hAnsi="GHEA Grapalat" w:cs="Arial"/>
          <w:color w:val="auto"/>
          <w:lang w:val="hy-AM"/>
        </w:rPr>
        <w:t>բխող</w:t>
      </w:r>
      <w:r w:rsidRPr="000232DD">
        <w:rPr>
          <w:rFonts w:ascii="GHEA Grapalat" w:hAnsi="GHEA Grapalat"/>
          <w:color w:val="auto"/>
          <w:lang w:val="hy-AM"/>
        </w:rPr>
        <w:t xml:space="preserve"> </w:t>
      </w:r>
      <w:r w:rsidRPr="000232DD">
        <w:rPr>
          <w:rFonts w:ascii="GHEA Grapalat" w:hAnsi="GHEA Grapalat" w:cs="Arial"/>
          <w:color w:val="auto"/>
          <w:lang w:val="hy-AM"/>
        </w:rPr>
        <w:t>ուղղակի</w:t>
      </w:r>
      <w:r w:rsidRPr="000232DD">
        <w:rPr>
          <w:rFonts w:ascii="GHEA Grapalat" w:hAnsi="GHEA Grapalat"/>
          <w:color w:val="auto"/>
          <w:lang w:val="hy-AM"/>
        </w:rPr>
        <w:t xml:space="preserve"> </w:t>
      </w:r>
      <w:r w:rsidRPr="000232DD">
        <w:rPr>
          <w:rFonts w:ascii="GHEA Grapalat" w:hAnsi="GHEA Grapalat" w:cs="Arial"/>
          <w:color w:val="auto"/>
          <w:lang w:val="hy-AM"/>
        </w:rPr>
        <w:t>ու</w:t>
      </w:r>
      <w:r w:rsidRPr="000232DD">
        <w:rPr>
          <w:rFonts w:ascii="GHEA Grapalat" w:hAnsi="GHEA Grapalat"/>
          <w:color w:val="auto"/>
          <w:lang w:val="hy-AM"/>
        </w:rPr>
        <w:t xml:space="preserve"> </w:t>
      </w:r>
      <w:r w:rsidRPr="000232DD">
        <w:rPr>
          <w:rFonts w:ascii="GHEA Grapalat" w:hAnsi="GHEA Grapalat" w:cs="Arial"/>
          <w:color w:val="auto"/>
          <w:lang w:val="hy-AM"/>
        </w:rPr>
        <w:t>ածանցված</w:t>
      </w:r>
      <w:r w:rsidRPr="000232DD">
        <w:rPr>
          <w:rFonts w:ascii="GHEA Grapalat" w:hAnsi="GHEA Grapalat"/>
          <w:color w:val="auto"/>
          <w:lang w:val="hy-AM"/>
        </w:rPr>
        <w:t xml:space="preserve"> </w:t>
      </w:r>
      <w:r w:rsidRPr="000232DD">
        <w:rPr>
          <w:rFonts w:ascii="GHEA Grapalat" w:hAnsi="GHEA Grapalat" w:cs="Arial"/>
          <w:color w:val="auto"/>
          <w:lang w:val="hy-AM"/>
        </w:rPr>
        <w:t>ֆիսկալ</w:t>
      </w:r>
      <w:r w:rsidRPr="000232DD">
        <w:rPr>
          <w:rFonts w:ascii="GHEA Grapalat" w:hAnsi="GHEA Grapalat"/>
          <w:color w:val="auto"/>
          <w:lang w:val="hy-AM"/>
        </w:rPr>
        <w:t xml:space="preserve"> </w:t>
      </w:r>
      <w:r w:rsidRPr="000232DD">
        <w:rPr>
          <w:rFonts w:ascii="GHEA Grapalat" w:hAnsi="GHEA Grapalat" w:cs="Arial"/>
          <w:color w:val="auto"/>
          <w:lang w:val="hy-AM"/>
        </w:rPr>
        <w:t>ռիսկերի</w:t>
      </w:r>
      <w:r w:rsidRPr="000232DD">
        <w:rPr>
          <w:rFonts w:ascii="GHEA Grapalat" w:hAnsi="GHEA Grapalat"/>
          <w:color w:val="auto"/>
          <w:lang w:val="hy-AM"/>
        </w:rPr>
        <w:t xml:space="preserve"> </w:t>
      </w:r>
      <w:r w:rsidRPr="000232DD">
        <w:rPr>
          <w:rFonts w:ascii="GHEA Grapalat" w:hAnsi="GHEA Grapalat" w:cs="Arial"/>
          <w:color w:val="auto"/>
          <w:lang w:val="hy-AM"/>
        </w:rPr>
        <w:t>մակարդակը</w:t>
      </w:r>
      <w:r w:rsidRPr="000232DD">
        <w:rPr>
          <w:rFonts w:ascii="GHEA Grapalat" w:hAnsi="GHEA Grapalat"/>
          <w:color w:val="auto"/>
          <w:lang w:val="hy-AM"/>
        </w:rPr>
        <w:t xml:space="preserve">, </w:t>
      </w:r>
      <w:r w:rsidRPr="000232DD">
        <w:rPr>
          <w:rFonts w:ascii="GHEA Grapalat" w:hAnsi="GHEA Grapalat" w:cs="Arial"/>
          <w:color w:val="auto"/>
          <w:lang w:val="hy-AM"/>
        </w:rPr>
        <w:t>ներկայացվում՝</w:t>
      </w:r>
      <w:r w:rsidRPr="000232DD">
        <w:rPr>
          <w:rFonts w:ascii="GHEA Grapalat" w:hAnsi="GHEA Grapalat"/>
          <w:color w:val="auto"/>
          <w:lang w:val="hy-AM"/>
        </w:rPr>
        <w:t xml:space="preserve"> </w:t>
      </w:r>
      <w:r w:rsidRPr="000232DD">
        <w:rPr>
          <w:rFonts w:ascii="GHEA Grapalat" w:hAnsi="GHEA Grapalat" w:cs="Arial"/>
          <w:color w:val="auto"/>
          <w:lang w:val="hy-AM"/>
        </w:rPr>
        <w:t>բյուջետային</w:t>
      </w:r>
      <w:r w:rsidRPr="000232DD">
        <w:rPr>
          <w:rFonts w:ascii="GHEA Grapalat" w:hAnsi="GHEA Grapalat"/>
          <w:color w:val="auto"/>
          <w:lang w:val="hy-AM"/>
        </w:rPr>
        <w:t xml:space="preserve"> </w:t>
      </w:r>
      <w:r w:rsidRPr="000232DD">
        <w:rPr>
          <w:rFonts w:ascii="GHEA Grapalat" w:hAnsi="GHEA Grapalat" w:cs="Arial"/>
          <w:color w:val="auto"/>
          <w:lang w:val="hy-AM"/>
        </w:rPr>
        <w:t>վարկերի</w:t>
      </w:r>
      <w:r w:rsidRPr="000232DD">
        <w:rPr>
          <w:rFonts w:ascii="GHEA Grapalat" w:hAnsi="GHEA Grapalat"/>
          <w:color w:val="auto"/>
          <w:lang w:val="hy-AM"/>
        </w:rPr>
        <w:t xml:space="preserve"> </w:t>
      </w:r>
      <w:r w:rsidRPr="000232DD">
        <w:rPr>
          <w:rFonts w:ascii="GHEA Grapalat" w:hAnsi="GHEA Grapalat" w:cs="Arial"/>
          <w:color w:val="auto"/>
          <w:lang w:val="hy-AM"/>
        </w:rPr>
        <w:t>և</w:t>
      </w:r>
      <w:r w:rsidRPr="000232DD">
        <w:rPr>
          <w:rFonts w:ascii="GHEA Grapalat" w:hAnsi="GHEA Grapalat"/>
          <w:color w:val="auto"/>
          <w:lang w:val="hy-AM"/>
        </w:rPr>
        <w:t xml:space="preserve"> </w:t>
      </w:r>
      <w:r w:rsidRPr="000232DD">
        <w:rPr>
          <w:rFonts w:ascii="GHEA Grapalat" w:hAnsi="GHEA Grapalat" w:cs="Arial"/>
          <w:color w:val="auto"/>
          <w:lang w:val="hy-AM"/>
        </w:rPr>
        <w:t>երաշխիքների</w:t>
      </w:r>
      <w:r w:rsidRPr="000232DD">
        <w:rPr>
          <w:rFonts w:ascii="GHEA Grapalat" w:hAnsi="GHEA Grapalat"/>
          <w:color w:val="auto"/>
          <w:lang w:val="hy-AM"/>
        </w:rPr>
        <w:t xml:space="preserve"> </w:t>
      </w:r>
      <w:r w:rsidRPr="000232DD">
        <w:rPr>
          <w:rFonts w:ascii="GHEA Grapalat" w:hAnsi="GHEA Grapalat" w:cs="Arial"/>
          <w:color w:val="auto"/>
          <w:lang w:val="hy-AM"/>
        </w:rPr>
        <w:t>պորտֆելների</w:t>
      </w:r>
      <w:r w:rsidRPr="000232DD">
        <w:rPr>
          <w:rFonts w:ascii="GHEA Grapalat" w:hAnsi="GHEA Grapalat"/>
          <w:color w:val="auto"/>
          <w:lang w:val="hy-AM"/>
        </w:rPr>
        <w:t xml:space="preserve"> </w:t>
      </w:r>
      <w:r w:rsidRPr="000232DD">
        <w:rPr>
          <w:rFonts w:ascii="GHEA Grapalat" w:hAnsi="GHEA Grapalat" w:cs="Arial"/>
          <w:color w:val="auto"/>
          <w:lang w:val="hy-AM"/>
        </w:rPr>
        <w:t>վերլուծական</w:t>
      </w:r>
      <w:r w:rsidRPr="000232DD">
        <w:rPr>
          <w:rFonts w:ascii="GHEA Grapalat" w:hAnsi="GHEA Grapalat"/>
          <w:color w:val="auto"/>
          <w:lang w:val="hy-AM"/>
        </w:rPr>
        <w:t xml:space="preserve"> </w:t>
      </w:r>
      <w:r w:rsidRPr="000232DD">
        <w:rPr>
          <w:rFonts w:ascii="GHEA Grapalat" w:hAnsi="GHEA Grapalat" w:cs="Arial"/>
          <w:color w:val="auto"/>
          <w:lang w:val="hy-AM"/>
        </w:rPr>
        <w:t>պատկերը</w:t>
      </w:r>
      <w:r w:rsidRPr="000232DD">
        <w:rPr>
          <w:rFonts w:ascii="GHEA Grapalat" w:hAnsi="GHEA Grapalat"/>
          <w:color w:val="auto"/>
          <w:lang w:val="hy-AM"/>
        </w:rPr>
        <w:t xml:space="preserve">: </w:t>
      </w:r>
    </w:p>
    <w:p w14:paraId="6DD13088" w14:textId="77777777" w:rsidR="00802FF2" w:rsidRPr="000232DD" w:rsidRDefault="00802FF2" w:rsidP="00082769">
      <w:pPr>
        <w:spacing w:after="0"/>
        <w:ind w:right="-22"/>
        <w:jc w:val="both"/>
        <w:rPr>
          <w:rFonts w:ascii="GHEA Grapalat" w:hAnsi="GHEA Grapalat"/>
          <w:color w:val="auto"/>
          <w:lang w:val="hy-AM"/>
        </w:rPr>
      </w:pPr>
      <w:r w:rsidRPr="000232DD">
        <w:rPr>
          <w:rFonts w:ascii="GHEA Grapalat" w:hAnsi="GHEA Grapalat" w:cs="Arial"/>
          <w:color w:val="auto"/>
          <w:lang w:val="hy-AM"/>
        </w:rPr>
        <w:t>Վարկային</w:t>
      </w:r>
      <w:r w:rsidRPr="000232DD">
        <w:rPr>
          <w:rFonts w:ascii="GHEA Grapalat" w:hAnsi="GHEA Grapalat"/>
          <w:color w:val="auto"/>
          <w:lang w:val="hy-AM"/>
        </w:rPr>
        <w:t xml:space="preserve"> </w:t>
      </w:r>
      <w:r w:rsidRPr="000232DD">
        <w:rPr>
          <w:rFonts w:ascii="GHEA Grapalat" w:hAnsi="GHEA Grapalat" w:cs="Arial"/>
          <w:color w:val="auto"/>
          <w:lang w:val="hy-AM"/>
        </w:rPr>
        <w:t>պորտֆելի</w:t>
      </w:r>
      <w:r w:rsidRPr="000232DD">
        <w:rPr>
          <w:rFonts w:ascii="GHEA Grapalat" w:hAnsi="GHEA Grapalat"/>
          <w:color w:val="auto"/>
          <w:lang w:val="hy-AM"/>
        </w:rPr>
        <w:t xml:space="preserve"> </w:t>
      </w:r>
      <w:r w:rsidRPr="000232DD">
        <w:rPr>
          <w:rFonts w:ascii="GHEA Grapalat" w:hAnsi="GHEA Grapalat" w:cs="Arial"/>
          <w:color w:val="auto"/>
          <w:lang w:val="hy-AM"/>
        </w:rPr>
        <w:t>իրականացված</w:t>
      </w:r>
      <w:r w:rsidRPr="000232DD">
        <w:rPr>
          <w:rFonts w:ascii="GHEA Grapalat" w:hAnsi="GHEA Grapalat"/>
          <w:color w:val="auto"/>
          <w:lang w:val="hy-AM"/>
        </w:rPr>
        <w:t xml:space="preserve"> </w:t>
      </w:r>
      <w:r w:rsidRPr="000232DD">
        <w:rPr>
          <w:rFonts w:ascii="GHEA Grapalat" w:hAnsi="GHEA Grapalat" w:cs="Arial"/>
          <w:color w:val="auto"/>
          <w:lang w:val="hy-AM"/>
        </w:rPr>
        <w:t>վերլուծության</w:t>
      </w:r>
      <w:r w:rsidRPr="000232DD">
        <w:rPr>
          <w:rFonts w:ascii="GHEA Grapalat" w:hAnsi="GHEA Grapalat"/>
          <w:color w:val="auto"/>
          <w:lang w:val="hy-AM"/>
        </w:rPr>
        <w:t xml:space="preserve"> </w:t>
      </w:r>
      <w:r w:rsidRPr="000232DD">
        <w:rPr>
          <w:rFonts w:ascii="GHEA Grapalat" w:hAnsi="GHEA Grapalat" w:cs="Arial"/>
          <w:color w:val="auto"/>
          <w:lang w:val="hy-AM"/>
        </w:rPr>
        <w:t>հիմնական</w:t>
      </w:r>
      <w:r w:rsidRPr="000232DD">
        <w:rPr>
          <w:rFonts w:ascii="GHEA Grapalat" w:hAnsi="GHEA Grapalat"/>
          <w:color w:val="auto"/>
          <w:lang w:val="hy-AM"/>
        </w:rPr>
        <w:t xml:space="preserve"> </w:t>
      </w:r>
      <w:r w:rsidRPr="000232DD">
        <w:rPr>
          <w:rFonts w:ascii="GHEA Grapalat" w:hAnsi="GHEA Grapalat" w:cs="Arial"/>
          <w:color w:val="auto"/>
          <w:lang w:val="hy-AM"/>
        </w:rPr>
        <w:t>նպատակը</w:t>
      </w:r>
      <w:r w:rsidRPr="000232DD">
        <w:rPr>
          <w:rFonts w:ascii="GHEA Grapalat" w:hAnsi="GHEA Grapalat"/>
          <w:color w:val="auto"/>
          <w:lang w:val="hy-AM"/>
        </w:rPr>
        <w:t xml:space="preserve"> </w:t>
      </w:r>
      <w:r w:rsidRPr="000232DD">
        <w:rPr>
          <w:rFonts w:ascii="GHEA Grapalat" w:hAnsi="GHEA Grapalat" w:cs="Arial"/>
          <w:color w:val="auto"/>
          <w:lang w:val="hy-AM"/>
        </w:rPr>
        <w:t>պորտֆելի</w:t>
      </w:r>
      <w:r w:rsidRPr="000232DD">
        <w:rPr>
          <w:rFonts w:ascii="GHEA Grapalat" w:hAnsi="GHEA Grapalat"/>
          <w:color w:val="auto"/>
          <w:lang w:val="hy-AM"/>
        </w:rPr>
        <w:t xml:space="preserve">` </w:t>
      </w:r>
      <w:r w:rsidRPr="000232DD">
        <w:rPr>
          <w:rFonts w:ascii="GHEA Grapalat" w:hAnsi="GHEA Grapalat" w:cs="Arial"/>
          <w:color w:val="auto"/>
          <w:lang w:val="hy-AM"/>
        </w:rPr>
        <w:t>տարբեր</w:t>
      </w:r>
      <w:r w:rsidRPr="000232DD">
        <w:rPr>
          <w:rFonts w:ascii="GHEA Grapalat" w:hAnsi="GHEA Grapalat"/>
          <w:color w:val="auto"/>
          <w:lang w:val="hy-AM"/>
        </w:rPr>
        <w:t xml:space="preserve"> </w:t>
      </w:r>
      <w:r w:rsidRPr="000232DD">
        <w:rPr>
          <w:rFonts w:ascii="GHEA Grapalat" w:hAnsi="GHEA Grapalat" w:cs="Arial"/>
          <w:color w:val="auto"/>
          <w:lang w:val="hy-AM"/>
        </w:rPr>
        <w:t>ռիսկերից</w:t>
      </w:r>
      <w:r w:rsidRPr="000232DD">
        <w:rPr>
          <w:rFonts w:ascii="GHEA Grapalat" w:hAnsi="GHEA Grapalat"/>
          <w:color w:val="auto"/>
          <w:lang w:val="hy-AM"/>
        </w:rPr>
        <w:t xml:space="preserve"> </w:t>
      </w:r>
      <w:r w:rsidRPr="000232DD">
        <w:rPr>
          <w:rFonts w:ascii="GHEA Grapalat" w:hAnsi="GHEA Grapalat" w:cs="Arial"/>
          <w:color w:val="auto"/>
          <w:lang w:val="hy-AM"/>
        </w:rPr>
        <w:t>կախվածության</w:t>
      </w:r>
      <w:r w:rsidRPr="000232DD">
        <w:rPr>
          <w:rFonts w:ascii="GHEA Grapalat" w:hAnsi="GHEA Grapalat"/>
          <w:color w:val="auto"/>
          <w:lang w:val="hy-AM"/>
        </w:rPr>
        <w:t xml:space="preserve"> </w:t>
      </w:r>
      <w:r w:rsidRPr="000232DD">
        <w:rPr>
          <w:rFonts w:ascii="GHEA Grapalat" w:hAnsi="GHEA Grapalat" w:cs="Arial"/>
          <w:color w:val="auto"/>
          <w:lang w:val="hy-AM"/>
        </w:rPr>
        <w:t>աստիճանի</w:t>
      </w:r>
      <w:r w:rsidRPr="000232DD">
        <w:rPr>
          <w:rFonts w:ascii="GHEA Grapalat" w:hAnsi="GHEA Grapalat"/>
          <w:color w:val="auto"/>
          <w:lang w:val="hy-AM"/>
        </w:rPr>
        <w:t xml:space="preserve"> </w:t>
      </w:r>
      <w:r w:rsidRPr="000232DD">
        <w:rPr>
          <w:rFonts w:ascii="GHEA Grapalat" w:hAnsi="GHEA Grapalat" w:cs="Arial"/>
          <w:color w:val="auto"/>
          <w:lang w:val="hy-AM"/>
        </w:rPr>
        <w:t>գնահատումն</w:t>
      </w:r>
      <w:r w:rsidRPr="000232DD">
        <w:rPr>
          <w:rFonts w:ascii="GHEA Grapalat" w:hAnsi="GHEA Grapalat"/>
          <w:color w:val="auto"/>
          <w:lang w:val="hy-AM"/>
        </w:rPr>
        <w:t xml:space="preserve"> </w:t>
      </w:r>
      <w:r w:rsidRPr="000232DD">
        <w:rPr>
          <w:rFonts w:ascii="GHEA Grapalat" w:hAnsi="GHEA Grapalat" w:cs="Arial"/>
          <w:color w:val="auto"/>
          <w:lang w:val="hy-AM"/>
        </w:rPr>
        <w:t>է</w:t>
      </w:r>
      <w:r w:rsidRPr="000232DD">
        <w:rPr>
          <w:rFonts w:ascii="GHEA Grapalat" w:hAnsi="GHEA Grapalat"/>
          <w:color w:val="auto"/>
          <w:lang w:val="hy-AM"/>
        </w:rPr>
        <w:t>:</w:t>
      </w:r>
    </w:p>
    <w:p w14:paraId="0D3FC7F2" w14:textId="77777777" w:rsidR="00802FF2" w:rsidRPr="000232DD" w:rsidRDefault="00802FF2" w:rsidP="00082769">
      <w:pPr>
        <w:spacing w:after="0"/>
        <w:ind w:right="-22"/>
        <w:jc w:val="both"/>
        <w:rPr>
          <w:rFonts w:ascii="GHEA Grapalat" w:eastAsia="Times New Roman" w:hAnsi="GHEA Grapalat" w:cs="Times New Roman"/>
          <w:color w:val="auto"/>
          <w:lang w:val="es-ES"/>
        </w:rPr>
      </w:pPr>
      <w:r w:rsidRPr="000232DD">
        <w:rPr>
          <w:rFonts w:ascii="GHEA Grapalat" w:eastAsia="Times New Roman" w:hAnsi="GHEA Grapalat" w:cs="Times New Roman"/>
          <w:color w:val="auto"/>
          <w:lang w:val="hy-AM"/>
        </w:rPr>
        <w:t>Վարկային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պորտֆելի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չմարված</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մասի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ընդհանուր</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գումարը՝</w:t>
      </w:r>
      <w:r w:rsidRPr="000232DD">
        <w:rPr>
          <w:rFonts w:ascii="GHEA Grapalat" w:eastAsia="Times New Roman" w:hAnsi="GHEA Grapalat" w:cs="Times New Roman"/>
          <w:color w:val="auto"/>
          <w:lang w:val="es-ES"/>
        </w:rPr>
        <w:t xml:space="preserve"> 2025</w:t>
      </w:r>
      <w:r w:rsidRPr="000232DD">
        <w:rPr>
          <w:rFonts w:ascii="GHEA Grapalat" w:eastAsia="Times New Roman" w:hAnsi="GHEA Grapalat" w:cs="Times New Roman"/>
          <w:color w:val="auto"/>
          <w:lang w:val="hy-AM"/>
        </w:rPr>
        <w:t>թ</w:t>
      </w:r>
      <w:r w:rsidRPr="000232DD">
        <w:rPr>
          <w:rFonts w:ascii="GHEA Grapalat" w:eastAsia="Times New Roman" w:hAnsi="GHEA Grapalat" w:cs="Times New Roman"/>
          <w:color w:val="auto"/>
          <w:lang w:val="es-ES"/>
        </w:rPr>
        <w:t>.-</w:t>
      </w:r>
      <w:r w:rsidRPr="000232DD">
        <w:rPr>
          <w:rFonts w:ascii="GHEA Grapalat" w:eastAsia="Times New Roman" w:hAnsi="GHEA Grapalat" w:cs="Times New Roman"/>
          <w:color w:val="auto"/>
          <w:lang w:val="hy-AM"/>
        </w:rPr>
        <w:t>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դեկտեմբերի</w:t>
      </w:r>
      <w:r w:rsidRPr="000232DD">
        <w:rPr>
          <w:rFonts w:ascii="GHEA Grapalat" w:eastAsia="Times New Roman" w:hAnsi="GHEA Grapalat" w:cs="Times New Roman"/>
          <w:color w:val="auto"/>
          <w:lang w:val="es-ES"/>
        </w:rPr>
        <w:t xml:space="preserve"> 31-</w:t>
      </w:r>
      <w:r w:rsidRPr="000232DD">
        <w:rPr>
          <w:rFonts w:ascii="GHEA Grapalat" w:eastAsia="Times New Roman" w:hAnsi="GHEA Grapalat" w:cs="Times New Roman"/>
          <w:color w:val="auto"/>
          <w:lang w:val="hy-AM"/>
        </w:rPr>
        <w:t>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դրությամբ,</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կազմել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է</w:t>
      </w:r>
      <w:r w:rsidRPr="000232DD">
        <w:rPr>
          <w:rFonts w:ascii="GHEA Grapalat" w:eastAsia="Times New Roman" w:hAnsi="GHEA Grapalat" w:cs="Times New Roman"/>
          <w:color w:val="auto"/>
          <w:lang w:val="es-ES"/>
        </w:rPr>
        <w:t xml:space="preserve"> 337.2 </w:t>
      </w:r>
      <w:r w:rsidRPr="000232DD">
        <w:rPr>
          <w:rFonts w:ascii="GHEA Grapalat" w:eastAsia="Times New Roman" w:hAnsi="GHEA Grapalat" w:cs="Times New Roman"/>
          <w:color w:val="auto"/>
          <w:lang w:val="hy-AM"/>
        </w:rPr>
        <w:t>մլրդ</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որը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նախորդ</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նույն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ժամանակահատվածի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համեմատ</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նվազել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է</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շուրջ</w:t>
      </w:r>
      <w:r w:rsidRPr="000232DD">
        <w:rPr>
          <w:rFonts w:ascii="GHEA Grapalat" w:eastAsia="Times New Roman" w:hAnsi="GHEA Grapalat" w:cs="Times New Roman"/>
          <w:color w:val="auto"/>
          <w:lang w:val="es-ES"/>
        </w:rPr>
        <w:t xml:space="preserve"> 2.3%-</w:t>
      </w:r>
      <w:r w:rsidRPr="000232DD">
        <w:rPr>
          <w:rFonts w:ascii="GHEA Grapalat" w:eastAsia="Times New Roman" w:hAnsi="GHEA Grapalat" w:cs="Times New Roman"/>
          <w:color w:val="auto"/>
          <w:lang w:val="hy-AM"/>
        </w:rPr>
        <w:t>ով</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ինչը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պայմանավորված</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է</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տրամադրված</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վարկերի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մարմամբ</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Հարկ</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է</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նշել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որ</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զուգահեռաբար</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նախորդ</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տարվա</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նույն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ժամանակահատվածի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համեմատ</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պորտֆելը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համալրվել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է</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նոր</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վարկերով՝</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միաժամանակ</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կրելով</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փոխարժեքի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տատանումները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նախորդ</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տարվա</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նույն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ժամանակահատվածի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նկատմամբ</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դրամի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փոքր</w:t>
      </w:r>
      <w:r w:rsidRPr="000232DD">
        <w:rPr>
          <w:rFonts w:ascii="GHEA Grapalat" w:eastAsia="Times New Roman" w:hAnsi="GHEA Grapalat" w:cs="Times New Roman"/>
          <w:color w:val="auto"/>
          <w:lang w:val="es-ES"/>
        </w:rPr>
        <w:t>-</w:t>
      </w:r>
      <w:r w:rsidRPr="000232DD">
        <w:rPr>
          <w:rFonts w:ascii="GHEA Grapalat" w:eastAsia="Times New Roman" w:hAnsi="GHEA Grapalat" w:cs="Times New Roman"/>
          <w:color w:val="auto"/>
          <w:lang w:val="hy-AM"/>
        </w:rPr>
        <w:t>ինչ</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արժևորում</w:t>
      </w:r>
      <w:r w:rsidRPr="000232DD">
        <w:rPr>
          <w:rFonts w:ascii="GHEA Grapalat" w:eastAsia="Times New Roman" w:hAnsi="GHEA Grapalat" w:cs="Times New Roman"/>
          <w:color w:val="auto"/>
          <w:lang w:val="es-ES"/>
        </w:rPr>
        <w:t xml:space="preserve">): </w:t>
      </w:r>
    </w:p>
    <w:p w14:paraId="62E6502D" w14:textId="77777777" w:rsidR="00802FF2" w:rsidRPr="000232DD" w:rsidRDefault="00802FF2" w:rsidP="00082769">
      <w:pPr>
        <w:spacing w:after="0" w:line="240" w:lineRule="auto"/>
        <w:ind w:right="-22"/>
        <w:jc w:val="both"/>
        <w:rPr>
          <w:rFonts w:ascii="GHEA Grapalat" w:eastAsia="Times New Roman" w:hAnsi="GHEA Grapalat" w:cs="Times New Roman"/>
          <w:color w:val="auto"/>
          <w:lang w:val="es-ES"/>
        </w:rPr>
      </w:pPr>
      <w:r w:rsidRPr="000232DD">
        <w:rPr>
          <w:rFonts w:ascii="GHEA Grapalat" w:eastAsia="Times New Roman" w:hAnsi="GHEA Grapalat" w:cs="Times New Roman"/>
          <w:color w:val="auto"/>
          <w:lang w:val="es-ES"/>
        </w:rPr>
        <w:t>2025</w:t>
      </w:r>
      <w:r w:rsidRPr="000232DD">
        <w:rPr>
          <w:rFonts w:ascii="GHEA Grapalat" w:eastAsia="Times New Roman" w:hAnsi="GHEA Grapalat" w:cs="Times New Roman"/>
          <w:color w:val="auto"/>
        </w:rPr>
        <w:t>թ</w:t>
      </w:r>
      <w:r w:rsidRPr="000232DD">
        <w:rPr>
          <w:rFonts w:ascii="GHEA Grapalat" w:eastAsia="Times New Roman" w:hAnsi="GHEA Grapalat" w:cs="Times New Roman"/>
          <w:color w:val="auto"/>
          <w:lang w:val="es-ES"/>
        </w:rPr>
        <w:t>.-</w:t>
      </w:r>
      <w:r w:rsidRPr="000232DD">
        <w:rPr>
          <w:rFonts w:ascii="GHEA Grapalat" w:eastAsia="Times New Roman" w:hAnsi="GHEA Grapalat" w:cs="Times New Roman"/>
          <w:color w:val="auto"/>
        </w:rPr>
        <w:t>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դեկտեմբերի</w:t>
      </w:r>
      <w:r w:rsidRPr="000232DD">
        <w:rPr>
          <w:rFonts w:ascii="GHEA Grapalat" w:eastAsia="Times New Roman" w:hAnsi="GHEA Grapalat" w:cs="Times New Roman"/>
          <w:color w:val="auto"/>
          <w:lang w:val="es-ES"/>
        </w:rPr>
        <w:t xml:space="preserve"> 31-</w:t>
      </w:r>
      <w:r w:rsidRPr="000232DD">
        <w:rPr>
          <w:rFonts w:ascii="GHEA Grapalat" w:eastAsia="Times New Roman" w:hAnsi="GHEA Grapalat" w:cs="Times New Roman"/>
          <w:color w:val="auto"/>
        </w:rPr>
        <w:t>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դրությամբ</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վարկային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պորտֆելի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գերակշիռ</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մասը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բաժին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է</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ընկել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էներգետիկայի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ոլորտին՝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կազմելով</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շուրջ</w:t>
      </w:r>
      <w:r w:rsidRPr="000232DD">
        <w:rPr>
          <w:rFonts w:ascii="GHEA Grapalat" w:eastAsia="Times New Roman" w:hAnsi="GHEA Grapalat" w:cs="Times New Roman"/>
          <w:color w:val="auto"/>
          <w:lang w:val="es-ES"/>
        </w:rPr>
        <w:t xml:space="preserve"> 64.8%, </w:t>
      </w:r>
      <w:r w:rsidRPr="000232DD">
        <w:rPr>
          <w:rFonts w:ascii="GHEA Grapalat" w:eastAsia="Times New Roman" w:hAnsi="GHEA Grapalat" w:cs="Times New Roman"/>
          <w:color w:val="auto"/>
        </w:rPr>
        <w:t>իսկ</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հանրագումարային՝</w:t>
      </w:r>
      <w:r w:rsidRPr="000232DD">
        <w:rPr>
          <w:rFonts w:ascii="GHEA Grapalat" w:eastAsia="Times New Roman" w:hAnsi="GHEA Grapalat" w:cs="Times New Roman"/>
          <w:color w:val="auto"/>
          <w:lang w:val="es-ES"/>
        </w:rPr>
        <w:t xml:space="preserve"> 218.5 </w:t>
      </w:r>
      <w:r w:rsidRPr="000232DD">
        <w:rPr>
          <w:rFonts w:ascii="GHEA Grapalat" w:eastAsia="Times New Roman" w:hAnsi="GHEA Grapalat" w:cs="Times New Roman"/>
          <w:color w:val="auto"/>
        </w:rPr>
        <w:t>մլրդ</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ՀՀ</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դրամ</w:t>
      </w:r>
      <w:r w:rsidRPr="000232DD">
        <w:rPr>
          <w:rFonts w:ascii="GHEA Grapalat" w:eastAsia="Times New Roman" w:hAnsi="GHEA Grapalat" w:cs="Times New Roman"/>
          <w:color w:val="auto"/>
          <w:lang w:val="es-ES"/>
        </w:rPr>
        <w:t>:</w:t>
      </w:r>
    </w:p>
    <w:p w14:paraId="389EB034" w14:textId="77777777" w:rsidR="00802FF2" w:rsidRPr="000232DD" w:rsidRDefault="00802FF2" w:rsidP="00082769">
      <w:pPr>
        <w:spacing w:after="0" w:line="240" w:lineRule="auto"/>
        <w:ind w:right="-22"/>
        <w:jc w:val="both"/>
        <w:rPr>
          <w:rFonts w:ascii="GHEA Grapalat" w:eastAsia="Times New Roman" w:hAnsi="GHEA Grapalat" w:cs="Times New Roman"/>
          <w:color w:val="auto"/>
          <w:lang w:val="es-ES"/>
        </w:rPr>
      </w:pPr>
      <w:r w:rsidRPr="000232DD">
        <w:rPr>
          <w:rFonts w:ascii="GHEA Grapalat" w:eastAsia="Times New Roman" w:hAnsi="GHEA Grapalat" w:cs="Times New Roman"/>
          <w:color w:val="auto"/>
          <w:lang w:val="hy-AM"/>
        </w:rPr>
        <w:t xml:space="preserve">Նույն ժամանակահատվածի համար </w:t>
      </w:r>
      <w:r w:rsidRPr="000232DD">
        <w:rPr>
          <w:rFonts w:ascii="GHEA Grapalat" w:eastAsia="Times New Roman" w:hAnsi="GHEA Grapalat" w:cs="Times New Roman"/>
          <w:color w:val="auto"/>
        </w:rPr>
        <w:t>ենթավարկային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պայմանագրերով</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տրամադրված</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վարկերը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կազմել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են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ընդհանուր</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պորտֆելի</w:t>
      </w:r>
      <w:r w:rsidRPr="000232DD">
        <w:rPr>
          <w:rFonts w:ascii="GHEA Grapalat" w:eastAsia="Times New Roman" w:hAnsi="GHEA Grapalat" w:cs="Times New Roman"/>
          <w:color w:val="auto"/>
          <w:lang w:val="es-ES"/>
        </w:rPr>
        <w:t xml:space="preserve"> 49.8%-</w:t>
      </w:r>
      <w:r w:rsidRPr="000232DD">
        <w:rPr>
          <w:rFonts w:ascii="GHEA Grapalat" w:eastAsia="Times New Roman" w:hAnsi="GHEA Grapalat" w:cs="Times New Roman"/>
          <w:color w:val="auto"/>
        </w:rPr>
        <w:t>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իսկ</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բյուջետային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վարկերը՝</w:t>
      </w:r>
      <w:r w:rsidRPr="000232DD">
        <w:rPr>
          <w:rFonts w:ascii="GHEA Grapalat" w:eastAsia="Times New Roman" w:hAnsi="GHEA Grapalat" w:cs="Times New Roman"/>
          <w:color w:val="auto"/>
          <w:lang w:val="es-ES"/>
        </w:rPr>
        <w:t xml:space="preserve"> 50.2%-</w:t>
      </w:r>
      <w:r w:rsidRPr="000232DD">
        <w:rPr>
          <w:rFonts w:ascii="GHEA Grapalat" w:eastAsia="Times New Roman" w:hAnsi="GHEA Grapalat" w:cs="Times New Roman"/>
          <w:color w:val="auto"/>
        </w:rPr>
        <w:t>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գծապատկեր</w:t>
      </w:r>
      <w:r w:rsidRPr="000232DD">
        <w:rPr>
          <w:rFonts w:ascii="GHEA Grapalat" w:eastAsia="Times New Roman" w:hAnsi="GHEA Grapalat" w:cs="Times New Roman"/>
          <w:color w:val="auto"/>
          <w:lang w:val="es-ES"/>
        </w:rPr>
        <w:t xml:space="preserve"> 6): </w:t>
      </w:r>
      <w:r w:rsidRPr="000232DD">
        <w:rPr>
          <w:rFonts w:ascii="GHEA Grapalat" w:eastAsia="Times New Roman" w:hAnsi="GHEA Grapalat" w:cs="Times New Roman"/>
          <w:color w:val="auto"/>
        </w:rPr>
        <w:t>Հատկանշական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է</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որ</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ՊՄԸ</w:t>
      </w:r>
      <w:r w:rsidRPr="000232DD">
        <w:rPr>
          <w:rFonts w:ascii="GHEA Grapalat" w:eastAsia="Times New Roman" w:hAnsi="GHEA Grapalat" w:cs="Times New Roman"/>
          <w:color w:val="auto"/>
          <w:lang w:val="es-ES"/>
        </w:rPr>
        <w:t>-</w:t>
      </w:r>
      <w:r w:rsidRPr="000232DD">
        <w:rPr>
          <w:rFonts w:ascii="GHEA Grapalat" w:eastAsia="Times New Roman" w:hAnsi="GHEA Grapalat" w:cs="Times New Roman"/>
          <w:color w:val="auto"/>
        </w:rPr>
        <w:t>ներին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տրամադրված</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վարկերի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մասնաբաժինը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վարկային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պորտֆելում</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կազմել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է</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շուրջ</w:t>
      </w:r>
      <w:r w:rsidRPr="000232DD">
        <w:rPr>
          <w:rFonts w:ascii="GHEA Grapalat" w:eastAsia="Times New Roman" w:hAnsi="GHEA Grapalat" w:cs="Times New Roman"/>
          <w:color w:val="auto"/>
          <w:lang w:val="es-ES"/>
        </w:rPr>
        <w:t xml:space="preserve"> 75.8%:</w:t>
      </w:r>
    </w:p>
    <w:p w14:paraId="3ADA9D46" w14:textId="77777777" w:rsidR="00802FF2" w:rsidRPr="000232DD" w:rsidRDefault="00802FF2" w:rsidP="00082769">
      <w:pPr>
        <w:spacing w:after="0" w:line="240" w:lineRule="auto"/>
        <w:ind w:right="-22"/>
        <w:jc w:val="both"/>
        <w:rPr>
          <w:rFonts w:ascii="GHEA Grapalat" w:eastAsia="Times New Roman" w:hAnsi="GHEA Grapalat" w:cs="Times New Roman"/>
          <w:b/>
          <w:color w:val="auto"/>
          <w:sz w:val="20"/>
          <w:szCs w:val="24"/>
          <w:lang w:val="es-ES"/>
        </w:rPr>
      </w:pPr>
    </w:p>
    <w:p w14:paraId="6FD04CDC" w14:textId="77777777" w:rsidR="00802FF2" w:rsidRPr="00A52417" w:rsidRDefault="00802FF2" w:rsidP="00082769">
      <w:pPr>
        <w:pStyle w:val="Charts"/>
        <w:ind w:right="-22"/>
        <w:rPr>
          <w:b w:val="0"/>
          <w:bCs/>
          <w:color w:val="auto"/>
          <w:sz w:val="20"/>
          <w:szCs w:val="18"/>
        </w:rPr>
      </w:pPr>
      <w:r w:rsidRPr="00A52417">
        <w:rPr>
          <w:b w:val="0"/>
          <w:bCs/>
          <w:color w:val="auto"/>
          <w:sz w:val="20"/>
          <w:szCs w:val="18"/>
        </w:rPr>
        <w:t>Գծապատկեր 6. Վարկային պորտֆելի տարանջատումը ըստ բյուջետային վարկերի և ենթավարկերի</w:t>
      </w:r>
    </w:p>
    <w:p w14:paraId="25218A3C" w14:textId="77777777" w:rsidR="00802FF2" w:rsidRPr="000232DD" w:rsidRDefault="00802FF2" w:rsidP="00082769">
      <w:pPr>
        <w:spacing w:after="200"/>
        <w:ind w:right="-22"/>
        <w:jc w:val="center"/>
        <w:rPr>
          <w:rFonts w:ascii="GHEA Grapalat" w:eastAsia="Times New Roman" w:hAnsi="GHEA Grapalat" w:cs="Times New Roman"/>
          <w:b/>
          <w:i/>
          <w:color w:val="auto"/>
          <w:lang w:val="hy-AM"/>
        </w:rPr>
      </w:pPr>
      <w:r w:rsidRPr="000232DD">
        <w:rPr>
          <w:rFonts w:ascii="GHEA Grapalat" w:eastAsia="Times New Roman" w:hAnsi="GHEA Grapalat" w:cs="Times New Roman"/>
          <w:noProof/>
          <w:color w:val="auto"/>
        </w:rPr>
        <w:drawing>
          <wp:inline distT="0" distB="0" distL="0" distR="0" wp14:anchorId="08C69B5D" wp14:editId="4642E6DF">
            <wp:extent cx="4433358" cy="2587625"/>
            <wp:effectExtent l="0" t="0" r="5715" b="3175"/>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12C0F272"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Վարկային պորտֆելի դինամիկայի վերաբերյալ պատկերացում կազմելու համար ստորև՝ Գծապատկեր 7–ում, ներկայացնենք վերջինիս տեսակարար կշիռը ՀՆԱ-ում՝ վերջին տարիների կտրվածքով:</w:t>
      </w:r>
    </w:p>
    <w:p w14:paraId="0F21C04E" w14:textId="77777777" w:rsidR="00802FF2" w:rsidRPr="000232DD" w:rsidRDefault="00802FF2" w:rsidP="00082769">
      <w:pPr>
        <w:spacing w:after="0"/>
        <w:ind w:right="-22"/>
        <w:jc w:val="both"/>
        <w:rPr>
          <w:rFonts w:ascii="GHEA Grapalat" w:eastAsia="Times New Roman" w:hAnsi="GHEA Grapalat" w:cs="Times New Roman"/>
          <w:color w:val="auto"/>
          <w:lang w:val="hy-AM"/>
        </w:rPr>
      </w:pPr>
    </w:p>
    <w:p w14:paraId="1CDB2F5A" w14:textId="77777777" w:rsidR="00802FF2" w:rsidRPr="00A52417" w:rsidRDefault="00802FF2" w:rsidP="00A52417">
      <w:pPr>
        <w:pStyle w:val="Charts"/>
        <w:ind w:right="-22"/>
        <w:rPr>
          <w:b w:val="0"/>
          <w:bCs/>
          <w:color w:val="auto"/>
          <w:sz w:val="20"/>
          <w:szCs w:val="18"/>
        </w:rPr>
      </w:pPr>
      <w:r w:rsidRPr="00A52417">
        <w:rPr>
          <w:b w:val="0"/>
          <w:bCs/>
          <w:color w:val="auto"/>
          <w:sz w:val="20"/>
          <w:szCs w:val="18"/>
        </w:rPr>
        <w:t>Գ</w:t>
      </w:r>
      <w:r w:rsidRPr="00A52417">
        <w:rPr>
          <w:bCs/>
          <w:sz w:val="20"/>
          <w:szCs w:val="18"/>
        </w:rPr>
        <w:t>ծապատկեր 7. Վարկային պորտֆելը և վերջինիս կշիռը ՀՆԱ-ում (մլրդ, %)</w:t>
      </w:r>
    </w:p>
    <w:p w14:paraId="1FB46052" w14:textId="77777777" w:rsidR="00802FF2" w:rsidRPr="000232DD" w:rsidRDefault="00802FF2" w:rsidP="00082769">
      <w:pPr>
        <w:spacing w:line="240" w:lineRule="auto"/>
        <w:ind w:right="-22"/>
        <w:rPr>
          <w:rFonts w:ascii="GHEA Grapalat" w:eastAsia="Times New Roman" w:hAnsi="GHEA Grapalat" w:cs="Times New Roman"/>
          <w:i/>
          <w:color w:val="auto"/>
          <w:lang w:val="hy-AM"/>
        </w:rPr>
      </w:pPr>
      <w:r w:rsidRPr="000232DD">
        <w:rPr>
          <w:rFonts w:ascii="GHEA Grapalat" w:eastAsia="Times New Roman" w:hAnsi="GHEA Grapalat" w:cs="Times New Roman"/>
          <w:i/>
          <w:color w:val="auto"/>
          <w:lang w:val="hy-AM"/>
        </w:rPr>
        <w:t xml:space="preserve">     </w:t>
      </w:r>
      <w:r w:rsidRPr="000232DD">
        <w:rPr>
          <w:rFonts w:ascii="GHEA Grapalat" w:eastAsia="Times New Roman" w:hAnsi="GHEA Grapalat" w:cs="Times New Roman"/>
          <w:noProof/>
          <w:color w:val="auto"/>
        </w:rPr>
        <w:drawing>
          <wp:inline distT="0" distB="0" distL="0" distR="0" wp14:anchorId="0F9FD9AC" wp14:editId="026E5B1A">
            <wp:extent cx="6115050" cy="2906197"/>
            <wp:effectExtent l="0" t="0" r="0" b="8890"/>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65DFEE59" w14:textId="77777777" w:rsidR="00802FF2" w:rsidRPr="000232DD" w:rsidRDefault="00802FF2" w:rsidP="00082769">
      <w:pPr>
        <w:spacing w:line="240" w:lineRule="auto"/>
        <w:ind w:right="-22"/>
        <w:rPr>
          <w:rFonts w:ascii="GHEA Grapalat" w:eastAsia="Times New Roman" w:hAnsi="GHEA Grapalat" w:cs="Times New Roman"/>
          <w:i/>
          <w:color w:val="auto"/>
          <w:lang w:val="hy-AM"/>
        </w:rPr>
      </w:pPr>
    </w:p>
    <w:p w14:paraId="5AC7ADE3" w14:textId="77777777" w:rsidR="00802FF2" w:rsidRPr="000232DD" w:rsidRDefault="00802FF2" w:rsidP="00082769">
      <w:pPr>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Ինչպես տեսանելի է գծապատկերից, դիտարկվող տարիներին առավելագույն վարկային պորտֆելի չափն արձանագրվել է 2020թ.-ին՝ 523.4 մլրդ ՀՀ դրամ, որը հետևանք է համավարակի ֆոնին տնտեսական ծրագրերի իրականացման նպատակով տրամադրված նոր վարկերի, ինչպես նաև տվյալ տարում արտարժույթի փոխարժեքի դեպի վեր տատանման: Միևնույն ժամանակ, վերջինիս կշիռը ՀՆԱ-ում կազմել է 8.47%: Հարկ է նշել, որ վերջին տարիների վարկային պորտֆելի նվազումը մեծամասամբ պայմանավորված է դրամի արժևորմամբ, իսկ 2025թ.-ին՝ նաև տրամադրված որոշ վարկերի մարմամբ:</w:t>
      </w:r>
    </w:p>
    <w:p w14:paraId="3966CA56" w14:textId="2281D1FB" w:rsidR="00802FF2" w:rsidRDefault="00802FF2" w:rsidP="00082769">
      <w:pPr>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2025թ.-ի դեկտեմբերի 31-ի դրությամբ ընդհանուր վարկային պորտֆելում ՀՀ դրամով տրամադրված վարկերը կազմել են 48.5% կամ 163.6 մլրդ ՀՀ դրամ, ԱՄՆ դոլարով` 23.2% կամ 78.2 մլրդ ՀՀ դրամ, եվրոյով` 13.3% կամ 44.9 մլրդ ՀՀ դրամ, ճապոնական իենով` 13% կամ 44 մլրդ ՀՀ դրամ, հատուկ փոխառության իրավունքով (ՀՓԻ) տրամադրված վարկերը՝ 2% կամ 6.6 մլրդ ՀՀ դրամ (Գծապատկեր 8):</w:t>
      </w:r>
    </w:p>
    <w:p w14:paraId="696141EE" w14:textId="0A0E7A8C" w:rsidR="00760928" w:rsidRDefault="00760928" w:rsidP="00082769">
      <w:pPr>
        <w:ind w:right="-22"/>
        <w:jc w:val="both"/>
        <w:rPr>
          <w:rFonts w:ascii="GHEA Grapalat" w:eastAsia="Times New Roman" w:hAnsi="GHEA Grapalat" w:cs="Times New Roman"/>
          <w:color w:val="auto"/>
          <w:lang w:val="hy-AM"/>
        </w:rPr>
      </w:pPr>
    </w:p>
    <w:p w14:paraId="68800C65" w14:textId="6B500538" w:rsidR="00760928" w:rsidRDefault="00760928" w:rsidP="00082769">
      <w:pPr>
        <w:ind w:right="-22"/>
        <w:jc w:val="both"/>
        <w:rPr>
          <w:rFonts w:ascii="GHEA Grapalat" w:eastAsia="Times New Roman" w:hAnsi="GHEA Grapalat" w:cs="Times New Roman"/>
          <w:color w:val="auto"/>
          <w:lang w:val="hy-AM"/>
        </w:rPr>
      </w:pPr>
    </w:p>
    <w:p w14:paraId="77E53219" w14:textId="16083EBB" w:rsidR="00760928" w:rsidRDefault="00760928" w:rsidP="00082769">
      <w:pPr>
        <w:ind w:right="-22"/>
        <w:jc w:val="both"/>
        <w:rPr>
          <w:rFonts w:ascii="GHEA Grapalat" w:eastAsia="Times New Roman" w:hAnsi="GHEA Grapalat" w:cs="Times New Roman"/>
          <w:color w:val="auto"/>
          <w:lang w:val="hy-AM"/>
        </w:rPr>
      </w:pPr>
    </w:p>
    <w:p w14:paraId="555B5822" w14:textId="5482EDA7" w:rsidR="00760928" w:rsidRDefault="00760928" w:rsidP="00082769">
      <w:pPr>
        <w:ind w:right="-22"/>
        <w:jc w:val="both"/>
        <w:rPr>
          <w:rFonts w:ascii="GHEA Grapalat" w:eastAsia="Times New Roman" w:hAnsi="GHEA Grapalat" w:cs="Times New Roman"/>
          <w:color w:val="auto"/>
          <w:lang w:val="hy-AM"/>
        </w:rPr>
      </w:pPr>
    </w:p>
    <w:p w14:paraId="3DE415AE" w14:textId="77777777" w:rsidR="00760928" w:rsidRPr="000232DD" w:rsidRDefault="00760928" w:rsidP="00082769">
      <w:pPr>
        <w:ind w:right="-22"/>
        <w:jc w:val="both"/>
        <w:rPr>
          <w:rFonts w:ascii="GHEA Grapalat" w:eastAsia="Times New Roman" w:hAnsi="GHEA Grapalat" w:cs="Times New Roman"/>
          <w:color w:val="auto"/>
          <w:lang w:val="hy-AM"/>
        </w:rPr>
      </w:pPr>
    </w:p>
    <w:p w14:paraId="376D1C29" w14:textId="77777777" w:rsidR="00802FF2" w:rsidRPr="00A52417" w:rsidRDefault="00802FF2" w:rsidP="00082769">
      <w:pPr>
        <w:pStyle w:val="Charts"/>
        <w:ind w:right="-22"/>
        <w:rPr>
          <w:b w:val="0"/>
          <w:bCs/>
          <w:color w:val="auto"/>
          <w:sz w:val="20"/>
          <w:szCs w:val="18"/>
        </w:rPr>
      </w:pPr>
      <w:r w:rsidRPr="00A52417">
        <w:rPr>
          <w:b w:val="0"/>
          <w:bCs/>
          <w:color w:val="auto"/>
          <w:sz w:val="20"/>
          <w:szCs w:val="18"/>
        </w:rPr>
        <w:t>Գծապատկեր 8. Վարկային պորտֆելի արժութային կազմը, %</w:t>
      </w:r>
    </w:p>
    <w:p w14:paraId="6FDE1F58" w14:textId="77777777" w:rsidR="00802FF2" w:rsidRPr="000232DD" w:rsidRDefault="00802FF2" w:rsidP="00082769">
      <w:pPr>
        <w:spacing w:after="0"/>
        <w:ind w:right="-22"/>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 xml:space="preserve">                           </w:t>
      </w:r>
      <w:r w:rsidRPr="000232DD">
        <w:rPr>
          <w:rFonts w:ascii="GHEA Grapalat" w:eastAsia="Times New Roman" w:hAnsi="GHEA Grapalat" w:cs="Times New Roman"/>
          <w:noProof/>
          <w:color w:val="auto"/>
        </w:rPr>
        <w:drawing>
          <wp:inline distT="0" distB="0" distL="0" distR="0" wp14:anchorId="5EA9B016" wp14:editId="2ED52C50">
            <wp:extent cx="4124325" cy="2133600"/>
            <wp:effectExtent l="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r w:rsidRPr="000232DD">
        <w:rPr>
          <w:rFonts w:ascii="GHEA Grapalat" w:eastAsia="Times New Roman" w:hAnsi="GHEA Grapalat" w:cs="Times New Roman"/>
          <w:color w:val="auto"/>
          <w:lang w:val="hy-AM"/>
        </w:rPr>
        <w:t xml:space="preserve"> </w:t>
      </w:r>
    </w:p>
    <w:p w14:paraId="376553A1"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Վարկային պորտֆելի՝ արժութային ռիսկին ենթարկվածության աստիճանը գնահատվում է բավականին բարձր, քանի որ տրամադրված վարկերի գերակշիռ մասը՝ 51.5%-ը, արտարժույթով են, իսկ վարկառուների եկամուտները՝ հիմնականում ՀՀ դրամով:</w:t>
      </w:r>
    </w:p>
    <w:p w14:paraId="45460741"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Վարկային պորտֆելի՝ տոկոսադրույքի ռիսկին ենթարկվածության աստիճանը գնահատելու համար ներկայացվում է փոփոխվող տոկոսադրույքով վարկերի տեսակարար կշիռը վարկային պորտֆելում՝ վերջին տարիների կտրվածքով (Գծապատկեր 9):</w:t>
      </w:r>
    </w:p>
    <w:p w14:paraId="2A911232" w14:textId="77777777" w:rsidR="00802FF2" w:rsidRPr="00A52417" w:rsidRDefault="00802FF2" w:rsidP="00082769">
      <w:pPr>
        <w:pStyle w:val="Charts"/>
        <w:ind w:right="-22"/>
        <w:rPr>
          <w:b w:val="0"/>
          <w:bCs/>
          <w:color w:val="auto"/>
          <w:sz w:val="20"/>
          <w:szCs w:val="18"/>
        </w:rPr>
      </w:pPr>
      <w:r w:rsidRPr="00A52417">
        <w:rPr>
          <w:b w:val="0"/>
          <w:bCs/>
          <w:color w:val="auto"/>
          <w:sz w:val="20"/>
          <w:szCs w:val="18"/>
        </w:rPr>
        <w:t>Գծապատկեր 9. Փոփոխվող տոկոսադրույքով վարկերը և վերջիններիս տեսակարար կշիռը վարկային պորտֆելում (մլրդ, %)</w:t>
      </w:r>
    </w:p>
    <w:p w14:paraId="1A73C9E1" w14:textId="77777777" w:rsidR="00802FF2" w:rsidRPr="000232DD" w:rsidRDefault="00802FF2" w:rsidP="00082769">
      <w:pPr>
        <w:spacing w:after="0"/>
        <w:ind w:right="-22"/>
        <w:jc w:val="center"/>
        <w:rPr>
          <w:rFonts w:ascii="GHEA Grapalat" w:eastAsia="Times New Roman" w:hAnsi="GHEA Grapalat" w:cs="Times New Roman"/>
          <w:i/>
          <w:color w:val="auto"/>
          <w:sz w:val="20"/>
          <w:szCs w:val="20"/>
          <w:lang w:val="hy-AM"/>
        </w:rPr>
      </w:pPr>
      <w:r w:rsidRPr="000232DD">
        <w:rPr>
          <w:rFonts w:ascii="GHEA Grapalat" w:eastAsia="Times New Roman" w:hAnsi="GHEA Grapalat" w:cs="Times New Roman"/>
          <w:noProof/>
          <w:color w:val="auto"/>
        </w:rPr>
        <w:drawing>
          <wp:inline distT="0" distB="0" distL="0" distR="0" wp14:anchorId="4311CE42" wp14:editId="1D22819C">
            <wp:extent cx="6115050" cy="3079907"/>
            <wp:effectExtent l="0" t="0" r="0" b="6350"/>
            <wp:docPr id="1545876416" name="Chart 1545876416"/>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14:paraId="67147BAD" w14:textId="089B481C"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Գծապատկերից նկատելի է, որ վարկային պորտֆե</w:t>
      </w:r>
      <w:r w:rsidR="00B75923">
        <w:rPr>
          <w:rFonts w:ascii="GHEA Grapalat" w:eastAsia="Times New Roman" w:hAnsi="GHEA Grapalat" w:cs="Times New Roman"/>
          <w:color w:val="auto"/>
          <w:lang w:val="hy-AM"/>
        </w:rPr>
        <w:t>լի՝ տոկոսադրույքի ռիսկին ենթարկ</w:t>
      </w:r>
      <w:r w:rsidRPr="000232DD">
        <w:rPr>
          <w:rFonts w:ascii="GHEA Grapalat" w:eastAsia="Times New Roman" w:hAnsi="GHEA Grapalat" w:cs="Times New Roman"/>
          <w:color w:val="auto"/>
          <w:lang w:val="hy-AM"/>
        </w:rPr>
        <w:t>վածության աստիճանը ցածր է: 2020թ. փոփոխվող տոկոսադրույքով վարկերի բացարձակ մեծությունը արձանագրվել է առավելագույնը դիտարկվող ժամանակահատվածում, սակայն, ի հակադրություն դրան, տեսակարար կշիռը նվազել է, ինչը հետևանք է վարկային պորտֆելի ավելի առաջանցիկ աճի տեմպի, որի հիմնական պատճառներ են հանդիսացել թե՛ համավարակի ֆոնին տրամադրված վարկերը, թե՛ արտարժույթի զգալի տատանումները: 2022-2023թթ. ցուցանիշի աճը պայմանավորված է վարկային պորտֆելի նվազմամբ (վարկերի մայր գումարի մարում) և միևնույն ժամանակ փոփոխվող տոկոսադրույքով վարկերի աճով (փոփոխվող տոկոսադրույքով վարկերի աճ, արտարժույթի արժևորում): 2024–2025թթ</w:t>
      </w:r>
      <w:r w:rsidRPr="000232DD">
        <w:rPr>
          <w:rFonts w:ascii="Cambria Math" w:eastAsia="Times New Roman" w:hAnsi="Cambria Math" w:cs="Cambria Math"/>
          <w:color w:val="auto"/>
          <w:lang w:val="hy-AM"/>
        </w:rPr>
        <w:t>․</w:t>
      </w:r>
      <w:r w:rsidRPr="000232DD">
        <w:rPr>
          <w:rFonts w:ascii="GHEA Grapalat" w:eastAsia="Times New Roman" w:hAnsi="GHEA Grapalat" w:cs="Times New Roman"/>
          <w:color w:val="auto"/>
          <w:lang w:val="hy-AM"/>
        </w:rPr>
        <w:t xml:space="preserve"> փոփոխվող տոկոսադրույքով վարկերի տեսակարար կշիռը վարկային պորտֆելում նվազել է՝ 22.9%-ից հասնելով 19.5%-ի։ Նվազումը պայմանավորված է ինչպես փոփոխվող տոկոսադրույքով վարկերի ծավալի կրճատմամբ, այնպես էլ վարկային պորտֆելի ընդհանուր նվազմամբ:</w:t>
      </w:r>
    </w:p>
    <w:p w14:paraId="17D98BDE"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Հաշվի առնելով, որ բյուջետային վարկերը տրամադրվել են փոփոխվող և ֆիքսված տոկոսադրույքներով՝ ստորև ներկայացվում է ֆիքսված տոկոսադրույքով տրամադրված բյուջետային վարկերի միջին տոկոսադրույքների (ՀՀ դրամ, ԱՄՆ դոլար) դինամիկան՝ բանկային վարկերի միջին տոկոսադրույքների (ՀՀ դրամ, ԱՄՆ դոլար)</w:t>
      </w:r>
      <w:r w:rsidRPr="000232DD">
        <w:rPr>
          <w:rFonts w:ascii="GHEA Grapalat" w:eastAsia="Times New Roman" w:hAnsi="GHEA Grapalat" w:cs="Times New Roman"/>
          <w:color w:val="auto"/>
          <w:vertAlign w:val="superscript"/>
          <w:lang w:val="hy-AM"/>
        </w:rPr>
        <w:footnoteReference w:id="34"/>
      </w:r>
      <w:r w:rsidRPr="000232DD">
        <w:rPr>
          <w:rFonts w:ascii="GHEA Grapalat" w:eastAsia="Times New Roman" w:hAnsi="GHEA Grapalat" w:cs="Times New Roman"/>
          <w:color w:val="auto"/>
          <w:lang w:val="hy-AM"/>
        </w:rPr>
        <w:t xml:space="preserve"> համեմատությամբ և վերաֆինանսավորման տոկոսադրույքի համադրությամբ:</w:t>
      </w:r>
    </w:p>
    <w:p w14:paraId="0FD78C55" w14:textId="77777777" w:rsidR="00802FF2" w:rsidRPr="000232DD" w:rsidRDefault="00802FF2" w:rsidP="00082769">
      <w:pPr>
        <w:spacing w:before="0" w:after="160" w:line="259" w:lineRule="auto"/>
        <w:ind w:right="-22"/>
        <w:rPr>
          <w:rFonts w:ascii="GHEA Grapalat" w:eastAsia="Times New Roman" w:hAnsi="GHEA Grapalat" w:cs="Times New Roman"/>
          <w:color w:val="auto"/>
          <w:lang w:val="hy-AM"/>
        </w:rPr>
      </w:pPr>
    </w:p>
    <w:p w14:paraId="5B2F53B2" w14:textId="77777777" w:rsidR="00802FF2" w:rsidRPr="00A52417" w:rsidRDefault="00802FF2" w:rsidP="00082769">
      <w:pPr>
        <w:pStyle w:val="Charts"/>
        <w:ind w:right="-22"/>
        <w:rPr>
          <w:b w:val="0"/>
          <w:bCs/>
          <w:color w:val="auto"/>
          <w:sz w:val="20"/>
          <w:szCs w:val="18"/>
        </w:rPr>
      </w:pPr>
      <w:r w:rsidRPr="00A52417">
        <w:rPr>
          <w:b w:val="0"/>
          <w:bCs/>
          <w:color w:val="auto"/>
          <w:sz w:val="20"/>
          <w:szCs w:val="18"/>
        </w:rPr>
        <w:t>Գծապատկեր 10. Ֆիքսված տոկոսադրույքով տրամադրված վարկերի ընդհանուր պորտֆելի միջին տոկոսադրույքների դինամիկան՝ ֆինանսական համակարգի տոկոսադրույքների համադրությամբ (%)</w:t>
      </w:r>
    </w:p>
    <w:p w14:paraId="41AAC40F" w14:textId="77777777" w:rsidR="00802FF2" w:rsidRPr="000232DD" w:rsidRDefault="00802FF2" w:rsidP="00082769">
      <w:pPr>
        <w:spacing w:line="240" w:lineRule="auto"/>
        <w:ind w:right="-22"/>
        <w:jc w:val="center"/>
        <w:rPr>
          <w:rFonts w:ascii="GHEA Grapalat" w:eastAsia="Times New Roman" w:hAnsi="GHEA Grapalat" w:cs="Times New Roman"/>
          <w:color w:val="auto"/>
          <w:sz w:val="24"/>
          <w:szCs w:val="24"/>
          <w:lang w:val="hy-AM"/>
        </w:rPr>
      </w:pPr>
      <w:r w:rsidRPr="000232DD">
        <w:rPr>
          <w:rFonts w:ascii="GHEA Grapalat" w:eastAsia="Times New Roman" w:hAnsi="GHEA Grapalat" w:cs="Times New Roman"/>
          <w:noProof/>
          <w:color w:val="auto"/>
        </w:rPr>
        <w:drawing>
          <wp:inline distT="0" distB="0" distL="0" distR="0" wp14:anchorId="4FD30A06" wp14:editId="6E34658A">
            <wp:extent cx="6115050" cy="3138283"/>
            <wp:effectExtent l="0" t="0" r="0" b="508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14:paraId="4F30389C"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 xml:space="preserve">Գծապատկերից նկատելի է, որ մինչև 2023թ. վերաֆինանսավորման տոկոսադրույքի դեպի վեր փոփոխությանը համընթաց փոփոխվել են նաև ֆինանսական շուկայի միջին տոկոսադրույքները, իսկ բյուջետային վարկերի միջին տոկոսադրույքները դիտարկվող ժամանակահատվածում էական փոփոխությունների չեն ենթարկվել: </w:t>
      </w:r>
    </w:p>
    <w:p w14:paraId="07F88541"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2025թ.-ի դեկտեմբերի 31-ի դրությամբ պետության կողմից տրամադրված վարկերի 57%-ն ապահովված են գրավով (անշարժ և շարժական գույք, հասարակ մուրհակներ, ակտիվներ և այլն), իսկ 43%-ը կազմում են գրավով չապահովված վարկերը: Չապահովված վարկերի շուրջ 45.8%-ը բաժին է ընկնում ՊՄԸ-ներին:</w:t>
      </w:r>
    </w:p>
    <w:p w14:paraId="641CB427" w14:textId="77777777" w:rsidR="00802FF2" w:rsidRPr="00A52417" w:rsidRDefault="00802FF2" w:rsidP="00082769">
      <w:pPr>
        <w:pStyle w:val="Charts"/>
        <w:ind w:right="-22"/>
        <w:rPr>
          <w:b w:val="0"/>
          <w:bCs/>
          <w:color w:val="auto"/>
          <w:sz w:val="20"/>
          <w:szCs w:val="18"/>
        </w:rPr>
      </w:pPr>
      <w:r w:rsidRPr="00A52417">
        <w:rPr>
          <w:b w:val="0"/>
          <w:bCs/>
          <w:color w:val="auto"/>
          <w:sz w:val="20"/>
          <w:szCs w:val="18"/>
        </w:rPr>
        <w:t>Գծապատկեր 11. Բյուջետային վարկերի տարանջատումն՝ ըստ ապահովվածության</w:t>
      </w:r>
    </w:p>
    <w:p w14:paraId="3C381615" w14:textId="77777777" w:rsidR="00802FF2" w:rsidRPr="000232DD" w:rsidRDefault="00802FF2" w:rsidP="00082769">
      <w:pPr>
        <w:spacing w:line="240" w:lineRule="auto"/>
        <w:ind w:right="-22"/>
        <w:jc w:val="center"/>
        <w:rPr>
          <w:rFonts w:ascii="GHEA Grapalat" w:eastAsia="Times New Roman" w:hAnsi="GHEA Grapalat" w:cs="Times New Roman"/>
          <w:color w:val="auto"/>
          <w:sz w:val="24"/>
          <w:szCs w:val="24"/>
          <w:lang w:val="hy-AM"/>
        </w:rPr>
      </w:pPr>
      <w:r w:rsidRPr="000232DD">
        <w:rPr>
          <w:rFonts w:ascii="GHEA Grapalat" w:eastAsia="Times New Roman" w:hAnsi="GHEA Grapalat" w:cs="Times New Roman"/>
          <w:noProof/>
          <w:color w:val="auto"/>
        </w:rPr>
        <w:drawing>
          <wp:inline distT="0" distB="0" distL="0" distR="0" wp14:anchorId="6B284568" wp14:editId="02FBA4BD">
            <wp:extent cx="4524375" cy="2124075"/>
            <wp:effectExtent l="0" t="0" r="952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14:paraId="4EB3FC45"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2025թ.-ի դեկտեմբերի 31-ի դրությամբ վարկային պորտֆելի կենտրոնացվածության մասին պատկերացում կազմելու նպատակով թվով 54 վարկառուներից առանձնացվել են խոշոր վարկառուները (Աղյուսակ 4):</w:t>
      </w:r>
    </w:p>
    <w:p w14:paraId="69E1B855" w14:textId="038BA54C" w:rsidR="00802FF2" w:rsidRPr="00A52417" w:rsidRDefault="00802FF2" w:rsidP="00A52417">
      <w:pPr>
        <w:pStyle w:val="Charts"/>
        <w:ind w:right="-22"/>
        <w:rPr>
          <w:b w:val="0"/>
          <w:bCs/>
          <w:color w:val="auto"/>
          <w:sz w:val="20"/>
          <w:szCs w:val="18"/>
        </w:rPr>
      </w:pPr>
      <w:r w:rsidRPr="00A52417">
        <w:rPr>
          <w:b w:val="0"/>
          <w:bCs/>
          <w:color w:val="auto"/>
          <w:sz w:val="20"/>
          <w:szCs w:val="18"/>
        </w:rPr>
        <w:t>Աղյուսակ 4. Վարկային պորտֆելի 10 խոշոր վարկառուները</w:t>
      </w:r>
    </w:p>
    <w:tbl>
      <w:tblPr>
        <w:tblpPr w:leftFromText="180" w:rightFromText="180" w:vertAnchor="text" w:horzAnchor="margin" w:tblpY="249"/>
        <w:tblW w:w="9530" w:type="dxa"/>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ook w:val="04A0" w:firstRow="1" w:lastRow="0" w:firstColumn="1" w:lastColumn="0" w:noHBand="0" w:noVBand="1"/>
      </w:tblPr>
      <w:tblGrid>
        <w:gridCol w:w="3770"/>
        <w:gridCol w:w="1530"/>
        <w:gridCol w:w="2070"/>
        <w:gridCol w:w="2160"/>
      </w:tblGrid>
      <w:tr w:rsidR="004C0C21" w:rsidRPr="001A2654" w14:paraId="3764467E" w14:textId="77777777" w:rsidTr="001226F0">
        <w:trPr>
          <w:trHeight w:val="354"/>
        </w:trPr>
        <w:tc>
          <w:tcPr>
            <w:tcW w:w="3770" w:type="dxa"/>
            <w:shd w:val="clear" w:color="auto" w:fill="DAE9F7" w:themeFill="text2" w:themeFillTint="1A"/>
            <w:noWrap/>
            <w:hideMark/>
          </w:tcPr>
          <w:p w14:paraId="136989D8" w14:textId="77777777" w:rsidR="00802FF2" w:rsidRPr="001A2654" w:rsidRDefault="00802FF2" w:rsidP="00082769">
            <w:pPr>
              <w:spacing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Վարկառու</w:t>
            </w:r>
          </w:p>
        </w:tc>
        <w:tc>
          <w:tcPr>
            <w:tcW w:w="1530" w:type="dxa"/>
            <w:shd w:val="clear" w:color="auto" w:fill="DAE9F7" w:themeFill="text2" w:themeFillTint="1A"/>
            <w:noWrap/>
            <w:hideMark/>
          </w:tcPr>
          <w:p w14:paraId="52D9EBB3" w14:textId="77777777" w:rsidR="00802FF2" w:rsidRPr="001A2654" w:rsidRDefault="00802FF2" w:rsidP="00082769">
            <w:pPr>
              <w:spacing w:line="240" w:lineRule="auto"/>
              <w:ind w:right="-22"/>
              <w:jc w:val="center"/>
              <w:rPr>
                <w:rFonts w:ascii="GHEA Grapalat" w:eastAsia="Times New Roman" w:hAnsi="GHEA Grapalat" w:cs="Times New Roman"/>
                <w:b/>
                <w:color w:val="auto"/>
                <w:sz w:val="20"/>
                <w:szCs w:val="20"/>
              </w:rPr>
            </w:pPr>
          </w:p>
        </w:tc>
        <w:tc>
          <w:tcPr>
            <w:tcW w:w="2070" w:type="dxa"/>
            <w:shd w:val="clear" w:color="auto" w:fill="DAE9F7" w:themeFill="text2" w:themeFillTint="1A"/>
            <w:noWrap/>
            <w:hideMark/>
          </w:tcPr>
          <w:p w14:paraId="0D340FC4" w14:textId="3A47600A" w:rsidR="00802FF2" w:rsidRPr="00821159" w:rsidRDefault="00802FF2" w:rsidP="00223757">
            <w:pPr>
              <w:spacing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Վարկի չափ</w:t>
            </w:r>
            <w:r w:rsidR="00821159">
              <w:rPr>
                <w:rFonts w:ascii="GHEA Grapalat" w:eastAsia="Times New Roman" w:hAnsi="GHEA Grapalat" w:cs="Times New Roman"/>
                <w:b/>
                <w:color w:val="auto"/>
                <w:sz w:val="20"/>
                <w:szCs w:val="20"/>
                <w:lang w:val="hy-AM"/>
              </w:rPr>
              <w:t xml:space="preserve"> </w:t>
            </w:r>
            <w:r w:rsidR="00821159">
              <w:rPr>
                <w:rFonts w:ascii="GHEA Grapalat" w:eastAsia="Times New Roman" w:hAnsi="GHEA Grapalat" w:cs="Times New Roman"/>
                <w:b/>
                <w:color w:val="auto"/>
                <w:sz w:val="20"/>
                <w:szCs w:val="20"/>
              </w:rPr>
              <w:t>(</w:t>
            </w:r>
            <w:r w:rsidR="00821159">
              <w:rPr>
                <w:rFonts w:ascii="GHEA Grapalat" w:eastAsia="Times New Roman" w:hAnsi="GHEA Grapalat" w:cs="Times New Roman"/>
                <w:b/>
                <w:color w:val="auto"/>
                <w:sz w:val="20"/>
                <w:szCs w:val="20"/>
                <w:lang w:val="hy-AM"/>
              </w:rPr>
              <w:t>մլրդ</w:t>
            </w:r>
            <w:r w:rsidR="00223757" w:rsidRPr="001A2654">
              <w:rPr>
                <w:rFonts w:ascii="GHEA Grapalat" w:eastAsia="Times New Roman" w:hAnsi="GHEA Grapalat" w:cs="Times New Roman"/>
                <w:b/>
                <w:color w:val="auto"/>
                <w:sz w:val="20"/>
                <w:szCs w:val="20"/>
              </w:rPr>
              <w:t xml:space="preserve"> ՀՀ</w:t>
            </w:r>
            <w:r w:rsidR="00223757">
              <w:rPr>
                <w:rFonts w:ascii="GHEA Grapalat" w:eastAsia="Times New Roman" w:hAnsi="GHEA Grapalat" w:cs="Times New Roman"/>
                <w:b/>
                <w:color w:val="auto"/>
                <w:sz w:val="20"/>
                <w:szCs w:val="20"/>
              </w:rPr>
              <w:t xml:space="preserve"> </w:t>
            </w:r>
            <w:r w:rsidR="00821159">
              <w:rPr>
                <w:rFonts w:ascii="GHEA Grapalat" w:eastAsia="Times New Roman" w:hAnsi="GHEA Grapalat" w:cs="Times New Roman"/>
                <w:b/>
                <w:color w:val="auto"/>
                <w:sz w:val="20"/>
                <w:szCs w:val="20"/>
                <w:lang w:val="hy-AM"/>
              </w:rPr>
              <w:t xml:space="preserve"> դրամ</w:t>
            </w:r>
            <w:r w:rsidR="00821159">
              <w:rPr>
                <w:rFonts w:ascii="GHEA Grapalat" w:eastAsia="Times New Roman" w:hAnsi="GHEA Grapalat" w:cs="Times New Roman"/>
                <w:b/>
                <w:color w:val="auto"/>
                <w:sz w:val="20"/>
                <w:szCs w:val="20"/>
              </w:rPr>
              <w:t>)</w:t>
            </w:r>
          </w:p>
        </w:tc>
        <w:tc>
          <w:tcPr>
            <w:tcW w:w="2160" w:type="dxa"/>
            <w:shd w:val="clear" w:color="auto" w:fill="DAE9F7" w:themeFill="text2" w:themeFillTint="1A"/>
            <w:noWrap/>
            <w:hideMark/>
          </w:tcPr>
          <w:p w14:paraId="214D8E99" w14:textId="1EF214D2" w:rsidR="00802FF2" w:rsidRPr="00821159" w:rsidRDefault="00802FF2" w:rsidP="00082769">
            <w:pPr>
              <w:spacing w:line="240" w:lineRule="auto"/>
              <w:ind w:right="-22"/>
              <w:jc w:val="center"/>
              <w:rPr>
                <w:rFonts w:ascii="GHEA Grapalat" w:eastAsia="Times New Roman" w:hAnsi="GHEA Grapalat" w:cs="Times New Roman"/>
                <w:b/>
                <w:color w:val="auto"/>
                <w:sz w:val="20"/>
                <w:szCs w:val="20"/>
                <w:lang w:val="hy-AM"/>
              </w:rPr>
            </w:pPr>
            <w:r w:rsidRPr="001A2654">
              <w:rPr>
                <w:rFonts w:ascii="GHEA Grapalat" w:eastAsia="Times New Roman" w:hAnsi="GHEA Grapalat" w:cs="Times New Roman"/>
                <w:b/>
                <w:color w:val="auto"/>
                <w:sz w:val="20"/>
                <w:szCs w:val="20"/>
              </w:rPr>
              <w:t>Կշիռը պորտֆելում</w:t>
            </w:r>
            <w:r w:rsidR="00821159">
              <w:rPr>
                <w:rFonts w:ascii="GHEA Grapalat" w:eastAsia="Times New Roman" w:hAnsi="GHEA Grapalat" w:cs="Times New Roman"/>
                <w:b/>
                <w:color w:val="auto"/>
                <w:sz w:val="20"/>
                <w:szCs w:val="20"/>
                <w:lang w:val="hy-AM"/>
              </w:rPr>
              <w:t xml:space="preserve"> </w:t>
            </w:r>
            <w:r w:rsidR="00821159">
              <w:rPr>
                <w:rFonts w:ascii="GHEA Grapalat" w:eastAsia="Times New Roman" w:hAnsi="GHEA Grapalat" w:cs="Times New Roman"/>
                <w:b/>
                <w:color w:val="auto"/>
                <w:sz w:val="20"/>
                <w:szCs w:val="20"/>
              </w:rPr>
              <w:t>(%)</w:t>
            </w:r>
          </w:p>
        </w:tc>
      </w:tr>
      <w:tr w:rsidR="004C0C21" w:rsidRPr="001A2654" w14:paraId="3B13886F" w14:textId="77777777" w:rsidTr="001226F0">
        <w:trPr>
          <w:trHeight w:val="354"/>
        </w:trPr>
        <w:tc>
          <w:tcPr>
            <w:tcW w:w="3770" w:type="dxa"/>
            <w:shd w:val="clear" w:color="auto" w:fill="DAE9F7" w:themeFill="text2" w:themeFillTint="1A"/>
          </w:tcPr>
          <w:p w14:paraId="1CF1317B" w14:textId="77777777" w:rsidR="00802FF2" w:rsidRPr="001A2654" w:rsidRDefault="00802FF2" w:rsidP="00082769">
            <w:pPr>
              <w:numPr>
                <w:ilvl w:val="0"/>
                <w:numId w:val="14"/>
              </w:numPr>
              <w:spacing w:before="40" w:after="60" w:line="240" w:lineRule="auto"/>
              <w:ind w:left="0" w:right="-22" w:firstLine="0"/>
              <w:contextualSpacing/>
              <w:jc w:val="both"/>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«Հայկական ատոմային էլեկտրոկայան» ՓԲԸ</w:t>
            </w:r>
          </w:p>
        </w:tc>
        <w:tc>
          <w:tcPr>
            <w:tcW w:w="1530" w:type="dxa"/>
            <w:shd w:val="clear" w:color="auto" w:fill="DAE9F7" w:themeFill="text2" w:themeFillTint="1A"/>
            <w:vAlign w:val="center"/>
          </w:tcPr>
          <w:p w14:paraId="6C041020" w14:textId="77777777" w:rsidR="00802FF2" w:rsidRPr="001A2654" w:rsidRDefault="00802FF2" w:rsidP="00082769">
            <w:pPr>
              <w:spacing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ՊՄԸ</w:t>
            </w:r>
          </w:p>
        </w:tc>
        <w:tc>
          <w:tcPr>
            <w:tcW w:w="2070" w:type="dxa"/>
            <w:shd w:val="clear" w:color="auto" w:fill="DAE9F7" w:themeFill="text2" w:themeFillTint="1A"/>
            <w:noWrap/>
            <w:vAlign w:val="center"/>
          </w:tcPr>
          <w:p w14:paraId="72EB90A9" w14:textId="4179EC59" w:rsidR="00802FF2" w:rsidRPr="00821159" w:rsidRDefault="00821159" w:rsidP="00082769">
            <w:pPr>
              <w:spacing w:line="240" w:lineRule="auto"/>
              <w:ind w:right="-22"/>
              <w:jc w:val="center"/>
              <w:rPr>
                <w:rFonts w:ascii="GHEA Grapalat" w:eastAsia="Times New Roman" w:hAnsi="GHEA Grapalat" w:cs="Times New Roman"/>
                <w:color w:val="auto"/>
                <w:sz w:val="20"/>
                <w:szCs w:val="20"/>
                <w:lang w:val="hy-AM"/>
              </w:rPr>
            </w:pPr>
            <w:r>
              <w:rPr>
                <w:rFonts w:ascii="GHEA Grapalat" w:eastAsia="Times New Roman" w:hAnsi="GHEA Grapalat" w:cs="Times New Roman"/>
                <w:color w:val="auto"/>
                <w:sz w:val="20"/>
                <w:szCs w:val="20"/>
                <w:lang w:val="hy-AM"/>
              </w:rPr>
              <w:t>82.9</w:t>
            </w:r>
          </w:p>
        </w:tc>
        <w:tc>
          <w:tcPr>
            <w:tcW w:w="2160" w:type="dxa"/>
            <w:shd w:val="clear" w:color="auto" w:fill="DAE9F7" w:themeFill="text2" w:themeFillTint="1A"/>
            <w:noWrap/>
            <w:vAlign w:val="center"/>
          </w:tcPr>
          <w:p w14:paraId="5219991B" w14:textId="0E1B7CEA"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24.6</w:t>
            </w:r>
          </w:p>
        </w:tc>
      </w:tr>
      <w:tr w:rsidR="004C0C21" w:rsidRPr="001A2654" w14:paraId="5710E95C" w14:textId="77777777" w:rsidTr="001226F0">
        <w:trPr>
          <w:trHeight w:val="415"/>
        </w:trPr>
        <w:tc>
          <w:tcPr>
            <w:tcW w:w="3770" w:type="dxa"/>
            <w:shd w:val="clear" w:color="auto" w:fill="auto"/>
          </w:tcPr>
          <w:p w14:paraId="7765EC2D" w14:textId="77777777" w:rsidR="00802FF2" w:rsidRPr="001A2654" w:rsidRDefault="00802FF2" w:rsidP="00082769">
            <w:pPr>
              <w:numPr>
                <w:ilvl w:val="0"/>
                <w:numId w:val="14"/>
              </w:numPr>
              <w:spacing w:before="40" w:after="60" w:line="240" w:lineRule="auto"/>
              <w:ind w:left="0" w:right="-22" w:firstLine="0"/>
              <w:contextualSpacing/>
              <w:jc w:val="both"/>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«Երևանի ջերմաէլեկտրակենտրոն» ՓԲԸ</w:t>
            </w:r>
          </w:p>
        </w:tc>
        <w:tc>
          <w:tcPr>
            <w:tcW w:w="1530" w:type="dxa"/>
            <w:shd w:val="clear" w:color="auto" w:fill="auto"/>
            <w:vAlign w:val="center"/>
          </w:tcPr>
          <w:p w14:paraId="1C228318" w14:textId="77777777" w:rsidR="00802FF2" w:rsidRPr="001A2654" w:rsidRDefault="00802FF2" w:rsidP="00082769">
            <w:pPr>
              <w:spacing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ՊՄԸ</w:t>
            </w:r>
          </w:p>
        </w:tc>
        <w:tc>
          <w:tcPr>
            <w:tcW w:w="2070" w:type="dxa"/>
            <w:shd w:val="clear" w:color="auto" w:fill="auto"/>
            <w:noWrap/>
            <w:vAlign w:val="center"/>
          </w:tcPr>
          <w:p w14:paraId="730BF639" w14:textId="75DA78F8"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57.7</w:t>
            </w:r>
          </w:p>
        </w:tc>
        <w:tc>
          <w:tcPr>
            <w:tcW w:w="2160" w:type="dxa"/>
            <w:shd w:val="clear" w:color="000000" w:fill="FFFFFF"/>
            <w:noWrap/>
            <w:vAlign w:val="center"/>
          </w:tcPr>
          <w:p w14:paraId="2CF1E5FD" w14:textId="4A766B80"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17.1</w:t>
            </w:r>
          </w:p>
        </w:tc>
      </w:tr>
      <w:tr w:rsidR="004C0C21" w:rsidRPr="001A2654" w14:paraId="0993D0FB" w14:textId="77777777" w:rsidTr="001226F0">
        <w:trPr>
          <w:trHeight w:val="354"/>
        </w:trPr>
        <w:tc>
          <w:tcPr>
            <w:tcW w:w="3770" w:type="dxa"/>
            <w:shd w:val="clear" w:color="auto" w:fill="auto"/>
          </w:tcPr>
          <w:p w14:paraId="3ED54F14" w14:textId="77777777" w:rsidR="00802FF2" w:rsidRPr="001A2654" w:rsidRDefault="00802FF2" w:rsidP="00082769">
            <w:pPr>
              <w:numPr>
                <w:ilvl w:val="0"/>
                <w:numId w:val="14"/>
              </w:numPr>
              <w:spacing w:before="40" w:after="60" w:line="240" w:lineRule="auto"/>
              <w:ind w:left="0" w:right="-22" w:firstLine="0"/>
              <w:contextualSpacing/>
              <w:jc w:val="both"/>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«Բարձրավոլտ էլեկտրացանցեր» ՓԲԸ</w:t>
            </w:r>
          </w:p>
        </w:tc>
        <w:tc>
          <w:tcPr>
            <w:tcW w:w="1530" w:type="dxa"/>
            <w:shd w:val="clear" w:color="auto" w:fill="auto"/>
            <w:vAlign w:val="center"/>
          </w:tcPr>
          <w:p w14:paraId="1847983F" w14:textId="77777777" w:rsidR="00802FF2" w:rsidRPr="001A2654" w:rsidRDefault="00802FF2" w:rsidP="00082769">
            <w:pPr>
              <w:spacing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ՊՄԸ</w:t>
            </w:r>
          </w:p>
        </w:tc>
        <w:tc>
          <w:tcPr>
            <w:tcW w:w="2070" w:type="dxa"/>
            <w:shd w:val="clear" w:color="auto" w:fill="auto"/>
            <w:noWrap/>
            <w:vAlign w:val="center"/>
          </w:tcPr>
          <w:p w14:paraId="0DA86488" w14:textId="4A8ADF51" w:rsidR="00802FF2" w:rsidRPr="00821159" w:rsidRDefault="00821159" w:rsidP="00821159">
            <w:pPr>
              <w:spacing w:line="240" w:lineRule="auto"/>
              <w:ind w:right="-22"/>
              <w:jc w:val="center"/>
              <w:rPr>
                <w:rFonts w:ascii="GHEA Grapalat" w:eastAsia="Times New Roman" w:hAnsi="GHEA Grapalat" w:cs="Times New Roman"/>
                <w:color w:val="auto"/>
                <w:sz w:val="20"/>
                <w:szCs w:val="20"/>
                <w:lang w:val="hy-AM"/>
              </w:rPr>
            </w:pPr>
            <w:r>
              <w:rPr>
                <w:rFonts w:ascii="GHEA Grapalat" w:eastAsia="Times New Roman" w:hAnsi="GHEA Grapalat" w:cs="Times New Roman"/>
                <w:color w:val="auto"/>
                <w:sz w:val="20"/>
                <w:szCs w:val="20"/>
              </w:rPr>
              <w:t>51.</w:t>
            </w:r>
            <w:r>
              <w:rPr>
                <w:rFonts w:ascii="GHEA Grapalat" w:eastAsia="Times New Roman" w:hAnsi="GHEA Grapalat" w:cs="Times New Roman"/>
                <w:color w:val="auto"/>
                <w:sz w:val="20"/>
                <w:szCs w:val="20"/>
                <w:lang w:val="hy-AM"/>
              </w:rPr>
              <w:t>1</w:t>
            </w:r>
          </w:p>
        </w:tc>
        <w:tc>
          <w:tcPr>
            <w:tcW w:w="2160" w:type="dxa"/>
            <w:shd w:val="clear" w:color="000000" w:fill="FFFFFF"/>
            <w:noWrap/>
            <w:vAlign w:val="center"/>
          </w:tcPr>
          <w:p w14:paraId="10257F5D" w14:textId="5F695AA7"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15.1</w:t>
            </w:r>
          </w:p>
        </w:tc>
      </w:tr>
      <w:tr w:rsidR="004C0C21" w:rsidRPr="001A2654" w14:paraId="766D14A6" w14:textId="77777777" w:rsidTr="001226F0">
        <w:trPr>
          <w:trHeight w:val="354"/>
        </w:trPr>
        <w:tc>
          <w:tcPr>
            <w:tcW w:w="3770" w:type="dxa"/>
            <w:shd w:val="clear" w:color="auto" w:fill="DAE9F7" w:themeFill="text2" w:themeFillTint="1A"/>
          </w:tcPr>
          <w:p w14:paraId="06C4D786" w14:textId="77777777" w:rsidR="00802FF2" w:rsidRPr="001A2654" w:rsidRDefault="00802FF2" w:rsidP="00082769">
            <w:pPr>
              <w:numPr>
                <w:ilvl w:val="0"/>
                <w:numId w:val="14"/>
              </w:numPr>
              <w:spacing w:before="40" w:after="60" w:line="240" w:lineRule="auto"/>
              <w:ind w:left="0" w:right="-22" w:firstLine="0"/>
              <w:contextualSpacing/>
              <w:jc w:val="both"/>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«ՔոնթուրԳլոբալ  Հիդրո Կասկադ» ՓԲԸ</w:t>
            </w:r>
          </w:p>
        </w:tc>
        <w:tc>
          <w:tcPr>
            <w:tcW w:w="1530" w:type="dxa"/>
            <w:shd w:val="clear" w:color="auto" w:fill="DAE9F7" w:themeFill="text2" w:themeFillTint="1A"/>
            <w:vAlign w:val="center"/>
          </w:tcPr>
          <w:p w14:paraId="488CD4D8" w14:textId="77777777" w:rsidR="00802FF2" w:rsidRPr="001A2654" w:rsidRDefault="00802FF2" w:rsidP="00082769">
            <w:pPr>
              <w:spacing w:line="240" w:lineRule="auto"/>
              <w:ind w:right="-22"/>
              <w:jc w:val="center"/>
              <w:rPr>
                <w:rFonts w:ascii="GHEA Grapalat" w:eastAsia="Times New Roman" w:hAnsi="GHEA Grapalat" w:cs="Times New Roman"/>
                <w:color w:val="auto"/>
                <w:sz w:val="20"/>
                <w:szCs w:val="20"/>
              </w:rPr>
            </w:pPr>
          </w:p>
        </w:tc>
        <w:tc>
          <w:tcPr>
            <w:tcW w:w="2070" w:type="dxa"/>
            <w:shd w:val="clear" w:color="auto" w:fill="DAE9F7" w:themeFill="text2" w:themeFillTint="1A"/>
            <w:noWrap/>
            <w:vAlign w:val="center"/>
          </w:tcPr>
          <w:p w14:paraId="5DCE3FE7" w14:textId="2BAAD8D7" w:rsidR="00802FF2" w:rsidRPr="001A2654" w:rsidRDefault="00821159" w:rsidP="0082115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13.4</w:t>
            </w:r>
          </w:p>
        </w:tc>
        <w:tc>
          <w:tcPr>
            <w:tcW w:w="2160" w:type="dxa"/>
            <w:shd w:val="clear" w:color="auto" w:fill="DAE9F7" w:themeFill="text2" w:themeFillTint="1A"/>
            <w:noWrap/>
            <w:vAlign w:val="center"/>
          </w:tcPr>
          <w:p w14:paraId="4C766E2A" w14:textId="21C3A8B5"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4.0</w:t>
            </w:r>
          </w:p>
        </w:tc>
      </w:tr>
      <w:tr w:rsidR="004C0C21" w:rsidRPr="001A2654" w14:paraId="11E7ED33" w14:textId="77777777" w:rsidTr="001226F0">
        <w:trPr>
          <w:trHeight w:val="354"/>
        </w:trPr>
        <w:tc>
          <w:tcPr>
            <w:tcW w:w="3770" w:type="dxa"/>
            <w:shd w:val="clear" w:color="auto" w:fill="auto"/>
          </w:tcPr>
          <w:p w14:paraId="51BE2AE0" w14:textId="77777777" w:rsidR="00802FF2" w:rsidRPr="001A2654" w:rsidRDefault="00802FF2" w:rsidP="00082769">
            <w:pPr>
              <w:numPr>
                <w:ilvl w:val="0"/>
                <w:numId w:val="14"/>
              </w:numPr>
              <w:spacing w:before="40" w:after="60" w:line="240" w:lineRule="auto"/>
              <w:ind w:left="0" w:right="-22" w:firstLine="0"/>
              <w:contextualSpacing/>
              <w:jc w:val="both"/>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«Դի Էնդ Էյջ Գրուպ»  ՍՊԸ</w:t>
            </w:r>
          </w:p>
        </w:tc>
        <w:tc>
          <w:tcPr>
            <w:tcW w:w="1530" w:type="dxa"/>
            <w:shd w:val="clear" w:color="auto" w:fill="auto"/>
            <w:vAlign w:val="center"/>
          </w:tcPr>
          <w:p w14:paraId="077FB5E9" w14:textId="77777777" w:rsidR="00802FF2" w:rsidRPr="001A2654" w:rsidRDefault="00802FF2" w:rsidP="00082769">
            <w:pPr>
              <w:spacing w:line="240" w:lineRule="auto"/>
              <w:ind w:right="-22"/>
              <w:jc w:val="center"/>
              <w:rPr>
                <w:rFonts w:ascii="GHEA Grapalat" w:eastAsia="Times New Roman" w:hAnsi="GHEA Grapalat" w:cs="Times New Roman"/>
                <w:color w:val="auto"/>
                <w:sz w:val="20"/>
                <w:szCs w:val="20"/>
              </w:rPr>
            </w:pPr>
          </w:p>
        </w:tc>
        <w:tc>
          <w:tcPr>
            <w:tcW w:w="2070" w:type="dxa"/>
            <w:shd w:val="clear" w:color="auto" w:fill="auto"/>
            <w:noWrap/>
            <w:vAlign w:val="center"/>
          </w:tcPr>
          <w:p w14:paraId="497259A6" w14:textId="1698ADA1" w:rsidR="00802FF2" w:rsidRPr="001A2654" w:rsidRDefault="00821159" w:rsidP="0082115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9.3</w:t>
            </w:r>
          </w:p>
        </w:tc>
        <w:tc>
          <w:tcPr>
            <w:tcW w:w="2160" w:type="dxa"/>
            <w:shd w:val="clear" w:color="000000" w:fill="FFFFFF"/>
            <w:noWrap/>
            <w:vAlign w:val="center"/>
          </w:tcPr>
          <w:p w14:paraId="42E62360" w14:textId="7CC6DCCB"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2.7</w:t>
            </w:r>
          </w:p>
        </w:tc>
      </w:tr>
      <w:tr w:rsidR="004C0C21" w:rsidRPr="001A2654" w14:paraId="4AB43C90" w14:textId="77777777" w:rsidTr="001226F0">
        <w:trPr>
          <w:trHeight w:val="432"/>
        </w:trPr>
        <w:tc>
          <w:tcPr>
            <w:tcW w:w="3770" w:type="dxa"/>
            <w:shd w:val="clear" w:color="auto" w:fill="DAE9F7" w:themeFill="text2" w:themeFillTint="1A"/>
          </w:tcPr>
          <w:p w14:paraId="09837068" w14:textId="77777777" w:rsidR="00802FF2" w:rsidRPr="001A2654" w:rsidRDefault="00802FF2" w:rsidP="00082769">
            <w:pPr>
              <w:numPr>
                <w:ilvl w:val="0"/>
                <w:numId w:val="14"/>
              </w:numPr>
              <w:spacing w:before="40" w:after="60" w:line="240" w:lineRule="auto"/>
              <w:ind w:left="0" w:right="-22" w:firstLine="0"/>
              <w:contextualSpacing/>
              <w:jc w:val="both"/>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ՀՀ ԿԲ գերմանահայկական հիմնադրամին վարկավորում</w:t>
            </w:r>
          </w:p>
        </w:tc>
        <w:tc>
          <w:tcPr>
            <w:tcW w:w="1530" w:type="dxa"/>
            <w:shd w:val="clear" w:color="auto" w:fill="DAE9F7" w:themeFill="text2" w:themeFillTint="1A"/>
            <w:vAlign w:val="center"/>
          </w:tcPr>
          <w:p w14:paraId="127C0613" w14:textId="77777777" w:rsidR="00802FF2" w:rsidRPr="001A2654" w:rsidRDefault="00802FF2" w:rsidP="00082769">
            <w:pPr>
              <w:spacing w:line="240" w:lineRule="auto"/>
              <w:ind w:right="-22"/>
              <w:jc w:val="center"/>
              <w:rPr>
                <w:rFonts w:ascii="GHEA Grapalat" w:eastAsia="Times New Roman" w:hAnsi="GHEA Grapalat" w:cs="Times New Roman"/>
                <w:color w:val="auto"/>
                <w:sz w:val="20"/>
                <w:szCs w:val="20"/>
              </w:rPr>
            </w:pPr>
          </w:p>
        </w:tc>
        <w:tc>
          <w:tcPr>
            <w:tcW w:w="2070" w:type="dxa"/>
            <w:shd w:val="clear" w:color="auto" w:fill="DAE9F7" w:themeFill="text2" w:themeFillTint="1A"/>
            <w:noWrap/>
            <w:vAlign w:val="center"/>
          </w:tcPr>
          <w:p w14:paraId="3B01B489" w14:textId="2319977D" w:rsidR="00802FF2" w:rsidRPr="001A2654" w:rsidRDefault="00821159" w:rsidP="0082115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9.0</w:t>
            </w:r>
          </w:p>
        </w:tc>
        <w:tc>
          <w:tcPr>
            <w:tcW w:w="2160" w:type="dxa"/>
            <w:shd w:val="clear" w:color="auto" w:fill="DAE9F7" w:themeFill="text2" w:themeFillTint="1A"/>
            <w:noWrap/>
            <w:vAlign w:val="center"/>
          </w:tcPr>
          <w:p w14:paraId="4B77B6FF" w14:textId="0CDB44FB"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2.7</w:t>
            </w:r>
          </w:p>
        </w:tc>
      </w:tr>
      <w:tr w:rsidR="004C0C21" w:rsidRPr="001A2654" w14:paraId="02982042" w14:textId="77777777" w:rsidTr="001226F0">
        <w:trPr>
          <w:trHeight w:val="354"/>
        </w:trPr>
        <w:tc>
          <w:tcPr>
            <w:tcW w:w="3770" w:type="dxa"/>
            <w:shd w:val="clear" w:color="auto" w:fill="auto"/>
          </w:tcPr>
          <w:p w14:paraId="7F8437AD" w14:textId="77777777" w:rsidR="00802FF2" w:rsidRPr="001A2654" w:rsidRDefault="00802FF2" w:rsidP="00082769">
            <w:pPr>
              <w:numPr>
                <w:ilvl w:val="0"/>
                <w:numId w:val="14"/>
              </w:numPr>
              <w:spacing w:before="40" w:after="60" w:line="240" w:lineRule="auto"/>
              <w:ind w:left="0" w:right="-22" w:firstLine="0"/>
              <w:contextualSpacing/>
              <w:jc w:val="both"/>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«Երևանի  ավտոբուս» ՓԲԸ</w:t>
            </w:r>
          </w:p>
        </w:tc>
        <w:tc>
          <w:tcPr>
            <w:tcW w:w="1530" w:type="dxa"/>
            <w:shd w:val="clear" w:color="auto" w:fill="auto"/>
            <w:vAlign w:val="center"/>
          </w:tcPr>
          <w:p w14:paraId="0E58E01C" w14:textId="77777777" w:rsidR="00802FF2" w:rsidRPr="001A2654" w:rsidRDefault="00802FF2" w:rsidP="00082769">
            <w:pPr>
              <w:spacing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ՊՄԸ</w:t>
            </w:r>
          </w:p>
        </w:tc>
        <w:tc>
          <w:tcPr>
            <w:tcW w:w="2070" w:type="dxa"/>
            <w:shd w:val="clear" w:color="auto" w:fill="auto"/>
            <w:noWrap/>
            <w:vAlign w:val="center"/>
          </w:tcPr>
          <w:p w14:paraId="029A5A2F" w14:textId="34F0F7FB" w:rsidR="00802FF2" w:rsidRPr="00821159" w:rsidRDefault="00821159" w:rsidP="00082769">
            <w:pPr>
              <w:spacing w:line="240" w:lineRule="auto"/>
              <w:ind w:right="-22"/>
              <w:jc w:val="center"/>
              <w:rPr>
                <w:rFonts w:ascii="GHEA Grapalat" w:eastAsia="Times New Roman" w:hAnsi="GHEA Grapalat" w:cs="Times New Roman"/>
                <w:color w:val="auto"/>
                <w:sz w:val="20"/>
                <w:szCs w:val="20"/>
                <w:lang w:val="hy-AM"/>
              </w:rPr>
            </w:pPr>
            <w:r>
              <w:rPr>
                <w:rFonts w:ascii="GHEA Grapalat" w:eastAsia="Times New Roman" w:hAnsi="GHEA Grapalat" w:cs="Times New Roman"/>
                <w:color w:val="auto"/>
                <w:sz w:val="20"/>
                <w:szCs w:val="20"/>
                <w:lang w:val="hy-AM"/>
              </w:rPr>
              <w:t>9.0</w:t>
            </w:r>
          </w:p>
        </w:tc>
        <w:tc>
          <w:tcPr>
            <w:tcW w:w="2160" w:type="dxa"/>
            <w:shd w:val="clear" w:color="000000" w:fill="FFFFFF"/>
            <w:noWrap/>
            <w:vAlign w:val="center"/>
          </w:tcPr>
          <w:p w14:paraId="76825F8A" w14:textId="6CBE8F8A"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2.7</w:t>
            </w:r>
          </w:p>
        </w:tc>
      </w:tr>
      <w:tr w:rsidR="004C0C21" w:rsidRPr="001A2654" w14:paraId="1D3075AC" w14:textId="77777777" w:rsidTr="001226F0">
        <w:trPr>
          <w:trHeight w:val="694"/>
        </w:trPr>
        <w:tc>
          <w:tcPr>
            <w:tcW w:w="3770" w:type="dxa"/>
            <w:shd w:val="clear" w:color="auto" w:fill="DAE9F7" w:themeFill="text2" w:themeFillTint="1A"/>
          </w:tcPr>
          <w:p w14:paraId="211A3668" w14:textId="77777777" w:rsidR="00802FF2" w:rsidRPr="001A2654" w:rsidRDefault="00802FF2" w:rsidP="00082769">
            <w:pPr>
              <w:numPr>
                <w:ilvl w:val="0"/>
                <w:numId w:val="14"/>
              </w:numPr>
              <w:spacing w:before="40" w:after="60" w:line="240" w:lineRule="auto"/>
              <w:ind w:left="0" w:right="-22" w:firstLine="0"/>
              <w:contextualSpacing/>
              <w:jc w:val="both"/>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«Էլեկտրաէներգետիկական համակարգի օպերատոր» ՓԲԸ</w:t>
            </w:r>
          </w:p>
        </w:tc>
        <w:tc>
          <w:tcPr>
            <w:tcW w:w="1530" w:type="dxa"/>
            <w:shd w:val="clear" w:color="auto" w:fill="DAE9F7" w:themeFill="text2" w:themeFillTint="1A"/>
            <w:vAlign w:val="center"/>
          </w:tcPr>
          <w:p w14:paraId="05A5F0A1" w14:textId="77777777" w:rsidR="00802FF2" w:rsidRPr="001A2654" w:rsidRDefault="00802FF2" w:rsidP="00082769">
            <w:pPr>
              <w:spacing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ՊՄԸ</w:t>
            </w:r>
          </w:p>
        </w:tc>
        <w:tc>
          <w:tcPr>
            <w:tcW w:w="2070" w:type="dxa"/>
            <w:shd w:val="clear" w:color="auto" w:fill="DAE9F7" w:themeFill="text2" w:themeFillTint="1A"/>
            <w:noWrap/>
            <w:vAlign w:val="center"/>
          </w:tcPr>
          <w:p w14:paraId="4A0D077C" w14:textId="4B4D51E5" w:rsidR="00802FF2" w:rsidRPr="001A2654" w:rsidRDefault="00821159" w:rsidP="0082115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5.0</w:t>
            </w:r>
          </w:p>
        </w:tc>
        <w:tc>
          <w:tcPr>
            <w:tcW w:w="2160" w:type="dxa"/>
            <w:shd w:val="clear" w:color="auto" w:fill="DAE9F7" w:themeFill="text2" w:themeFillTint="1A"/>
            <w:noWrap/>
            <w:vAlign w:val="center"/>
          </w:tcPr>
          <w:p w14:paraId="70E50652" w14:textId="4DCA95B6"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1.5</w:t>
            </w:r>
          </w:p>
        </w:tc>
      </w:tr>
      <w:tr w:rsidR="004C0C21" w:rsidRPr="001A2654" w14:paraId="439B790E" w14:textId="77777777" w:rsidTr="001226F0">
        <w:trPr>
          <w:trHeight w:val="680"/>
        </w:trPr>
        <w:tc>
          <w:tcPr>
            <w:tcW w:w="3770" w:type="dxa"/>
            <w:shd w:val="clear" w:color="auto" w:fill="auto"/>
            <w:vAlign w:val="center"/>
          </w:tcPr>
          <w:p w14:paraId="671F00F4" w14:textId="77777777" w:rsidR="00802FF2" w:rsidRPr="001A2654" w:rsidRDefault="00802FF2" w:rsidP="00082769">
            <w:pPr>
              <w:numPr>
                <w:ilvl w:val="0"/>
                <w:numId w:val="14"/>
              </w:numPr>
              <w:spacing w:before="40" w:after="60" w:line="240" w:lineRule="auto"/>
              <w:ind w:left="0" w:right="-22" w:firstLine="0"/>
              <w:contextualSpacing/>
              <w:jc w:val="both"/>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ՀՀ կենտրոնական բանկ</w:t>
            </w:r>
          </w:p>
        </w:tc>
        <w:tc>
          <w:tcPr>
            <w:tcW w:w="1530" w:type="dxa"/>
            <w:shd w:val="clear" w:color="auto" w:fill="auto"/>
            <w:vAlign w:val="center"/>
          </w:tcPr>
          <w:p w14:paraId="2B7476B2" w14:textId="77777777" w:rsidR="00802FF2" w:rsidRPr="001A2654" w:rsidRDefault="00802FF2" w:rsidP="00082769">
            <w:pPr>
              <w:spacing w:line="240" w:lineRule="auto"/>
              <w:ind w:right="-22"/>
              <w:jc w:val="center"/>
              <w:rPr>
                <w:rFonts w:ascii="GHEA Grapalat" w:eastAsia="Times New Roman" w:hAnsi="GHEA Grapalat" w:cs="Times New Roman"/>
                <w:color w:val="auto"/>
                <w:sz w:val="20"/>
                <w:szCs w:val="20"/>
              </w:rPr>
            </w:pPr>
          </w:p>
        </w:tc>
        <w:tc>
          <w:tcPr>
            <w:tcW w:w="2070" w:type="dxa"/>
            <w:shd w:val="clear" w:color="auto" w:fill="auto"/>
            <w:noWrap/>
            <w:vAlign w:val="center"/>
          </w:tcPr>
          <w:p w14:paraId="2DFA4D47" w14:textId="37AFA4F5" w:rsidR="00802FF2" w:rsidRPr="001A2654" w:rsidRDefault="00821159" w:rsidP="0082115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3.8</w:t>
            </w:r>
          </w:p>
        </w:tc>
        <w:tc>
          <w:tcPr>
            <w:tcW w:w="2160" w:type="dxa"/>
            <w:shd w:val="clear" w:color="000000" w:fill="FFFFFF"/>
            <w:noWrap/>
            <w:vAlign w:val="center"/>
          </w:tcPr>
          <w:p w14:paraId="767362A0" w14:textId="2F326DB6"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1.1</w:t>
            </w:r>
          </w:p>
        </w:tc>
      </w:tr>
    </w:tbl>
    <w:p w14:paraId="3E7FDB56" w14:textId="77777777" w:rsidR="00802FF2" w:rsidRPr="000232DD" w:rsidRDefault="00802FF2" w:rsidP="00082769">
      <w:pPr>
        <w:spacing w:after="0" w:line="240" w:lineRule="auto"/>
        <w:ind w:right="-22"/>
        <w:rPr>
          <w:rFonts w:ascii="GHEA Grapalat" w:eastAsia="Times New Roman" w:hAnsi="GHEA Grapalat" w:cs="Times New Roman"/>
          <w:color w:val="auto"/>
          <w:sz w:val="24"/>
          <w:szCs w:val="24"/>
          <w:lang w:val="hy-AM"/>
        </w:rPr>
      </w:pPr>
    </w:p>
    <w:p w14:paraId="4A0E567F"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Բյուջետային վարկերից բացի պետության կողմից տրամադրվում են նաև բյուջետային երաշխիքներ: Բյուջետային երաշխիքները հանդիսանում են պայմանական պարտավորություններ, ուստի դրանց հաշվառումն ու մոնիթորինգը միտված են դրանցից բխող ֆիսկալ ռիսկերի արդյունավետ կառավարմանը։ Ըստ տեսակների՝ բյուջետային երաշխիքները տարանջատվում են ներքինի և արտաքինի: Ներքին բյուջետային երաշխիքները Հայաստանի Հանրապետության ռեզիդենտներին կառավարության տրամադրած բյուջետային երաշխիքներն են, իսկ արտաքին բյուջետային երաշխիքները՝ ոչ ռեզիդենտներին կառավարության տրամադրած բյուջետային երաշխիքներն են:</w:t>
      </w:r>
    </w:p>
    <w:p w14:paraId="23192154"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Բյուջետային երաշխիքների կառուցվածքում ժամանակի ընթացքում գերակշռել են արտաքին բյուջետային երաշխիքները, սակայն 2025թ.-ին տեղի է ունեցել էական տեղաշարժ դեպի ներքին բյուջետային երաշխիքներ՝ պայմանավորված նոր ներքին բյուջետային երաշխիքների տրամադրմամբ: Ստորև ներկայացվում է բյուջետային երաշխիքների տարանջատումը՝ արտաքինի և ներքինի՝ ըստ տարիների:</w:t>
      </w:r>
    </w:p>
    <w:p w14:paraId="1620492B" w14:textId="77777777" w:rsidR="00802FF2" w:rsidRPr="00A52417" w:rsidRDefault="00802FF2" w:rsidP="00082769">
      <w:pPr>
        <w:pStyle w:val="Charts"/>
        <w:ind w:right="-22"/>
        <w:rPr>
          <w:b w:val="0"/>
          <w:bCs/>
          <w:color w:val="auto"/>
          <w:sz w:val="20"/>
          <w:szCs w:val="18"/>
        </w:rPr>
      </w:pPr>
      <w:r w:rsidRPr="00A52417">
        <w:rPr>
          <w:b w:val="0"/>
          <w:bCs/>
          <w:color w:val="auto"/>
          <w:sz w:val="20"/>
          <w:szCs w:val="18"/>
        </w:rPr>
        <w:t>Գծապատկեր 12. Բյուջետային երաշխիքների տարանջատումը՝ արտաքինի և ներքինի 2016-2025թթ.</w:t>
      </w:r>
    </w:p>
    <w:p w14:paraId="6FA3AC31" w14:textId="77777777" w:rsidR="00802FF2" w:rsidRPr="000232DD" w:rsidRDefault="00802FF2" w:rsidP="00082769">
      <w:pPr>
        <w:spacing w:line="240" w:lineRule="auto"/>
        <w:ind w:right="-22"/>
        <w:jc w:val="center"/>
        <w:rPr>
          <w:rFonts w:ascii="GHEA Grapalat" w:eastAsia="Times New Roman" w:hAnsi="GHEA Grapalat" w:cs="Times New Roman"/>
          <w:color w:val="auto"/>
          <w:sz w:val="24"/>
          <w:szCs w:val="24"/>
          <w:lang w:val="hy-AM"/>
        </w:rPr>
      </w:pPr>
      <w:r w:rsidRPr="000232DD">
        <w:rPr>
          <w:rFonts w:ascii="GHEA Grapalat" w:eastAsia="Times New Roman" w:hAnsi="GHEA Grapalat" w:cs="Times New Roman"/>
          <w:noProof/>
          <w:color w:val="auto"/>
        </w:rPr>
        <w:drawing>
          <wp:inline distT="0" distB="0" distL="0" distR="0" wp14:anchorId="0AEBA72D" wp14:editId="0D792BE4">
            <wp:extent cx="5905500" cy="2582545"/>
            <wp:effectExtent l="0" t="0" r="9525" b="17780"/>
            <wp:docPr id="1545876461"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14:paraId="7511CF21"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Գծապատկերից նկատելի է, որ ներքին բյուջետային երաշխիքները կազմում են 65.7%, իսկ արտաքին բյուջետային երաշխիքները՝ 34.3%: Ներքին բյուջետային երաշխիքները մեծամասամբ տրամադրվել է արտարժույթով, ինչն էլ փաստում է փաթեթի՝ արտարժութային ռիսկի ենթարկվածության բարձր մակարդակի մասին: 2025թ.-ի դեկտեմբերի 31-ի դրությամբ ներքին բյուջետային երաշխիքների մեջ արտարժույթով տրամադրված բյուջետային երաշխիքները կազմում են 78.84% կամ 107.5 մլն դոլար:</w:t>
      </w:r>
    </w:p>
    <w:p w14:paraId="47442497"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2025թ.-ի դեկտեմբերի 31-ի դրությամբ տրամադրված բյուջետային երաշխիքները կազմել են հանրագումարային 79.1 մլրդ ՀՀ դրամ կամ նույն տարվա ՀՆԱ-ի 0.7%-ը:</w:t>
      </w:r>
    </w:p>
    <w:p w14:paraId="1C3C9B96"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2025թ.-ի դեկտեմբերի 31-ի դրությամբ ընդհանուր բյուջետային երաշխիքների պորտֆելում ՀՀ դրամով տրամադրված բյուջետային երաշխիքները կազմել են 13.9% կամ 11 մլրդ ՀՀ դրամ, ԱՄՆ դոլարով` 66.2% կամ 52.4 մլրդ ՀՀ դրամ , եվրոյով` 15.2% կամ 12 մլրդ ՀՀ դրամ, հատուկ փոխառության իրավունքով (ՀՓԻ)՝ 4.7% կամ 3.7 մլրդ ՀՀ դրամ (Գծապատկեր 13):</w:t>
      </w:r>
    </w:p>
    <w:p w14:paraId="5C297E17" w14:textId="77777777" w:rsidR="00802FF2" w:rsidRPr="00A52417" w:rsidRDefault="00802FF2" w:rsidP="00082769">
      <w:pPr>
        <w:pStyle w:val="Charts"/>
        <w:ind w:right="-22"/>
        <w:rPr>
          <w:b w:val="0"/>
          <w:bCs/>
          <w:color w:val="auto"/>
          <w:sz w:val="20"/>
          <w:szCs w:val="18"/>
        </w:rPr>
      </w:pPr>
      <w:r w:rsidRPr="00A52417">
        <w:rPr>
          <w:b w:val="0"/>
          <w:bCs/>
          <w:color w:val="auto"/>
          <w:sz w:val="20"/>
          <w:szCs w:val="18"/>
        </w:rPr>
        <w:t>Գծապատկեր 13. Բյուջետային երաշխիքների պորտֆելի արժութային կազմը</w:t>
      </w:r>
    </w:p>
    <w:p w14:paraId="3ED725D3" w14:textId="77777777" w:rsidR="00802FF2" w:rsidRPr="000232DD" w:rsidRDefault="00802FF2" w:rsidP="00082769">
      <w:pPr>
        <w:ind w:right="-22"/>
        <w:jc w:val="center"/>
        <w:rPr>
          <w:rFonts w:ascii="GHEA Grapalat" w:eastAsia="Times New Roman" w:hAnsi="GHEA Grapalat" w:cs="Times New Roman"/>
          <w:color w:val="auto"/>
        </w:rPr>
      </w:pPr>
      <w:r w:rsidRPr="000232DD">
        <w:rPr>
          <w:rFonts w:ascii="GHEA Grapalat" w:eastAsia="Times New Roman" w:hAnsi="GHEA Grapalat" w:cs="Times New Roman"/>
          <w:noProof/>
          <w:color w:val="auto"/>
        </w:rPr>
        <w:drawing>
          <wp:inline distT="0" distB="0" distL="0" distR="0" wp14:anchorId="7C957952" wp14:editId="0D5C35E4">
            <wp:extent cx="3429000" cy="2457450"/>
            <wp:effectExtent l="0" t="0" r="0" b="0"/>
            <wp:docPr id="1545876462" name="Chart 1545876462"/>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5ED2F7F3" w14:textId="77777777" w:rsidR="00802FF2" w:rsidRPr="000232DD" w:rsidRDefault="00802FF2" w:rsidP="00082769">
      <w:pPr>
        <w:ind w:right="-22"/>
        <w:jc w:val="both"/>
        <w:rPr>
          <w:rFonts w:ascii="GHEA Grapalat" w:eastAsia="Times New Roman" w:hAnsi="GHEA Grapalat" w:cs="Times New Roman"/>
          <w:color w:val="auto"/>
        </w:rPr>
      </w:pPr>
    </w:p>
    <w:p w14:paraId="5E7F1F7C"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Համաձայն «Հայաստանի Հանրապետության բյուջետային համակարգի մասին» ՀՀ օրենքի 21-րդ հոդվածի 8.5-րդ մասի «ա» կետի՝ որոշակի պահի դրությամբ տրամադրված և չմարված բյուջետային երաշխիքների հանրագումարը չպետք է գերազանցի նախորդ տարվա ՀՆԱ-ի 20 տոկոսը:</w:t>
      </w:r>
    </w:p>
    <w:p w14:paraId="4E18B232" w14:textId="0CD47B89" w:rsidR="00802FF2" w:rsidRPr="00760928" w:rsidRDefault="00802FF2" w:rsidP="00760928">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Հաշվի առնելով օրենսդրորեն սահմանված վերոնշյալ ֆիսկալ կանոնը՝ ստորև ներկայացվում է 2025թ.-ի դեկտեմբերի 31-ի դրությամբ տրամադրված և չմարված բյուջետային երաշխիքների դինամիկան և վերջիններիս տեսակարար կշիռը նախորդ տարվա ՀՆԱ-ում:</w:t>
      </w:r>
    </w:p>
    <w:p w14:paraId="2478FEC8" w14:textId="77777777" w:rsidR="00802FF2" w:rsidRPr="00A52417" w:rsidRDefault="00802FF2" w:rsidP="00082769">
      <w:pPr>
        <w:pStyle w:val="Charts"/>
        <w:ind w:right="-22"/>
        <w:rPr>
          <w:b w:val="0"/>
          <w:bCs/>
          <w:color w:val="auto"/>
          <w:sz w:val="20"/>
          <w:szCs w:val="18"/>
        </w:rPr>
      </w:pPr>
      <w:r w:rsidRPr="00A52417">
        <w:rPr>
          <w:b w:val="0"/>
          <w:bCs/>
          <w:color w:val="auto"/>
          <w:sz w:val="20"/>
          <w:szCs w:val="18"/>
        </w:rPr>
        <w:t>Գծապատկեր 14. Բյուջետային երաշխիքների դինամիկան և վերջիններիս տեսակարար կշիռը նախորդ տարվա ՀՆԱ-ում՝ 2016-2025թթ. (մլրդ ՀՀ դրամ, %)</w:t>
      </w:r>
    </w:p>
    <w:p w14:paraId="50D31798" w14:textId="77777777" w:rsidR="00802FF2" w:rsidRPr="000232DD" w:rsidRDefault="00802FF2" w:rsidP="00082769">
      <w:pPr>
        <w:ind w:right="-22"/>
        <w:rPr>
          <w:rFonts w:ascii="GHEA Grapalat" w:eastAsia="Times New Roman" w:hAnsi="GHEA Grapalat" w:cs="Times New Roman"/>
          <w:color w:val="auto"/>
        </w:rPr>
      </w:pPr>
      <w:r w:rsidRPr="000232DD">
        <w:rPr>
          <w:rFonts w:ascii="GHEA Grapalat" w:eastAsia="Times New Roman" w:hAnsi="GHEA Grapalat" w:cs="Times New Roman"/>
          <w:noProof/>
          <w:color w:val="auto"/>
        </w:rPr>
        <w:drawing>
          <wp:inline distT="0" distB="0" distL="0" distR="0" wp14:anchorId="258C27B3" wp14:editId="0CDBB687">
            <wp:extent cx="5747413" cy="3291840"/>
            <wp:effectExtent l="0" t="0" r="5715" b="3810"/>
            <wp:docPr id="154587646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3"/>
              </a:graphicData>
            </a:graphic>
          </wp:inline>
        </w:drawing>
      </w:r>
    </w:p>
    <w:p w14:paraId="4D3D135C"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Տվյալները ցույց են տալիս, որ որոշակի պահի դրությամբ տրամադրված և չմարված բյուջետային երաշխիքների հանրագումարը ցածր է եղել սահմանված՝ նախորդ տարվա ՀՆԱ-ի 20 տոկոս շեմից։</w:t>
      </w:r>
    </w:p>
    <w:p w14:paraId="3B1C94E7"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Ուսումնասիրելով բյուջետային երաշխիքների դինամիկան և դրանց տեսակարար կշիռը նախորդ տարվա ՀՆԱ-ում՝ կարող ենք ասել, որ այն ընդհանուր նվազման միտում է ունեցել 2017–2024թթ., սակայն 2025թ.-ին կրկին աճել է՝ պայմանավորված նոր տրամադրված բյուջետային երաշխիքներով։ Բյուջետային երաշխիքների առավելագույն չափը արձանագրվել է 2017թ.-ին՝ 84.7 մլրդ ՀՀ դրամ կամ նախորդ տարվա ՀՆԱ-ի 1.67%-ը:</w:t>
      </w:r>
    </w:p>
    <w:p w14:paraId="52892BA6"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Գծապատկերում ներկայացվում է նաև տրամադրված բյուջետային երաշխիքների դինամիկան և վերջիններիս տեսակարար կշիռը նախորդ տարվա ՀՆԱ-ում՝ ըստ տարիների:</w:t>
      </w:r>
    </w:p>
    <w:p w14:paraId="735C4EF3"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 xml:space="preserve">Ինչպես նկատելի է գծապատկերից, 2025թ.-ի դեկտեմբերի 31-ի դրությամբ ներքին բյուջետային երաշխիքները նախորդ տարվա նույն ժամանակահատվածի նկատմամբ աճել են շուրջ 5 անգամ՝ հիմնականում պայմանավորված ՀՀ կառավարության 27.02.2025թ.-ի N 220-Ա որոշման շրջանակներում «Լիդիան Արմենիա» ՓԲԸ-ին տրամադրված՝ 107.5 մլն ԱՄՆ դոլար կամ շուրջ 41 մլրդ ՀՀ դրամի չափով երաշխիքով և այլ նոր ներքին բյուջետային երաշխիքներով։ </w:t>
      </w:r>
    </w:p>
    <w:p w14:paraId="3D599AF2" w14:textId="64745A30" w:rsidR="00802FF2" w:rsidRPr="00821159" w:rsidRDefault="00802FF2" w:rsidP="0082115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Ստորև ներկայացվում է երաշխավորվող կազմակերպությունների ցանկը, տրամադրված երաշխիքի չափը ՀՀ դրամով և վերջիններիս կշիռը համապատասխան պորտֆելում՝ 2025թ.-ի դեկտեմբե</w:t>
      </w:r>
      <w:r w:rsidR="00821159">
        <w:rPr>
          <w:rFonts w:ascii="GHEA Grapalat" w:eastAsia="Times New Roman" w:hAnsi="GHEA Grapalat" w:cs="Times New Roman"/>
          <w:color w:val="auto"/>
        </w:rPr>
        <w:t>րի 31-ի դրությամբ (Աղյուսակ 5):</w:t>
      </w:r>
    </w:p>
    <w:p w14:paraId="319A057D" w14:textId="77777777" w:rsidR="00802FF2" w:rsidRPr="00A52417" w:rsidRDefault="00802FF2" w:rsidP="00A52417">
      <w:pPr>
        <w:pStyle w:val="Charts"/>
        <w:ind w:right="-22"/>
        <w:rPr>
          <w:b w:val="0"/>
          <w:bCs/>
          <w:color w:val="auto"/>
          <w:sz w:val="20"/>
          <w:szCs w:val="18"/>
        </w:rPr>
      </w:pPr>
      <w:r w:rsidRPr="00A52417">
        <w:rPr>
          <w:b w:val="0"/>
          <w:bCs/>
          <w:color w:val="auto"/>
          <w:sz w:val="20"/>
          <w:szCs w:val="18"/>
        </w:rPr>
        <w:t>Աղյուսակ 5. Երաշխավորվող կազմակերպությունների ցանկ</w:t>
      </w:r>
    </w:p>
    <w:tbl>
      <w:tblPr>
        <w:tblW w:w="9810" w:type="dxa"/>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ook w:val="04A0" w:firstRow="1" w:lastRow="0" w:firstColumn="1" w:lastColumn="0" w:noHBand="0" w:noVBand="1"/>
      </w:tblPr>
      <w:tblGrid>
        <w:gridCol w:w="2518"/>
        <w:gridCol w:w="2612"/>
        <w:gridCol w:w="2610"/>
        <w:gridCol w:w="2070"/>
      </w:tblGrid>
      <w:tr w:rsidR="004C0C21" w:rsidRPr="001A2654" w14:paraId="7FFE90B5" w14:textId="77777777" w:rsidTr="001226F0">
        <w:trPr>
          <w:trHeight w:val="46"/>
        </w:trPr>
        <w:tc>
          <w:tcPr>
            <w:tcW w:w="5130" w:type="dxa"/>
            <w:gridSpan w:val="2"/>
            <w:shd w:val="clear" w:color="auto" w:fill="DAE9F7" w:themeFill="text2" w:themeFillTint="1A"/>
            <w:noWrap/>
            <w:vAlign w:val="center"/>
            <w:hideMark/>
          </w:tcPr>
          <w:p w14:paraId="7CD16280"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ԱՐՏԱՔԻՆ ԲՅՈՒՋԵՏԱՅԻՆ ԵՐԱՇԽԻՔՆԵՐ</w:t>
            </w:r>
          </w:p>
        </w:tc>
        <w:tc>
          <w:tcPr>
            <w:tcW w:w="2610" w:type="dxa"/>
            <w:shd w:val="clear" w:color="auto" w:fill="DAE9F7" w:themeFill="text2" w:themeFillTint="1A"/>
            <w:noWrap/>
            <w:vAlign w:val="bottom"/>
            <w:hideMark/>
          </w:tcPr>
          <w:p w14:paraId="07BCBD64"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Calibri" w:eastAsia="Times New Roman" w:hAnsi="Calibri" w:cs="Calibri"/>
                <w:color w:val="auto"/>
                <w:sz w:val="20"/>
                <w:szCs w:val="20"/>
              </w:rPr>
              <w:t> </w:t>
            </w:r>
          </w:p>
        </w:tc>
        <w:tc>
          <w:tcPr>
            <w:tcW w:w="2070" w:type="dxa"/>
            <w:shd w:val="clear" w:color="auto" w:fill="DAE9F7" w:themeFill="text2" w:themeFillTint="1A"/>
            <w:noWrap/>
            <w:vAlign w:val="bottom"/>
            <w:hideMark/>
          </w:tcPr>
          <w:p w14:paraId="6EBA6697"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Calibri" w:eastAsia="Times New Roman" w:hAnsi="Calibri" w:cs="Calibri"/>
                <w:color w:val="auto"/>
                <w:sz w:val="20"/>
                <w:szCs w:val="20"/>
              </w:rPr>
              <w:t> </w:t>
            </w:r>
          </w:p>
        </w:tc>
      </w:tr>
      <w:tr w:rsidR="004C0C21" w:rsidRPr="001A2654" w14:paraId="60558F35" w14:textId="77777777" w:rsidTr="001226F0">
        <w:trPr>
          <w:trHeight w:val="549"/>
        </w:trPr>
        <w:tc>
          <w:tcPr>
            <w:tcW w:w="2518" w:type="dxa"/>
            <w:shd w:val="clear" w:color="auto" w:fill="DAE9F7" w:themeFill="text2" w:themeFillTint="1A"/>
            <w:noWrap/>
            <w:vAlign w:val="center"/>
            <w:hideMark/>
          </w:tcPr>
          <w:p w14:paraId="640278A5" w14:textId="77777777" w:rsidR="00802FF2" w:rsidRPr="001A2654" w:rsidRDefault="00802FF2" w:rsidP="00082769">
            <w:pPr>
              <w:spacing w:line="240" w:lineRule="auto"/>
              <w:ind w:right="-22"/>
              <w:jc w:val="center"/>
              <w:rPr>
                <w:rFonts w:ascii="GHEA Grapalat" w:eastAsia="Times New Roman" w:hAnsi="GHEA Grapalat" w:cs="Times New Roman"/>
                <w:b/>
                <w:color w:val="auto"/>
                <w:sz w:val="20"/>
                <w:szCs w:val="20"/>
              </w:rPr>
            </w:pPr>
            <w:bookmarkStart w:id="501" w:name="RANGE!B223"/>
            <w:r w:rsidRPr="001A2654">
              <w:rPr>
                <w:rFonts w:ascii="GHEA Grapalat" w:eastAsia="Times New Roman" w:hAnsi="GHEA Grapalat" w:cs="Times New Roman"/>
                <w:b/>
                <w:color w:val="auto"/>
                <w:sz w:val="20"/>
                <w:szCs w:val="20"/>
              </w:rPr>
              <w:t>Պրինցիպալ</w:t>
            </w:r>
            <w:bookmarkEnd w:id="501"/>
          </w:p>
        </w:tc>
        <w:tc>
          <w:tcPr>
            <w:tcW w:w="2612" w:type="dxa"/>
            <w:shd w:val="clear" w:color="auto" w:fill="DAE9F7" w:themeFill="text2" w:themeFillTint="1A"/>
            <w:noWrap/>
            <w:vAlign w:val="center"/>
            <w:hideMark/>
          </w:tcPr>
          <w:p w14:paraId="4DDB4CC0" w14:textId="77777777" w:rsidR="00802FF2" w:rsidRPr="001A2654" w:rsidRDefault="00802FF2" w:rsidP="00082769">
            <w:pPr>
              <w:spacing w:line="240" w:lineRule="auto"/>
              <w:ind w:right="-22"/>
              <w:jc w:val="center"/>
              <w:rPr>
                <w:rFonts w:ascii="GHEA Grapalat" w:eastAsia="Times New Roman" w:hAnsi="GHEA Grapalat" w:cs="Times New Roman"/>
                <w:b/>
                <w:color w:val="auto"/>
                <w:sz w:val="20"/>
                <w:szCs w:val="20"/>
              </w:rPr>
            </w:pPr>
            <w:bookmarkStart w:id="502" w:name="RANGE!C223"/>
            <w:r w:rsidRPr="001A2654">
              <w:rPr>
                <w:rFonts w:ascii="GHEA Grapalat" w:eastAsia="Times New Roman" w:hAnsi="GHEA Grapalat" w:cs="Times New Roman"/>
                <w:b/>
                <w:color w:val="auto"/>
                <w:sz w:val="20"/>
                <w:szCs w:val="20"/>
              </w:rPr>
              <w:t>Բենեֆիցիար</w:t>
            </w:r>
            <w:bookmarkEnd w:id="502"/>
          </w:p>
        </w:tc>
        <w:tc>
          <w:tcPr>
            <w:tcW w:w="2610" w:type="dxa"/>
            <w:shd w:val="clear" w:color="auto" w:fill="DAE9F7" w:themeFill="text2" w:themeFillTint="1A"/>
            <w:noWrap/>
            <w:vAlign w:val="center"/>
            <w:hideMark/>
          </w:tcPr>
          <w:p w14:paraId="711C306C" w14:textId="77777777" w:rsidR="00802FF2" w:rsidRPr="001A2654" w:rsidRDefault="00802FF2" w:rsidP="00082769">
            <w:pPr>
              <w:spacing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Բյուջետային երաշխիքի չափ</w:t>
            </w:r>
          </w:p>
          <w:p w14:paraId="617A94CC" w14:textId="58589FB9" w:rsidR="00802FF2" w:rsidRPr="001A2654" w:rsidRDefault="00802FF2" w:rsidP="00223757">
            <w:pPr>
              <w:spacing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w:t>
            </w:r>
            <w:r w:rsidR="00821159">
              <w:rPr>
                <w:rFonts w:ascii="GHEA Grapalat" w:eastAsia="Times New Roman" w:hAnsi="GHEA Grapalat" w:cs="Times New Roman"/>
                <w:b/>
                <w:color w:val="auto"/>
                <w:sz w:val="20"/>
                <w:szCs w:val="20"/>
                <w:lang w:val="hy-AM"/>
              </w:rPr>
              <w:t>մլրդ</w:t>
            </w:r>
            <w:r w:rsidR="00223757" w:rsidRPr="001A2654">
              <w:rPr>
                <w:rFonts w:ascii="GHEA Grapalat" w:eastAsia="Times New Roman" w:hAnsi="GHEA Grapalat" w:cs="Times New Roman"/>
                <w:b/>
                <w:color w:val="auto"/>
                <w:sz w:val="20"/>
                <w:szCs w:val="20"/>
              </w:rPr>
              <w:t xml:space="preserve"> ՀՀ</w:t>
            </w:r>
            <w:r w:rsidRPr="001A2654">
              <w:rPr>
                <w:rFonts w:ascii="GHEA Grapalat" w:eastAsia="Times New Roman" w:hAnsi="GHEA Grapalat" w:cs="Times New Roman"/>
                <w:b/>
                <w:color w:val="auto"/>
                <w:sz w:val="20"/>
                <w:szCs w:val="20"/>
              </w:rPr>
              <w:t xml:space="preserve"> դրամ)</w:t>
            </w:r>
          </w:p>
        </w:tc>
        <w:tc>
          <w:tcPr>
            <w:tcW w:w="2070" w:type="dxa"/>
            <w:shd w:val="clear" w:color="auto" w:fill="DAE9F7" w:themeFill="text2" w:themeFillTint="1A"/>
            <w:vAlign w:val="center"/>
            <w:hideMark/>
          </w:tcPr>
          <w:p w14:paraId="36AB2FCD" w14:textId="45BD3BF9" w:rsidR="00802FF2" w:rsidRPr="00821159" w:rsidRDefault="00802FF2" w:rsidP="00082769">
            <w:pPr>
              <w:spacing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Կշիռը արտաքին բյուջետային երաշխիքների պորտֆելում</w:t>
            </w:r>
            <w:r w:rsidR="00821159">
              <w:rPr>
                <w:rFonts w:ascii="GHEA Grapalat" w:eastAsia="Times New Roman" w:hAnsi="GHEA Grapalat" w:cs="Times New Roman"/>
                <w:b/>
                <w:color w:val="auto"/>
                <w:sz w:val="20"/>
                <w:szCs w:val="20"/>
                <w:lang w:val="hy-AM"/>
              </w:rPr>
              <w:t xml:space="preserve"> </w:t>
            </w:r>
            <w:r w:rsidR="00821159">
              <w:rPr>
                <w:rFonts w:ascii="GHEA Grapalat" w:eastAsia="Times New Roman" w:hAnsi="GHEA Grapalat" w:cs="Times New Roman"/>
                <w:b/>
                <w:color w:val="auto"/>
                <w:sz w:val="20"/>
                <w:szCs w:val="20"/>
              </w:rPr>
              <w:t>(%)</w:t>
            </w:r>
          </w:p>
        </w:tc>
      </w:tr>
      <w:tr w:rsidR="004C0C21" w:rsidRPr="001A2654" w14:paraId="3095A6AB" w14:textId="77777777" w:rsidTr="001226F0">
        <w:trPr>
          <w:trHeight w:val="335"/>
        </w:trPr>
        <w:tc>
          <w:tcPr>
            <w:tcW w:w="2518" w:type="dxa"/>
            <w:shd w:val="clear" w:color="auto" w:fill="auto"/>
            <w:noWrap/>
            <w:vAlign w:val="center"/>
            <w:hideMark/>
          </w:tcPr>
          <w:p w14:paraId="4D63C5E3"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1. ՀՀ կենտրոնական բանկ</w:t>
            </w:r>
          </w:p>
        </w:tc>
        <w:tc>
          <w:tcPr>
            <w:tcW w:w="2612" w:type="dxa"/>
            <w:shd w:val="clear" w:color="auto" w:fill="auto"/>
            <w:vAlign w:val="center"/>
            <w:hideMark/>
          </w:tcPr>
          <w:p w14:paraId="07AB62F2"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ՎԶՄԲ, ԱԶԲ, Գերմանիա (ՎՎԲ)</w:t>
            </w:r>
          </w:p>
        </w:tc>
        <w:tc>
          <w:tcPr>
            <w:tcW w:w="2610" w:type="dxa"/>
            <w:shd w:val="clear" w:color="auto" w:fill="auto"/>
            <w:noWrap/>
            <w:vAlign w:val="center"/>
            <w:hideMark/>
          </w:tcPr>
          <w:p w14:paraId="54FF8A58" w14:textId="0D3FD3CA" w:rsidR="00802FF2" w:rsidRPr="001A2654" w:rsidRDefault="00821159" w:rsidP="0082115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24.6</w:t>
            </w:r>
          </w:p>
        </w:tc>
        <w:tc>
          <w:tcPr>
            <w:tcW w:w="2070" w:type="dxa"/>
            <w:shd w:val="clear" w:color="auto" w:fill="auto"/>
            <w:noWrap/>
            <w:vAlign w:val="center"/>
            <w:hideMark/>
          </w:tcPr>
          <w:p w14:paraId="6A6B4728" w14:textId="0DB33145"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9</w:t>
            </w:r>
            <w:r w:rsidR="00821159">
              <w:rPr>
                <w:rFonts w:ascii="GHEA Grapalat" w:eastAsia="Times New Roman" w:hAnsi="GHEA Grapalat" w:cs="Times New Roman"/>
                <w:color w:val="auto"/>
                <w:sz w:val="20"/>
                <w:szCs w:val="20"/>
              </w:rPr>
              <w:t>0.6</w:t>
            </w:r>
          </w:p>
        </w:tc>
      </w:tr>
      <w:tr w:rsidR="004C0C21" w:rsidRPr="001A2654" w14:paraId="4549E1BA" w14:textId="77777777" w:rsidTr="001226F0">
        <w:trPr>
          <w:trHeight w:val="601"/>
        </w:trPr>
        <w:tc>
          <w:tcPr>
            <w:tcW w:w="2518" w:type="dxa"/>
            <w:shd w:val="clear" w:color="auto" w:fill="DEEAF6"/>
            <w:vAlign w:val="center"/>
            <w:hideMark/>
          </w:tcPr>
          <w:p w14:paraId="7827BF7D"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2. «ՆՈՐՔ-ՄԱՐԱՇ» Բժշկական Կենտրոն ՓԲԸ</w:t>
            </w:r>
          </w:p>
        </w:tc>
        <w:tc>
          <w:tcPr>
            <w:tcW w:w="2612" w:type="dxa"/>
            <w:shd w:val="clear" w:color="auto" w:fill="DEEAF6"/>
            <w:vAlign w:val="center"/>
            <w:hideMark/>
          </w:tcPr>
          <w:p w14:paraId="27EA28A8"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Էռստե Բանկ (Ավստրիա)</w:t>
            </w:r>
          </w:p>
        </w:tc>
        <w:tc>
          <w:tcPr>
            <w:tcW w:w="2610" w:type="dxa"/>
            <w:shd w:val="clear" w:color="auto" w:fill="DEEAF6"/>
            <w:noWrap/>
            <w:vAlign w:val="center"/>
            <w:hideMark/>
          </w:tcPr>
          <w:p w14:paraId="5D266D73" w14:textId="4C9F99CF" w:rsidR="00802FF2" w:rsidRPr="001A2654" w:rsidRDefault="00821159" w:rsidP="0082115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2.5</w:t>
            </w:r>
          </w:p>
        </w:tc>
        <w:tc>
          <w:tcPr>
            <w:tcW w:w="2070" w:type="dxa"/>
            <w:shd w:val="clear" w:color="auto" w:fill="DEEAF6"/>
            <w:noWrap/>
            <w:vAlign w:val="center"/>
            <w:hideMark/>
          </w:tcPr>
          <w:p w14:paraId="2641CC5D" w14:textId="55EE69A9" w:rsidR="00802FF2" w:rsidRPr="001A2654" w:rsidRDefault="00821159" w:rsidP="00082769">
            <w:pPr>
              <w:spacing w:line="240" w:lineRule="auto"/>
              <w:ind w:right="-22"/>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9.4</w:t>
            </w:r>
          </w:p>
        </w:tc>
      </w:tr>
      <w:tr w:rsidR="004C0C21" w:rsidRPr="001A2654" w14:paraId="18606723" w14:textId="77777777" w:rsidTr="001226F0">
        <w:trPr>
          <w:trHeight w:val="385"/>
        </w:trPr>
        <w:tc>
          <w:tcPr>
            <w:tcW w:w="5130" w:type="dxa"/>
            <w:gridSpan w:val="2"/>
            <w:shd w:val="clear" w:color="auto" w:fill="FFFFFF"/>
            <w:vAlign w:val="center"/>
          </w:tcPr>
          <w:p w14:paraId="3E658386"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Ընդամենը</w:t>
            </w:r>
          </w:p>
        </w:tc>
        <w:tc>
          <w:tcPr>
            <w:tcW w:w="2610" w:type="dxa"/>
            <w:shd w:val="clear" w:color="auto" w:fill="FFFFFF"/>
            <w:noWrap/>
            <w:vAlign w:val="center"/>
          </w:tcPr>
          <w:p w14:paraId="5773752F" w14:textId="2E56CB9A" w:rsidR="00802FF2" w:rsidRPr="001A2654" w:rsidRDefault="00821159" w:rsidP="0082115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27.1</w:t>
            </w:r>
          </w:p>
        </w:tc>
        <w:tc>
          <w:tcPr>
            <w:tcW w:w="2070" w:type="dxa"/>
            <w:shd w:val="clear" w:color="auto" w:fill="FFFFFF"/>
            <w:noWrap/>
            <w:vAlign w:val="center"/>
          </w:tcPr>
          <w:p w14:paraId="03636D2F"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p>
        </w:tc>
      </w:tr>
      <w:tr w:rsidR="004C0C21" w:rsidRPr="001A2654" w14:paraId="1D048091" w14:textId="77777777" w:rsidTr="001226F0">
        <w:trPr>
          <w:trHeight w:val="358"/>
        </w:trPr>
        <w:tc>
          <w:tcPr>
            <w:tcW w:w="5130" w:type="dxa"/>
            <w:gridSpan w:val="2"/>
            <w:shd w:val="clear" w:color="auto" w:fill="DAE9F7" w:themeFill="text2" w:themeFillTint="1A"/>
            <w:noWrap/>
            <w:vAlign w:val="center"/>
            <w:hideMark/>
          </w:tcPr>
          <w:p w14:paraId="456172FF"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ՆԵՐՔԻՆ ԲՅՈՒՋԵՏԱՅԻՆ ԵՐԱՇԽԻՔՆԵՐ</w:t>
            </w:r>
          </w:p>
        </w:tc>
        <w:tc>
          <w:tcPr>
            <w:tcW w:w="2610" w:type="dxa"/>
            <w:shd w:val="clear" w:color="auto" w:fill="DAE9F7" w:themeFill="text2" w:themeFillTint="1A"/>
            <w:noWrap/>
            <w:vAlign w:val="center"/>
            <w:hideMark/>
          </w:tcPr>
          <w:p w14:paraId="46856CD7" w14:textId="77777777" w:rsidR="00802FF2" w:rsidRPr="001A2654" w:rsidRDefault="00802FF2" w:rsidP="00082769">
            <w:pPr>
              <w:spacing w:line="240" w:lineRule="auto"/>
              <w:ind w:right="-22"/>
              <w:jc w:val="center"/>
              <w:rPr>
                <w:rFonts w:ascii="GHEA Grapalat" w:eastAsia="Times New Roman" w:hAnsi="GHEA Grapalat" w:cs="Times New Roman"/>
                <w:color w:val="auto"/>
                <w:sz w:val="20"/>
                <w:szCs w:val="20"/>
              </w:rPr>
            </w:pPr>
          </w:p>
        </w:tc>
        <w:tc>
          <w:tcPr>
            <w:tcW w:w="2070" w:type="dxa"/>
            <w:shd w:val="clear" w:color="auto" w:fill="DAE9F7" w:themeFill="text2" w:themeFillTint="1A"/>
            <w:noWrap/>
            <w:vAlign w:val="center"/>
            <w:hideMark/>
          </w:tcPr>
          <w:p w14:paraId="07AD4389"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Calibri" w:eastAsia="Times New Roman" w:hAnsi="Calibri" w:cs="Calibri"/>
                <w:color w:val="auto"/>
                <w:sz w:val="20"/>
                <w:szCs w:val="20"/>
              </w:rPr>
              <w:t> </w:t>
            </w:r>
          </w:p>
        </w:tc>
      </w:tr>
      <w:tr w:rsidR="004C0C21" w:rsidRPr="001A2654" w14:paraId="6FB53BD0" w14:textId="77777777" w:rsidTr="001226F0">
        <w:trPr>
          <w:trHeight w:val="709"/>
        </w:trPr>
        <w:tc>
          <w:tcPr>
            <w:tcW w:w="2518" w:type="dxa"/>
            <w:shd w:val="clear" w:color="auto" w:fill="DAE9F7" w:themeFill="text2" w:themeFillTint="1A"/>
            <w:noWrap/>
            <w:vAlign w:val="center"/>
            <w:hideMark/>
          </w:tcPr>
          <w:p w14:paraId="50C4EB14" w14:textId="77777777" w:rsidR="00802FF2" w:rsidRPr="001A2654" w:rsidRDefault="00802FF2" w:rsidP="00082769">
            <w:pPr>
              <w:spacing w:line="240" w:lineRule="auto"/>
              <w:ind w:right="-22"/>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Պրինցիպալ</w:t>
            </w:r>
          </w:p>
        </w:tc>
        <w:tc>
          <w:tcPr>
            <w:tcW w:w="2612" w:type="dxa"/>
            <w:shd w:val="clear" w:color="auto" w:fill="DAE9F7" w:themeFill="text2" w:themeFillTint="1A"/>
            <w:noWrap/>
            <w:vAlign w:val="center"/>
            <w:hideMark/>
          </w:tcPr>
          <w:p w14:paraId="2D7B4525" w14:textId="77777777" w:rsidR="00802FF2" w:rsidRPr="001A2654" w:rsidRDefault="00802FF2" w:rsidP="00082769">
            <w:pPr>
              <w:spacing w:line="240" w:lineRule="auto"/>
              <w:ind w:right="-22"/>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Բենեֆիցիար</w:t>
            </w:r>
          </w:p>
        </w:tc>
        <w:tc>
          <w:tcPr>
            <w:tcW w:w="2610" w:type="dxa"/>
            <w:shd w:val="clear" w:color="auto" w:fill="DAE9F7" w:themeFill="text2" w:themeFillTint="1A"/>
            <w:noWrap/>
            <w:vAlign w:val="center"/>
            <w:hideMark/>
          </w:tcPr>
          <w:p w14:paraId="6D185EFA" w14:textId="77777777" w:rsidR="00802FF2" w:rsidRPr="001A2654" w:rsidRDefault="00802FF2" w:rsidP="00082769">
            <w:pPr>
              <w:spacing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Բյուջետային երաշխիքի չափ</w:t>
            </w:r>
          </w:p>
          <w:p w14:paraId="5B00820C" w14:textId="191AE526" w:rsidR="00802FF2" w:rsidRPr="001A2654" w:rsidRDefault="00802FF2" w:rsidP="00223757">
            <w:pPr>
              <w:spacing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w:t>
            </w:r>
            <w:r w:rsidR="00821159">
              <w:rPr>
                <w:rFonts w:ascii="GHEA Grapalat" w:eastAsia="Times New Roman" w:hAnsi="GHEA Grapalat" w:cs="Times New Roman"/>
                <w:b/>
                <w:color w:val="auto"/>
                <w:sz w:val="20"/>
                <w:szCs w:val="20"/>
                <w:lang w:val="hy-AM"/>
              </w:rPr>
              <w:t>մլրդ</w:t>
            </w:r>
            <w:r w:rsidRPr="001A2654">
              <w:rPr>
                <w:rFonts w:ascii="GHEA Grapalat" w:eastAsia="Times New Roman" w:hAnsi="GHEA Grapalat" w:cs="Times New Roman"/>
                <w:b/>
                <w:color w:val="auto"/>
                <w:sz w:val="20"/>
                <w:szCs w:val="20"/>
              </w:rPr>
              <w:t xml:space="preserve"> </w:t>
            </w:r>
            <w:r w:rsidR="00223757" w:rsidRPr="001A2654">
              <w:rPr>
                <w:rFonts w:ascii="GHEA Grapalat" w:eastAsia="Times New Roman" w:hAnsi="GHEA Grapalat" w:cs="Times New Roman"/>
                <w:b/>
                <w:color w:val="auto"/>
                <w:sz w:val="20"/>
                <w:szCs w:val="20"/>
              </w:rPr>
              <w:t>ՀՀ</w:t>
            </w:r>
            <w:r w:rsidR="00223757">
              <w:rPr>
                <w:rFonts w:ascii="GHEA Grapalat" w:eastAsia="Times New Roman" w:hAnsi="GHEA Grapalat" w:cs="Times New Roman"/>
                <w:b/>
                <w:color w:val="auto"/>
                <w:sz w:val="20"/>
                <w:szCs w:val="20"/>
              </w:rPr>
              <w:t xml:space="preserve"> </w:t>
            </w:r>
            <w:r w:rsidRPr="001A2654">
              <w:rPr>
                <w:rFonts w:ascii="GHEA Grapalat" w:eastAsia="Times New Roman" w:hAnsi="GHEA Grapalat" w:cs="Times New Roman"/>
                <w:b/>
                <w:color w:val="auto"/>
                <w:sz w:val="20"/>
                <w:szCs w:val="20"/>
              </w:rPr>
              <w:t>դրամ)</w:t>
            </w:r>
          </w:p>
        </w:tc>
        <w:tc>
          <w:tcPr>
            <w:tcW w:w="2070" w:type="dxa"/>
            <w:shd w:val="clear" w:color="auto" w:fill="DAE9F7" w:themeFill="text2" w:themeFillTint="1A"/>
            <w:vAlign w:val="center"/>
            <w:hideMark/>
          </w:tcPr>
          <w:p w14:paraId="3D89EF7C" w14:textId="09218E42" w:rsidR="00802FF2" w:rsidRPr="001A2654" w:rsidRDefault="00802FF2" w:rsidP="00082769">
            <w:pPr>
              <w:spacing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Կշիռը ներքին բյուջետային երաշխիքների պորտֆելում</w:t>
            </w:r>
            <w:r w:rsidR="00821159">
              <w:rPr>
                <w:rFonts w:ascii="GHEA Grapalat" w:eastAsia="Times New Roman" w:hAnsi="GHEA Grapalat" w:cs="Times New Roman"/>
                <w:b/>
                <w:color w:val="auto"/>
                <w:sz w:val="20"/>
                <w:szCs w:val="20"/>
              </w:rPr>
              <w:t xml:space="preserve"> (%)</w:t>
            </w:r>
          </w:p>
        </w:tc>
      </w:tr>
      <w:tr w:rsidR="004C0C21" w:rsidRPr="001A2654" w14:paraId="6AC7CCF0" w14:textId="77777777" w:rsidTr="001226F0">
        <w:trPr>
          <w:trHeight w:val="335"/>
        </w:trPr>
        <w:tc>
          <w:tcPr>
            <w:tcW w:w="2518" w:type="dxa"/>
            <w:shd w:val="clear" w:color="auto" w:fill="auto"/>
            <w:noWrap/>
            <w:vAlign w:val="center"/>
            <w:hideMark/>
          </w:tcPr>
          <w:p w14:paraId="16C49D9D"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1. «ԼԻԴԻԱՆ ԱՐՄԵՆԻԱ» ՓԲԸ</w:t>
            </w:r>
          </w:p>
        </w:tc>
        <w:tc>
          <w:tcPr>
            <w:tcW w:w="2612" w:type="dxa"/>
            <w:shd w:val="clear" w:color="auto" w:fill="auto"/>
            <w:noWrap/>
            <w:vAlign w:val="center"/>
            <w:hideMark/>
          </w:tcPr>
          <w:p w14:paraId="0FDF5E0A"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«ԱՄԵՐԻԱԲԱՆԿ» ՓԲԸ</w:t>
            </w:r>
          </w:p>
        </w:tc>
        <w:tc>
          <w:tcPr>
            <w:tcW w:w="2610" w:type="dxa"/>
            <w:shd w:val="clear" w:color="auto" w:fill="auto"/>
            <w:noWrap/>
            <w:vAlign w:val="center"/>
            <w:hideMark/>
          </w:tcPr>
          <w:p w14:paraId="07275C7C" w14:textId="56BE8169" w:rsidR="00802FF2" w:rsidRPr="001A2654" w:rsidRDefault="00DE7B20" w:rsidP="0082115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41.0</w:t>
            </w:r>
          </w:p>
        </w:tc>
        <w:tc>
          <w:tcPr>
            <w:tcW w:w="2070" w:type="dxa"/>
            <w:shd w:val="clear" w:color="auto" w:fill="auto"/>
            <w:noWrap/>
            <w:vAlign w:val="center"/>
            <w:hideMark/>
          </w:tcPr>
          <w:p w14:paraId="0C13B307" w14:textId="63BB3C52"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78.84</w:t>
            </w:r>
          </w:p>
        </w:tc>
      </w:tr>
      <w:tr w:rsidR="004C0C21" w:rsidRPr="001A2654" w14:paraId="53B7D672" w14:textId="77777777" w:rsidTr="001226F0">
        <w:trPr>
          <w:trHeight w:val="539"/>
        </w:trPr>
        <w:tc>
          <w:tcPr>
            <w:tcW w:w="2518" w:type="dxa"/>
            <w:shd w:val="clear" w:color="auto" w:fill="DEEAF6"/>
            <w:vAlign w:val="center"/>
            <w:hideMark/>
          </w:tcPr>
          <w:p w14:paraId="0E0DF246"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2.«ՎԵԴԻ ԱԼԿՈ» ՓԲԸ</w:t>
            </w:r>
          </w:p>
        </w:tc>
        <w:tc>
          <w:tcPr>
            <w:tcW w:w="2612" w:type="dxa"/>
            <w:shd w:val="clear" w:color="auto" w:fill="DEEAF6"/>
            <w:vAlign w:val="center"/>
            <w:hideMark/>
          </w:tcPr>
          <w:p w14:paraId="48142E3D"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«ԱՐՄՍՎԻՍԲԱՆԿ» ՓԲԸ</w:t>
            </w:r>
            <w:r w:rsidRPr="001A2654">
              <w:rPr>
                <w:rFonts w:ascii="GHEA Grapalat" w:eastAsia="Times New Roman" w:hAnsi="GHEA Grapalat" w:cs="Times New Roman"/>
                <w:color w:val="auto"/>
                <w:sz w:val="20"/>
                <w:szCs w:val="20"/>
              </w:rPr>
              <w:br/>
              <w:t>«ԱՄԻՕ ԲԱՆԿ» ՓԲԸ</w:t>
            </w:r>
          </w:p>
        </w:tc>
        <w:tc>
          <w:tcPr>
            <w:tcW w:w="2610" w:type="dxa"/>
            <w:shd w:val="clear" w:color="auto" w:fill="DEEAF6"/>
            <w:noWrap/>
            <w:vAlign w:val="center"/>
            <w:hideMark/>
          </w:tcPr>
          <w:p w14:paraId="493EA696" w14:textId="55822B42" w:rsidR="00802FF2" w:rsidRPr="00DE7B20" w:rsidRDefault="00DE7B20" w:rsidP="00082769">
            <w:pPr>
              <w:spacing w:line="240" w:lineRule="auto"/>
              <w:ind w:right="-22"/>
              <w:jc w:val="center"/>
              <w:rPr>
                <w:rFonts w:ascii="GHEA Grapalat" w:eastAsia="Times New Roman" w:hAnsi="GHEA Grapalat" w:cs="Times New Roman"/>
                <w:color w:val="auto"/>
                <w:sz w:val="20"/>
                <w:szCs w:val="20"/>
                <w:lang w:val="hy-AM"/>
              </w:rPr>
            </w:pPr>
            <w:r>
              <w:rPr>
                <w:rFonts w:ascii="GHEA Grapalat" w:eastAsia="Times New Roman" w:hAnsi="GHEA Grapalat" w:cs="Times New Roman"/>
                <w:color w:val="auto"/>
                <w:sz w:val="20"/>
                <w:szCs w:val="20"/>
                <w:lang w:val="hy-AM"/>
              </w:rPr>
              <w:t>4.0</w:t>
            </w:r>
          </w:p>
        </w:tc>
        <w:tc>
          <w:tcPr>
            <w:tcW w:w="2070" w:type="dxa"/>
            <w:shd w:val="clear" w:color="auto" w:fill="DEEAF6"/>
            <w:noWrap/>
            <w:vAlign w:val="center"/>
            <w:hideMark/>
          </w:tcPr>
          <w:p w14:paraId="0389ACD3" w14:textId="551F70D9"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7.59</w:t>
            </w:r>
          </w:p>
        </w:tc>
      </w:tr>
      <w:tr w:rsidR="004C0C21" w:rsidRPr="001A2654" w14:paraId="39AB0852" w14:textId="77777777" w:rsidTr="001226F0">
        <w:trPr>
          <w:trHeight w:val="1065"/>
        </w:trPr>
        <w:tc>
          <w:tcPr>
            <w:tcW w:w="2518" w:type="dxa"/>
            <w:shd w:val="clear" w:color="auto" w:fill="auto"/>
            <w:vAlign w:val="center"/>
            <w:hideMark/>
          </w:tcPr>
          <w:p w14:paraId="4EAAAB4E"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3. «ԻՋԵՎԱՆԻ ԳԻՆՈՒ, ԿՈՆՅԱԿԻ ԳՈՐԾԱՐԱՆ» ՓԲԸ</w:t>
            </w:r>
          </w:p>
        </w:tc>
        <w:tc>
          <w:tcPr>
            <w:tcW w:w="2612" w:type="dxa"/>
            <w:shd w:val="clear" w:color="auto" w:fill="auto"/>
            <w:vAlign w:val="center"/>
            <w:hideMark/>
          </w:tcPr>
          <w:p w14:paraId="047AABA7"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«ԻՆԵԿՈԲԱՆԿ» ՓԲԸ</w:t>
            </w:r>
            <w:r w:rsidRPr="001A2654">
              <w:rPr>
                <w:rFonts w:ascii="GHEA Grapalat" w:eastAsia="Times New Roman" w:hAnsi="GHEA Grapalat" w:cs="Times New Roman"/>
                <w:color w:val="auto"/>
                <w:sz w:val="20"/>
                <w:szCs w:val="20"/>
              </w:rPr>
              <w:br/>
              <w:t>«Հայաստանի զարգացման և ներդրումների Կորպորացիա» ՈՒՎԿ ՓԲԸ</w:t>
            </w:r>
          </w:p>
        </w:tc>
        <w:tc>
          <w:tcPr>
            <w:tcW w:w="2610" w:type="dxa"/>
            <w:shd w:val="clear" w:color="auto" w:fill="auto"/>
            <w:noWrap/>
            <w:vAlign w:val="center"/>
            <w:hideMark/>
          </w:tcPr>
          <w:p w14:paraId="7117D0C0" w14:textId="3053AB9C" w:rsidR="00802FF2" w:rsidRPr="001A2654" w:rsidRDefault="00DE7B20" w:rsidP="00DE7B20">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2.4</w:t>
            </w:r>
          </w:p>
        </w:tc>
        <w:tc>
          <w:tcPr>
            <w:tcW w:w="2070" w:type="dxa"/>
            <w:shd w:val="clear" w:color="auto" w:fill="auto"/>
            <w:noWrap/>
            <w:vAlign w:val="center"/>
            <w:hideMark/>
          </w:tcPr>
          <w:p w14:paraId="39B04099" w14:textId="77CC418C"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4.59</w:t>
            </w:r>
          </w:p>
        </w:tc>
      </w:tr>
      <w:tr w:rsidR="004C0C21" w:rsidRPr="001A2654" w14:paraId="249EB0C2" w14:textId="77777777" w:rsidTr="001226F0">
        <w:trPr>
          <w:trHeight w:val="1065"/>
        </w:trPr>
        <w:tc>
          <w:tcPr>
            <w:tcW w:w="2518" w:type="dxa"/>
            <w:shd w:val="clear" w:color="auto" w:fill="DEEAF6"/>
            <w:noWrap/>
            <w:vAlign w:val="center"/>
            <w:hideMark/>
          </w:tcPr>
          <w:p w14:paraId="716B0A5A"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4. «ՊՌՈՇՅԱՆԻ ԿՈՆՅԱԿԻ ԳՈՐԾԱՐԱՆ» ՍՊԸ</w:t>
            </w:r>
          </w:p>
        </w:tc>
        <w:tc>
          <w:tcPr>
            <w:tcW w:w="2612" w:type="dxa"/>
            <w:shd w:val="clear" w:color="auto" w:fill="DEEAF6"/>
            <w:vAlign w:val="center"/>
            <w:hideMark/>
          </w:tcPr>
          <w:p w14:paraId="3279135C"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«ԻՆԵԿՈԲԱՆԿ» ՓԲԸ</w:t>
            </w:r>
            <w:r w:rsidRPr="001A2654">
              <w:rPr>
                <w:rFonts w:ascii="GHEA Grapalat" w:eastAsia="Times New Roman" w:hAnsi="GHEA Grapalat" w:cs="Times New Roman"/>
                <w:color w:val="auto"/>
                <w:sz w:val="20"/>
                <w:szCs w:val="20"/>
              </w:rPr>
              <w:br/>
              <w:t>«ԱՐՄՍՎԻՍԲԱՆԿ» ՓԲԸ</w:t>
            </w:r>
            <w:r w:rsidRPr="001A2654">
              <w:rPr>
                <w:rFonts w:ascii="GHEA Grapalat" w:eastAsia="Times New Roman" w:hAnsi="GHEA Grapalat" w:cs="Times New Roman"/>
                <w:color w:val="auto"/>
                <w:sz w:val="20"/>
                <w:szCs w:val="20"/>
              </w:rPr>
              <w:br/>
              <w:t>«ԱՄԻՕ ԲԱՆԿ» ՓԲԸ</w:t>
            </w:r>
            <w:r w:rsidRPr="001A2654">
              <w:rPr>
                <w:rFonts w:ascii="GHEA Grapalat" w:eastAsia="Times New Roman" w:hAnsi="GHEA Grapalat" w:cs="Times New Roman"/>
                <w:color w:val="auto"/>
                <w:sz w:val="20"/>
                <w:szCs w:val="20"/>
              </w:rPr>
              <w:br/>
              <w:t>«ԱԿԲԱ ԲԱՆԿ» ԲԲԸ</w:t>
            </w:r>
          </w:p>
        </w:tc>
        <w:tc>
          <w:tcPr>
            <w:tcW w:w="2610" w:type="dxa"/>
            <w:shd w:val="clear" w:color="auto" w:fill="DEEAF6"/>
            <w:noWrap/>
            <w:vAlign w:val="center"/>
            <w:hideMark/>
          </w:tcPr>
          <w:p w14:paraId="69E88337" w14:textId="41C6A2E6" w:rsidR="00802FF2" w:rsidRPr="001A2654" w:rsidRDefault="00DE7B20" w:rsidP="00DE7B20">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2.3</w:t>
            </w:r>
          </w:p>
        </w:tc>
        <w:tc>
          <w:tcPr>
            <w:tcW w:w="2070" w:type="dxa"/>
            <w:shd w:val="clear" w:color="auto" w:fill="DEEAF6"/>
            <w:noWrap/>
            <w:vAlign w:val="center"/>
            <w:hideMark/>
          </w:tcPr>
          <w:p w14:paraId="17FECA2C" w14:textId="3ED7753C"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4.45</w:t>
            </w:r>
          </w:p>
        </w:tc>
      </w:tr>
      <w:tr w:rsidR="004C0C21" w:rsidRPr="001A2654" w14:paraId="07B31D06" w14:textId="77777777" w:rsidTr="001226F0">
        <w:trPr>
          <w:trHeight w:val="335"/>
        </w:trPr>
        <w:tc>
          <w:tcPr>
            <w:tcW w:w="2518" w:type="dxa"/>
            <w:shd w:val="clear" w:color="auto" w:fill="auto"/>
            <w:noWrap/>
            <w:vAlign w:val="center"/>
            <w:hideMark/>
          </w:tcPr>
          <w:p w14:paraId="76EFD3D8"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5. «ՄԱՊ» ՓԲԸ</w:t>
            </w:r>
          </w:p>
        </w:tc>
        <w:tc>
          <w:tcPr>
            <w:tcW w:w="2612" w:type="dxa"/>
            <w:shd w:val="clear" w:color="auto" w:fill="auto"/>
            <w:noWrap/>
            <w:vAlign w:val="center"/>
            <w:hideMark/>
          </w:tcPr>
          <w:p w14:paraId="699F0FB6"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«ԷՎՈԿԱԲԱՆԿ» ՓԲԸ</w:t>
            </w:r>
          </w:p>
        </w:tc>
        <w:tc>
          <w:tcPr>
            <w:tcW w:w="2610" w:type="dxa"/>
            <w:shd w:val="clear" w:color="auto" w:fill="auto"/>
            <w:noWrap/>
            <w:vAlign w:val="center"/>
            <w:hideMark/>
          </w:tcPr>
          <w:p w14:paraId="162A97E8" w14:textId="49460BD4" w:rsidR="00802FF2" w:rsidRPr="00DE7B20" w:rsidRDefault="00802FF2" w:rsidP="00DE7B20">
            <w:pPr>
              <w:spacing w:line="240" w:lineRule="auto"/>
              <w:ind w:right="-22"/>
              <w:jc w:val="center"/>
              <w:rPr>
                <w:rFonts w:ascii="GHEA Grapalat" w:eastAsia="Times New Roman" w:hAnsi="GHEA Grapalat" w:cs="Times New Roman"/>
                <w:color w:val="auto"/>
                <w:sz w:val="20"/>
                <w:szCs w:val="20"/>
                <w:lang w:val="hy-AM"/>
              </w:rPr>
            </w:pPr>
            <w:r w:rsidRPr="001A2654">
              <w:rPr>
                <w:rFonts w:ascii="GHEA Grapalat" w:eastAsia="Times New Roman" w:hAnsi="GHEA Grapalat" w:cs="Times New Roman"/>
                <w:color w:val="auto"/>
                <w:sz w:val="20"/>
                <w:szCs w:val="20"/>
              </w:rPr>
              <w:t>1</w:t>
            </w:r>
            <w:r w:rsidR="00DE7B20">
              <w:rPr>
                <w:rFonts w:ascii="GHEA Grapalat" w:eastAsia="Times New Roman" w:hAnsi="GHEA Grapalat" w:cs="Times New Roman"/>
                <w:color w:val="auto"/>
                <w:sz w:val="20"/>
                <w:szCs w:val="20"/>
                <w:lang w:val="hy-AM"/>
              </w:rPr>
              <w:t>.1</w:t>
            </w:r>
          </w:p>
        </w:tc>
        <w:tc>
          <w:tcPr>
            <w:tcW w:w="2070" w:type="dxa"/>
            <w:shd w:val="clear" w:color="auto" w:fill="auto"/>
            <w:noWrap/>
            <w:vAlign w:val="center"/>
            <w:hideMark/>
          </w:tcPr>
          <w:p w14:paraId="7B124A23" w14:textId="54745477"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2.18</w:t>
            </w:r>
          </w:p>
        </w:tc>
      </w:tr>
      <w:tr w:rsidR="004C0C21" w:rsidRPr="001A2654" w14:paraId="43801694" w14:textId="77777777" w:rsidTr="001226F0">
        <w:trPr>
          <w:trHeight w:val="335"/>
        </w:trPr>
        <w:tc>
          <w:tcPr>
            <w:tcW w:w="2518" w:type="dxa"/>
            <w:shd w:val="clear" w:color="auto" w:fill="DEEAF6"/>
            <w:vAlign w:val="center"/>
            <w:hideMark/>
          </w:tcPr>
          <w:p w14:paraId="7D6D2FD7"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6. «ԲԱԳՐԱՏ ԳՐՈՒՊ» ՍՊԸ</w:t>
            </w:r>
          </w:p>
        </w:tc>
        <w:tc>
          <w:tcPr>
            <w:tcW w:w="2612" w:type="dxa"/>
            <w:shd w:val="clear" w:color="auto" w:fill="DEEAF6"/>
            <w:vAlign w:val="center"/>
            <w:hideMark/>
          </w:tcPr>
          <w:p w14:paraId="60D141F1"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«ԱՐԴՇԻՆԲԱՆԿ» ՓԲԸ</w:t>
            </w:r>
          </w:p>
        </w:tc>
        <w:tc>
          <w:tcPr>
            <w:tcW w:w="2610" w:type="dxa"/>
            <w:shd w:val="clear" w:color="auto" w:fill="DEEAF6"/>
            <w:noWrap/>
            <w:vAlign w:val="center"/>
            <w:hideMark/>
          </w:tcPr>
          <w:p w14:paraId="56DB97B0" w14:textId="046F7A49" w:rsidR="00802FF2" w:rsidRPr="001A2654" w:rsidRDefault="00DE7B20" w:rsidP="00DE7B20">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lang w:val="hy-AM"/>
              </w:rPr>
              <w:t>0.47</w:t>
            </w:r>
          </w:p>
        </w:tc>
        <w:tc>
          <w:tcPr>
            <w:tcW w:w="2070" w:type="dxa"/>
            <w:shd w:val="clear" w:color="auto" w:fill="DEEAF6"/>
            <w:noWrap/>
            <w:vAlign w:val="center"/>
            <w:hideMark/>
          </w:tcPr>
          <w:p w14:paraId="41570C4F" w14:textId="70CB7155"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0.90</w:t>
            </w:r>
          </w:p>
        </w:tc>
      </w:tr>
      <w:tr w:rsidR="004C0C21" w:rsidRPr="001A2654" w14:paraId="596FEE39" w14:textId="77777777" w:rsidTr="001226F0">
        <w:trPr>
          <w:trHeight w:val="335"/>
        </w:trPr>
        <w:tc>
          <w:tcPr>
            <w:tcW w:w="2518" w:type="dxa"/>
            <w:shd w:val="clear" w:color="auto" w:fill="auto"/>
            <w:vAlign w:val="center"/>
            <w:hideMark/>
          </w:tcPr>
          <w:p w14:paraId="23EF0A7A"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7. «ԱՐՏԱՇԱՏ-ՎԻՆԿՈՆ» ՓԲԸ</w:t>
            </w:r>
          </w:p>
        </w:tc>
        <w:tc>
          <w:tcPr>
            <w:tcW w:w="2612" w:type="dxa"/>
            <w:shd w:val="clear" w:color="auto" w:fill="auto"/>
            <w:vAlign w:val="center"/>
            <w:hideMark/>
          </w:tcPr>
          <w:p w14:paraId="2471B494"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«ԱՐՄՍՎԻՍԲԱՆԿ» ՓԲԸ</w:t>
            </w:r>
          </w:p>
        </w:tc>
        <w:tc>
          <w:tcPr>
            <w:tcW w:w="2610" w:type="dxa"/>
            <w:shd w:val="clear" w:color="auto" w:fill="auto"/>
            <w:noWrap/>
            <w:vAlign w:val="center"/>
            <w:hideMark/>
          </w:tcPr>
          <w:p w14:paraId="39294578" w14:textId="5941C0E7" w:rsidR="00802FF2" w:rsidRPr="001A2654" w:rsidRDefault="00DE7B20" w:rsidP="00DE7B20">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lang w:val="hy-AM"/>
              </w:rPr>
              <w:t>0.23</w:t>
            </w:r>
          </w:p>
        </w:tc>
        <w:tc>
          <w:tcPr>
            <w:tcW w:w="2070" w:type="dxa"/>
            <w:shd w:val="clear" w:color="auto" w:fill="auto"/>
            <w:noWrap/>
            <w:vAlign w:val="center"/>
            <w:hideMark/>
          </w:tcPr>
          <w:p w14:paraId="7F5ACCCE" w14:textId="5E10EDD0"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0.44</w:t>
            </w:r>
          </w:p>
        </w:tc>
      </w:tr>
      <w:tr w:rsidR="004C0C21" w:rsidRPr="001A2654" w14:paraId="34E00443" w14:textId="77777777" w:rsidTr="001226F0">
        <w:trPr>
          <w:trHeight w:val="539"/>
        </w:trPr>
        <w:tc>
          <w:tcPr>
            <w:tcW w:w="2518" w:type="dxa"/>
            <w:shd w:val="clear" w:color="000000" w:fill="DDEBF7"/>
            <w:vAlign w:val="center"/>
            <w:hideMark/>
          </w:tcPr>
          <w:p w14:paraId="3612F66C"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8. «ԳԵՏԱՓԻ ԳԻՆՈՒ ԿՈՆՅԱԿԻ ԳՈՐԾԱՐԱՆ» ՍՊԸ</w:t>
            </w:r>
          </w:p>
        </w:tc>
        <w:tc>
          <w:tcPr>
            <w:tcW w:w="2612" w:type="dxa"/>
            <w:shd w:val="clear" w:color="000000" w:fill="DDEBF7"/>
            <w:vAlign w:val="center"/>
            <w:hideMark/>
          </w:tcPr>
          <w:p w14:paraId="10844E6D"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«ԱՐՄՍՎԻՍԲԱՆԿ» ՓԲԸ</w:t>
            </w:r>
          </w:p>
        </w:tc>
        <w:tc>
          <w:tcPr>
            <w:tcW w:w="2610" w:type="dxa"/>
            <w:shd w:val="clear" w:color="000000" w:fill="DDEBF7"/>
            <w:noWrap/>
            <w:vAlign w:val="center"/>
            <w:hideMark/>
          </w:tcPr>
          <w:p w14:paraId="3EC1601F" w14:textId="6CB51FFA" w:rsidR="00802FF2" w:rsidRPr="001A2654" w:rsidRDefault="00DE7B20" w:rsidP="00DE7B20">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lang w:val="hy-AM"/>
              </w:rPr>
              <w:t>0.</w:t>
            </w:r>
            <w:r w:rsidR="00802FF2" w:rsidRPr="001A2654">
              <w:rPr>
                <w:rFonts w:ascii="GHEA Grapalat" w:eastAsia="Times New Roman" w:hAnsi="GHEA Grapalat" w:cs="Times New Roman"/>
                <w:color w:val="auto"/>
                <w:sz w:val="20"/>
                <w:szCs w:val="20"/>
              </w:rPr>
              <w:t>2</w:t>
            </w:r>
            <w:r>
              <w:rPr>
                <w:rFonts w:ascii="GHEA Grapalat" w:eastAsia="Times New Roman" w:hAnsi="GHEA Grapalat" w:cs="Times New Roman"/>
                <w:color w:val="auto"/>
                <w:sz w:val="20"/>
                <w:szCs w:val="20"/>
                <w:lang w:val="hy-AM"/>
              </w:rPr>
              <w:t>1</w:t>
            </w:r>
          </w:p>
        </w:tc>
        <w:tc>
          <w:tcPr>
            <w:tcW w:w="2070" w:type="dxa"/>
            <w:shd w:val="clear" w:color="000000" w:fill="DDEBF7"/>
            <w:noWrap/>
            <w:vAlign w:val="center"/>
            <w:hideMark/>
          </w:tcPr>
          <w:p w14:paraId="1B916BC4" w14:textId="38134C2E"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0.40</w:t>
            </w:r>
          </w:p>
        </w:tc>
      </w:tr>
      <w:tr w:rsidR="004C0C21" w:rsidRPr="001A2654" w14:paraId="5B7F4BE3" w14:textId="77777777" w:rsidTr="001226F0">
        <w:trPr>
          <w:trHeight w:val="335"/>
        </w:trPr>
        <w:tc>
          <w:tcPr>
            <w:tcW w:w="2518" w:type="dxa"/>
            <w:shd w:val="clear" w:color="auto" w:fill="auto"/>
            <w:vAlign w:val="center"/>
            <w:hideMark/>
          </w:tcPr>
          <w:p w14:paraId="111051D0"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9. «ՇԱՀՈՒՄՅԱՆ-ՎԻՆ» ՍՊԸ</w:t>
            </w:r>
          </w:p>
        </w:tc>
        <w:tc>
          <w:tcPr>
            <w:tcW w:w="2612" w:type="dxa"/>
            <w:shd w:val="clear" w:color="auto" w:fill="auto"/>
            <w:noWrap/>
            <w:vAlign w:val="center"/>
            <w:hideMark/>
          </w:tcPr>
          <w:p w14:paraId="3A1F5960"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«Հայաստանի զարգացման և ներդրումների Կորպորացիա» ՈՒՎԿ ՓԲԸ</w:t>
            </w:r>
          </w:p>
        </w:tc>
        <w:tc>
          <w:tcPr>
            <w:tcW w:w="2610" w:type="dxa"/>
            <w:shd w:val="clear" w:color="auto" w:fill="auto"/>
            <w:noWrap/>
            <w:vAlign w:val="center"/>
            <w:hideMark/>
          </w:tcPr>
          <w:p w14:paraId="5FB49648" w14:textId="00EC25D6" w:rsidR="00802FF2" w:rsidRPr="001A2654" w:rsidRDefault="00DE7B20" w:rsidP="00DE7B20">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lang w:val="hy-AM"/>
              </w:rPr>
              <w:t>0.</w:t>
            </w:r>
            <w:r w:rsidR="00802FF2" w:rsidRPr="001A2654">
              <w:rPr>
                <w:rFonts w:ascii="GHEA Grapalat" w:eastAsia="Times New Roman" w:hAnsi="GHEA Grapalat" w:cs="Times New Roman"/>
                <w:color w:val="auto"/>
                <w:sz w:val="20"/>
                <w:szCs w:val="20"/>
              </w:rPr>
              <w:t>2</w:t>
            </w:r>
            <w:r>
              <w:rPr>
                <w:rFonts w:ascii="GHEA Grapalat" w:eastAsia="Times New Roman" w:hAnsi="GHEA Grapalat" w:cs="Times New Roman"/>
                <w:color w:val="auto"/>
                <w:sz w:val="20"/>
                <w:szCs w:val="20"/>
                <w:lang w:val="hy-AM"/>
              </w:rPr>
              <w:t>1</w:t>
            </w:r>
          </w:p>
        </w:tc>
        <w:tc>
          <w:tcPr>
            <w:tcW w:w="2070" w:type="dxa"/>
            <w:shd w:val="clear" w:color="auto" w:fill="auto"/>
            <w:noWrap/>
            <w:vAlign w:val="center"/>
            <w:hideMark/>
          </w:tcPr>
          <w:p w14:paraId="2DF64344" w14:textId="187BD7EA"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0.40</w:t>
            </w:r>
          </w:p>
        </w:tc>
      </w:tr>
      <w:tr w:rsidR="004C0C21" w:rsidRPr="001A2654" w14:paraId="79F3CEB9" w14:textId="77777777" w:rsidTr="001226F0">
        <w:trPr>
          <w:trHeight w:val="539"/>
        </w:trPr>
        <w:tc>
          <w:tcPr>
            <w:tcW w:w="2518" w:type="dxa"/>
            <w:shd w:val="clear" w:color="000000" w:fill="DDEBF7"/>
            <w:vAlign w:val="center"/>
            <w:hideMark/>
          </w:tcPr>
          <w:p w14:paraId="3D8F288B"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10. «ԱՐԱՐԱՏԻ ԳԻՆՈՒ ԳՈՐԾԱՐԱՆ» ՍՊԸ</w:t>
            </w:r>
          </w:p>
        </w:tc>
        <w:tc>
          <w:tcPr>
            <w:tcW w:w="2612" w:type="dxa"/>
            <w:shd w:val="clear" w:color="000000" w:fill="DDEBF7"/>
            <w:vAlign w:val="center"/>
            <w:hideMark/>
          </w:tcPr>
          <w:p w14:paraId="3813379C" w14:textId="77777777" w:rsidR="00802FF2" w:rsidRPr="001A2654" w:rsidRDefault="00802FF2" w:rsidP="00082769">
            <w:pPr>
              <w:spacing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«ԱՐԴՇԻՆԲԱՆԿ» ՓԲԸ</w:t>
            </w:r>
          </w:p>
        </w:tc>
        <w:tc>
          <w:tcPr>
            <w:tcW w:w="2610" w:type="dxa"/>
            <w:shd w:val="clear" w:color="000000" w:fill="DDEBF7"/>
            <w:noWrap/>
            <w:vAlign w:val="center"/>
            <w:hideMark/>
          </w:tcPr>
          <w:p w14:paraId="544930B7" w14:textId="6A298283" w:rsidR="00802FF2" w:rsidRPr="001A2654" w:rsidRDefault="00DE7B20" w:rsidP="00DE7B20">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lang w:val="hy-AM"/>
              </w:rPr>
              <w:t>0.</w:t>
            </w:r>
            <w:r w:rsidR="00802FF2" w:rsidRPr="001A2654">
              <w:rPr>
                <w:rFonts w:ascii="GHEA Grapalat" w:eastAsia="Times New Roman" w:hAnsi="GHEA Grapalat" w:cs="Times New Roman"/>
                <w:color w:val="auto"/>
                <w:sz w:val="20"/>
                <w:szCs w:val="20"/>
              </w:rPr>
              <w:t>1</w:t>
            </w:r>
          </w:p>
        </w:tc>
        <w:tc>
          <w:tcPr>
            <w:tcW w:w="2070" w:type="dxa"/>
            <w:shd w:val="clear" w:color="000000" w:fill="DDEBF7"/>
            <w:noWrap/>
            <w:vAlign w:val="center"/>
            <w:hideMark/>
          </w:tcPr>
          <w:p w14:paraId="16DEBC8B" w14:textId="21AA856B" w:rsidR="00802FF2" w:rsidRPr="001A2654" w:rsidRDefault="00821159" w:rsidP="00082769">
            <w:pPr>
              <w:spacing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0.20</w:t>
            </w:r>
          </w:p>
        </w:tc>
      </w:tr>
      <w:tr w:rsidR="004C0C21" w:rsidRPr="001A2654" w14:paraId="4E52A84D" w14:textId="77777777" w:rsidTr="001226F0">
        <w:trPr>
          <w:trHeight w:val="66"/>
        </w:trPr>
        <w:tc>
          <w:tcPr>
            <w:tcW w:w="5130" w:type="dxa"/>
            <w:gridSpan w:val="2"/>
            <w:shd w:val="clear" w:color="auto" w:fill="FFFFFF"/>
            <w:vAlign w:val="center"/>
          </w:tcPr>
          <w:p w14:paraId="194E922F" w14:textId="77777777" w:rsidR="00802FF2" w:rsidRPr="001A2654" w:rsidRDefault="00802FF2" w:rsidP="00082769">
            <w:pPr>
              <w:ind w:right="-22"/>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Ընդամենը</w:t>
            </w:r>
          </w:p>
        </w:tc>
        <w:tc>
          <w:tcPr>
            <w:tcW w:w="2610" w:type="dxa"/>
            <w:shd w:val="clear" w:color="auto" w:fill="FFFFFF"/>
            <w:noWrap/>
            <w:vAlign w:val="center"/>
          </w:tcPr>
          <w:p w14:paraId="764ADC07" w14:textId="3D45A730" w:rsidR="00802FF2" w:rsidRPr="001A2654" w:rsidRDefault="00DE7B20" w:rsidP="00DE7B20">
            <w:pPr>
              <w:tabs>
                <w:tab w:val="left" w:pos="2175"/>
              </w:tabs>
              <w:ind w:right="-22"/>
              <w:jc w:val="center"/>
              <w:rPr>
                <w:rFonts w:ascii="GHEA Grapalat" w:eastAsia="Times New Roman" w:hAnsi="GHEA Grapalat" w:cs="Times New Roman"/>
                <w:b/>
                <w:color w:val="auto"/>
                <w:sz w:val="20"/>
                <w:szCs w:val="20"/>
              </w:rPr>
            </w:pPr>
            <w:r>
              <w:rPr>
                <w:rFonts w:ascii="GHEA Grapalat" w:eastAsia="Times New Roman" w:hAnsi="GHEA Grapalat" w:cs="Times New Roman"/>
                <w:b/>
                <w:color w:val="auto"/>
                <w:sz w:val="20"/>
                <w:szCs w:val="20"/>
              </w:rPr>
              <w:t>52.0</w:t>
            </w:r>
          </w:p>
        </w:tc>
        <w:tc>
          <w:tcPr>
            <w:tcW w:w="2070" w:type="dxa"/>
            <w:shd w:val="clear" w:color="auto" w:fill="FFFFFF"/>
            <w:noWrap/>
            <w:vAlign w:val="center"/>
          </w:tcPr>
          <w:p w14:paraId="30E7F945" w14:textId="77777777" w:rsidR="00802FF2" w:rsidRPr="001A2654" w:rsidRDefault="00802FF2" w:rsidP="00082769">
            <w:pPr>
              <w:ind w:right="-22"/>
              <w:jc w:val="center"/>
              <w:rPr>
                <w:rFonts w:ascii="GHEA Grapalat" w:eastAsia="Times New Roman" w:hAnsi="GHEA Grapalat" w:cs="Times New Roman"/>
                <w:color w:val="auto"/>
                <w:sz w:val="20"/>
                <w:szCs w:val="20"/>
              </w:rPr>
            </w:pPr>
          </w:p>
        </w:tc>
      </w:tr>
    </w:tbl>
    <w:p w14:paraId="540F82D0" w14:textId="77777777" w:rsidR="00802FF2" w:rsidRPr="000232DD" w:rsidRDefault="00802FF2" w:rsidP="00082769">
      <w:pPr>
        <w:ind w:right="-22"/>
        <w:jc w:val="both"/>
        <w:rPr>
          <w:rFonts w:ascii="GHEA Grapalat" w:eastAsia="Times New Roman" w:hAnsi="GHEA Grapalat" w:cs="Times New Roman"/>
          <w:color w:val="auto"/>
        </w:rPr>
      </w:pPr>
    </w:p>
    <w:p w14:paraId="721A5487"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Համաձայն «Հայաստանի Հանրապետության բյուջետային համակարգի մասին» ՀՀ օրենքի 21-րդ հոդվածի 8.5-րդ մասի «բ» կետի՝ տվյալ բյուջետային տարում երաշխավորվող պարտավորությունների ընդհանուր գումարը (բացառությամբ Հայաստանի Հանրապետության անունից կնքված միջազգային պայմանագրերով նախատեսված երաշխիքների) չի կարող գերազանցել նախորդ բյուջետային տարվա պետական բյուջեի հարկային եկամուտների 10 տոկոսը:</w:t>
      </w:r>
    </w:p>
    <w:p w14:paraId="7729BF9E"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Հաշվի առնելով օրենսդրորեն սահմանված վերոնշյալ ֆիսկալ կանոնը՝ ստորև ներկայացնենք տվյալ բյուջետային տարում երաշխավորվող պարտավորությունների կշիռը նախորդ բյուջետային տարվա պետական բյուջեի հարկային եկամուտներում՝ համեմատելով սահմանային շեմի հետ:</w:t>
      </w:r>
    </w:p>
    <w:p w14:paraId="17A904EA" w14:textId="77777777" w:rsidR="00802FF2" w:rsidRPr="00A52417" w:rsidRDefault="00802FF2" w:rsidP="00082769">
      <w:pPr>
        <w:pStyle w:val="Charts"/>
        <w:ind w:right="-22"/>
        <w:rPr>
          <w:b w:val="0"/>
          <w:bCs/>
          <w:color w:val="auto"/>
          <w:sz w:val="20"/>
          <w:szCs w:val="18"/>
        </w:rPr>
      </w:pPr>
      <w:bookmarkStart w:id="503" w:name="_Toc170906941"/>
      <w:bookmarkStart w:id="504" w:name="_Toc170906569"/>
      <w:bookmarkEnd w:id="499"/>
      <w:bookmarkEnd w:id="500"/>
      <w:r w:rsidRPr="00A52417">
        <w:rPr>
          <w:b w:val="0"/>
          <w:bCs/>
          <w:color w:val="auto"/>
          <w:sz w:val="20"/>
          <w:szCs w:val="18"/>
        </w:rPr>
        <w:t>Գծապատկեր 15. Տվյալ բյուջետային տարում երաշխավորվող պարտավորությունների կշիռը նախորդ բյուջետային տարվա պետական բյուջեի հարկային եկամուտներում, 2016-2025թթ.</w:t>
      </w:r>
    </w:p>
    <w:p w14:paraId="4A2E49DE" w14:textId="77777777" w:rsidR="00802FF2" w:rsidRPr="000232DD" w:rsidRDefault="00802FF2" w:rsidP="00082769">
      <w:pPr>
        <w:ind w:right="-22"/>
        <w:rPr>
          <w:rFonts w:ascii="GHEA Grapalat" w:eastAsia="Times New Roman" w:hAnsi="GHEA Grapalat" w:cs="Times New Roman"/>
          <w:color w:val="auto"/>
        </w:rPr>
      </w:pPr>
      <w:r w:rsidRPr="000232DD">
        <w:rPr>
          <w:rFonts w:ascii="GHEA Grapalat" w:eastAsia="Times New Roman" w:hAnsi="GHEA Grapalat" w:cs="Times New Roman"/>
          <w:noProof/>
          <w:color w:val="auto"/>
        </w:rPr>
        <w:drawing>
          <wp:inline distT="0" distB="0" distL="0" distR="0" wp14:anchorId="63F60ADE" wp14:editId="710BDED5">
            <wp:extent cx="5731510" cy="2656205"/>
            <wp:effectExtent l="0" t="0" r="2540" b="10795"/>
            <wp:docPr id="1545876464" name="Chart 1545876464"/>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14:paraId="6CD4A0B6"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Տվյալները ցույց են տալիս, որ երաշխավորվող պարտավորությունների կշիռը դիտարկվող ժամանակահատվածում ցածր են եղել սահմանված 10 տոկոս շեմից։ 2017թ.-ին արձանագրվել է ամենաբարձր մակարդակը՝ 8.57%։ Այնուհետև 2018–2023 թվականներին ցուցանիշը դրսևորել է նվազման միտում, մինչդեռ 2024 և 2025 թվականներին կրկին գրանցվել է աճ՝ կազմելով համապատասխանաբար 3.19% և 3.54%։ Վերջինիս աճը պայմանավորված է նոր ներքին բյուջետային երաշխիքների տրամադրմամբ։</w:t>
      </w:r>
    </w:p>
    <w:p w14:paraId="4091E524" w14:textId="1D70D1F4" w:rsidR="00802FF2" w:rsidRPr="000232DD" w:rsidRDefault="00802FF2" w:rsidP="00DE7B20">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Հատկանշական է, որ 2025թ.-ին թվով 7 կազմակերպության տրամադրվել է 9 նոր ներքին բյուջետային երաշխիք՝ գյուղատնտեսական հումքի մթերումների նպատակով ագրովերամշակման ոլորտին տրամադրվող աջակցության և ՀՀ կառավարության 27.02.2025թ. N 220-Ա որոշման շրջանակներում: Ներկայացնենք երաշխավորվող կազմակերպությունների ցանկը, տրամադրված նոր երաշխիքի չափը ՀՀ դրամով և վերջիններիս</w:t>
      </w:r>
      <w:r w:rsidR="00DE7B20">
        <w:rPr>
          <w:rFonts w:ascii="GHEA Grapalat" w:eastAsia="Times New Roman" w:hAnsi="GHEA Grapalat" w:cs="Times New Roman"/>
          <w:color w:val="auto"/>
        </w:rPr>
        <w:t xml:space="preserve"> կշիռը համապատասխան պորտֆելում:</w:t>
      </w:r>
    </w:p>
    <w:p w14:paraId="38105D69" w14:textId="77777777" w:rsidR="00802FF2" w:rsidRPr="00A52417" w:rsidRDefault="00802FF2" w:rsidP="00A52417">
      <w:pPr>
        <w:pStyle w:val="Charts"/>
        <w:ind w:right="-22"/>
        <w:rPr>
          <w:b w:val="0"/>
          <w:bCs/>
          <w:color w:val="auto"/>
          <w:sz w:val="20"/>
          <w:szCs w:val="18"/>
        </w:rPr>
      </w:pPr>
      <w:r w:rsidRPr="00A52417">
        <w:rPr>
          <w:b w:val="0"/>
          <w:bCs/>
          <w:color w:val="auto"/>
          <w:sz w:val="20"/>
          <w:szCs w:val="18"/>
        </w:rPr>
        <w:t>Աղյուսակ 6. 2025 թվականին տրամադրած բյուջետային երաշխիքների ցանկ</w:t>
      </w:r>
    </w:p>
    <w:tbl>
      <w:tblPr>
        <w:tblW w:w="9772" w:type="dxa"/>
        <w:tblLook w:val="04A0" w:firstRow="1" w:lastRow="0" w:firstColumn="1" w:lastColumn="0" w:noHBand="0" w:noVBand="1"/>
      </w:tblPr>
      <w:tblGrid>
        <w:gridCol w:w="2970"/>
        <w:gridCol w:w="2610"/>
        <w:gridCol w:w="2610"/>
        <w:gridCol w:w="1582"/>
      </w:tblGrid>
      <w:tr w:rsidR="004C0C21" w:rsidRPr="001A2654" w14:paraId="286E800C" w14:textId="77777777" w:rsidTr="005A4602">
        <w:trPr>
          <w:trHeight w:val="1160"/>
        </w:trPr>
        <w:tc>
          <w:tcPr>
            <w:tcW w:w="2970" w:type="dxa"/>
            <w:tcBorders>
              <w:top w:val="nil"/>
              <w:left w:val="nil"/>
              <w:bottom w:val="single" w:sz="4" w:space="0" w:color="E7E6E6"/>
              <w:right w:val="nil"/>
            </w:tcBorders>
            <w:shd w:val="clear" w:color="auto" w:fill="DAE9F7" w:themeFill="text2" w:themeFillTint="1A"/>
            <w:vAlign w:val="center"/>
            <w:hideMark/>
          </w:tcPr>
          <w:p w14:paraId="66DC5BFC" w14:textId="77777777" w:rsidR="00802FF2" w:rsidRPr="001A2654" w:rsidRDefault="00802FF2" w:rsidP="00082769">
            <w:pPr>
              <w:spacing w:before="0" w:after="0"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Պրինցիպալ</w:t>
            </w:r>
          </w:p>
        </w:tc>
        <w:tc>
          <w:tcPr>
            <w:tcW w:w="2610" w:type="dxa"/>
            <w:tcBorders>
              <w:top w:val="nil"/>
              <w:left w:val="nil"/>
              <w:bottom w:val="single" w:sz="4" w:space="0" w:color="E7E6E6"/>
              <w:right w:val="nil"/>
            </w:tcBorders>
            <w:shd w:val="clear" w:color="auto" w:fill="DAE9F7" w:themeFill="text2" w:themeFillTint="1A"/>
            <w:vAlign w:val="center"/>
            <w:hideMark/>
          </w:tcPr>
          <w:p w14:paraId="2EC1C065" w14:textId="77777777" w:rsidR="00802FF2" w:rsidRPr="001A2654" w:rsidRDefault="00802FF2" w:rsidP="00082769">
            <w:pPr>
              <w:spacing w:before="0" w:after="0"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Բենեֆիցիար</w:t>
            </w:r>
          </w:p>
        </w:tc>
        <w:tc>
          <w:tcPr>
            <w:tcW w:w="2610" w:type="dxa"/>
            <w:tcBorders>
              <w:top w:val="nil"/>
              <w:left w:val="nil"/>
              <w:bottom w:val="single" w:sz="4" w:space="0" w:color="E7E6E6"/>
              <w:right w:val="nil"/>
            </w:tcBorders>
            <w:shd w:val="clear" w:color="auto" w:fill="DAE9F7" w:themeFill="text2" w:themeFillTint="1A"/>
            <w:vAlign w:val="center"/>
            <w:hideMark/>
          </w:tcPr>
          <w:p w14:paraId="59FEA11B" w14:textId="77777777" w:rsidR="00802FF2" w:rsidRPr="001A2654" w:rsidRDefault="00802FF2" w:rsidP="00082769">
            <w:pPr>
              <w:spacing w:before="0" w:after="0"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 xml:space="preserve">Բյուջետային երաշխիքի չափ </w:t>
            </w:r>
          </w:p>
          <w:p w14:paraId="18776E6A" w14:textId="130DC5FD" w:rsidR="00802FF2" w:rsidRPr="001A2654" w:rsidRDefault="00802FF2" w:rsidP="00223757">
            <w:pPr>
              <w:spacing w:before="0" w:after="0"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w:t>
            </w:r>
            <w:r w:rsidR="00DE7B20">
              <w:rPr>
                <w:rFonts w:ascii="GHEA Grapalat" w:eastAsia="Times New Roman" w:hAnsi="GHEA Grapalat" w:cs="Times New Roman"/>
                <w:b/>
                <w:color w:val="auto"/>
                <w:sz w:val="20"/>
                <w:szCs w:val="20"/>
                <w:lang w:val="hy-AM"/>
              </w:rPr>
              <w:t>մլրդ</w:t>
            </w:r>
            <w:r w:rsidR="00223757">
              <w:rPr>
                <w:rFonts w:ascii="GHEA Grapalat" w:eastAsia="Times New Roman" w:hAnsi="GHEA Grapalat" w:cs="Times New Roman"/>
                <w:b/>
                <w:color w:val="auto"/>
                <w:sz w:val="20"/>
                <w:szCs w:val="20"/>
                <w:lang w:val="hy-AM"/>
              </w:rPr>
              <w:t xml:space="preserve"> ՀՀ</w:t>
            </w:r>
            <w:r w:rsidR="00DE7B20">
              <w:rPr>
                <w:rFonts w:ascii="GHEA Grapalat" w:eastAsia="Times New Roman" w:hAnsi="GHEA Grapalat" w:cs="Times New Roman"/>
                <w:b/>
                <w:color w:val="auto"/>
                <w:sz w:val="20"/>
                <w:szCs w:val="20"/>
                <w:lang w:val="hy-AM"/>
              </w:rPr>
              <w:t xml:space="preserve"> </w:t>
            </w:r>
            <w:r w:rsidRPr="001A2654">
              <w:rPr>
                <w:rFonts w:ascii="GHEA Grapalat" w:eastAsia="Times New Roman" w:hAnsi="GHEA Grapalat" w:cs="Times New Roman"/>
                <w:b/>
                <w:color w:val="auto"/>
                <w:sz w:val="20"/>
                <w:szCs w:val="20"/>
              </w:rPr>
              <w:t>դրամ)</w:t>
            </w:r>
          </w:p>
        </w:tc>
        <w:tc>
          <w:tcPr>
            <w:tcW w:w="1582" w:type="dxa"/>
            <w:tcBorders>
              <w:top w:val="nil"/>
              <w:left w:val="nil"/>
              <w:bottom w:val="single" w:sz="4" w:space="0" w:color="E7E6E6"/>
              <w:right w:val="nil"/>
            </w:tcBorders>
            <w:shd w:val="clear" w:color="auto" w:fill="DAE9F7" w:themeFill="text2" w:themeFillTint="1A"/>
            <w:vAlign w:val="center"/>
            <w:hideMark/>
          </w:tcPr>
          <w:p w14:paraId="38D397AC" w14:textId="3533BB2E" w:rsidR="00802FF2" w:rsidRPr="00DE7B20" w:rsidRDefault="00802FF2" w:rsidP="00082769">
            <w:pPr>
              <w:spacing w:before="0" w:after="0"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Կշիռը ներքին բյուջետային երաշխիքների պորտֆելում</w:t>
            </w:r>
            <w:r w:rsidR="00DE7B20">
              <w:rPr>
                <w:rFonts w:ascii="GHEA Grapalat" w:eastAsia="Times New Roman" w:hAnsi="GHEA Grapalat" w:cs="Times New Roman"/>
                <w:b/>
                <w:color w:val="auto"/>
                <w:sz w:val="20"/>
                <w:szCs w:val="20"/>
                <w:lang w:val="hy-AM"/>
              </w:rPr>
              <w:t xml:space="preserve"> </w:t>
            </w:r>
            <w:r w:rsidR="00DE7B20">
              <w:rPr>
                <w:rFonts w:ascii="GHEA Grapalat" w:eastAsia="Times New Roman" w:hAnsi="GHEA Grapalat" w:cs="Times New Roman"/>
                <w:b/>
                <w:color w:val="auto"/>
                <w:sz w:val="20"/>
                <w:szCs w:val="20"/>
              </w:rPr>
              <w:t>(%)</w:t>
            </w:r>
          </w:p>
        </w:tc>
      </w:tr>
      <w:tr w:rsidR="004C0C21" w:rsidRPr="001A2654" w14:paraId="24CC6BD3" w14:textId="77777777" w:rsidTr="00D75267">
        <w:trPr>
          <w:trHeight w:val="300"/>
        </w:trPr>
        <w:tc>
          <w:tcPr>
            <w:tcW w:w="297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323308AE" w14:textId="77777777" w:rsidR="00802FF2" w:rsidRPr="001A2654" w:rsidRDefault="00802FF2" w:rsidP="00082769">
            <w:pPr>
              <w:spacing w:before="0" w:after="0" w:line="240" w:lineRule="auto"/>
              <w:ind w:right="-22"/>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1. «ԼԻԴԻԱՆ ԱՐՄԵՆԻԱ» ՓԲԸ</w:t>
            </w:r>
          </w:p>
        </w:tc>
        <w:tc>
          <w:tcPr>
            <w:tcW w:w="261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6AE0B727" w14:textId="77777777" w:rsidR="00802FF2" w:rsidRPr="001A2654" w:rsidRDefault="00802FF2" w:rsidP="00082769">
            <w:pPr>
              <w:spacing w:before="0" w:after="0"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«ԱՄԵՐԻԱԲԱՆԿ» ՓԲԸ</w:t>
            </w:r>
          </w:p>
        </w:tc>
        <w:tc>
          <w:tcPr>
            <w:tcW w:w="261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49DF38FF" w14:textId="0F44B836" w:rsidR="00802FF2" w:rsidRPr="001A2654" w:rsidRDefault="00DE7B20" w:rsidP="00DE7B20">
            <w:pPr>
              <w:spacing w:before="0" w:after="0"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41.0</w:t>
            </w:r>
          </w:p>
        </w:tc>
        <w:tc>
          <w:tcPr>
            <w:tcW w:w="1582"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139A62C9" w14:textId="6A0B6DA8" w:rsidR="00802FF2" w:rsidRPr="001A2654" w:rsidRDefault="00DE7B20" w:rsidP="00082769">
            <w:pPr>
              <w:spacing w:before="0" w:after="0" w:line="240" w:lineRule="auto"/>
              <w:ind w:right="-22"/>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78.84</w:t>
            </w:r>
          </w:p>
        </w:tc>
      </w:tr>
      <w:tr w:rsidR="004C0C21" w:rsidRPr="001A2654" w14:paraId="0003506D" w14:textId="77777777" w:rsidTr="00D75267">
        <w:trPr>
          <w:trHeight w:val="300"/>
        </w:trPr>
        <w:tc>
          <w:tcPr>
            <w:tcW w:w="2970" w:type="dxa"/>
            <w:vMerge w:val="restart"/>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515136F9" w14:textId="77777777" w:rsidR="00802FF2" w:rsidRPr="001A2654" w:rsidRDefault="00802FF2" w:rsidP="00082769">
            <w:pPr>
              <w:spacing w:before="0" w:after="0" w:line="240" w:lineRule="auto"/>
              <w:ind w:right="-22"/>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2. «ՎԵԴԻ ԱԼԿՈ» ՓԲԸ</w:t>
            </w:r>
          </w:p>
        </w:tc>
        <w:tc>
          <w:tcPr>
            <w:tcW w:w="2610"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33B6C693" w14:textId="77777777" w:rsidR="00802FF2" w:rsidRPr="001A2654" w:rsidRDefault="00802FF2" w:rsidP="00082769">
            <w:pPr>
              <w:spacing w:before="0" w:after="0"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«ԱՄԻՕ ԲԱՆԿ» ՓԲԸ</w:t>
            </w:r>
          </w:p>
        </w:tc>
        <w:tc>
          <w:tcPr>
            <w:tcW w:w="2610"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05ECC042" w14:textId="08CA316B" w:rsidR="00802FF2" w:rsidRPr="001A2654" w:rsidRDefault="00DE7B20" w:rsidP="00DE7B20">
            <w:pPr>
              <w:spacing w:before="0" w:after="0"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w:t>
            </w:r>
            <w:r w:rsidR="00802FF2" w:rsidRPr="001A2654">
              <w:rPr>
                <w:rFonts w:ascii="GHEA Grapalat" w:eastAsia="Times New Roman" w:hAnsi="GHEA Grapalat" w:cs="Times New Roman"/>
                <w:color w:val="auto"/>
                <w:sz w:val="20"/>
                <w:szCs w:val="20"/>
              </w:rPr>
              <w:t>5</w:t>
            </w:r>
            <w:r>
              <w:rPr>
                <w:rFonts w:ascii="GHEA Grapalat" w:eastAsia="Times New Roman" w:hAnsi="GHEA Grapalat" w:cs="Times New Roman"/>
                <w:color w:val="auto"/>
                <w:sz w:val="20"/>
                <w:szCs w:val="20"/>
              </w:rPr>
              <w:t>2</w:t>
            </w:r>
          </w:p>
        </w:tc>
        <w:tc>
          <w:tcPr>
            <w:tcW w:w="1582"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6698690F" w14:textId="1961A0C9" w:rsidR="00802FF2" w:rsidRPr="001A2654" w:rsidRDefault="00DE7B20" w:rsidP="00082769">
            <w:pPr>
              <w:spacing w:before="0" w:after="0" w:line="240" w:lineRule="auto"/>
              <w:ind w:right="-22"/>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1.00</w:t>
            </w:r>
          </w:p>
        </w:tc>
      </w:tr>
      <w:tr w:rsidR="004C0C21" w:rsidRPr="001A2654" w14:paraId="4CD2F7A2" w14:textId="77777777" w:rsidTr="00D75267">
        <w:trPr>
          <w:trHeight w:val="300"/>
        </w:trPr>
        <w:tc>
          <w:tcPr>
            <w:tcW w:w="2970" w:type="dxa"/>
            <w:vMerge/>
            <w:tcBorders>
              <w:top w:val="single" w:sz="4" w:space="0" w:color="E7E6E6"/>
              <w:left w:val="single" w:sz="4" w:space="0" w:color="E7E6E6"/>
              <w:bottom w:val="single" w:sz="4" w:space="0" w:color="E7E6E6"/>
              <w:right w:val="single" w:sz="4" w:space="0" w:color="E7E6E6"/>
            </w:tcBorders>
            <w:shd w:val="clear" w:color="auto" w:fill="DEEAF6"/>
            <w:hideMark/>
          </w:tcPr>
          <w:p w14:paraId="1A310F43" w14:textId="77777777" w:rsidR="00802FF2" w:rsidRPr="001A2654" w:rsidRDefault="00802FF2" w:rsidP="00082769">
            <w:pPr>
              <w:spacing w:before="0" w:after="0" w:line="240" w:lineRule="auto"/>
              <w:ind w:right="-22"/>
              <w:rPr>
                <w:rFonts w:ascii="GHEA Grapalat" w:eastAsia="Times New Roman" w:hAnsi="GHEA Grapalat" w:cs="Times New Roman"/>
                <w:b/>
                <w:color w:val="auto"/>
                <w:sz w:val="20"/>
                <w:szCs w:val="20"/>
              </w:rPr>
            </w:pPr>
          </w:p>
        </w:tc>
        <w:tc>
          <w:tcPr>
            <w:tcW w:w="2610"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67233084" w14:textId="77777777" w:rsidR="00802FF2" w:rsidRPr="001A2654" w:rsidRDefault="00802FF2" w:rsidP="00082769">
            <w:pPr>
              <w:spacing w:before="0" w:after="0"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«ԱՄԻՕ ԲԱՆԿ» ՓԲԸ</w:t>
            </w:r>
          </w:p>
        </w:tc>
        <w:tc>
          <w:tcPr>
            <w:tcW w:w="2610"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4C0921F0" w14:textId="7545AD60" w:rsidR="00802FF2" w:rsidRPr="001A2654" w:rsidRDefault="00DE7B20" w:rsidP="00DE7B20">
            <w:pPr>
              <w:spacing w:before="0" w:after="0"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1.1</w:t>
            </w:r>
          </w:p>
        </w:tc>
        <w:tc>
          <w:tcPr>
            <w:tcW w:w="1582"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1567DE97" w14:textId="4A108E5C" w:rsidR="00802FF2" w:rsidRPr="001A2654" w:rsidRDefault="00DE7B20" w:rsidP="00082769">
            <w:pPr>
              <w:spacing w:before="0" w:after="0" w:line="240" w:lineRule="auto"/>
              <w:ind w:right="-22"/>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2.03</w:t>
            </w:r>
          </w:p>
        </w:tc>
      </w:tr>
      <w:tr w:rsidR="004C0C21" w:rsidRPr="001A2654" w14:paraId="78E8B910" w14:textId="77777777" w:rsidTr="00D75267">
        <w:trPr>
          <w:trHeight w:val="413"/>
        </w:trPr>
        <w:tc>
          <w:tcPr>
            <w:tcW w:w="2970" w:type="dxa"/>
            <w:vMerge w:val="restart"/>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5472E535" w14:textId="77777777" w:rsidR="00802FF2" w:rsidRPr="001A2654" w:rsidRDefault="00802FF2" w:rsidP="00082769">
            <w:pPr>
              <w:spacing w:before="0" w:after="0" w:line="240" w:lineRule="auto"/>
              <w:ind w:right="-22"/>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3. «ԻՋԵՎԱՆԻ ԳԻՆՈՒ, ԿՈՆՅԱԿԻ ԳՈՐԾԱՐԱՆ» ՓԲԸ</w:t>
            </w:r>
          </w:p>
        </w:tc>
        <w:tc>
          <w:tcPr>
            <w:tcW w:w="261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56CFF68C" w14:textId="77777777" w:rsidR="00802FF2" w:rsidRPr="001A2654" w:rsidRDefault="00802FF2" w:rsidP="00082769">
            <w:pPr>
              <w:spacing w:before="0" w:after="0"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«ԻՆԵԿՈԲԱՆԿ» ՓԲԸ</w:t>
            </w:r>
          </w:p>
        </w:tc>
        <w:tc>
          <w:tcPr>
            <w:tcW w:w="261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03323FF7" w14:textId="20DD3CB1" w:rsidR="00802FF2" w:rsidRPr="001A2654" w:rsidRDefault="00DE7B20" w:rsidP="00DE7B20">
            <w:pPr>
              <w:spacing w:before="0" w:after="0"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w:t>
            </w:r>
            <w:r w:rsidR="00802FF2" w:rsidRPr="001A2654">
              <w:rPr>
                <w:rFonts w:ascii="GHEA Grapalat" w:eastAsia="Times New Roman" w:hAnsi="GHEA Grapalat" w:cs="Times New Roman"/>
                <w:color w:val="auto"/>
                <w:sz w:val="20"/>
                <w:szCs w:val="20"/>
              </w:rPr>
              <w:t>35</w:t>
            </w:r>
          </w:p>
        </w:tc>
        <w:tc>
          <w:tcPr>
            <w:tcW w:w="1582"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39CC97CF" w14:textId="325CF764" w:rsidR="00802FF2" w:rsidRPr="001A2654" w:rsidRDefault="00DE7B20" w:rsidP="00082769">
            <w:pPr>
              <w:spacing w:before="0" w:after="0" w:line="240" w:lineRule="auto"/>
              <w:ind w:right="-22"/>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0.67</w:t>
            </w:r>
          </w:p>
        </w:tc>
      </w:tr>
      <w:tr w:rsidR="004C0C21" w:rsidRPr="001A2654" w14:paraId="77F22880" w14:textId="77777777" w:rsidTr="00D75267">
        <w:trPr>
          <w:trHeight w:val="300"/>
        </w:trPr>
        <w:tc>
          <w:tcPr>
            <w:tcW w:w="2970" w:type="dxa"/>
            <w:vMerge/>
            <w:tcBorders>
              <w:top w:val="single" w:sz="4" w:space="0" w:color="E7E6E6"/>
              <w:left w:val="single" w:sz="4" w:space="0" w:color="E7E6E6"/>
              <w:bottom w:val="single" w:sz="4" w:space="0" w:color="E7E6E6"/>
              <w:right w:val="single" w:sz="4" w:space="0" w:color="E7E6E6"/>
            </w:tcBorders>
            <w:shd w:val="clear" w:color="auto" w:fill="auto"/>
            <w:vAlign w:val="center"/>
            <w:hideMark/>
          </w:tcPr>
          <w:p w14:paraId="13109BFE" w14:textId="77777777" w:rsidR="00802FF2" w:rsidRPr="001A2654" w:rsidRDefault="00802FF2" w:rsidP="00082769">
            <w:pPr>
              <w:spacing w:before="0" w:after="0" w:line="240" w:lineRule="auto"/>
              <w:ind w:right="-22"/>
              <w:rPr>
                <w:rFonts w:ascii="GHEA Grapalat" w:eastAsia="Times New Roman" w:hAnsi="GHEA Grapalat" w:cs="Times New Roman"/>
                <w:b/>
                <w:color w:val="auto"/>
                <w:sz w:val="20"/>
                <w:szCs w:val="20"/>
              </w:rPr>
            </w:pPr>
          </w:p>
        </w:tc>
        <w:tc>
          <w:tcPr>
            <w:tcW w:w="261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7F3D1871" w14:textId="77777777" w:rsidR="00802FF2" w:rsidRPr="001A2654" w:rsidRDefault="00802FF2" w:rsidP="00082769">
            <w:pPr>
              <w:spacing w:before="0" w:after="0"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«Հայաստանի զարգացման և ներդրումների Կորպորացիա» ՈՒՎԿ ՓԲԸ</w:t>
            </w:r>
          </w:p>
        </w:tc>
        <w:tc>
          <w:tcPr>
            <w:tcW w:w="261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65DF9797" w14:textId="5F93EBCF" w:rsidR="00802FF2" w:rsidRPr="001A2654" w:rsidRDefault="00DE7B20" w:rsidP="00DE7B20">
            <w:pPr>
              <w:spacing w:before="0" w:after="0"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w:t>
            </w:r>
            <w:r w:rsidR="00802FF2" w:rsidRPr="001A2654">
              <w:rPr>
                <w:rFonts w:ascii="GHEA Grapalat" w:eastAsia="Times New Roman" w:hAnsi="GHEA Grapalat" w:cs="Times New Roman"/>
                <w:color w:val="auto"/>
                <w:sz w:val="20"/>
                <w:szCs w:val="20"/>
              </w:rPr>
              <w:t>25</w:t>
            </w:r>
          </w:p>
        </w:tc>
        <w:tc>
          <w:tcPr>
            <w:tcW w:w="1582"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4DC77577" w14:textId="0F1E02DE" w:rsidR="00802FF2" w:rsidRPr="001A2654" w:rsidRDefault="00DE7B20" w:rsidP="00082769">
            <w:pPr>
              <w:spacing w:before="0" w:after="0" w:line="240" w:lineRule="auto"/>
              <w:ind w:right="-22"/>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0.48</w:t>
            </w:r>
          </w:p>
        </w:tc>
      </w:tr>
      <w:tr w:rsidR="004C0C21" w:rsidRPr="001A2654" w14:paraId="750F9851" w14:textId="77777777" w:rsidTr="00D75267">
        <w:trPr>
          <w:trHeight w:val="300"/>
        </w:trPr>
        <w:tc>
          <w:tcPr>
            <w:tcW w:w="2970"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2008A146" w14:textId="77777777" w:rsidR="00802FF2" w:rsidRPr="001A2654" w:rsidRDefault="00802FF2" w:rsidP="00082769">
            <w:pPr>
              <w:spacing w:before="0" w:after="0" w:line="240" w:lineRule="auto"/>
              <w:ind w:right="-22"/>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4. «ՊՌՈՇՅԱՆԻ ԿՈՆՅԱԿԻ ԳՈՐԾԱՐԱՆ» ՍՊԸ</w:t>
            </w:r>
          </w:p>
        </w:tc>
        <w:tc>
          <w:tcPr>
            <w:tcW w:w="2610"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061FCE21" w14:textId="77777777" w:rsidR="00802FF2" w:rsidRPr="001A2654" w:rsidRDefault="00802FF2" w:rsidP="00082769">
            <w:pPr>
              <w:spacing w:before="0" w:after="0"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«ԱԿԲԱ ԲԱՆԿ» ԲԲԸ</w:t>
            </w:r>
          </w:p>
        </w:tc>
        <w:tc>
          <w:tcPr>
            <w:tcW w:w="2610"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0D337759" w14:textId="5C741357" w:rsidR="00802FF2" w:rsidRPr="001A2654" w:rsidRDefault="00DE7B20" w:rsidP="00DE7B20">
            <w:pPr>
              <w:spacing w:before="0" w:after="0"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1.2</w:t>
            </w:r>
          </w:p>
        </w:tc>
        <w:tc>
          <w:tcPr>
            <w:tcW w:w="1582"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0A763D05" w14:textId="49214CE7" w:rsidR="00802FF2" w:rsidRPr="001A2654" w:rsidRDefault="00802FF2" w:rsidP="00082769">
            <w:pPr>
              <w:spacing w:before="0" w:after="0" w:line="240" w:lineRule="auto"/>
              <w:ind w:right="-22"/>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2</w:t>
            </w:r>
            <w:r w:rsidR="00DE7B20">
              <w:rPr>
                <w:rFonts w:ascii="GHEA Grapalat" w:eastAsia="Times New Roman" w:hAnsi="GHEA Grapalat" w:cs="Times New Roman"/>
                <w:color w:val="auto"/>
                <w:sz w:val="20"/>
                <w:szCs w:val="20"/>
              </w:rPr>
              <w:t>.31</w:t>
            </w:r>
          </w:p>
        </w:tc>
      </w:tr>
      <w:tr w:rsidR="004C0C21" w:rsidRPr="001A2654" w14:paraId="6DF79A7D" w14:textId="77777777" w:rsidTr="00D75267">
        <w:trPr>
          <w:trHeight w:val="300"/>
        </w:trPr>
        <w:tc>
          <w:tcPr>
            <w:tcW w:w="297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725361C5" w14:textId="77777777" w:rsidR="00802FF2" w:rsidRPr="001A2654" w:rsidRDefault="00802FF2" w:rsidP="00082769">
            <w:pPr>
              <w:spacing w:before="0" w:after="0" w:line="240" w:lineRule="auto"/>
              <w:ind w:right="-22"/>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5. «ՄԱՊ» ՓԲԸ</w:t>
            </w:r>
          </w:p>
        </w:tc>
        <w:tc>
          <w:tcPr>
            <w:tcW w:w="261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03DAB6A2" w14:textId="77777777" w:rsidR="00802FF2" w:rsidRPr="001A2654" w:rsidRDefault="00802FF2" w:rsidP="00082769">
            <w:pPr>
              <w:spacing w:before="0" w:after="0"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«ԷՎՈԿԱԲԱՆԿ» ՓԲԸ</w:t>
            </w:r>
          </w:p>
        </w:tc>
        <w:tc>
          <w:tcPr>
            <w:tcW w:w="261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789D2643" w14:textId="3704A6A2" w:rsidR="00802FF2" w:rsidRPr="001A2654" w:rsidRDefault="00DE7B20" w:rsidP="00DE7B20">
            <w:pPr>
              <w:spacing w:before="0" w:after="0"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w:t>
            </w:r>
            <w:r w:rsidR="00802FF2" w:rsidRPr="001A2654">
              <w:rPr>
                <w:rFonts w:ascii="GHEA Grapalat" w:eastAsia="Times New Roman" w:hAnsi="GHEA Grapalat" w:cs="Times New Roman"/>
                <w:color w:val="auto"/>
                <w:sz w:val="20"/>
                <w:szCs w:val="20"/>
              </w:rPr>
              <w:t>87</w:t>
            </w:r>
          </w:p>
        </w:tc>
        <w:tc>
          <w:tcPr>
            <w:tcW w:w="1582"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3FD1C822" w14:textId="0F963DE9" w:rsidR="00802FF2" w:rsidRPr="001A2654" w:rsidRDefault="00DE7B20" w:rsidP="00082769">
            <w:pPr>
              <w:spacing w:before="0" w:after="0" w:line="240" w:lineRule="auto"/>
              <w:ind w:right="-22"/>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1.68</w:t>
            </w:r>
          </w:p>
        </w:tc>
      </w:tr>
      <w:tr w:rsidR="004C0C21" w:rsidRPr="001A2654" w14:paraId="67515C66" w14:textId="77777777" w:rsidTr="00D75267">
        <w:trPr>
          <w:trHeight w:val="300"/>
        </w:trPr>
        <w:tc>
          <w:tcPr>
            <w:tcW w:w="2970"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4EEE9AF4" w14:textId="77777777" w:rsidR="00802FF2" w:rsidRPr="001A2654" w:rsidRDefault="00802FF2" w:rsidP="00082769">
            <w:pPr>
              <w:spacing w:before="0" w:after="0" w:line="240" w:lineRule="auto"/>
              <w:ind w:right="-22"/>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6. «ՇԱՀՈՒՄՅԱՆ-ՎԻՆ» ՍՊԸ</w:t>
            </w:r>
          </w:p>
        </w:tc>
        <w:tc>
          <w:tcPr>
            <w:tcW w:w="2610"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32BB720F" w14:textId="77777777" w:rsidR="00802FF2" w:rsidRPr="001A2654" w:rsidRDefault="00802FF2" w:rsidP="00082769">
            <w:pPr>
              <w:spacing w:before="0" w:after="0"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«Հայաստանի զարգացման և ներդրումների Կորպորացիա» ՈՒՎԿ ՓԲԸ</w:t>
            </w:r>
          </w:p>
        </w:tc>
        <w:tc>
          <w:tcPr>
            <w:tcW w:w="2610"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5C13871C" w14:textId="7F9A8FFE" w:rsidR="00802FF2" w:rsidRPr="001A2654" w:rsidRDefault="00DE7B20" w:rsidP="00DE7B20">
            <w:pPr>
              <w:spacing w:before="0" w:after="0"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w:t>
            </w:r>
            <w:r w:rsidR="00802FF2" w:rsidRPr="001A2654">
              <w:rPr>
                <w:rFonts w:ascii="GHEA Grapalat" w:eastAsia="Times New Roman" w:hAnsi="GHEA Grapalat" w:cs="Times New Roman"/>
                <w:color w:val="auto"/>
                <w:sz w:val="20"/>
                <w:szCs w:val="20"/>
              </w:rPr>
              <w:t>2</w:t>
            </w:r>
            <w:r>
              <w:rPr>
                <w:rFonts w:ascii="GHEA Grapalat" w:eastAsia="Times New Roman" w:hAnsi="GHEA Grapalat" w:cs="Times New Roman"/>
                <w:color w:val="auto"/>
                <w:sz w:val="20"/>
                <w:szCs w:val="20"/>
              </w:rPr>
              <w:t>1</w:t>
            </w:r>
          </w:p>
        </w:tc>
        <w:tc>
          <w:tcPr>
            <w:tcW w:w="1582" w:type="dxa"/>
            <w:tcBorders>
              <w:top w:val="single" w:sz="4" w:space="0" w:color="E7E6E6"/>
              <w:left w:val="single" w:sz="4" w:space="0" w:color="E7E6E6"/>
              <w:bottom w:val="single" w:sz="4" w:space="0" w:color="E7E6E6"/>
              <w:right w:val="single" w:sz="4" w:space="0" w:color="E7E6E6"/>
            </w:tcBorders>
            <w:shd w:val="clear" w:color="auto" w:fill="DEEAF6"/>
            <w:noWrap/>
            <w:vAlign w:val="center"/>
            <w:hideMark/>
          </w:tcPr>
          <w:p w14:paraId="743318F5" w14:textId="5C0998FD" w:rsidR="00802FF2" w:rsidRPr="001A2654" w:rsidRDefault="00DE7B20" w:rsidP="00082769">
            <w:pPr>
              <w:spacing w:before="0" w:after="0" w:line="240" w:lineRule="auto"/>
              <w:ind w:right="-22"/>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0.40</w:t>
            </w:r>
          </w:p>
        </w:tc>
      </w:tr>
      <w:tr w:rsidR="004C0C21" w:rsidRPr="001A2654" w14:paraId="60301B6C" w14:textId="77777777" w:rsidTr="00D75267">
        <w:trPr>
          <w:trHeight w:val="300"/>
        </w:trPr>
        <w:tc>
          <w:tcPr>
            <w:tcW w:w="297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37529663" w14:textId="77777777" w:rsidR="00802FF2" w:rsidRPr="001A2654" w:rsidRDefault="00802FF2" w:rsidP="00082769">
            <w:pPr>
              <w:spacing w:before="0" w:after="0" w:line="240" w:lineRule="auto"/>
              <w:ind w:right="-22"/>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7. «ԳԵՏԱՓԻ ԳԻՆՈՒ ԿՈՆՅԱԿԻ ԳՈՐԾԱՐԱՆ» ՍՊԸ</w:t>
            </w:r>
          </w:p>
        </w:tc>
        <w:tc>
          <w:tcPr>
            <w:tcW w:w="261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76602BED" w14:textId="77777777" w:rsidR="00802FF2" w:rsidRPr="001A2654" w:rsidRDefault="00802FF2" w:rsidP="00082769">
            <w:pPr>
              <w:spacing w:before="0" w:after="0" w:line="240" w:lineRule="auto"/>
              <w:ind w:right="-22"/>
              <w:jc w:val="center"/>
              <w:rPr>
                <w:rFonts w:ascii="GHEA Grapalat" w:eastAsia="Times New Roman" w:hAnsi="GHEA Grapalat" w:cs="Times New Roman"/>
                <w:color w:val="auto"/>
                <w:sz w:val="20"/>
                <w:szCs w:val="20"/>
              </w:rPr>
            </w:pPr>
            <w:r w:rsidRPr="001A2654">
              <w:rPr>
                <w:rFonts w:ascii="GHEA Grapalat" w:eastAsia="Times New Roman" w:hAnsi="GHEA Grapalat" w:cs="Times New Roman"/>
                <w:color w:val="auto"/>
                <w:sz w:val="20"/>
                <w:szCs w:val="20"/>
              </w:rPr>
              <w:t>«ԱՐՄՍՎԻՍԲԱՆԿ» ՓԲԸ</w:t>
            </w:r>
          </w:p>
        </w:tc>
        <w:tc>
          <w:tcPr>
            <w:tcW w:w="261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62822CBD" w14:textId="4BB559CB" w:rsidR="00802FF2" w:rsidRPr="001A2654" w:rsidRDefault="00DE7B20" w:rsidP="00DE7B20">
            <w:pPr>
              <w:spacing w:before="0" w:after="0" w:line="240" w:lineRule="auto"/>
              <w:ind w:right="-22"/>
              <w:jc w:val="center"/>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w:t>
            </w:r>
            <w:r w:rsidR="00802FF2" w:rsidRPr="001A2654">
              <w:rPr>
                <w:rFonts w:ascii="GHEA Grapalat" w:eastAsia="Times New Roman" w:hAnsi="GHEA Grapalat" w:cs="Times New Roman"/>
                <w:color w:val="auto"/>
                <w:sz w:val="20"/>
                <w:szCs w:val="20"/>
              </w:rPr>
              <w:t>1</w:t>
            </w:r>
            <w:r>
              <w:rPr>
                <w:rFonts w:ascii="GHEA Grapalat" w:eastAsia="Times New Roman" w:hAnsi="GHEA Grapalat" w:cs="Times New Roman"/>
                <w:color w:val="auto"/>
                <w:sz w:val="20"/>
                <w:szCs w:val="20"/>
              </w:rPr>
              <w:t>4</w:t>
            </w:r>
          </w:p>
        </w:tc>
        <w:tc>
          <w:tcPr>
            <w:tcW w:w="1582"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36FB426D" w14:textId="2C05F27F" w:rsidR="00802FF2" w:rsidRPr="001A2654" w:rsidRDefault="00DE7B20" w:rsidP="00082769">
            <w:pPr>
              <w:spacing w:before="0" w:after="0" w:line="240" w:lineRule="auto"/>
              <w:ind w:right="-22"/>
              <w:rPr>
                <w:rFonts w:ascii="GHEA Grapalat" w:eastAsia="Times New Roman" w:hAnsi="GHEA Grapalat" w:cs="Times New Roman"/>
                <w:color w:val="auto"/>
                <w:sz w:val="20"/>
                <w:szCs w:val="20"/>
              </w:rPr>
            </w:pPr>
            <w:r>
              <w:rPr>
                <w:rFonts w:ascii="GHEA Grapalat" w:eastAsia="Times New Roman" w:hAnsi="GHEA Grapalat" w:cs="Times New Roman"/>
                <w:color w:val="auto"/>
                <w:sz w:val="20"/>
                <w:szCs w:val="20"/>
              </w:rPr>
              <w:t>0.26</w:t>
            </w:r>
          </w:p>
        </w:tc>
      </w:tr>
      <w:tr w:rsidR="00802FF2" w:rsidRPr="001A2654" w14:paraId="16D4E136" w14:textId="77777777" w:rsidTr="00D75267">
        <w:trPr>
          <w:trHeight w:val="485"/>
        </w:trPr>
        <w:tc>
          <w:tcPr>
            <w:tcW w:w="5580" w:type="dxa"/>
            <w:gridSpan w:val="2"/>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3098F78B" w14:textId="77777777" w:rsidR="00802FF2" w:rsidRPr="001A2654" w:rsidRDefault="00802FF2" w:rsidP="00082769">
            <w:pPr>
              <w:spacing w:before="0" w:after="0" w:line="240" w:lineRule="auto"/>
              <w:ind w:right="-22"/>
              <w:jc w:val="center"/>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Ընդամենը</w:t>
            </w:r>
          </w:p>
        </w:tc>
        <w:tc>
          <w:tcPr>
            <w:tcW w:w="2610"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775D6C41" w14:textId="6377F5D2" w:rsidR="00802FF2" w:rsidRPr="001A2654" w:rsidRDefault="00DE7B20" w:rsidP="00DE7B20">
            <w:pPr>
              <w:spacing w:before="0" w:after="0" w:line="240" w:lineRule="auto"/>
              <w:ind w:right="-22"/>
              <w:jc w:val="center"/>
              <w:rPr>
                <w:rFonts w:ascii="GHEA Grapalat" w:eastAsia="Times New Roman" w:hAnsi="GHEA Grapalat" w:cs="Times New Roman"/>
                <w:b/>
                <w:color w:val="auto"/>
                <w:sz w:val="20"/>
                <w:szCs w:val="20"/>
              </w:rPr>
            </w:pPr>
            <w:r>
              <w:rPr>
                <w:rFonts w:ascii="GHEA Grapalat" w:eastAsia="Times New Roman" w:hAnsi="GHEA Grapalat" w:cs="Times New Roman"/>
                <w:b/>
                <w:color w:val="auto"/>
                <w:sz w:val="20"/>
                <w:szCs w:val="20"/>
              </w:rPr>
              <w:t>45.6</w:t>
            </w:r>
          </w:p>
        </w:tc>
        <w:tc>
          <w:tcPr>
            <w:tcW w:w="1582" w:type="dxa"/>
            <w:tcBorders>
              <w:top w:val="single" w:sz="4" w:space="0" w:color="E7E6E6"/>
              <w:left w:val="single" w:sz="4" w:space="0" w:color="E7E6E6"/>
              <w:bottom w:val="single" w:sz="4" w:space="0" w:color="E7E6E6"/>
              <w:right w:val="single" w:sz="4" w:space="0" w:color="E7E6E6"/>
            </w:tcBorders>
            <w:shd w:val="clear" w:color="auto" w:fill="auto"/>
            <w:noWrap/>
            <w:vAlign w:val="center"/>
            <w:hideMark/>
          </w:tcPr>
          <w:p w14:paraId="560EF4DF" w14:textId="62813B47" w:rsidR="00802FF2" w:rsidRPr="001A2654" w:rsidRDefault="00802FF2" w:rsidP="00082769">
            <w:pPr>
              <w:spacing w:before="0" w:after="0" w:line="240" w:lineRule="auto"/>
              <w:ind w:right="-22"/>
              <w:rPr>
                <w:rFonts w:ascii="GHEA Grapalat" w:eastAsia="Times New Roman" w:hAnsi="GHEA Grapalat" w:cs="Times New Roman"/>
                <w:b/>
                <w:color w:val="auto"/>
                <w:sz w:val="20"/>
                <w:szCs w:val="20"/>
              </w:rPr>
            </w:pPr>
            <w:r w:rsidRPr="001A2654">
              <w:rPr>
                <w:rFonts w:ascii="GHEA Grapalat" w:eastAsia="Times New Roman" w:hAnsi="GHEA Grapalat" w:cs="Times New Roman"/>
                <w:b/>
                <w:color w:val="auto"/>
                <w:sz w:val="20"/>
                <w:szCs w:val="20"/>
              </w:rPr>
              <w:t>87.</w:t>
            </w:r>
            <w:r w:rsidR="00DE7B20">
              <w:rPr>
                <w:rFonts w:ascii="GHEA Grapalat" w:eastAsia="Times New Roman" w:hAnsi="GHEA Grapalat" w:cs="Times New Roman"/>
                <w:b/>
                <w:color w:val="auto"/>
                <w:sz w:val="20"/>
                <w:szCs w:val="20"/>
              </w:rPr>
              <w:t>7</w:t>
            </w:r>
          </w:p>
        </w:tc>
      </w:tr>
    </w:tbl>
    <w:p w14:paraId="7FD0920E" w14:textId="77777777" w:rsidR="00802FF2" w:rsidRPr="000232DD" w:rsidRDefault="00802FF2" w:rsidP="00082769">
      <w:pPr>
        <w:ind w:right="-22"/>
        <w:rPr>
          <w:rFonts w:ascii="GHEA Grapalat" w:eastAsia="Times New Roman" w:hAnsi="GHEA Grapalat" w:cs="Times New Roman"/>
          <w:color w:val="auto"/>
        </w:rPr>
      </w:pPr>
    </w:p>
    <w:p w14:paraId="7F802130"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Ներքին բյուջետային երաշխիքների, ինչպես նաև ընդհանուր պորտֆելում գերակշռող դիրք է զբաղեցնում ՀՀ կառավարության 27.02.2025թ. N 220-Ա որոշման շրջանակներում «Լիդիան Արմենիա» ՓԲԸ-ին տրամադրված երաշխիքը, որի կշիռը կազմում է համապատասխանաբար 78.84% և 51.84%՝ ձևավորելով պորտֆելի հիմնական մասը։ Մնացած ներքին բյուջետային երաշխիքները բաշխված են մի շարք կազմակերպությունների միջև՝ համեմատաբար փոքր մասնաբաժիններով։ Մասնավորապես, գյուղատնտեսական հումքի մթերումների նպատակով ագրովերամշակման ոլորտի ընկերություններին տրամադրված բյուջետային երաշխիքների կշիռները հիմնականում տատանվում են 0.20%–7.59% միջակայքում, ինչը վկայում է պորտֆելի սահմանափակ դիվերսիֆիկացման մասին։</w:t>
      </w:r>
    </w:p>
    <w:p w14:paraId="7186233F"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Ֆիսկալ ռիսկերի տեսանկյունից առկա է արտահայտված կոնցենտրացիոն ռիսկ, քանի որ պորտֆելի զգալի մասը կապված է մեկ խոշոր շահառուի հետ։ Նման կառուցվածքը մեծացնում է պայմանական պարտավորությունների նյութականացման հավանականության դեպքում բյուջեի վրա էական բեռի առաջացման ռիսկը։</w:t>
      </w:r>
    </w:p>
    <w:p w14:paraId="42032EFC"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Ընդհանուր առմամբ, նշված կազմակերպություններին 2025թ.-ին տրամադրված բյուջետային երաշխիքների ծավալը կազմել է 45.6 մլրդ ՀՀ դրամ՝ ձևավորելով ներքին բյուջետային երաշխիքների պորտֆելի շուրջ 87.7%-ը։ Սա ցույց է տալիս, որ 2025թ.-ին պորտֆելի աճը պայմանավորված է ինչպես մեկ խոշոր գործարքով, այնպես էլ միաժամանակ մի շարք փոքրածավալ բյուջետային երաշխիքների տրամադրմամբ, ինչը պահանջում է շարունակական մոնիթորինգ և ռիսկերի արդյունավետ կառավարման գործիքների կիրառում։</w:t>
      </w:r>
    </w:p>
    <w:p w14:paraId="0F2E4035"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rPr>
        <w:t>Բյուջետային վարկերի և երաշխիքների տրամադրումն իրականացվում է բացառապես բյուջետային համակարգի մասին օրենսդրության և դրանից բխող իրավական ակտերի դրույթներին համապատասխան՝ հիմնվելով համակողմանի հաշվարկների վրա և պահպանելով օրենսդրությամբ սահմանված ֆիս</w:t>
      </w:r>
      <w:r w:rsidRPr="000232DD">
        <w:rPr>
          <w:rFonts w:ascii="GHEA Grapalat" w:eastAsia="Times New Roman" w:hAnsi="GHEA Grapalat" w:cs="Times New Roman"/>
          <w:color w:val="auto"/>
          <w:lang w:val="hy-AM"/>
        </w:rPr>
        <w:t>կ</w:t>
      </w:r>
      <w:r w:rsidRPr="000232DD">
        <w:rPr>
          <w:rFonts w:ascii="GHEA Grapalat" w:eastAsia="Times New Roman" w:hAnsi="GHEA Grapalat" w:cs="Times New Roman"/>
          <w:color w:val="auto"/>
        </w:rPr>
        <w:t>ալ կանոնները</w:t>
      </w:r>
      <w:r w:rsidRPr="000232D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 xml:space="preserve"> ինչպես նաև հա</w:t>
      </w:r>
      <w:r w:rsidRPr="000232DD">
        <w:rPr>
          <w:rFonts w:ascii="GHEA Grapalat" w:eastAsia="Times New Roman" w:hAnsi="GHEA Grapalat" w:cs="Times New Roman"/>
          <w:color w:val="auto"/>
          <w:lang w:val="hy-AM"/>
        </w:rPr>
        <w:t>վասարակշռելով հարկաբյուջետային ռիսկերը:</w:t>
      </w:r>
    </w:p>
    <w:p w14:paraId="7C61EFBE" w14:textId="77777777" w:rsidR="00802FF2" w:rsidRPr="000232DD" w:rsidRDefault="00802FF2" w:rsidP="00082769">
      <w:pPr>
        <w:pStyle w:val="TOC4"/>
        <w:ind w:right="-22"/>
        <w:rPr>
          <w:color w:val="auto"/>
          <w:lang w:val="hy-AM"/>
        </w:rPr>
      </w:pPr>
      <w:bookmarkStart w:id="505" w:name="_Toc170906942"/>
      <w:bookmarkStart w:id="506" w:name="_Toc170906570"/>
      <w:bookmarkEnd w:id="503"/>
      <w:bookmarkEnd w:id="504"/>
      <w:r w:rsidRPr="000232DD">
        <w:rPr>
          <w:color w:val="auto"/>
          <w:lang w:val="hy-AM"/>
        </w:rPr>
        <w:t>3.1.3.ՊԵՏՈՒԹՅՈՒՆ-ՄԱՍՆԱՎՈՐ ԳՈՐԾԸՆԿԵՐՈՒԹՅԱՆ (ՊՄԳ) ՁԵՎԱՉԱՓՈՎ ԳՈՐԾՈՂ ՊԱՅՄԱՆԱԳՐԵՐԻՑ ԲԽՈՂ ՀԱՐԿԱԲՅՈՒՋԵՏԱՅԻՆ ՌԻՍԿԵՐԻ ՎԵՐԼՈՒԾՈՒԹՅՈՒՆ</w:t>
      </w:r>
    </w:p>
    <w:p w14:paraId="658300B3" w14:textId="695E0983" w:rsidR="00802FF2" w:rsidRPr="000232DD" w:rsidRDefault="00802FF2" w:rsidP="00082769">
      <w:pPr>
        <w:spacing w:after="0"/>
        <w:ind w:right="-22"/>
        <w:jc w:val="both"/>
        <w:rPr>
          <w:rFonts w:ascii="GHEA Grapalat" w:eastAsia="Times New Roman" w:hAnsi="GHEA Grapalat" w:cs="Times New Roman"/>
          <w:color w:val="auto"/>
          <w:lang w:val="es-ES"/>
        </w:rPr>
      </w:pPr>
      <w:r w:rsidRPr="000232DD">
        <w:rPr>
          <w:rFonts w:ascii="GHEA Grapalat" w:eastAsia="Times New Roman" w:hAnsi="GHEA Grapalat" w:cs="Times New Roman"/>
          <w:color w:val="auto"/>
          <w:lang w:val="hy-AM"/>
        </w:rPr>
        <w:t>Վերլուծության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են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ենթարկվել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Հարավկովկասյան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երկաթուղի</w:t>
      </w:r>
      <w:r w:rsidRPr="000232DD">
        <w:rPr>
          <w:rFonts w:ascii="GHEA Grapalat" w:eastAsia="Times New Roman" w:hAnsi="GHEA Grapalat" w:cs="Times New Roman"/>
          <w:color w:val="auto"/>
          <w:lang w:val="es-ES"/>
        </w:rPr>
        <w:t>», «</w:t>
      </w:r>
      <w:r w:rsidRPr="000232DD">
        <w:rPr>
          <w:rFonts w:ascii="GHEA Grapalat" w:eastAsia="Times New Roman" w:hAnsi="GHEA Grapalat" w:cs="Times New Roman"/>
          <w:color w:val="auto"/>
          <w:lang w:val="hy-AM"/>
        </w:rPr>
        <w:t>Վեոլիա</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ջուր</w:t>
      </w:r>
      <w:r w:rsidRPr="000232DD">
        <w:rPr>
          <w:rFonts w:ascii="GHEA Grapalat" w:eastAsia="Times New Roman" w:hAnsi="GHEA Grapalat" w:cs="Times New Roman"/>
          <w:color w:val="auto"/>
          <w:lang w:val="es-ES"/>
        </w:rPr>
        <w:t>», «</w:t>
      </w:r>
      <w:r w:rsidRPr="000232DD">
        <w:rPr>
          <w:rFonts w:ascii="GHEA Grapalat" w:eastAsia="Times New Roman" w:hAnsi="GHEA Grapalat" w:cs="Times New Roman"/>
          <w:color w:val="auto"/>
          <w:lang w:val="hy-AM"/>
        </w:rPr>
        <w:t>Արմենիա</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միջազգային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օդանավակայաններ</w:t>
      </w:r>
      <w:r w:rsidRPr="000232DD">
        <w:rPr>
          <w:rFonts w:ascii="GHEA Grapalat" w:eastAsia="Times New Roman" w:hAnsi="GHEA Grapalat" w:cs="Times New Roman"/>
          <w:color w:val="auto"/>
          <w:lang w:val="es-ES"/>
        </w:rPr>
        <w:t>, «</w:t>
      </w:r>
      <w:r w:rsidRPr="000232DD">
        <w:rPr>
          <w:rFonts w:ascii="GHEA Grapalat" w:eastAsia="Times New Roman" w:hAnsi="GHEA Grapalat" w:cs="Times New Roman"/>
          <w:color w:val="auto"/>
          <w:lang w:val="hy-AM"/>
        </w:rPr>
        <w:t>ՔոնթուրԳլոբալ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հիդրո</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կասկադ</w:t>
      </w:r>
      <w:r w:rsidRPr="000232DD">
        <w:rPr>
          <w:rFonts w:ascii="GHEA Grapalat" w:eastAsia="Times New Roman" w:hAnsi="GHEA Grapalat" w:cs="Times New Roman"/>
          <w:color w:val="auto"/>
          <w:lang w:val="es-ES"/>
        </w:rPr>
        <w:t>», «</w:t>
      </w:r>
      <w:r w:rsidRPr="000232DD">
        <w:rPr>
          <w:rFonts w:ascii="GHEA Grapalat" w:eastAsia="Times New Roman" w:hAnsi="GHEA Grapalat" w:cs="Times New Roman"/>
          <w:color w:val="auto"/>
          <w:lang w:val="hy-AM"/>
        </w:rPr>
        <w:t>Արմփաուեր</w:t>
      </w:r>
      <w:r w:rsidRPr="000232DD">
        <w:rPr>
          <w:rFonts w:ascii="GHEA Grapalat" w:eastAsia="Times New Roman" w:hAnsi="GHEA Grapalat" w:cs="Times New Roman"/>
          <w:color w:val="auto"/>
          <w:lang w:val="es-ES"/>
        </w:rPr>
        <w:t>»</w:t>
      </w:r>
      <w:r w:rsidRPr="000232DD">
        <w:rPr>
          <w:rFonts w:ascii="GHEA Grapalat" w:eastAsia="Times New Roman" w:hAnsi="GHEA Grapalat" w:cs="Times New Roman"/>
          <w:color w:val="auto"/>
          <w:lang w:val="hy-AM"/>
        </w:rPr>
        <w:t>,</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Էֆարվի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Մասրիկ</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և</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Հայփաս</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պայմանագրերը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որոնք</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գործունեություն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են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ծավալում</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այնպիսի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կարևոր</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ոլորտներում</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ինչպիսիք</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են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տրանսպորտը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կենսաչափական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տվյալներ</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պարունակող</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անձնագրերի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տրամադրումը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և</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էլեկտրոնային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նույնականացման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համակարգը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էներգետիկան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և</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lang w:val="hy-AM"/>
        </w:rPr>
        <w:t>ջրամատակարարումը։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Այս</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ՊՄԳ</w:t>
      </w:r>
      <w:r w:rsidRPr="000232DD">
        <w:rPr>
          <w:rFonts w:ascii="GHEA Grapalat" w:eastAsia="Times New Roman" w:hAnsi="GHEA Grapalat" w:cs="Times New Roman"/>
          <w:color w:val="auto"/>
          <w:lang w:val="es-ES"/>
        </w:rPr>
        <w:t>-</w:t>
      </w:r>
      <w:r w:rsidRPr="000232DD">
        <w:rPr>
          <w:rFonts w:ascii="GHEA Grapalat" w:eastAsia="Times New Roman" w:hAnsi="GHEA Grapalat" w:cs="Times New Roman"/>
          <w:color w:val="auto"/>
        </w:rPr>
        <w:t>ների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համար</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պայմանական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պարտավորությունների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առավել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մեծ</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ծավալ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են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կազմում</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վաղաժամկետ</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դադարեցման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տնտեսական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կամ</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օրենսդրական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փոփոխությունների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հետևանքով</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պայմանավորված</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նոր</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բանակցությունների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և</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յուրաքանչյուր</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ծրագրին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հատուկ</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ռիսկի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այլ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գործոնների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հետ</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կապված</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հնարավոր</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ծախսերը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Բացի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այդ</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ԱՅԳ</w:t>
      </w:r>
      <w:r w:rsidRPr="000232DD">
        <w:rPr>
          <w:rFonts w:ascii="GHEA Grapalat" w:eastAsia="Times New Roman" w:hAnsi="GHEA Grapalat" w:cs="Times New Roman"/>
          <w:color w:val="auto"/>
          <w:lang w:val="es-ES"/>
        </w:rPr>
        <w:t xml:space="preserve"> 1 </w:t>
      </w:r>
      <w:r w:rsidRPr="000232DD">
        <w:rPr>
          <w:rFonts w:ascii="GHEA Grapalat" w:eastAsia="Times New Roman" w:hAnsi="GHEA Grapalat" w:cs="Times New Roman"/>
          <w:color w:val="auto"/>
          <w:lang w:val="hy-AM"/>
        </w:rPr>
        <w:t xml:space="preserve">ֆոտովոլտային </w:t>
      </w:r>
      <w:r w:rsidRPr="000232DD">
        <w:rPr>
          <w:rFonts w:ascii="GHEA Grapalat" w:eastAsia="Times New Roman" w:hAnsi="GHEA Grapalat" w:cs="Times New Roman"/>
          <w:color w:val="auto"/>
        </w:rPr>
        <w:t>կայանի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ծրագիրը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դեռևս</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չի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անցել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ներդրումային</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փուլ</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և</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այդ</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պայմանագրի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գծով</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տեղեկատվությունը</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ներկայացված</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է</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ի</w:t>
      </w:r>
      <w:r w:rsidRPr="000232DD">
        <w:rPr>
          <w:rFonts w:ascii="GHEA Grapalat" w:eastAsia="Times New Roman" w:hAnsi="GHEA Grapalat" w:cs="Times New Roman"/>
          <w:color w:val="auto"/>
          <w:lang w:val="es-ES"/>
        </w:rPr>
        <w:t xml:space="preserve"> </w:t>
      </w:r>
      <w:r w:rsidRPr="000232DD">
        <w:rPr>
          <w:rFonts w:ascii="GHEA Grapalat" w:eastAsia="Times New Roman" w:hAnsi="GHEA Grapalat" w:cs="Times New Roman"/>
          <w:color w:val="auto"/>
        </w:rPr>
        <w:t>լրումն։</w:t>
      </w:r>
    </w:p>
    <w:p w14:paraId="6DBEB8ED" w14:textId="77777777" w:rsidR="00802FF2" w:rsidRPr="00A52417" w:rsidRDefault="00802FF2" w:rsidP="00A52417">
      <w:pPr>
        <w:pStyle w:val="Charts"/>
        <w:ind w:right="-22"/>
        <w:rPr>
          <w:b w:val="0"/>
          <w:bCs/>
          <w:color w:val="auto"/>
          <w:sz w:val="20"/>
          <w:szCs w:val="18"/>
        </w:rPr>
      </w:pPr>
      <w:r w:rsidRPr="00A52417">
        <w:rPr>
          <w:b w:val="0"/>
          <w:bCs/>
          <w:color w:val="auto"/>
          <w:sz w:val="20"/>
          <w:szCs w:val="18"/>
        </w:rPr>
        <w:t>Աղյուսակ 7. Գործող ՊՄԳ և ԷԳՊ պայմանագրերը</w:t>
      </w:r>
    </w:p>
    <w:tbl>
      <w:tblPr>
        <w:tblW w:w="9895" w:type="dxa"/>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ayout w:type="fixed"/>
        <w:tblLook w:val="0480" w:firstRow="0" w:lastRow="0" w:firstColumn="1" w:lastColumn="0" w:noHBand="0" w:noVBand="1"/>
      </w:tblPr>
      <w:tblGrid>
        <w:gridCol w:w="2425"/>
        <w:gridCol w:w="2340"/>
        <w:gridCol w:w="1170"/>
        <w:gridCol w:w="990"/>
        <w:gridCol w:w="2970"/>
      </w:tblGrid>
      <w:tr w:rsidR="004C0C21" w:rsidRPr="000232DD" w14:paraId="5276CDF1" w14:textId="77777777" w:rsidTr="001226F0">
        <w:trPr>
          <w:trHeight w:val="1376"/>
        </w:trPr>
        <w:tc>
          <w:tcPr>
            <w:tcW w:w="2425" w:type="dxa"/>
            <w:shd w:val="clear" w:color="auto" w:fill="DAE9F7" w:themeFill="text2" w:themeFillTint="1A"/>
            <w:vAlign w:val="center"/>
          </w:tcPr>
          <w:p w14:paraId="48C95D80" w14:textId="77777777" w:rsidR="00802FF2" w:rsidRPr="000232DD" w:rsidRDefault="00802FF2" w:rsidP="00082769">
            <w:pPr>
              <w:spacing w:before="40" w:after="60" w:line="312" w:lineRule="auto"/>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Անվանում</w:t>
            </w:r>
          </w:p>
        </w:tc>
        <w:tc>
          <w:tcPr>
            <w:tcW w:w="2340" w:type="dxa"/>
            <w:shd w:val="clear" w:color="auto" w:fill="DAE9F7" w:themeFill="text2" w:themeFillTint="1A"/>
            <w:vAlign w:val="center"/>
          </w:tcPr>
          <w:p w14:paraId="7014C5A6" w14:textId="77777777" w:rsidR="00802FF2" w:rsidRPr="000232DD" w:rsidRDefault="00802FF2" w:rsidP="00082769">
            <w:pPr>
              <w:spacing w:before="40" w:after="60" w:line="312" w:lineRule="auto"/>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Ոլորտ</w:t>
            </w:r>
          </w:p>
        </w:tc>
        <w:tc>
          <w:tcPr>
            <w:tcW w:w="1170" w:type="dxa"/>
            <w:shd w:val="clear" w:color="auto" w:fill="DAE9F7" w:themeFill="text2" w:themeFillTint="1A"/>
            <w:vAlign w:val="center"/>
          </w:tcPr>
          <w:p w14:paraId="67EF5C73" w14:textId="77777777" w:rsidR="00802FF2" w:rsidRPr="000232DD" w:rsidRDefault="00802FF2" w:rsidP="00082769">
            <w:pPr>
              <w:spacing w:before="40" w:after="60" w:line="312" w:lineRule="auto"/>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Սկիզբ</w:t>
            </w:r>
          </w:p>
        </w:tc>
        <w:tc>
          <w:tcPr>
            <w:tcW w:w="990" w:type="dxa"/>
            <w:shd w:val="clear" w:color="auto" w:fill="DAE9F7" w:themeFill="text2" w:themeFillTint="1A"/>
            <w:vAlign w:val="center"/>
          </w:tcPr>
          <w:p w14:paraId="64BA9E63" w14:textId="77777777" w:rsidR="00802FF2" w:rsidRPr="000232DD" w:rsidRDefault="00802FF2" w:rsidP="00082769">
            <w:pPr>
              <w:spacing w:before="40" w:after="60" w:line="312" w:lineRule="auto"/>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Ավարտ</w:t>
            </w:r>
          </w:p>
        </w:tc>
        <w:tc>
          <w:tcPr>
            <w:tcW w:w="2970" w:type="dxa"/>
            <w:shd w:val="clear" w:color="auto" w:fill="DAE9F7" w:themeFill="text2" w:themeFillTint="1A"/>
            <w:vAlign w:val="center"/>
          </w:tcPr>
          <w:p w14:paraId="665B2A68" w14:textId="77777777" w:rsidR="00802FF2" w:rsidRPr="000232DD" w:rsidRDefault="00802FF2" w:rsidP="00082769">
            <w:pPr>
              <w:spacing w:before="40" w:after="60" w:line="312" w:lineRule="auto"/>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Հարկաբյուջետային ռիսկի կարգավիճակի փոփոխությունները</w:t>
            </w:r>
          </w:p>
        </w:tc>
      </w:tr>
      <w:tr w:rsidR="004C0C21" w:rsidRPr="000232DD" w14:paraId="61FA4B28" w14:textId="77777777" w:rsidTr="001226F0">
        <w:trPr>
          <w:trHeight w:val="457"/>
        </w:trPr>
        <w:tc>
          <w:tcPr>
            <w:tcW w:w="2425" w:type="dxa"/>
          </w:tcPr>
          <w:p w14:paraId="32C7818D"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«Հարավկովկասյան երկաթուղի» ՓԲԸ</w:t>
            </w:r>
          </w:p>
        </w:tc>
        <w:tc>
          <w:tcPr>
            <w:tcW w:w="2340" w:type="dxa"/>
          </w:tcPr>
          <w:p w14:paraId="2AC1C063"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Տրանսպորտ</w:t>
            </w:r>
          </w:p>
        </w:tc>
        <w:tc>
          <w:tcPr>
            <w:tcW w:w="1170" w:type="dxa"/>
          </w:tcPr>
          <w:p w14:paraId="65FE5859"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2008թ.</w:t>
            </w:r>
          </w:p>
        </w:tc>
        <w:tc>
          <w:tcPr>
            <w:tcW w:w="990" w:type="dxa"/>
          </w:tcPr>
          <w:p w14:paraId="69904BFC"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2038թ.</w:t>
            </w:r>
          </w:p>
        </w:tc>
        <w:tc>
          <w:tcPr>
            <w:tcW w:w="2970" w:type="dxa"/>
          </w:tcPr>
          <w:p w14:paraId="5FBFF3D6"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Նշանակալի, Անփոփոխ</w:t>
            </w:r>
          </w:p>
        </w:tc>
      </w:tr>
      <w:tr w:rsidR="004C0C21" w:rsidRPr="000232DD" w14:paraId="3C5A3B75" w14:textId="77777777" w:rsidTr="001226F0">
        <w:trPr>
          <w:trHeight w:val="449"/>
        </w:trPr>
        <w:tc>
          <w:tcPr>
            <w:tcW w:w="2425" w:type="dxa"/>
          </w:tcPr>
          <w:p w14:paraId="5A222561"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«Վեոլիա Ջուր» ՓԲԸ</w:t>
            </w:r>
          </w:p>
        </w:tc>
        <w:tc>
          <w:tcPr>
            <w:tcW w:w="2340" w:type="dxa"/>
          </w:tcPr>
          <w:p w14:paraId="6B00F0FF"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Ջրամատակարարում և կեղտաջրերի հեռացում</w:t>
            </w:r>
          </w:p>
        </w:tc>
        <w:tc>
          <w:tcPr>
            <w:tcW w:w="1170" w:type="dxa"/>
          </w:tcPr>
          <w:p w14:paraId="1E2A6305"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2016թ.</w:t>
            </w:r>
          </w:p>
        </w:tc>
        <w:tc>
          <w:tcPr>
            <w:tcW w:w="990" w:type="dxa"/>
          </w:tcPr>
          <w:p w14:paraId="5B257E5F"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2031թ.</w:t>
            </w:r>
          </w:p>
        </w:tc>
        <w:tc>
          <w:tcPr>
            <w:tcW w:w="2970" w:type="dxa"/>
          </w:tcPr>
          <w:p w14:paraId="486DEE42"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Միջին, Անփոփոխ</w:t>
            </w:r>
          </w:p>
        </w:tc>
      </w:tr>
      <w:tr w:rsidR="004C0C21" w:rsidRPr="000232DD" w14:paraId="4E283181" w14:textId="77777777" w:rsidTr="001226F0">
        <w:trPr>
          <w:trHeight w:val="244"/>
        </w:trPr>
        <w:tc>
          <w:tcPr>
            <w:tcW w:w="2425" w:type="dxa"/>
          </w:tcPr>
          <w:p w14:paraId="6CA7DD67"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«Արմենիա միջազգային օդանավակայաններ» ՓԲԸ</w:t>
            </w:r>
          </w:p>
        </w:tc>
        <w:tc>
          <w:tcPr>
            <w:tcW w:w="2340" w:type="dxa"/>
          </w:tcPr>
          <w:p w14:paraId="7EE5B9D1"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Տրանսպորտ</w:t>
            </w:r>
          </w:p>
        </w:tc>
        <w:tc>
          <w:tcPr>
            <w:tcW w:w="1170" w:type="dxa"/>
          </w:tcPr>
          <w:p w14:paraId="4E167B70"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2002թ.</w:t>
            </w:r>
          </w:p>
        </w:tc>
        <w:tc>
          <w:tcPr>
            <w:tcW w:w="990" w:type="dxa"/>
          </w:tcPr>
          <w:p w14:paraId="4F8A62E9"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w:t>
            </w:r>
            <w:r w:rsidRPr="000232DD">
              <w:rPr>
                <w:rFonts w:ascii="GHEA Grapalat" w:eastAsia="Times New Roman" w:hAnsi="GHEA Grapalat" w:cs="Times New Roman"/>
                <w:color w:val="auto"/>
                <w:sz w:val="20"/>
                <w:szCs w:val="20"/>
                <w:lang w:val="hy-AM"/>
              </w:rPr>
              <w:t>67</w:t>
            </w:r>
            <w:r w:rsidRPr="000232DD">
              <w:rPr>
                <w:rFonts w:ascii="GHEA Grapalat" w:eastAsia="Times New Roman" w:hAnsi="GHEA Grapalat" w:cs="Times New Roman"/>
                <w:color w:val="auto"/>
                <w:sz w:val="20"/>
                <w:szCs w:val="20"/>
              </w:rPr>
              <w:t>թ.</w:t>
            </w:r>
          </w:p>
        </w:tc>
        <w:tc>
          <w:tcPr>
            <w:tcW w:w="2970" w:type="dxa"/>
          </w:tcPr>
          <w:p w14:paraId="0B015BB7"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 xml:space="preserve">Միջին, </w:t>
            </w:r>
            <w:r w:rsidRPr="000232DD">
              <w:rPr>
                <w:rFonts w:ascii="GHEA Grapalat" w:eastAsia="Times New Roman" w:hAnsi="GHEA Grapalat" w:cs="Times New Roman"/>
                <w:color w:val="auto"/>
                <w:sz w:val="20"/>
                <w:szCs w:val="20"/>
                <w:lang w:val="hy-AM"/>
              </w:rPr>
              <w:t>Ն</w:t>
            </w:r>
            <w:r w:rsidRPr="000232DD">
              <w:rPr>
                <w:rFonts w:ascii="GHEA Grapalat" w:eastAsia="Times New Roman" w:hAnsi="GHEA Grapalat" w:cs="Times New Roman"/>
                <w:color w:val="auto"/>
                <w:sz w:val="20"/>
                <w:szCs w:val="20"/>
              </w:rPr>
              <w:t>վազում</w:t>
            </w:r>
          </w:p>
        </w:tc>
      </w:tr>
      <w:tr w:rsidR="004C0C21" w:rsidRPr="000232DD" w14:paraId="713D839F" w14:textId="77777777" w:rsidTr="001226F0">
        <w:trPr>
          <w:trHeight w:val="791"/>
        </w:trPr>
        <w:tc>
          <w:tcPr>
            <w:tcW w:w="2425" w:type="dxa"/>
          </w:tcPr>
          <w:p w14:paraId="76FFFA47"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«ՔոնթուրԳլոբալ հիդրո կասկադ» ՓԲԸ (Որոտան ՀԷԿ), ԷԳՊ</w:t>
            </w:r>
          </w:p>
        </w:tc>
        <w:tc>
          <w:tcPr>
            <w:tcW w:w="2340" w:type="dxa"/>
          </w:tcPr>
          <w:p w14:paraId="55315C85"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Էներգետիկա</w:t>
            </w:r>
          </w:p>
        </w:tc>
        <w:tc>
          <w:tcPr>
            <w:tcW w:w="1170" w:type="dxa"/>
          </w:tcPr>
          <w:p w14:paraId="61B7355A"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2016թ.*</w:t>
            </w:r>
          </w:p>
        </w:tc>
        <w:tc>
          <w:tcPr>
            <w:tcW w:w="990" w:type="dxa"/>
          </w:tcPr>
          <w:p w14:paraId="4C86B222"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2038թ.</w:t>
            </w:r>
          </w:p>
        </w:tc>
        <w:tc>
          <w:tcPr>
            <w:tcW w:w="2970" w:type="dxa"/>
          </w:tcPr>
          <w:p w14:paraId="666CA687"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Միջին, Անփոփոխ</w:t>
            </w:r>
          </w:p>
        </w:tc>
      </w:tr>
      <w:tr w:rsidR="004C0C21" w:rsidRPr="000232DD" w14:paraId="102CFEF8" w14:textId="77777777" w:rsidTr="001226F0">
        <w:trPr>
          <w:trHeight w:val="415"/>
        </w:trPr>
        <w:tc>
          <w:tcPr>
            <w:tcW w:w="2425" w:type="dxa"/>
          </w:tcPr>
          <w:p w14:paraId="5FEF7142"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«Արմփաուեր» ՓԲԸ, ԷԳՊ</w:t>
            </w:r>
          </w:p>
        </w:tc>
        <w:tc>
          <w:tcPr>
            <w:tcW w:w="2340" w:type="dxa"/>
          </w:tcPr>
          <w:p w14:paraId="7FD8CC9C"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Էներգետիկա</w:t>
            </w:r>
          </w:p>
        </w:tc>
        <w:tc>
          <w:tcPr>
            <w:tcW w:w="1170" w:type="dxa"/>
          </w:tcPr>
          <w:p w14:paraId="3B2E827F"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2019թ.*</w:t>
            </w:r>
          </w:p>
        </w:tc>
        <w:tc>
          <w:tcPr>
            <w:tcW w:w="990" w:type="dxa"/>
          </w:tcPr>
          <w:p w14:paraId="02510580"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2041թ.</w:t>
            </w:r>
          </w:p>
        </w:tc>
        <w:tc>
          <w:tcPr>
            <w:tcW w:w="2970" w:type="dxa"/>
          </w:tcPr>
          <w:p w14:paraId="794CBE49"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lang w:val="hy-AM"/>
              </w:rPr>
              <w:t>Միջին, Անփոփոխ</w:t>
            </w:r>
          </w:p>
        </w:tc>
      </w:tr>
      <w:tr w:rsidR="004C0C21" w:rsidRPr="000232DD" w14:paraId="18573D95" w14:textId="77777777" w:rsidTr="001226F0">
        <w:trPr>
          <w:trHeight w:val="647"/>
        </w:trPr>
        <w:tc>
          <w:tcPr>
            <w:tcW w:w="2425" w:type="dxa"/>
          </w:tcPr>
          <w:p w14:paraId="293E31A8"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«Էֆարվի Մասրիկ» ՓԲԸ, Մասրիկ-1 արևային ֆոտովոլտային էլեկտրակայան, ԷԳՊ</w:t>
            </w:r>
          </w:p>
        </w:tc>
        <w:tc>
          <w:tcPr>
            <w:tcW w:w="2340" w:type="dxa"/>
          </w:tcPr>
          <w:p w14:paraId="5203D166"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Էներգետիկա</w:t>
            </w:r>
          </w:p>
        </w:tc>
        <w:tc>
          <w:tcPr>
            <w:tcW w:w="1170" w:type="dxa"/>
          </w:tcPr>
          <w:p w14:paraId="778507F3"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2021թ.*</w:t>
            </w:r>
          </w:p>
        </w:tc>
        <w:tc>
          <w:tcPr>
            <w:tcW w:w="990" w:type="dxa"/>
          </w:tcPr>
          <w:p w14:paraId="458EE392"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2041թ.</w:t>
            </w:r>
          </w:p>
        </w:tc>
        <w:tc>
          <w:tcPr>
            <w:tcW w:w="2970" w:type="dxa"/>
          </w:tcPr>
          <w:p w14:paraId="15BD4044"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Ցածր, Անփոփոխ</w:t>
            </w:r>
          </w:p>
        </w:tc>
      </w:tr>
      <w:tr w:rsidR="004C0C21" w:rsidRPr="000232DD" w14:paraId="4A1B6519" w14:textId="77777777" w:rsidTr="001226F0">
        <w:trPr>
          <w:trHeight w:val="647"/>
        </w:trPr>
        <w:tc>
          <w:tcPr>
            <w:tcW w:w="2425" w:type="dxa"/>
          </w:tcPr>
          <w:p w14:paraId="65E23E8A"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«Հայփաս» ՓԲԸ</w:t>
            </w:r>
          </w:p>
        </w:tc>
        <w:tc>
          <w:tcPr>
            <w:tcW w:w="2340" w:type="dxa"/>
          </w:tcPr>
          <w:p w14:paraId="338623ED"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Կենսաչափական տվյալներ պարունակող անձնագրերի տրամադրում</w:t>
            </w:r>
          </w:p>
        </w:tc>
        <w:tc>
          <w:tcPr>
            <w:tcW w:w="1170" w:type="dxa"/>
          </w:tcPr>
          <w:p w14:paraId="3C1D153D"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2025թ.</w:t>
            </w:r>
          </w:p>
        </w:tc>
        <w:tc>
          <w:tcPr>
            <w:tcW w:w="990" w:type="dxa"/>
          </w:tcPr>
          <w:p w14:paraId="42C48C58"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2037թ.</w:t>
            </w:r>
          </w:p>
        </w:tc>
        <w:tc>
          <w:tcPr>
            <w:tcW w:w="2970" w:type="dxa"/>
          </w:tcPr>
          <w:p w14:paraId="0948D4E1"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Ցածր, Նոր պայմանագիր</w:t>
            </w:r>
          </w:p>
        </w:tc>
      </w:tr>
    </w:tbl>
    <w:p w14:paraId="1802541D" w14:textId="77777777" w:rsidR="00802FF2" w:rsidRPr="000232DD" w:rsidRDefault="00802FF2" w:rsidP="00082769">
      <w:pPr>
        <w:spacing w:before="40" w:after="60"/>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*գործարքի ֆինանսական պայմանների բավարարման տարի. ԷԳՊ պայմանագրերի փաստացի տևողությունը կազմում է մինչև 25 տարի՝ սկսած ստորագրման տարվանից:</w:t>
      </w:r>
    </w:p>
    <w:p w14:paraId="2C61A2D2" w14:textId="77777777" w:rsidR="00802FF2" w:rsidRPr="000232DD" w:rsidRDefault="00802FF2" w:rsidP="00082769">
      <w:pPr>
        <w:spacing w:before="40" w:after="60"/>
        <w:ind w:right="-22"/>
        <w:jc w:val="both"/>
        <w:rPr>
          <w:rFonts w:ascii="GHEA Grapalat" w:eastAsia="Times New Roman" w:hAnsi="GHEA Grapalat" w:cs="Times New Roman"/>
          <w:color w:val="auto"/>
        </w:rPr>
      </w:pPr>
    </w:p>
    <w:p w14:paraId="38B0144D"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 xml:space="preserve">ՊՄԳ պայմանագրերի վերլուծության արդյունքում նյութականացման ռիսկի աստիճանը նշանակալի է համարվել ՊՄԳ այն պայմանագրերի համար, որտեղ պայմանագրի վերաբանակցման կամ </w:t>
      </w:r>
      <w:r w:rsidRPr="000232DD">
        <w:rPr>
          <w:rFonts w:ascii="Arial" w:hAnsi="Arial" w:cs="Arial"/>
          <w:bCs/>
          <w:color w:val="auto"/>
          <w:lang w:val="hy-AM"/>
        </w:rPr>
        <w:t>պայմանագրի</w:t>
      </w:r>
      <w:r w:rsidRPr="000232DD">
        <w:rPr>
          <w:rFonts w:ascii="GHEA Grapalat" w:eastAsia="Times New Roman" w:hAnsi="GHEA Grapalat" w:cs="Times New Roman"/>
          <w:color w:val="auto"/>
        </w:rPr>
        <w:t xml:space="preserve"> վաղաժամ դադարեցման ռիսկերը բարձր են։ </w:t>
      </w:r>
    </w:p>
    <w:p w14:paraId="5607A8C9" w14:textId="77777777" w:rsidR="00802FF2" w:rsidRPr="000232DD" w:rsidRDefault="00802FF2" w:rsidP="00082769">
      <w:pPr>
        <w:spacing w:after="0"/>
        <w:ind w:right="-22"/>
        <w:jc w:val="both"/>
        <w:rPr>
          <w:rFonts w:ascii="GHEA Grapalat" w:eastAsia="Times New Roman" w:hAnsi="GHEA Grapalat" w:cs="Times New Roman"/>
          <w:color w:val="auto"/>
        </w:rPr>
      </w:pPr>
    </w:p>
    <w:p w14:paraId="7EE3068D" w14:textId="77777777" w:rsidR="00802FF2" w:rsidRPr="000232DD" w:rsidRDefault="00802FF2" w:rsidP="00082769">
      <w:pPr>
        <w:spacing w:before="40" w:after="60" w:line="312" w:lineRule="auto"/>
        <w:ind w:right="-22"/>
        <w:jc w:val="both"/>
        <w:rPr>
          <w:rFonts w:ascii="GHEA Grapalat" w:eastAsia="Times New Roman" w:hAnsi="GHEA Grapalat" w:cs="Times New Roman"/>
          <w:b/>
          <w:color w:val="auto"/>
          <w:sz w:val="24"/>
          <w:szCs w:val="24"/>
        </w:rPr>
      </w:pPr>
      <w:bookmarkStart w:id="507" w:name="_Toc59655558"/>
      <w:r w:rsidRPr="000232DD">
        <w:rPr>
          <w:rFonts w:ascii="GHEA Grapalat" w:eastAsia="Times New Roman" w:hAnsi="GHEA Grapalat" w:cs="Times New Roman"/>
          <w:b/>
          <w:color w:val="auto"/>
          <w:sz w:val="24"/>
          <w:szCs w:val="24"/>
        </w:rPr>
        <w:t>«</w:t>
      </w:r>
      <w:r w:rsidRPr="000232DD">
        <w:rPr>
          <w:rFonts w:ascii="GHEA Grapalat" w:eastAsia="Times New Roman" w:hAnsi="GHEA Grapalat" w:cs="Times New Roman"/>
          <w:b/>
          <w:color w:val="auto"/>
          <w:sz w:val="24"/>
          <w:szCs w:val="24"/>
          <w:lang w:val="hy-AM" w:eastAsia="x-none"/>
        </w:rPr>
        <w:t>ՀԱՐԱՎԿՈՎԿԱՍՅԱՆ ԵՐԿԱԹՈՒՂԻ» ՓԲԸ</w:t>
      </w:r>
      <w:bookmarkEnd w:id="507"/>
    </w:p>
    <w:p w14:paraId="667F3FC3" w14:textId="77777777" w:rsidR="00802FF2" w:rsidRPr="000232DD" w:rsidRDefault="00802FF2" w:rsidP="00082769">
      <w:pPr>
        <w:spacing w:after="0"/>
        <w:ind w:right="-22"/>
        <w:jc w:val="both"/>
        <w:rPr>
          <w:rFonts w:ascii="GHEA Grapalat" w:hAnsi="GHEA Grapalat"/>
          <w:bCs/>
          <w:color w:val="auto"/>
          <w:lang w:val="hy-AM"/>
        </w:rPr>
      </w:pPr>
      <w:r w:rsidRPr="000232DD">
        <w:rPr>
          <w:rFonts w:ascii="GHEA Grapalat" w:hAnsi="GHEA Grapalat"/>
          <w:bCs/>
          <w:color w:val="auto"/>
          <w:lang w:val="hy-AM"/>
        </w:rPr>
        <w:t xml:space="preserve">ՀՀ կառավարության 07.02.2008թ. N 83-Ա որոշման հիման վրա Հայաստանի Հանրապետության, «Հարավկովկասյան երկաթուղի» ՓԲԸ-ի և «Ռուսական երկաթուղիներ» ԲԲԸ-ի միջև 13.02.2008թ. կնքվել է «Հայկական երկաթուղու համակարգը «Ռուսական երկաթուղիներ» ԲԲԸ կողմից ստեղծված «Հարավկովկասյան երկաթուղի» ՓԲԸ փոխանցելու մասին» կոնցեսիոն պայմանագիրը: </w:t>
      </w:r>
    </w:p>
    <w:p w14:paraId="3ABE1573" w14:textId="77777777" w:rsidR="00802FF2" w:rsidRPr="000232DD" w:rsidRDefault="00802FF2" w:rsidP="00082769">
      <w:pPr>
        <w:spacing w:after="0"/>
        <w:ind w:right="-22"/>
        <w:jc w:val="both"/>
        <w:rPr>
          <w:rFonts w:ascii="GHEA Grapalat" w:hAnsi="GHEA Grapalat"/>
          <w:bCs/>
          <w:color w:val="auto"/>
          <w:lang w:val="hy-AM"/>
        </w:rPr>
      </w:pPr>
      <w:r w:rsidRPr="000232DD">
        <w:rPr>
          <w:rFonts w:ascii="GHEA Grapalat" w:hAnsi="GHEA Grapalat"/>
          <w:bCs/>
          <w:color w:val="auto"/>
          <w:lang w:val="hy-AM"/>
        </w:rPr>
        <w:t xml:space="preserve">Կոնցեսիոն պայմանագիրը ներառում է վնասի սուբսիդավորում որոշ ուղևորափոխադրումների երթուղիների համար, որոնք իրականացվել են պայմանագրի բոլոր տարիներին: Սակայն, ըստ պայմանագրի, վճարման ենթակա գումարների առավելագույն չափը սահմանափակվում է կոնցեսիոների կողմից վճարման ենթակա տարեկան կոնցեսիոն վճարի չափով: Համաձայն առկա պատմական տեղեկատվության՝ կոնցեսիոն պայմանագրի սկզբից ի վեր որևէ այլ պայմանական պարտավորության նյութականացում տեղի չի ունեցել։ </w:t>
      </w:r>
    </w:p>
    <w:p w14:paraId="2949AF0D"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lang w:val="hy-AM"/>
        </w:rPr>
        <w:t xml:space="preserve">Կոնցեսիոն պայմանագիրը նախատեսում է նաև փոխհատուցումներ մի շարք դեպքերում։ </w:t>
      </w:r>
      <w:r w:rsidRPr="000232DD">
        <w:rPr>
          <w:rFonts w:ascii="GHEA Grapalat" w:eastAsia="Times New Roman" w:hAnsi="GHEA Grapalat" w:cs="Times New Roman"/>
          <w:color w:val="auto"/>
        </w:rPr>
        <w:t>Այդպիսի դեպքերից են՝</w:t>
      </w:r>
    </w:p>
    <w:p w14:paraId="0ACD4A23" w14:textId="77777777" w:rsidR="00802FF2" w:rsidRPr="000232DD" w:rsidRDefault="00802FF2" w:rsidP="00082769">
      <w:pPr>
        <w:numPr>
          <w:ilvl w:val="0"/>
          <w:numId w:val="16"/>
        </w:numPr>
        <w:tabs>
          <w:tab w:val="left" w:pos="142"/>
        </w:tabs>
        <w:spacing w:before="40" w:after="0" w:line="312" w:lineRule="auto"/>
        <w:ind w:left="0" w:right="-22"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Օրենսդրության անբարենպաստ փոփոխություն,</w:t>
      </w:r>
    </w:p>
    <w:p w14:paraId="00A1CDFA" w14:textId="77777777" w:rsidR="00802FF2" w:rsidRPr="000232DD" w:rsidRDefault="00802FF2" w:rsidP="00082769">
      <w:pPr>
        <w:numPr>
          <w:ilvl w:val="0"/>
          <w:numId w:val="16"/>
        </w:numPr>
        <w:tabs>
          <w:tab w:val="left" w:pos="142"/>
        </w:tabs>
        <w:spacing w:before="40" w:after="0" w:line="312" w:lineRule="auto"/>
        <w:ind w:left="0" w:right="-22"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Անհաղթահարելի ուժի ազդեցության մեղմման ծախսեր,</w:t>
      </w:r>
    </w:p>
    <w:p w14:paraId="5A679835" w14:textId="77777777" w:rsidR="00802FF2" w:rsidRPr="000232DD" w:rsidRDefault="00802FF2" w:rsidP="00082769">
      <w:pPr>
        <w:numPr>
          <w:ilvl w:val="0"/>
          <w:numId w:val="16"/>
        </w:numPr>
        <w:tabs>
          <w:tab w:val="left" w:pos="142"/>
        </w:tabs>
        <w:spacing w:before="40" w:after="0" w:line="312" w:lineRule="auto"/>
        <w:ind w:left="0" w:right="-22"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Անհաղթահարելի ուժի ազդեցության հետևանքով պայմանագրի վաղաժամ դադարեցման հետ կապված վճարումներ,</w:t>
      </w:r>
    </w:p>
    <w:p w14:paraId="5346FF6C" w14:textId="77777777" w:rsidR="00802FF2" w:rsidRPr="000232DD" w:rsidRDefault="00802FF2" w:rsidP="00082769">
      <w:pPr>
        <w:numPr>
          <w:ilvl w:val="0"/>
          <w:numId w:val="16"/>
        </w:numPr>
        <w:tabs>
          <w:tab w:val="left" w:pos="142"/>
        </w:tabs>
        <w:spacing w:before="40" w:after="0" w:line="312" w:lineRule="auto"/>
        <w:ind w:left="0" w:right="-22"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 xml:space="preserve">Կոնցեդենտի կողմից պարտավորությունների չկատարման հիմքով պայմանագրի վաղաժամ դադարեցման վճարներ, </w:t>
      </w:r>
    </w:p>
    <w:p w14:paraId="65C1B331" w14:textId="77777777" w:rsidR="00802FF2" w:rsidRPr="000232DD" w:rsidRDefault="00802FF2" w:rsidP="00082769">
      <w:pPr>
        <w:numPr>
          <w:ilvl w:val="0"/>
          <w:numId w:val="16"/>
        </w:numPr>
        <w:tabs>
          <w:tab w:val="left" w:pos="142"/>
        </w:tabs>
        <w:spacing w:before="40" w:after="0" w:line="312" w:lineRule="auto"/>
        <w:ind w:left="0" w:right="-22"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Փոխադարձ համաձայնությամբ պայմանագրի վաղաժամ դադարեցման վճարներ:</w:t>
      </w:r>
    </w:p>
    <w:p w14:paraId="53043A4A" w14:textId="3CA42CC8" w:rsidR="00802FF2" w:rsidRPr="000232DD" w:rsidRDefault="00802FF2" w:rsidP="00082769">
      <w:pPr>
        <w:spacing w:after="0"/>
        <w:ind w:right="-22"/>
        <w:jc w:val="both"/>
        <w:rPr>
          <w:rFonts w:ascii="GHEA Grapalat" w:hAnsi="GHEA Grapalat"/>
          <w:bCs/>
          <w:color w:val="auto"/>
          <w:lang w:val="hy-AM"/>
        </w:rPr>
      </w:pPr>
      <w:r w:rsidRPr="000232DD">
        <w:rPr>
          <w:rFonts w:ascii="GHEA Grapalat" w:hAnsi="GHEA Grapalat"/>
          <w:bCs/>
          <w:color w:val="auto"/>
          <w:lang w:val="hy-AM"/>
        </w:rPr>
        <w:t>Կոնցեսիոն պայմանագրի ֆիսկալ ռիսկայնության կարգավիճակը գնահատվում է նշանակալի՝ պայմանավորված զարգացող աշխարհաքաղաքական ճգնաժամով և ընթացող բանակցություններով։ Կոնցեսիոն պայմանագրի վաղաժամ դադարեցման մասով պայմանական պարտավորությունները հիմնականում չափելի են, և դրանց առավելագույն ազդեցությունը վատագույն սցենարի դեպքում գնահատվում է շուրջ 100 մլրդ ՀՀ դրամ: Ի լրումն, որպես ոչ բացահայտ պարտավորություն, կարելի է դիտարկել շարժակազմի ձեռքբերումը, որի մնացորդային արժեքը 2025թ.-ի ավարտին կազմել է 27</w:t>
      </w:r>
      <w:r w:rsidR="00316A2D" w:rsidRPr="00316A2D">
        <w:rPr>
          <w:rFonts w:ascii="GHEA Grapalat" w:hAnsi="GHEA Grapalat"/>
          <w:bCs/>
          <w:color w:val="auto"/>
          <w:lang w:val="hy-AM"/>
        </w:rPr>
        <w:t>.0</w:t>
      </w:r>
      <w:r w:rsidRPr="000232DD">
        <w:rPr>
          <w:rFonts w:ascii="GHEA Grapalat" w:hAnsi="GHEA Grapalat"/>
          <w:bCs/>
          <w:color w:val="auto"/>
          <w:lang w:val="hy-AM"/>
        </w:rPr>
        <w:t xml:space="preserve"> մլրդ ՀՀ դրամ:</w:t>
      </w:r>
    </w:p>
    <w:p w14:paraId="52685B19" w14:textId="4C174ADF" w:rsidR="001A2654" w:rsidRDefault="00802FF2" w:rsidP="00316A2D">
      <w:pPr>
        <w:spacing w:after="0"/>
        <w:ind w:right="-22"/>
        <w:jc w:val="both"/>
        <w:rPr>
          <w:rFonts w:ascii="GHEA Grapalat" w:eastAsia="Times New Roman" w:hAnsi="GHEA Grapalat" w:cs="Times New Roman"/>
          <w:color w:val="auto"/>
          <w:lang w:val="hy-AM"/>
        </w:rPr>
      </w:pPr>
      <w:r w:rsidRPr="000232DD">
        <w:rPr>
          <w:rFonts w:ascii="GHEA Grapalat" w:hAnsi="GHEA Grapalat"/>
          <w:bCs/>
          <w:color w:val="auto"/>
          <w:lang w:val="hy-AM"/>
        </w:rPr>
        <w:t>2025թ.-ի ընթացքում եկամուտների անկման տենդենցը դադարել է և գրեթե վերականգնվել է 2024թ.-ին արձանագրված 20% նվազումը նախորդ տարվա համեմատ։ 2023թ.-ին ընկերությունը վերագնահատել է կոնցեսիոն պայմանագրի արժեքը՝ կիրառելով զեղչված դրամական հոսքերի մեթոդը՝ արժեզրկելով ոչ նյութական ակտիվների մնացորդային արժեքը</w:t>
      </w:r>
      <w:r w:rsidR="00316A2D">
        <w:rPr>
          <w:rFonts w:ascii="GHEA Grapalat" w:hAnsi="GHEA Grapalat"/>
          <w:bCs/>
          <w:color w:val="auto"/>
          <w:lang w:val="hy-AM"/>
        </w:rPr>
        <w:t xml:space="preserve"> 61.</w:t>
      </w:r>
      <w:r w:rsidRPr="000232DD">
        <w:rPr>
          <w:rFonts w:ascii="GHEA Grapalat" w:hAnsi="GHEA Grapalat"/>
          <w:bCs/>
          <w:color w:val="auto"/>
          <w:lang w:val="hy-AM"/>
        </w:rPr>
        <w:t>5 մլրդ-ով, արձանագրելով</w:t>
      </w:r>
      <w:r w:rsidR="00316A2D">
        <w:rPr>
          <w:rFonts w:ascii="GHEA Grapalat" w:hAnsi="GHEA Grapalat"/>
          <w:bCs/>
          <w:color w:val="auto"/>
          <w:lang w:val="hy-AM"/>
        </w:rPr>
        <w:t xml:space="preserve"> 58.</w:t>
      </w:r>
      <w:r w:rsidRPr="000232DD">
        <w:rPr>
          <w:rFonts w:ascii="GHEA Grapalat" w:hAnsi="GHEA Grapalat"/>
          <w:bCs/>
          <w:color w:val="auto"/>
          <w:lang w:val="hy-AM"/>
        </w:rPr>
        <w:t>7 մլրդ դրամի զուտ վնաս: 2024թ.-ին ընկերության գործունեությունը եղել է վնասաբեր՝</w:t>
      </w:r>
      <w:r w:rsidR="00316A2D">
        <w:rPr>
          <w:rFonts w:ascii="GHEA Grapalat" w:hAnsi="GHEA Grapalat"/>
          <w:bCs/>
          <w:color w:val="auto"/>
          <w:lang w:val="hy-AM"/>
        </w:rPr>
        <w:t xml:space="preserve"> 0.</w:t>
      </w:r>
      <w:r w:rsidRPr="000232DD">
        <w:rPr>
          <w:rFonts w:ascii="GHEA Grapalat" w:hAnsi="GHEA Grapalat"/>
          <w:bCs/>
          <w:color w:val="auto"/>
          <w:lang w:val="hy-AM"/>
        </w:rPr>
        <w:t>8 մլրդ դրամի չափով, 2025թ.-ին ընկերության շահույթը կազմել է 2.3 մլրդ ՀՀ դրամ։ 2022-2024թթ.-ի ընթացքում նկատելի էր բեռնափոխադրումների ֆիզիկական ծավալների անկման միտում՝ շուրջ 60% գումարային</w:t>
      </w:r>
      <w:r w:rsidRPr="000232DD">
        <w:rPr>
          <w:rFonts w:ascii="GHEA Grapalat" w:eastAsia="Times New Roman" w:hAnsi="GHEA Grapalat" w:cs="Times New Roman"/>
          <w:color w:val="auto"/>
          <w:lang w:val="hy-AM"/>
        </w:rPr>
        <w:t xml:space="preserve"> անկում, սակայն 2025թ.-ին տեղի է ունեցել որոշակի վերականգնում՝ 28% աճելով նախորդ տարվա նկատմամբ։ Ուղևորափոխադրումների ծավալը 2025թ.-ի ընթացքում նվազել է գ</w:t>
      </w:r>
      <w:r w:rsidR="00316A2D">
        <w:rPr>
          <w:rFonts w:ascii="GHEA Grapalat" w:eastAsia="Times New Roman" w:hAnsi="GHEA Grapalat" w:cs="Times New Roman"/>
          <w:color w:val="auto"/>
          <w:lang w:val="hy-AM"/>
        </w:rPr>
        <w:t>րեթե 10%: 2025թ. ընկերության 17.14 մլրդ դրամ հասույթից 14.</w:t>
      </w:r>
      <w:r w:rsidRPr="000232DD">
        <w:rPr>
          <w:rFonts w:ascii="GHEA Grapalat" w:eastAsia="Times New Roman" w:hAnsi="GHEA Grapalat" w:cs="Times New Roman"/>
          <w:color w:val="auto"/>
          <w:lang w:val="hy-AM"/>
        </w:rPr>
        <w:t xml:space="preserve">33 մլրդ դրամը՝ շուրջ 84%-ը, ձևավորվել է </w:t>
      </w:r>
      <w:r w:rsidR="00316A2D">
        <w:rPr>
          <w:rFonts w:ascii="GHEA Grapalat" w:eastAsia="Times New Roman" w:hAnsi="GHEA Grapalat" w:cs="Times New Roman"/>
          <w:color w:val="auto"/>
          <w:lang w:val="hy-AM"/>
        </w:rPr>
        <w:t>բեռնափոխադրումներից, ընդամենը 1.</w:t>
      </w:r>
      <w:r w:rsidRPr="000232DD">
        <w:rPr>
          <w:rFonts w:ascii="GHEA Grapalat" w:eastAsia="Times New Roman" w:hAnsi="GHEA Grapalat" w:cs="Times New Roman"/>
          <w:color w:val="auto"/>
          <w:lang w:val="hy-AM"/>
        </w:rPr>
        <w:t>09 մլրդ դրամը՝ ուղ</w:t>
      </w:r>
      <w:r w:rsidR="00316A2D">
        <w:rPr>
          <w:rFonts w:ascii="GHEA Grapalat" w:eastAsia="Times New Roman" w:hAnsi="GHEA Grapalat" w:cs="Times New Roman"/>
          <w:color w:val="auto"/>
          <w:lang w:val="hy-AM"/>
        </w:rPr>
        <w:t>ևորափոխադրումներից, իսկ շուրջ 1.</w:t>
      </w:r>
      <w:r w:rsidRPr="000232DD">
        <w:rPr>
          <w:rFonts w:ascii="GHEA Grapalat" w:eastAsia="Times New Roman" w:hAnsi="GHEA Grapalat" w:cs="Times New Roman"/>
          <w:color w:val="auto"/>
          <w:lang w:val="hy-AM"/>
        </w:rPr>
        <w:t>73 մլրդ դրամը՝ կոնցեսիոն ակտիվների բարելավման հետ կապված գործունեությունից։ Բեռնափոխադրումների սեգ</w:t>
      </w:r>
      <w:r w:rsidR="00316A2D">
        <w:rPr>
          <w:rFonts w:ascii="GHEA Grapalat" w:eastAsia="Times New Roman" w:hAnsi="GHEA Grapalat" w:cs="Times New Roman"/>
          <w:color w:val="auto"/>
          <w:lang w:val="hy-AM"/>
        </w:rPr>
        <w:t>մենտը 2025թ. ապահովել է շուրջ 3.</w:t>
      </w:r>
      <w:r w:rsidRPr="000232DD">
        <w:rPr>
          <w:rFonts w:ascii="GHEA Grapalat" w:eastAsia="Times New Roman" w:hAnsi="GHEA Grapalat" w:cs="Times New Roman"/>
          <w:color w:val="auto"/>
          <w:lang w:val="hy-AM"/>
        </w:rPr>
        <w:t>29 մլրդ դրամ գործառնական շահույթ, մինչդեռ ուղևորափոխադրումների սեգմենտը շարունակում է լի</w:t>
      </w:r>
      <w:r w:rsidR="00316A2D">
        <w:rPr>
          <w:rFonts w:ascii="GHEA Grapalat" w:eastAsia="Times New Roman" w:hAnsi="GHEA Grapalat" w:cs="Times New Roman"/>
          <w:color w:val="auto"/>
          <w:lang w:val="hy-AM"/>
        </w:rPr>
        <w:t>նել էականորեն վնասաբեր՝ շուրջ 2.</w:t>
      </w:r>
      <w:r w:rsidRPr="000232DD">
        <w:rPr>
          <w:rFonts w:ascii="GHEA Grapalat" w:eastAsia="Times New Roman" w:hAnsi="GHEA Grapalat" w:cs="Times New Roman"/>
          <w:color w:val="auto"/>
          <w:lang w:val="hy-AM"/>
        </w:rPr>
        <w:t>12 մլրդ դրամ գ</w:t>
      </w:r>
      <w:r w:rsidR="00316A2D">
        <w:rPr>
          <w:rFonts w:ascii="GHEA Grapalat" w:eastAsia="Times New Roman" w:hAnsi="GHEA Grapalat" w:cs="Times New Roman"/>
          <w:color w:val="auto"/>
          <w:lang w:val="hy-AM"/>
        </w:rPr>
        <w:t>ործառնական վնասով։</w:t>
      </w:r>
    </w:p>
    <w:p w14:paraId="34A01804" w14:textId="4F0FF966" w:rsidR="00316A2D" w:rsidRDefault="00316A2D" w:rsidP="00316A2D">
      <w:pPr>
        <w:spacing w:after="0"/>
        <w:ind w:right="-22"/>
        <w:jc w:val="both"/>
        <w:rPr>
          <w:rFonts w:ascii="GHEA Grapalat" w:eastAsia="Times New Roman" w:hAnsi="GHEA Grapalat" w:cs="Times New Roman"/>
          <w:color w:val="auto"/>
          <w:lang w:val="hy-AM"/>
        </w:rPr>
      </w:pPr>
    </w:p>
    <w:p w14:paraId="32DFA310" w14:textId="77777777" w:rsidR="00316A2D" w:rsidRPr="00316A2D" w:rsidRDefault="00316A2D" w:rsidP="00316A2D">
      <w:pPr>
        <w:spacing w:after="0"/>
        <w:ind w:right="-22"/>
        <w:jc w:val="both"/>
        <w:rPr>
          <w:rFonts w:ascii="GHEA Grapalat" w:eastAsia="Times New Roman" w:hAnsi="GHEA Grapalat" w:cs="Times New Roman"/>
          <w:color w:val="auto"/>
          <w:lang w:val="hy-AM"/>
        </w:rPr>
      </w:pPr>
    </w:p>
    <w:p w14:paraId="693D5B43" w14:textId="0137BD5D" w:rsidR="00802FF2" w:rsidRPr="00A52417" w:rsidRDefault="00802FF2" w:rsidP="00082769">
      <w:pPr>
        <w:pStyle w:val="Charts"/>
        <w:ind w:right="-22"/>
        <w:rPr>
          <w:b w:val="0"/>
          <w:bCs/>
          <w:color w:val="auto"/>
          <w:sz w:val="20"/>
          <w:szCs w:val="18"/>
        </w:rPr>
      </w:pPr>
      <w:r w:rsidRPr="00A52417">
        <w:rPr>
          <w:b w:val="0"/>
          <w:bCs/>
          <w:color w:val="auto"/>
          <w:sz w:val="20"/>
          <w:szCs w:val="18"/>
        </w:rPr>
        <w:t>Գծապատկեր 16. Ուղևորափոխադրումները և բեռնափոխադրումները 2021-2025թթ.</w:t>
      </w:r>
    </w:p>
    <w:p w14:paraId="71E30AB4" w14:textId="77777777" w:rsidR="00802FF2" w:rsidRPr="000232DD" w:rsidRDefault="00802FF2" w:rsidP="00082769">
      <w:pPr>
        <w:spacing w:before="40" w:after="60"/>
        <w:ind w:right="-22"/>
        <w:jc w:val="both"/>
        <w:rPr>
          <w:rFonts w:ascii="GHEA Grapalat" w:eastAsia="Times New Roman" w:hAnsi="GHEA Grapalat" w:cs="Times New Roman"/>
          <w:b/>
          <w:color w:val="auto"/>
          <w:sz w:val="24"/>
          <w:szCs w:val="24"/>
        </w:rPr>
      </w:pPr>
      <w:r w:rsidRPr="000232DD">
        <w:rPr>
          <w:rFonts w:ascii="GHEA Grapalat" w:eastAsia="Times New Roman" w:hAnsi="GHEA Grapalat" w:cs="Times New Roman"/>
          <w:color w:val="auto"/>
          <w:lang w:val="hy-AM"/>
        </w:rPr>
        <w:t xml:space="preserve">                </w:t>
      </w:r>
      <w:bookmarkStart w:id="508" w:name="_Toc59655561"/>
      <w:r w:rsidRPr="000232DD">
        <w:rPr>
          <w:rFonts w:ascii="GHEA Grapalat" w:eastAsia="Times New Roman" w:hAnsi="GHEA Grapalat" w:cs="Times New Roman"/>
          <w:noProof/>
          <w:color w:val="auto"/>
          <w14:ligatures w14:val="standardContextual"/>
        </w:rPr>
        <w:drawing>
          <wp:inline distT="0" distB="0" distL="0" distR="0" wp14:anchorId="6F7078B4" wp14:editId="48D37DD0">
            <wp:extent cx="3516923" cy="1957754"/>
            <wp:effectExtent l="0" t="0" r="7620" b="4445"/>
            <wp:docPr id="14" name="Chart 1">
              <a:extLst xmlns:a="http://schemas.openxmlformats.org/drawingml/2006/main">
                <a:ext uri="{FF2B5EF4-FFF2-40B4-BE49-F238E27FC236}">
                  <a16:creationId xmlns:a16="http://schemas.microsoft.com/office/drawing/2014/main" id="{D833BA7D-E95D-E23B-E8AA-A1DEA69AF6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p>
    <w:p w14:paraId="2E1E94C7" w14:textId="77777777" w:rsidR="00802FF2" w:rsidRPr="000232DD" w:rsidRDefault="00802FF2" w:rsidP="00082769">
      <w:pPr>
        <w:spacing w:before="40" w:after="60"/>
        <w:ind w:right="-22"/>
        <w:jc w:val="both"/>
        <w:rPr>
          <w:rFonts w:ascii="GHEA Grapalat" w:eastAsia="Times New Roman" w:hAnsi="GHEA Grapalat" w:cs="Times New Roman"/>
          <w:b/>
          <w:color w:val="auto"/>
          <w:sz w:val="24"/>
          <w:szCs w:val="24"/>
        </w:rPr>
      </w:pPr>
    </w:p>
    <w:p w14:paraId="001C4B2C" w14:textId="77777777" w:rsidR="00802FF2" w:rsidRPr="000232DD" w:rsidRDefault="00802FF2" w:rsidP="00082769">
      <w:pPr>
        <w:spacing w:before="40" w:after="60"/>
        <w:ind w:right="-22"/>
        <w:jc w:val="both"/>
        <w:rPr>
          <w:rFonts w:ascii="GHEA Grapalat" w:eastAsia="Times New Roman" w:hAnsi="GHEA Grapalat" w:cs="Times New Roman"/>
          <w:b/>
          <w:color w:val="auto"/>
          <w:sz w:val="24"/>
          <w:szCs w:val="24"/>
        </w:rPr>
      </w:pPr>
      <w:r w:rsidRPr="000232DD">
        <w:rPr>
          <w:rFonts w:ascii="GHEA Grapalat" w:eastAsia="Times New Roman" w:hAnsi="GHEA Grapalat" w:cs="Times New Roman"/>
          <w:b/>
          <w:color w:val="auto"/>
          <w:sz w:val="24"/>
          <w:szCs w:val="24"/>
        </w:rPr>
        <w:t>«ՎԵՈԼԻԱ ՋՈՒՐ» ՓԲԸ</w:t>
      </w:r>
      <w:bookmarkEnd w:id="508"/>
    </w:p>
    <w:p w14:paraId="587C831E" w14:textId="77777777" w:rsidR="00802FF2" w:rsidRPr="000232DD" w:rsidRDefault="00802FF2" w:rsidP="00082769">
      <w:pPr>
        <w:tabs>
          <w:tab w:val="left" w:pos="0"/>
        </w:tabs>
        <w:spacing w:after="0"/>
        <w:ind w:right="-22"/>
        <w:jc w:val="both"/>
        <w:rPr>
          <w:rFonts w:ascii="GHEA Grapalat" w:hAnsi="GHEA Grapalat"/>
          <w:bCs/>
          <w:color w:val="auto"/>
          <w:lang w:val="hy-AM"/>
        </w:rPr>
      </w:pPr>
      <w:r w:rsidRPr="000232DD">
        <w:rPr>
          <w:rFonts w:ascii="GHEA Grapalat" w:hAnsi="GHEA Grapalat"/>
          <w:bCs/>
          <w:color w:val="auto"/>
          <w:lang w:val="hy-AM"/>
        </w:rPr>
        <w:t>21.11.2016թ. ՀՀ կառավարության, «Վեոլիա Օ Կոմպանի Ժեներալ Դեզ Օ» կոմանդիտային բաժնետիրական ընկերության և «Վեոլիա Ջուր» ՓԲԸ-ի (այսուհետ` Ընկերություն) միջև կնքվել է «Երևան Ջուր», «Հայջրմուղկոյուղի», «Լոռի-ջրմուղկոյուղի», «Շիրակ-ջրմուղկոյուղի» և «Նոր Ակունք» փակ բաժնետիրական ընկերությունների կողմից օգտագործվող ու պահպանվող ջրային համակարգերի և այլ գույքի վարձակալության պայմանագիր` 15 տարի ժամկետով (Վարձակալական պայմանագիր):</w:t>
      </w:r>
    </w:p>
    <w:p w14:paraId="3BBEEF37" w14:textId="709F1ED4" w:rsidR="00802FF2" w:rsidRPr="000232DD" w:rsidRDefault="00802FF2" w:rsidP="00082769">
      <w:pPr>
        <w:tabs>
          <w:tab w:val="left" w:pos="0"/>
        </w:tabs>
        <w:spacing w:after="0"/>
        <w:ind w:right="-22"/>
        <w:jc w:val="both"/>
        <w:rPr>
          <w:rFonts w:ascii="GHEA Grapalat" w:eastAsia="Times New Roman" w:hAnsi="GHEA Grapalat" w:cs="Times New Roman"/>
          <w:color w:val="auto"/>
          <w:lang w:val="hy-AM"/>
        </w:rPr>
      </w:pPr>
      <w:r w:rsidRPr="000232DD">
        <w:rPr>
          <w:rFonts w:ascii="GHEA Grapalat" w:hAnsi="GHEA Grapalat"/>
          <w:bCs/>
          <w:color w:val="auto"/>
          <w:lang w:val="hy-AM"/>
        </w:rPr>
        <w:t>2025թ.-ի ֆինանսական հաշվետվությունների համաձայն՝ ընկերությունը շարունակում է մնալ շահութաբեր։ 2025թ.-ին ընկերության հասույթը կազմել է</w:t>
      </w:r>
      <w:r w:rsidR="00316A2D">
        <w:rPr>
          <w:rFonts w:ascii="GHEA Grapalat" w:hAnsi="GHEA Grapalat"/>
          <w:bCs/>
          <w:color w:val="auto"/>
          <w:lang w:val="hy-AM"/>
        </w:rPr>
        <w:t xml:space="preserve"> 32.</w:t>
      </w:r>
      <w:r w:rsidRPr="000232DD">
        <w:rPr>
          <w:rFonts w:ascii="GHEA Grapalat" w:hAnsi="GHEA Grapalat"/>
          <w:bCs/>
          <w:color w:val="auto"/>
          <w:lang w:val="hy-AM"/>
        </w:rPr>
        <w:t>7 մլրդ դրամ՝ 2024թ.-ի</w:t>
      </w:r>
      <w:r w:rsidR="00316A2D">
        <w:rPr>
          <w:rFonts w:ascii="GHEA Grapalat" w:hAnsi="GHEA Grapalat"/>
          <w:bCs/>
          <w:color w:val="auto"/>
          <w:lang w:val="hy-AM"/>
        </w:rPr>
        <w:t xml:space="preserve"> 31.</w:t>
      </w:r>
      <w:r w:rsidRPr="000232DD">
        <w:rPr>
          <w:rFonts w:ascii="GHEA Grapalat" w:hAnsi="GHEA Grapalat"/>
          <w:bCs/>
          <w:color w:val="auto"/>
          <w:lang w:val="hy-AM"/>
        </w:rPr>
        <w:t>4 մլրդ դրամի դիմաց (2024թ.-ին բաժանորդների թիվն ավելացել է</w:t>
      </w:r>
      <w:r w:rsidR="00316A2D">
        <w:rPr>
          <w:rFonts w:ascii="GHEA Grapalat" w:hAnsi="GHEA Grapalat"/>
          <w:bCs/>
          <w:color w:val="auto"/>
          <w:lang w:val="hy-AM"/>
        </w:rPr>
        <w:t xml:space="preserve"> 9.</w:t>
      </w:r>
      <w:r w:rsidRPr="000232DD">
        <w:rPr>
          <w:rFonts w:ascii="GHEA Grapalat" w:hAnsi="GHEA Grapalat"/>
          <w:bCs/>
          <w:color w:val="auto"/>
          <w:lang w:val="hy-AM"/>
        </w:rPr>
        <w:t>867-ով, իսկ 2025թ.-ին՝</w:t>
      </w:r>
      <w:r w:rsidR="00316A2D">
        <w:rPr>
          <w:rFonts w:ascii="GHEA Grapalat" w:hAnsi="GHEA Grapalat"/>
          <w:bCs/>
          <w:color w:val="auto"/>
          <w:lang w:val="hy-AM"/>
        </w:rPr>
        <w:t xml:space="preserve"> 16.</w:t>
      </w:r>
      <w:r w:rsidRPr="000232DD">
        <w:rPr>
          <w:rFonts w:ascii="GHEA Grapalat" w:hAnsi="GHEA Grapalat"/>
          <w:bCs/>
          <w:color w:val="auto"/>
          <w:lang w:val="hy-AM"/>
        </w:rPr>
        <w:t>870-ով), իսկ զուտ շահույթը՝ շուրջ</w:t>
      </w:r>
      <w:r w:rsidR="00316A2D">
        <w:rPr>
          <w:rFonts w:ascii="GHEA Grapalat" w:hAnsi="GHEA Grapalat"/>
          <w:bCs/>
          <w:color w:val="auto"/>
          <w:lang w:val="hy-AM"/>
        </w:rPr>
        <w:t xml:space="preserve"> 6.</w:t>
      </w:r>
      <w:r w:rsidRPr="000232DD">
        <w:rPr>
          <w:rFonts w:ascii="GHEA Grapalat" w:hAnsi="GHEA Grapalat"/>
          <w:bCs/>
          <w:color w:val="auto"/>
          <w:lang w:val="hy-AM"/>
        </w:rPr>
        <w:t>4 մլրդ դրամ՝ նախորդ տարվա</w:t>
      </w:r>
      <w:r w:rsidR="00316A2D">
        <w:rPr>
          <w:rFonts w:ascii="GHEA Grapalat" w:hAnsi="GHEA Grapalat"/>
          <w:bCs/>
          <w:color w:val="auto"/>
          <w:lang w:val="hy-AM"/>
        </w:rPr>
        <w:t xml:space="preserve"> 2.</w:t>
      </w:r>
      <w:r w:rsidRPr="000232DD">
        <w:rPr>
          <w:rFonts w:ascii="GHEA Grapalat" w:hAnsi="GHEA Grapalat"/>
          <w:bCs/>
          <w:color w:val="auto"/>
          <w:lang w:val="hy-AM"/>
        </w:rPr>
        <w:t>4 մլրդ դրամի դիմաց։ Միաժամանակ, գործառնական շահույթը էականորեն չի փոխվել՝ կազմելով շուրջ</w:t>
      </w:r>
      <w:r w:rsidR="00316A2D">
        <w:rPr>
          <w:rFonts w:ascii="GHEA Grapalat" w:hAnsi="GHEA Grapalat"/>
          <w:bCs/>
          <w:color w:val="auto"/>
          <w:lang w:val="hy-AM"/>
        </w:rPr>
        <w:t xml:space="preserve"> 6.</w:t>
      </w:r>
      <w:r w:rsidRPr="000232DD">
        <w:rPr>
          <w:rFonts w:ascii="GHEA Grapalat" w:hAnsi="GHEA Grapalat"/>
          <w:bCs/>
          <w:color w:val="auto"/>
          <w:lang w:val="hy-AM"/>
        </w:rPr>
        <w:t>7 մլրդ դրամ, հետևաբար զուտ շահույթի զգալի աճը պայմանավորված է ոչ թե հիմնական գործունեության շահութաբերության համադրելի բարելավմամբ, այլ ֆինանսական եկամուտների աճով</w:t>
      </w:r>
      <w:r w:rsidRPr="000232DD">
        <w:rPr>
          <w:rFonts w:ascii="GHEA Grapalat" w:eastAsia="Times New Roman" w:hAnsi="GHEA Grapalat" w:cs="Times New Roman"/>
          <w:color w:val="auto"/>
          <w:lang w:val="hy-AM"/>
        </w:rPr>
        <w:t>։</w:t>
      </w:r>
    </w:p>
    <w:p w14:paraId="26EBE6A0" w14:textId="5FFF9F84"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Դեբիտորական պարտքերի մասով պատկերը դրական չէ։ 2025թ.-ի վերջի դրությամբ առևտրային և այլ դեբիտորական պարտքերի համ</w:t>
      </w:r>
      <w:r w:rsidR="00316A2D">
        <w:rPr>
          <w:rFonts w:ascii="GHEA Grapalat" w:eastAsia="Times New Roman" w:hAnsi="GHEA Grapalat" w:cs="Times New Roman"/>
          <w:color w:val="auto"/>
          <w:lang w:val="hy-AM"/>
        </w:rPr>
        <w:t>ախառն գումարը կազմել է շուրջ 13.</w:t>
      </w:r>
      <w:r w:rsidRPr="000232DD">
        <w:rPr>
          <w:rFonts w:ascii="GHEA Grapalat" w:eastAsia="Times New Roman" w:hAnsi="GHEA Grapalat" w:cs="Times New Roman"/>
          <w:color w:val="auto"/>
          <w:lang w:val="hy-AM"/>
        </w:rPr>
        <w:t>8 մլրդ դրամ, իսկ ավելի քան 365</w:t>
      </w:r>
      <w:r w:rsidR="00316A2D">
        <w:rPr>
          <w:rFonts w:ascii="GHEA Grapalat" w:eastAsia="Times New Roman" w:hAnsi="GHEA Grapalat" w:cs="Times New Roman"/>
          <w:color w:val="auto"/>
          <w:lang w:val="hy-AM"/>
        </w:rPr>
        <w:t xml:space="preserve"> օր ժամկետանց պարտքերը՝ շուրջ 5.</w:t>
      </w:r>
      <w:r w:rsidRPr="000232DD">
        <w:rPr>
          <w:rFonts w:ascii="GHEA Grapalat" w:eastAsia="Times New Roman" w:hAnsi="GHEA Grapalat" w:cs="Times New Roman"/>
          <w:color w:val="auto"/>
          <w:lang w:val="hy-AM"/>
        </w:rPr>
        <w:t>6 մլրդ դրամ կամ համախառն պարտքերի շուրջ 41%-ը։ Համեմատության համար՝ 2024թ.-ի վերջում ավելի քան 365 օր ժամկե</w:t>
      </w:r>
      <w:r w:rsidR="00316A2D">
        <w:rPr>
          <w:rFonts w:ascii="GHEA Grapalat" w:eastAsia="Times New Roman" w:hAnsi="GHEA Grapalat" w:cs="Times New Roman"/>
          <w:color w:val="auto"/>
          <w:lang w:val="hy-AM"/>
        </w:rPr>
        <w:t>տանց պարտքերը կազմել են շուրջ 4.</w:t>
      </w:r>
      <w:r w:rsidRPr="000232DD">
        <w:rPr>
          <w:rFonts w:ascii="GHEA Grapalat" w:eastAsia="Times New Roman" w:hAnsi="GHEA Grapalat" w:cs="Times New Roman"/>
          <w:color w:val="auto"/>
          <w:lang w:val="hy-AM"/>
        </w:rPr>
        <w:t xml:space="preserve">9 մլրդ դրամ։ Միաժամանակ, դրանց գծով ձևավորված արժեզրկման պահուստը </w:t>
      </w:r>
      <w:r w:rsidR="00316A2D">
        <w:rPr>
          <w:rFonts w:ascii="GHEA Grapalat" w:eastAsia="Times New Roman" w:hAnsi="GHEA Grapalat" w:cs="Times New Roman"/>
          <w:color w:val="auto"/>
          <w:lang w:val="hy-AM"/>
        </w:rPr>
        <w:t>մնում է էական՝ շուրջ 4.</w:t>
      </w:r>
      <w:r w:rsidRPr="000232DD">
        <w:rPr>
          <w:rFonts w:ascii="GHEA Grapalat" w:eastAsia="Times New Roman" w:hAnsi="GHEA Grapalat" w:cs="Times New Roman"/>
          <w:color w:val="auto"/>
          <w:lang w:val="hy-AM"/>
        </w:rPr>
        <w:t>4 մլրդ դրամ։</w:t>
      </w:r>
    </w:p>
    <w:p w14:paraId="42FB5334"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Վարձակալական պայմանագրի շրջանակներում առկա են մի շարք նշանակալի պայմանական պարտավորություններ, այդ թվում.</w:t>
      </w:r>
    </w:p>
    <w:p w14:paraId="3EB3CBE1" w14:textId="77777777" w:rsidR="00802FF2" w:rsidRPr="000232DD" w:rsidRDefault="00802FF2" w:rsidP="00082769">
      <w:pPr>
        <w:numPr>
          <w:ilvl w:val="0"/>
          <w:numId w:val="15"/>
        </w:numPr>
        <w:tabs>
          <w:tab w:val="left" w:pos="284"/>
        </w:tabs>
        <w:spacing w:before="40" w:after="0" w:line="312" w:lineRule="auto"/>
        <w:ind w:left="0" w:right="-22" w:firstLine="0"/>
        <w:contextualSpacing/>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Վարձակալի կողմից պարտադիր կապիտալ աշխատանքների ծրագրի շրջանակից դուրս այլ աշխատանքների իրականացման դեպքում Վարձատուի կողմից համապատասխան գումարի փոխհատուցում:</w:t>
      </w:r>
    </w:p>
    <w:p w14:paraId="12A1565A" w14:textId="77777777" w:rsidR="00802FF2" w:rsidRPr="000232DD" w:rsidRDefault="00802FF2" w:rsidP="00082769">
      <w:pPr>
        <w:numPr>
          <w:ilvl w:val="0"/>
          <w:numId w:val="15"/>
        </w:numPr>
        <w:tabs>
          <w:tab w:val="left" w:pos="284"/>
        </w:tabs>
        <w:spacing w:before="40" w:after="0" w:line="312" w:lineRule="auto"/>
        <w:ind w:left="0" w:right="-22"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lang w:val="hy-AM"/>
        </w:rPr>
        <w:t xml:space="preserve">Վարձակալական պայմանագիրը պարունակում է վերաբանակցությունների և վաղաժամկետ դադարեցման բազմաթիվ դեպքեր։ </w:t>
      </w:r>
      <w:r w:rsidRPr="000232DD">
        <w:rPr>
          <w:rFonts w:ascii="GHEA Grapalat" w:eastAsia="Times New Roman" w:hAnsi="GHEA Grapalat" w:cs="Times New Roman"/>
          <w:color w:val="auto"/>
        </w:rPr>
        <w:t>Առաջիկայում Վարձակալական պայմանագրի վաղաժամկետ դադարեցման ռիսկը համարվել է ցածր։</w:t>
      </w:r>
    </w:p>
    <w:p w14:paraId="527A657B" w14:textId="74224C71" w:rsidR="00802FF2" w:rsidRPr="000232DD" w:rsidRDefault="00802FF2" w:rsidP="00082769">
      <w:pPr>
        <w:numPr>
          <w:ilvl w:val="0"/>
          <w:numId w:val="15"/>
        </w:numPr>
        <w:tabs>
          <w:tab w:val="left" w:pos="284"/>
        </w:tabs>
        <w:spacing w:before="40" w:after="0" w:line="312" w:lineRule="auto"/>
        <w:ind w:left="0" w:right="-22"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Պայմանագրի վաղաժամ դադարեցման գծով պայմանական պարտավորությունը մասնակի չափելի է և վերագնահատվել է պայմանագրի վերջին փոփոխությունից հետո՝ 44</w:t>
      </w:r>
      <w:r w:rsidR="00316A2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 xml:space="preserve">8 մլրդ դրամ՝ միջանկյալ սցենարի դեպքում, որտեղ նման վճարումը չի կարող գերազանցել ապագա վարձակալական վճարների հանրագումարը: </w:t>
      </w:r>
    </w:p>
    <w:p w14:paraId="3C93EEA9"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Ենթակառուցվածքները հնացող են և մաշված: Վարձակալի կողմից, պայմանագրի պայմաններին համաձայն, 2018-2023թթ.-ի համար ներկայացվել է Վարձատուի կողմից իրականացվելիք հնգամյա ներդրումային ծրագիր, որը լիովին չի իրականացվել։ ՀՀ կառավարության կողմից կապիտալ ներդրումների պարտավորությունները չկատարելը թուլացնում է ենթակառուցվածքը և դանդաղեցնում արդիականացումը։ Ի լրումն դրան՝ Երևան քաղաքում</w:t>
      </w:r>
      <w:r w:rsidRPr="000232D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 xml:space="preserve"> ակտիվ կառուցապատումներով պայմանավորված</w:t>
      </w:r>
      <w:r w:rsidRPr="000232D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 xml:space="preserve"> ավելացել է ջրապահանջարկը, և ընկերությունը ներկայացրել է իր մտահոգությունն առ այն, որ առկա պետական ներդրումային քաղաքականության պայմաններում առաջիկայում խնդրահարույց կլինի լրացուցիչ ջրապահանջարկի ապահովումը։ Այս աշխատանքները ֆինանսավորվելու են պետական բյուջեի միջոցներից, այդպիսով՝ դրանք չեն հանդիսանում պայմանական պարտավորություններ, բայց այս տեղեկատվության առկայությունը ավելի ամբողջական պատկերացում է տալիս այս նախագծի իրական ֆիսկալ ազդեցության մասին:</w:t>
      </w:r>
    </w:p>
    <w:p w14:paraId="12378E1B" w14:textId="324A84D0"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Միաժամանակ, 2025</w:t>
      </w:r>
      <w:r w:rsidRPr="000232DD">
        <w:rPr>
          <w:rFonts w:ascii="GHEA Grapalat" w:eastAsia="Times New Roman" w:hAnsi="GHEA Grapalat" w:cs="Times New Roman"/>
          <w:color w:val="auto"/>
          <w:lang w:val="hy-AM"/>
        </w:rPr>
        <w:t xml:space="preserve">թ.-ին </w:t>
      </w:r>
      <w:r w:rsidRPr="000232DD">
        <w:rPr>
          <w:rFonts w:ascii="GHEA Grapalat" w:eastAsia="Times New Roman" w:hAnsi="GHEA Grapalat" w:cs="Times New Roman"/>
          <w:color w:val="auto"/>
        </w:rPr>
        <w:t>փոփոխվել է նաև Վարձակալի կողմից իրականացվելիք պարտադիր շինարարական և արդիականացման աշխատանքների ծրագիրը։ 2025</w:t>
      </w:r>
      <w:r w:rsidRPr="000232DD">
        <w:rPr>
          <w:rFonts w:ascii="GHEA Grapalat" w:eastAsia="Times New Roman" w:hAnsi="GHEA Grapalat" w:cs="Times New Roman"/>
          <w:color w:val="auto"/>
          <w:lang w:val="hy-AM"/>
        </w:rPr>
        <w:t xml:space="preserve">թ.-ի </w:t>
      </w:r>
      <w:r w:rsidRPr="000232DD">
        <w:rPr>
          <w:rFonts w:ascii="GHEA Grapalat" w:eastAsia="Times New Roman" w:hAnsi="GHEA Grapalat" w:cs="Times New Roman"/>
          <w:color w:val="auto"/>
        </w:rPr>
        <w:t>հուլիսի 16-ի համաձայնագրով</w:t>
      </w:r>
      <w:r w:rsidRPr="000232D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 xml:space="preserve"> ծրագրի ամբողջ ժամանակահատվածի համար նախատեսված գումարը 37</w:t>
      </w:r>
      <w:r w:rsidR="00316A2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6 մլրդ դրամից ավելացվել է մինչև շուրջ 40</w:t>
      </w:r>
      <w:r w:rsidR="00316A2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9 մլրդ դրամ։ 2025</w:t>
      </w:r>
      <w:r w:rsidRPr="000232DD">
        <w:rPr>
          <w:rFonts w:ascii="GHEA Grapalat" w:eastAsia="Times New Roman" w:hAnsi="GHEA Grapalat" w:cs="Times New Roman"/>
          <w:color w:val="auto"/>
          <w:lang w:val="hy-AM"/>
        </w:rPr>
        <w:t xml:space="preserve">թ.-ի </w:t>
      </w:r>
      <w:r w:rsidRPr="000232DD">
        <w:rPr>
          <w:rFonts w:ascii="GHEA Grapalat" w:eastAsia="Times New Roman" w:hAnsi="GHEA Grapalat" w:cs="Times New Roman"/>
          <w:color w:val="auto"/>
        </w:rPr>
        <w:t>ֆինանսական հաշվետվություններում շինարարական ծառայություններից ճանաչված հասույթը կազմել է շուրջ 5</w:t>
      </w:r>
      <w:r w:rsidR="00316A2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1 մլրդ դրամ՝ 2024</w:t>
      </w:r>
      <w:r w:rsidRPr="000232DD">
        <w:rPr>
          <w:rFonts w:ascii="GHEA Grapalat" w:eastAsia="Times New Roman" w:hAnsi="GHEA Grapalat" w:cs="Times New Roman"/>
          <w:color w:val="auto"/>
          <w:lang w:val="hy-AM"/>
        </w:rPr>
        <w:t xml:space="preserve">թ.-ի </w:t>
      </w:r>
      <w:r w:rsidRPr="000232DD">
        <w:rPr>
          <w:rFonts w:ascii="GHEA Grapalat" w:eastAsia="Times New Roman" w:hAnsi="GHEA Grapalat" w:cs="Times New Roman"/>
          <w:color w:val="auto"/>
        </w:rPr>
        <w:t>4</w:t>
      </w:r>
      <w:r w:rsidR="00316A2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4 մլրդ դրամի դիմաց, ինչը վկայում է պարտադիր աշխատանքների շարունակական իրականացման մասին։</w:t>
      </w:r>
    </w:p>
    <w:p w14:paraId="78536AEF" w14:textId="51CA347C"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2025</w:t>
      </w:r>
      <w:r w:rsidRPr="000232DD">
        <w:rPr>
          <w:rFonts w:ascii="GHEA Grapalat" w:eastAsia="Times New Roman" w:hAnsi="GHEA Grapalat" w:cs="Times New Roman"/>
          <w:color w:val="auto"/>
          <w:lang w:val="hy-AM"/>
        </w:rPr>
        <w:t xml:space="preserve">թ.-ին </w:t>
      </w:r>
      <w:r w:rsidRPr="000232DD">
        <w:rPr>
          <w:rFonts w:ascii="GHEA Grapalat" w:eastAsia="Times New Roman" w:hAnsi="GHEA Grapalat" w:cs="Times New Roman"/>
          <w:color w:val="auto"/>
        </w:rPr>
        <w:t>պայմանագրի փոփոխությամբ վերանայվել է նաև կոնցեսիոն վճարումների ժամանակացույցը։ Փոփոխության արդյունքում ընկերության հաշվեկշռում կոնցեսիոն պարտավորության արժեքը նվազել է 4</w:t>
      </w:r>
      <w:r w:rsidR="00316A2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5 մլրդ դրամով, և նույն չափով ընկերությունը ճանաչել է ֆինանսական եկամուտ։ Պետության տեսանկյունից փոփոխությունը նշանակում է ապագա կոնցեսիոն մուտքերի ներկա արժեքի նվազում և, հետևաբար, կարող է դիտարկվել որպես ֆիսկալ ռիսկի նյութականացում։</w:t>
      </w:r>
      <w:bookmarkStart w:id="509" w:name="_Toc59655564"/>
    </w:p>
    <w:p w14:paraId="333A5DD1" w14:textId="3240F0A0"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Հարկաբյուջետային ռիսկի կարգավիճակը նախորդ տարվա համեմատ նպատակահարմար է թողնել անփոփոխ, սակայն դրա հիմքում ընկած գործոնները որոշակիորեն փոխվել են։ Ընկերությունը մնում է շահութաբեր և</w:t>
      </w:r>
      <w:r w:rsidRPr="000232D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 xml:space="preserve"> ընդհանուր առմամբ</w:t>
      </w:r>
      <w:r w:rsidRPr="000232D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 xml:space="preserve"> ֆինանսապես կայուն, ինչը նվազեցնում է օպերատորի ֆինանսական դժվարությունների հետևանքով պետական միջամտության անմիջական ռիսկը։ Միևնույն ժամանակ, երկարաժամկետ ժամկետանց դեբիտորական պարտքերի աճը, ենթակառուցվածքային ներդրումների շարունակվող անհրաժեշտությունը և 2025</w:t>
      </w:r>
      <w:r w:rsidRPr="000232DD">
        <w:rPr>
          <w:rFonts w:ascii="GHEA Grapalat" w:eastAsia="Times New Roman" w:hAnsi="GHEA Grapalat" w:cs="Times New Roman"/>
          <w:color w:val="auto"/>
          <w:lang w:val="hy-AM"/>
        </w:rPr>
        <w:t xml:space="preserve">թ.-ին </w:t>
      </w:r>
      <w:r w:rsidRPr="000232DD">
        <w:rPr>
          <w:rFonts w:ascii="GHEA Grapalat" w:eastAsia="Times New Roman" w:hAnsi="GHEA Grapalat" w:cs="Times New Roman"/>
          <w:color w:val="auto"/>
        </w:rPr>
        <w:t>կոնցեսիոն վճարումների ժամանակացույցի փոփոխությամբ արդեն իսկ նյութականացած ֆիսկալ ազդեցությունը թույլ չեն տալիս գնահատել ռիսկը</w:t>
      </w:r>
      <w:r w:rsidR="0031057C">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 xml:space="preserve"> որպես նվազած։</w:t>
      </w:r>
    </w:p>
    <w:p w14:paraId="612DF2AA" w14:textId="77777777" w:rsidR="00802FF2" w:rsidRPr="000232DD" w:rsidRDefault="00802FF2" w:rsidP="00082769">
      <w:pPr>
        <w:spacing w:before="40" w:after="60"/>
        <w:ind w:right="-22"/>
        <w:jc w:val="both"/>
        <w:rPr>
          <w:rFonts w:ascii="GHEA Grapalat" w:eastAsia="Times New Roman" w:hAnsi="GHEA Grapalat" w:cs="Times New Roman"/>
          <w:color w:val="auto"/>
        </w:rPr>
      </w:pPr>
    </w:p>
    <w:p w14:paraId="3AC3587F" w14:textId="77777777" w:rsidR="00802FF2" w:rsidRPr="000232DD" w:rsidRDefault="00802FF2" w:rsidP="00082769">
      <w:pPr>
        <w:spacing w:before="40" w:after="60"/>
        <w:ind w:right="-22"/>
        <w:jc w:val="both"/>
        <w:rPr>
          <w:rFonts w:ascii="GHEA Grapalat" w:eastAsia="Times New Roman" w:hAnsi="GHEA Grapalat" w:cs="Times New Roman"/>
          <w:b/>
          <w:color w:val="auto"/>
          <w:sz w:val="24"/>
          <w:szCs w:val="24"/>
        </w:rPr>
      </w:pPr>
      <w:r w:rsidRPr="000232DD">
        <w:rPr>
          <w:rFonts w:ascii="GHEA Grapalat" w:eastAsia="Times New Roman" w:hAnsi="GHEA Grapalat" w:cs="Times New Roman"/>
          <w:b/>
          <w:color w:val="auto"/>
          <w:sz w:val="24"/>
          <w:szCs w:val="24"/>
        </w:rPr>
        <w:t>«ԱՐՄԵՆԻԱ ՄԻՋԱԶԳԱՅԻՆ ՕԴԱՆԱՎԱԿԱՅԱՆՆԵՐ» ՓԲԸ</w:t>
      </w:r>
      <w:bookmarkEnd w:id="509"/>
    </w:p>
    <w:p w14:paraId="7326D9D3"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Կոնցեսիոն պայմանագիրը գործում է 2002թ.-ից՝ Երևանի «Զվարթնոց» օդանավակայանի համար, իսկ 2007թ.-ից ներառում է նաև Գյումրու «Շիրակ» օդանավակայանը: Մայր ընկերությունը՝ «Կորպորասիոն Ամերիկա Ս.Ա.»-ը, աշխարհի օդանավակայանների խոշորագույն օպերատորներից է, որը ցուցակված է Նյու Յորքի ֆոնդային բորսայում:</w:t>
      </w:r>
    </w:p>
    <w:p w14:paraId="347F5DC0" w14:textId="5F728CCF"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ՀՀ-ի դուստր ձեռնարկությունը շարունակում է լինել խմբի ամենաշահութաբերներից մեկը: Համավարակի ճգնաժամից հետո ֆինանսական վիճակը վերականգնվել է, և 2022թ.-ին «ԱՄՕ»-ն արձանագրել է 2019թ</w:t>
      </w:r>
      <w:r w:rsidRPr="000232DD">
        <w:rPr>
          <w:rFonts w:ascii="Cambria Math" w:eastAsia="Times New Roman" w:hAnsi="Cambria Math" w:cs="Cambria Math"/>
          <w:color w:val="auto"/>
        </w:rPr>
        <w:t>․</w:t>
      </w:r>
      <w:r w:rsidRPr="000232DD">
        <w:rPr>
          <w:rFonts w:ascii="GHEA Grapalat" w:eastAsia="Times New Roman" w:hAnsi="GHEA Grapalat" w:cs="Times New Roman"/>
          <w:color w:val="auto"/>
        </w:rPr>
        <w:t>-ի ցուցանիշները 50% գերազանցող զուտ շահույթի մակարդակ։ Ելնելով ՀՀ ուղևորափոխադրումների վիճակագրությունից՝ ոլորտի վերականգնումը գրանցվել է 2021</w:t>
      </w:r>
      <w:r w:rsidRPr="000232DD">
        <w:rPr>
          <w:rFonts w:ascii="GHEA Grapalat" w:eastAsia="Times New Roman" w:hAnsi="GHEA Grapalat" w:cs="Times New Roman"/>
          <w:color w:val="auto"/>
          <w:lang w:val="hy-AM"/>
        </w:rPr>
        <w:t>թ</w:t>
      </w:r>
      <w:r w:rsidRPr="000232DD">
        <w:rPr>
          <w:rFonts w:ascii="GHEA Grapalat" w:eastAsia="Times New Roman" w:hAnsi="GHEA Grapalat" w:cs="Times New Roman"/>
          <w:color w:val="auto"/>
        </w:rPr>
        <w:t>.-ի ընթացքում և թափ է առել 2022թ.-ին՝ շարունակվելով 2023թ.-ին, երբ արձանագրված ծավալները գերազանցել են նախահամավարակային մակարդակը: Ռուս-ուկրաինական ճգնաժամով պայմանավորված՝ ուղևորահոսքի մակարդակը 2024թ</w:t>
      </w:r>
      <w:r w:rsidRPr="000232DD">
        <w:rPr>
          <w:rFonts w:ascii="Cambria Math" w:eastAsia="Times New Roman" w:hAnsi="Cambria Math" w:cs="Cambria Math"/>
          <w:color w:val="auto"/>
        </w:rPr>
        <w:t>․</w:t>
      </w:r>
      <w:r w:rsidRPr="000232DD">
        <w:rPr>
          <w:rFonts w:ascii="GHEA Grapalat" w:eastAsia="Times New Roman" w:hAnsi="GHEA Grapalat" w:cs="Times New Roman"/>
          <w:color w:val="auto"/>
        </w:rPr>
        <w:t>-ին պահպանվել է, սակայն եկամուտների աճ նախորդ տարվա համեմատ չի արձանագրվել, ֆիզիկական ծավալներով ուղևորահոսքը չնչին նվազել է (0.4%), իսկ բեռնափոխադրումներն ավելացել են 24%-ով: 2025թ.-ի արդյունքներով՝ ուղևորափոխադրումները կրկին աճել են 13</w:t>
      </w:r>
      <w:r w:rsidR="00316A2D">
        <w:rPr>
          <w:rFonts w:ascii="GHEA Grapalat" w:eastAsia="Times New Roman" w:hAnsi="GHEA Grapalat" w:cs="Times New Roman"/>
          <w:color w:val="auto"/>
        </w:rPr>
        <w:t>,</w:t>
      </w:r>
      <w:r w:rsidRPr="000232DD">
        <w:rPr>
          <w:rFonts w:ascii="GHEA Grapalat" w:eastAsia="Times New Roman" w:hAnsi="GHEA Grapalat" w:cs="Times New Roman"/>
          <w:color w:val="auto"/>
        </w:rPr>
        <w:t xml:space="preserve">8%-ով, իսկ բեռնափոխադրումները նվազել 3.4%-ով նախորդ տարվա նկատմամբ։ </w:t>
      </w:r>
    </w:p>
    <w:p w14:paraId="153C7062" w14:textId="4997866E"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2023 և 2024 թվականների զուտ շահույթի մարժան կազմում է 25%՝ ապահովելով տարեկան շահույթ շուրջ 63 մլն ԱՄՆ դոլարի չափով, 2025թ.-ին շահույթը աճել է մինչև 78</w:t>
      </w:r>
      <w:r w:rsidR="00316A2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6 մլն ԱՄՆ դոլար (մարժան՝ 26.4%): Այդպիսով՝ Հայաստանը շարունակում է լինել խմբի ամենաշահութաբեր սեգմենտներից մեկը։</w:t>
      </w:r>
    </w:p>
    <w:p w14:paraId="4AB02D14"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 xml:space="preserve">2026թ.-ի հունվարին կառավարության և «Կորպորասիոն Ամերիկա Ս.Ա.» միջև ստորագրվել է պայմանագրի փոփոխություն, որի արդյունքներով պայմանագրի ժամկետը երկարաձգվել է 35 տարով (մինչև 2067թ.-ի ավարտ), վերաձևակերպվել են ներքին շահութաբերության թիրախային մակարդակին վերաբերող դրույթները և սահմանվել է 425 մլն դոլար ներդրումային պարտավորություն «ԱՄՕ»-ի համար։ </w:t>
      </w:r>
    </w:p>
    <w:p w14:paraId="63BE2B0F"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 xml:space="preserve">Փոփոխությամբ նաև ամրագրվել է ուղևորահոսքի մակարդակի պահպանման երաշխիք, որը ենթադրում է երկու իրար հաջորդող տարիներում տարեկան </w:t>
      </w:r>
      <w:r w:rsidRPr="005A5E0C">
        <w:rPr>
          <w:rFonts w:ascii="GHEA Grapalat" w:eastAsia="Times New Roman" w:hAnsi="GHEA Grapalat" w:cs="Times New Roman"/>
          <w:color w:val="auto"/>
        </w:rPr>
        <w:t>4.000.000</w:t>
      </w:r>
      <w:r w:rsidRPr="000232DD">
        <w:rPr>
          <w:rFonts w:ascii="GHEA Grapalat" w:eastAsia="Times New Roman" w:hAnsi="GHEA Grapalat" w:cs="Times New Roman"/>
          <w:color w:val="auto"/>
        </w:rPr>
        <w:t xml:space="preserve"> ուղևորահոսքի ծավալից նվազման պարագայում փոխհատուցում կամ սակագների բարձրացման, կամ ժամկետի երկարաձգման եղանակով։ Փոփոխությամբ նաև հստակեցվել է պայմանագրի վաղաժամկետ դադարեցման վճարի հաշվարկման կարգը։  </w:t>
      </w:r>
    </w:p>
    <w:p w14:paraId="1186D3A4"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 xml:space="preserve">Հաշվի առնելով ընկերության բարձր շահութաբերությունը՝ պայմանագրի վաղաժամ դադարեցման պայմանական պարտավորությունը և ընկերության բիզնես ռիսկը համապատասխանաբար գնահատվում </w:t>
      </w:r>
      <w:r w:rsidRPr="000232DD">
        <w:rPr>
          <w:rFonts w:ascii="GHEA Grapalat" w:eastAsia="Times New Roman" w:hAnsi="GHEA Grapalat" w:cs="Times New Roman"/>
          <w:color w:val="auto"/>
          <w:lang w:val="hy-AM"/>
        </w:rPr>
        <w:t>ե</w:t>
      </w:r>
      <w:r w:rsidRPr="000232DD">
        <w:rPr>
          <w:rFonts w:ascii="GHEA Grapalat" w:eastAsia="Times New Roman" w:hAnsi="GHEA Grapalat" w:cs="Times New Roman"/>
          <w:color w:val="auto"/>
        </w:rPr>
        <w:t>ն ցածր, սակայն աշխարհաքաղաքական ճգնաժամով պայմանավորված</w:t>
      </w:r>
      <w:r w:rsidRPr="000232D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 xml:space="preserve"> ոլորտը դրսևորում է չափազանց տատանողական վարքագիծ՝ ունենալով եզակիորեն շահութաբեր 2022-2025 թվականներ, որոնք</w:t>
      </w:r>
      <w:r w:rsidRPr="000232D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 xml:space="preserve"> սակայն</w:t>
      </w:r>
      <w:r w:rsidRPr="000232DD">
        <w:rPr>
          <w:rFonts w:ascii="GHEA Grapalat" w:eastAsia="Times New Roman" w:hAnsi="GHEA Grapalat" w:cs="Times New Roman"/>
          <w:color w:val="auto"/>
          <w:lang w:val="hy-AM"/>
        </w:rPr>
        <w:t>,</w:t>
      </w:r>
      <w:r w:rsidRPr="000232DD">
        <w:rPr>
          <w:rFonts w:ascii="GHEA Grapalat" w:eastAsia="Times New Roman" w:hAnsi="GHEA Grapalat" w:cs="Times New Roman"/>
          <w:color w:val="auto"/>
        </w:rPr>
        <w:t xml:space="preserve"> կարող են կայուն չլինել։ </w:t>
      </w:r>
    </w:p>
    <w:p w14:paraId="7C71F159"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Ընկերությունը 2025թ.-ի ավարտին չուներ վարկային պարտավորություններ և ուներ կուտակված դրամական միջոցներ, սակայն նոր ներդրումային ծրագրի իրականացման հետ կապված վարկերի ներգրավման հավանականությունը բարձրացել է։</w:t>
      </w:r>
    </w:p>
    <w:p w14:paraId="3A44DB11"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Ֆիսկալ ռիսկի կարգավիճակը գնահատվել է՝ հաշվի առնելով «Զվարթնոց» օդանավակայանի ընդլայնման հավակնոտ ծրագիրը և դրա հիմքում դրված ուղևորահոսքի ենթադրությունը, որը հիմնվել է նախորդ տարիների արտասովոր ցուցանիշների վրա և, մյուս կողմից, այդ ցուցանիշների կայունության անորոշությունը միջնաժամկետ և երկարաժամկետ հեռանկարում, ինչը կարող է հագեցնել ՀՀ-ի համար պայմանական պարտավորությունների։ Այս ՊՄԳ-ի հարկաբյուջետային ռիսկի կարգավիճակը գնահատվում է «միջին»:</w:t>
      </w:r>
    </w:p>
    <w:p w14:paraId="7E94FF34" w14:textId="77777777" w:rsidR="00802FF2" w:rsidRPr="000232DD" w:rsidRDefault="00802FF2" w:rsidP="00082769">
      <w:pPr>
        <w:spacing w:after="0"/>
        <w:ind w:right="-22"/>
        <w:jc w:val="both"/>
        <w:rPr>
          <w:rFonts w:ascii="GHEA Grapalat" w:eastAsia="Times New Roman" w:hAnsi="GHEA Grapalat" w:cs="Times New Roman"/>
          <w:color w:val="auto"/>
        </w:rPr>
      </w:pPr>
    </w:p>
    <w:p w14:paraId="350F5A8A" w14:textId="77777777" w:rsidR="00802FF2" w:rsidRPr="000232DD" w:rsidRDefault="00802FF2" w:rsidP="00082769">
      <w:pPr>
        <w:spacing w:before="40" w:after="60" w:line="312" w:lineRule="auto"/>
        <w:ind w:right="-22"/>
        <w:jc w:val="both"/>
        <w:rPr>
          <w:rFonts w:ascii="GHEA Grapalat" w:eastAsia="Times New Roman" w:hAnsi="GHEA Grapalat" w:cs="Times New Roman"/>
          <w:b/>
          <w:color w:val="auto"/>
          <w:sz w:val="24"/>
          <w:szCs w:val="24"/>
        </w:rPr>
      </w:pPr>
      <w:r w:rsidRPr="000232DD">
        <w:rPr>
          <w:rFonts w:ascii="GHEA Grapalat" w:eastAsia="Times New Roman" w:hAnsi="GHEA Grapalat" w:cs="Times New Roman"/>
          <w:b/>
          <w:color w:val="auto"/>
          <w:sz w:val="24"/>
          <w:szCs w:val="24"/>
        </w:rPr>
        <w:t>«ՔՈՆԹՈՒՐԳԼՈԲԱԼ ՀԻԴՐՈ ԿԱՍԿԱԴ» ՓԲԸ</w:t>
      </w:r>
    </w:p>
    <w:p w14:paraId="2911224C" w14:textId="512477E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rPr>
        <w:t>Ընկերությունը հանդիսանում է հիդրոէլեկտրաէներգիայի արտադրության առանցքային համալիրներից մեկը: Այն նախկինում պետական մասնակցությամբ ընկերություն էր, որը մասնավորեցման արդյունքում վաճառվել է էլեկտրաէներգիայի արտադրությամբ զբաղվող «ՔոնթուրԳլոբալ» խոշոր միջազգային խմբին: Ընկերությունն արտադրված էլեկտրաէներգիան վաճառում է «Հայաստանի էլեկտրական ցանցեր» ՓԲԸ-ին (ՀԷՑ)՝ ՀԾԿՀ կողմից հաստատված սակագներով: ՀԷՑ ընկերությունը պարտավոր է գնել արտադրված ամբողջ էլեկտրաէներգիան և կատարել հզորության դիմաց վճարներ: Ամենախոշոր պայմանական պարտավորությունը պետության կողմից հիմնական միջոցների հետգնման պարտավորությունն է</w:t>
      </w:r>
      <w:r w:rsidRPr="000232DD">
        <w:rPr>
          <w:rFonts w:ascii="GHEA Grapalat" w:eastAsia="Times New Roman" w:hAnsi="GHEA Grapalat" w:cs="Times New Roman"/>
          <w:color w:val="auto"/>
          <w:lang w:val="hy-AM"/>
        </w:rPr>
        <w:t>: 2025թ. տարեվերջի դրությամբ հիմնական միջոցների հաշվեկշռային արժեքը կազմել է շուրջ 94</w:t>
      </w:r>
      <w:r w:rsidR="003753CD">
        <w:rPr>
          <w:rFonts w:ascii="GHEA Grapalat" w:eastAsia="Times New Roman" w:hAnsi="GHEA Grapalat" w:cs="Times New Roman"/>
          <w:color w:val="auto"/>
          <w:lang w:val="hy-AM"/>
        </w:rPr>
        <w:t>.</w:t>
      </w:r>
      <w:r w:rsidRPr="000232DD">
        <w:rPr>
          <w:rFonts w:ascii="GHEA Grapalat" w:eastAsia="Times New Roman" w:hAnsi="GHEA Grapalat" w:cs="Times New Roman"/>
          <w:color w:val="auto"/>
          <w:lang w:val="hy-AM"/>
        </w:rPr>
        <w:t>8 մլրդ դրամ՝ 2024թ. 98</w:t>
      </w:r>
      <w:r w:rsidR="003753CD">
        <w:rPr>
          <w:rFonts w:ascii="GHEA Grapalat" w:eastAsia="Times New Roman" w:hAnsi="GHEA Grapalat" w:cs="Times New Roman"/>
          <w:color w:val="auto"/>
          <w:lang w:val="hy-AM"/>
        </w:rPr>
        <w:t>.</w:t>
      </w:r>
      <w:r w:rsidRPr="000232DD">
        <w:rPr>
          <w:rFonts w:ascii="GHEA Grapalat" w:eastAsia="Times New Roman" w:hAnsi="GHEA Grapalat" w:cs="Times New Roman"/>
          <w:color w:val="auto"/>
          <w:lang w:val="hy-AM"/>
        </w:rPr>
        <w:t>2 մլրդ դրամի դ</w:t>
      </w:r>
      <w:r w:rsidR="003753CD">
        <w:rPr>
          <w:rFonts w:ascii="GHEA Grapalat" w:eastAsia="Times New Roman" w:hAnsi="GHEA Grapalat" w:cs="Times New Roman"/>
          <w:color w:val="auto"/>
          <w:lang w:val="hy-AM"/>
        </w:rPr>
        <w:t>իմաց, այսինքն՝ նվազել է շուրջ 3.</w:t>
      </w:r>
      <w:r w:rsidRPr="000232DD">
        <w:rPr>
          <w:rFonts w:ascii="GHEA Grapalat" w:eastAsia="Times New Roman" w:hAnsi="GHEA Grapalat" w:cs="Times New Roman"/>
          <w:color w:val="auto"/>
          <w:lang w:val="hy-AM"/>
        </w:rPr>
        <w:t>4 մլրդ դրամով։</w:t>
      </w:r>
    </w:p>
    <w:p w14:paraId="115D8000" w14:textId="18C11F06"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2025թ.-ին ընկերության ֆինանսական արդյունքները</w:t>
      </w:r>
      <w:r w:rsidR="0031057C">
        <w:rPr>
          <w:rFonts w:ascii="GHEA Grapalat" w:eastAsia="Times New Roman" w:hAnsi="GHEA Grapalat" w:cs="Times New Roman"/>
          <w:color w:val="auto"/>
          <w:lang w:val="hy-AM"/>
        </w:rPr>
        <w:t>,</w:t>
      </w:r>
      <w:r w:rsidRPr="000232DD">
        <w:rPr>
          <w:rFonts w:ascii="GHEA Grapalat" w:eastAsia="Times New Roman" w:hAnsi="GHEA Grapalat" w:cs="Times New Roman"/>
          <w:color w:val="auto"/>
          <w:lang w:val="hy-AM"/>
        </w:rPr>
        <w:t xml:space="preserve"> ընդհանուր առմամբ</w:t>
      </w:r>
      <w:r w:rsidR="0031057C">
        <w:rPr>
          <w:rFonts w:ascii="GHEA Grapalat" w:eastAsia="Times New Roman" w:hAnsi="GHEA Grapalat" w:cs="Times New Roman"/>
          <w:color w:val="auto"/>
          <w:lang w:val="hy-AM"/>
        </w:rPr>
        <w:t>,</w:t>
      </w:r>
      <w:r w:rsidRPr="000232DD">
        <w:rPr>
          <w:rFonts w:ascii="GHEA Grapalat" w:eastAsia="Times New Roman" w:hAnsi="GHEA Grapalat" w:cs="Times New Roman"/>
          <w:color w:val="auto"/>
          <w:lang w:val="hy-AM"/>
        </w:rPr>
        <w:t xml:space="preserve"> մնացել են դրական։ Հասույթը 2024թ.</w:t>
      </w:r>
      <w:r w:rsidR="003753CD">
        <w:rPr>
          <w:rFonts w:ascii="GHEA Grapalat" w:eastAsia="Times New Roman" w:hAnsi="GHEA Grapalat" w:cs="Times New Roman"/>
          <w:color w:val="auto"/>
          <w:lang w:val="hy-AM"/>
        </w:rPr>
        <w:t>-ի 13.6 մլրդ դրամից աճել է մինչև 15.</w:t>
      </w:r>
      <w:r w:rsidRPr="000232DD">
        <w:rPr>
          <w:rFonts w:ascii="GHEA Grapalat" w:eastAsia="Times New Roman" w:hAnsi="GHEA Grapalat" w:cs="Times New Roman"/>
          <w:color w:val="auto"/>
          <w:lang w:val="hy-AM"/>
        </w:rPr>
        <w:t>4 մլրդ դրամ՝ շուրջ 13%-</w:t>
      </w:r>
      <w:r w:rsidR="003753CD">
        <w:rPr>
          <w:rFonts w:ascii="GHEA Grapalat" w:eastAsia="Times New Roman" w:hAnsi="GHEA Grapalat" w:cs="Times New Roman"/>
          <w:color w:val="auto"/>
          <w:lang w:val="hy-AM"/>
        </w:rPr>
        <w:t>ով, իսկ գործառնական շահույթը՝ 6.4 մլրդ դրամից մինչև 8.</w:t>
      </w:r>
      <w:r w:rsidRPr="000232DD">
        <w:rPr>
          <w:rFonts w:ascii="GHEA Grapalat" w:eastAsia="Times New Roman" w:hAnsi="GHEA Grapalat" w:cs="Times New Roman"/>
          <w:color w:val="auto"/>
          <w:lang w:val="hy-AM"/>
        </w:rPr>
        <w:t>2 մլրդ դրամ։</w:t>
      </w:r>
      <w:r w:rsidR="003753CD">
        <w:rPr>
          <w:rFonts w:ascii="GHEA Grapalat" w:eastAsia="Times New Roman" w:hAnsi="GHEA Grapalat" w:cs="Times New Roman"/>
          <w:color w:val="auto"/>
          <w:lang w:val="hy-AM"/>
        </w:rPr>
        <w:t xml:space="preserve"> Տարվա զուտ շահույթը կազմել է 3.</w:t>
      </w:r>
      <w:r w:rsidRPr="000232DD">
        <w:rPr>
          <w:rFonts w:ascii="GHEA Grapalat" w:eastAsia="Times New Roman" w:hAnsi="GHEA Grapalat" w:cs="Times New Roman"/>
          <w:color w:val="auto"/>
          <w:lang w:val="hy-AM"/>
        </w:rPr>
        <w:t>7 մլրդ դր</w:t>
      </w:r>
      <w:r w:rsidR="003753CD">
        <w:rPr>
          <w:rFonts w:ascii="GHEA Grapalat" w:eastAsia="Times New Roman" w:hAnsi="GHEA Grapalat" w:cs="Times New Roman"/>
          <w:color w:val="auto"/>
          <w:lang w:val="hy-AM"/>
        </w:rPr>
        <w:t>ամ՝ գրեթե պահպանելով 2024թ.-ի 3.</w:t>
      </w:r>
      <w:r w:rsidRPr="000232DD">
        <w:rPr>
          <w:rFonts w:ascii="GHEA Grapalat" w:eastAsia="Times New Roman" w:hAnsi="GHEA Grapalat" w:cs="Times New Roman"/>
          <w:color w:val="auto"/>
          <w:lang w:val="hy-AM"/>
        </w:rPr>
        <w:t>8 մլրդ դրամ մակարդակը։ Ընդ որում, ի տարբերություն 2024թ.-ի</w:t>
      </w:r>
      <w:r w:rsidR="003753CD">
        <w:rPr>
          <w:rFonts w:ascii="GHEA Grapalat" w:eastAsia="Times New Roman" w:hAnsi="GHEA Grapalat" w:cs="Times New Roman"/>
          <w:color w:val="auto"/>
          <w:lang w:val="hy-AM"/>
        </w:rPr>
        <w:t>, երբ շուրջ 2.</w:t>
      </w:r>
      <w:r w:rsidRPr="000232DD">
        <w:rPr>
          <w:rFonts w:ascii="GHEA Grapalat" w:eastAsia="Times New Roman" w:hAnsi="GHEA Grapalat" w:cs="Times New Roman"/>
          <w:color w:val="auto"/>
          <w:lang w:val="hy-AM"/>
        </w:rPr>
        <w:t>0 մլրդ դրամ ֆինանսական արդյունք ձևավորվել էր արտարժույթի փոխարժեքային տարբերություններից, 2025թ.-ին այ</w:t>
      </w:r>
      <w:r w:rsidR="003753CD">
        <w:rPr>
          <w:rFonts w:ascii="GHEA Grapalat" w:eastAsia="Times New Roman" w:hAnsi="GHEA Grapalat" w:cs="Times New Roman"/>
          <w:color w:val="auto"/>
          <w:lang w:val="hy-AM"/>
        </w:rPr>
        <w:t>դ օգուտը նվազել է մինչև շուրջ 0.</w:t>
      </w:r>
      <w:r w:rsidRPr="000232DD">
        <w:rPr>
          <w:rFonts w:ascii="GHEA Grapalat" w:eastAsia="Times New Roman" w:hAnsi="GHEA Grapalat" w:cs="Times New Roman"/>
          <w:color w:val="auto"/>
          <w:lang w:val="hy-AM"/>
        </w:rPr>
        <w:t>6 մլրդ դրամ, հետևաբար ընկերության արդյունքը ավելի մեծ չափով պայմանավորված է եղել հիմնական գործունեության արդյունքներով։ Միաժամանակ, զո</w:t>
      </w:r>
      <w:r w:rsidR="003753CD">
        <w:rPr>
          <w:rFonts w:ascii="GHEA Grapalat" w:eastAsia="Times New Roman" w:hAnsi="GHEA Grapalat" w:cs="Times New Roman"/>
          <w:color w:val="auto"/>
          <w:lang w:val="hy-AM"/>
        </w:rPr>
        <w:t>ւտ ֆինանսական ծախսերն աճել են 2.2 մլրդ դրամից մինչև 3.</w:t>
      </w:r>
      <w:r w:rsidRPr="000232DD">
        <w:rPr>
          <w:rFonts w:ascii="GHEA Grapalat" w:eastAsia="Times New Roman" w:hAnsi="GHEA Grapalat" w:cs="Times New Roman"/>
          <w:color w:val="auto"/>
          <w:lang w:val="hy-AM"/>
        </w:rPr>
        <w:t>6 մլրդ դրամ։</w:t>
      </w:r>
    </w:p>
    <w:p w14:paraId="4B0430EE" w14:textId="08584AB2"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Ընկերության պարտքային բեռը 2025թ.-ին աճել է</w:t>
      </w:r>
      <w:r w:rsidRPr="000232DD">
        <w:rPr>
          <w:rFonts w:ascii="Cambria Math" w:eastAsia="Times New Roman" w:hAnsi="Cambria Math" w:cs="Cambria Math"/>
          <w:color w:val="auto"/>
          <w:lang w:val="hy-AM"/>
        </w:rPr>
        <w:t>․</w:t>
      </w:r>
      <w:r w:rsidRPr="000232DD">
        <w:rPr>
          <w:rFonts w:ascii="GHEA Grapalat" w:eastAsia="Times New Roman" w:hAnsi="GHEA Grapalat" w:cs="Times New Roman"/>
          <w:color w:val="auto"/>
          <w:lang w:val="hy-AM"/>
        </w:rPr>
        <w:t xml:space="preserve"> փոխառությունների ընդհանուր հաշվեկ</w:t>
      </w:r>
      <w:r w:rsidR="003753CD">
        <w:rPr>
          <w:rFonts w:ascii="GHEA Grapalat" w:eastAsia="Times New Roman" w:hAnsi="GHEA Grapalat" w:cs="Times New Roman"/>
          <w:color w:val="auto"/>
          <w:lang w:val="hy-AM"/>
        </w:rPr>
        <w:t>շռային արժեքը կազմել է շուրջ 66.7 մլրդ դրամ՝ 2024թ.-ի 52.</w:t>
      </w:r>
      <w:r w:rsidRPr="000232DD">
        <w:rPr>
          <w:rFonts w:ascii="GHEA Grapalat" w:eastAsia="Times New Roman" w:hAnsi="GHEA Grapalat" w:cs="Times New Roman"/>
          <w:color w:val="auto"/>
          <w:lang w:val="hy-AM"/>
        </w:rPr>
        <w:t>9 մլրդ դրամի դիմաց։ Տարվա ընթացքում ամբողջությամբ վերաֆինանսավորվել են ՄՖԿ-ից, FMO-ից և DEG-ից ստացված փոխառությունները՝ «Արդշինբանկ» ԲԲԸ-ից ստացված վարկի միջոցով։ Վարկի մնացորդը 2025թ. վե</w:t>
      </w:r>
      <w:r w:rsidR="003753CD">
        <w:rPr>
          <w:rFonts w:ascii="GHEA Grapalat" w:eastAsia="Times New Roman" w:hAnsi="GHEA Grapalat" w:cs="Times New Roman"/>
          <w:color w:val="auto"/>
          <w:lang w:val="hy-AM"/>
        </w:rPr>
        <w:t>րջի դրությամբ կազմել է շուրջ 53.</w:t>
      </w:r>
      <w:r w:rsidRPr="000232DD">
        <w:rPr>
          <w:rFonts w:ascii="GHEA Grapalat" w:eastAsia="Times New Roman" w:hAnsi="GHEA Grapalat" w:cs="Times New Roman"/>
          <w:color w:val="auto"/>
          <w:lang w:val="hy-AM"/>
        </w:rPr>
        <w:t>2 մլրդ դրամ, և մարման ժամկետն է մինչև 2038թ.։ Պարտք/սեփական կապիտալ (Debt-to-Equity) հարա</w:t>
      </w:r>
      <w:r w:rsidR="003753CD">
        <w:rPr>
          <w:rFonts w:ascii="GHEA Grapalat" w:eastAsia="Times New Roman" w:hAnsi="GHEA Grapalat" w:cs="Times New Roman"/>
          <w:color w:val="auto"/>
          <w:lang w:val="hy-AM"/>
        </w:rPr>
        <w:t>բերակցությունը 2024թ.-ի շուրջ 1.15-ից աճել է մինչև շուրջ 1.</w:t>
      </w:r>
      <w:r w:rsidRPr="000232DD">
        <w:rPr>
          <w:rFonts w:ascii="GHEA Grapalat" w:eastAsia="Times New Roman" w:hAnsi="GHEA Grapalat" w:cs="Times New Roman"/>
          <w:color w:val="auto"/>
          <w:lang w:val="hy-AM"/>
        </w:rPr>
        <w:t>84 2025թ.-ին։ Վերաֆինանսավորումը նվազեցնում է նախկին փոփոխուն տոկոսադրույքով վարկերից բխող տոկոսադրույքային ռիսկը, սակայն ընդհանուր պարտքային բեռի աճը շարունակում է մնալ մշտադիտարկման կարևոր գործոն։ Ընկերության հիմնական միջոցները, ինչպես նաև բաժնետոմսերի 100%-ը գրավադրված են ֆինանսական կազմակերպություններից ստացված փոխառությունների դիմաց։</w:t>
      </w:r>
    </w:p>
    <w:p w14:paraId="7AD5E563" w14:textId="6618F5EF"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Ընկերութ</w:t>
      </w:r>
      <w:r w:rsidR="003753CD">
        <w:rPr>
          <w:rFonts w:ascii="GHEA Grapalat" w:eastAsia="Times New Roman" w:hAnsi="GHEA Grapalat" w:cs="Times New Roman"/>
          <w:color w:val="auto"/>
          <w:lang w:val="hy-AM"/>
        </w:rPr>
        <w:t>յունը 2025թ.-ին հայտարարել է 11.</w:t>
      </w:r>
      <w:r w:rsidRPr="000232DD">
        <w:rPr>
          <w:rFonts w:ascii="GHEA Grapalat" w:eastAsia="Times New Roman" w:hAnsi="GHEA Grapalat" w:cs="Times New Roman"/>
          <w:color w:val="auto"/>
          <w:lang w:val="hy-AM"/>
        </w:rPr>
        <w:t>5 մլրդ դրամ շահաբաժիններ և վճարել</w:t>
      </w:r>
      <w:r w:rsidR="0031057C">
        <w:rPr>
          <w:rFonts w:ascii="GHEA Grapalat" w:eastAsia="Times New Roman" w:hAnsi="GHEA Grapalat" w:cs="Times New Roman"/>
          <w:color w:val="auto"/>
          <w:lang w:val="hy-AM"/>
        </w:rPr>
        <w:t>,</w:t>
      </w:r>
      <w:r w:rsidRPr="000232DD">
        <w:rPr>
          <w:rFonts w:ascii="GHEA Grapalat" w:eastAsia="Times New Roman" w:hAnsi="GHEA Grapalat" w:cs="Times New Roman"/>
          <w:color w:val="auto"/>
          <w:lang w:val="hy-AM"/>
        </w:rPr>
        <w:t xml:space="preserve"> ընդհանուր առմամբ</w:t>
      </w:r>
      <w:r w:rsidR="0031057C">
        <w:rPr>
          <w:rFonts w:ascii="GHEA Grapalat" w:eastAsia="Times New Roman" w:hAnsi="GHEA Grapalat" w:cs="Times New Roman"/>
          <w:color w:val="auto"/>
          <w:lang w:val="hy-AM"/>
        </w:rPr>
        <w:t>,</w:t>
      </w:r>
      <w:r w:rsidRPr="000232DD">
        <w:rPr>
          <w:rFonts w:ascii="GHEA Grapalat" w:eastAsia="Times New Roman" w:hAnsi="GHEA Grapalat" w:cs="Times New Roman"/>
          <w:color w:val="auto"/>
          <w:lang w:val="hy-AM"/>
        </w:rPr>
        <w:t xml:space="preserve"> 12</w:t>
      </w:r>
      <w:r w:rsidR="003753CD">
        <w:rPr>
          <w:rFonts w:ascii="GHEA Grapalat" w:eastAsia="Times New Roman" w:hAnsi="GHEA Grapalat" w:cs="Times New Roman"/>
          <w:color w:val="auto"/>
          <w:lang w:val="hy-AM"/>
        </w:rPr>
        <w:t>.</w:t>
      </w:r>
      <w:r w:rsidRPr="000232DD">
        <w:rPr>
          <w:rFonts w:ascii="GHEA Grapalat" w:eastAsia="Times New Roman" w:hAnsi="GHEA Grapalat" w:cs="Times New Roman"/>
          <w:color w:val="auto"/>
          <w:lang w:val="hy-AM"/>
        </w:rPr>
        <w:t>7 մլրդ դրամ շահաբաժիններ, ինչը զգալիորեն գերազանցում է տարվա 3</w:t>
      </w:r>
      <w:r w:rsidR="003753CD">
        <w:rPr>
          <w:rFonts w:ascii="GHEA Grapalat" w:eastAsia="Times New Roman" w:hAnsi="GHEA Grapalat" w:cs="Times New Roman"/>
          <w:color w:val="auto"/>
          <w:lang w:val="hy-AM"/>
        </w:rPr>
        <w:t>.</w:t>
      </w:r>
      <w:r w:rsidRPr="000232DD">
        <w:rPr>
          <w:rFonts w:ascii="GHEA Grapalat" w:eastAsia="Times New Roman" w:hAnsi="GHEA Grapalat" w:cs="Times New Roman"/>
          <w:color w:val="auto"/>
          <w:lang w:val="hy-AM"/>
        </w:rPr>
        <w:t>7 մլրդ դրամ շահույթը։ Ա</w:t>
      </w:r>
      <w:r w:rsidR="003753CD">
        <w:rPr>
          <w:rFonts w:ascii="GHEA Grapalat" w:eastAsia="Times New Roman" w:hAnsi="GHEA Grapalat" w:cs="Times New Roman"/>
          <w:color w:val="auto"/>
          <w:lang w:val="hy-AM"/>
        </w:rPr>
        <w:t>րդյունքում, սեփական կապիտալը 45.8 մլրդ դրամից նվազել է մինչև 36.</w:t>
      </w:r>
      <w:r w:rsidRPr="000232DD">
        <w:rPr>
          <w:rFonts w:ascii="GHEA Grapalat" w:eastAsia="Times New Roman" w:hAnsi="GHEA Grapalat" w:cs="Times New Roman"/>
          <w:color w:val="auto"/>
          <w:lang w:val="hy-AM"/>
        </w:rPr>
        <w:t>3 մլրդ դրամ։ Բացի այդ, ընկերությունը բաժնետիրոջը տրամադրել է 14 մլն ԱՄՆ դոլարի փոխառություն, որի հաշվեկշռային արժեքը տոկոսների հետ միա</w:t>
      </w:r>
      <w:r w:rsidR="003753CD">
        <w:rPr>
          <w:rFonts w:ascii="GHEA Grapalat" w:eastAsia="Times New Roman" w:hAnsi="GHEA Grapalat" w:cs="Times New Roman"/>
          <w:color w:val="auto"/>
          <w:lang w:val="hy-AM"/>
        </w:rPr>
        <w:t>սին տարեվերջին կազմել է շուրջ 5.</w:t>
      </w:r>
      <w:r w:rsidRPr="000232DD">
        <w:rPr>
          <w:rFonts w:ascii="GHEA Grapalat" w:eastAsia="Times New Roman" w:hAnsi="GHEA Grapalat" w:cs="Times New Roman"/>
          <w:color w:val="auto"/>
          <w:lang w:val="hy-AM"/>
        </w:rPr>
        <w:t>5 մլրդ դրամ։ Այս գործարքները, հատկապես զգալի պարտքային բեռի պայմաններում, նվազեցնում են ընկերության սեփական ֆինանսական բուֆերը և ֆիսկալ ռիսկերի տեսանկյունից պահանջում են շարունակական մշտադիտարկում։</w:t>
      </w:r>
    </w:p>
    <w:p w14:paraId="7ACDF961" w14:textId="585EE4B6"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Ընկերության զուտ արտարժութա</w:t>
      </w:r>
      <w:r w:rsidR="003753CD">
        <w:rPr>
          <w:rFonts w:ascii="GHEA Grapalat" w:eastAsia="Times New Roman" w:hAnsi="GHEA Grapalat" w:cs="Times New Roman"/>
          <w:color w:val="auto"/>
          <w:lang w:val="hy-AM"/>
        </w:rPr>
        <w:t>յին բաց դիրքը կազմել է շուրջ 58.</w:t>
      </w:r>
      <w:r w:rsidRPr="000232DD">
        <w:rPr>
          <w:rFonts w:ascii="GHEA Grapalat" w:eastAsia="Times New Roman" w:hAnsi="GHEA Grapalat" w:cs="Times New Roman"/>
          <w:color w:val="auto"/>
          <w:lang w:val="hy-AM"/>
        </w:rPr>
        <w:t>2 մլրդ դրամ, և հաշվետվության զգայունության վերլուծության համաձայն՝ ԱՄՆ դոլարի 10% արժևորումը կնվազեցներ շահո</w:t>
      </w:r>
      <w:r w:rsidR="003753CD">
        <w:rPr>
          <w:rFonts w:ascii="GHEA Grapalat" w:eastAsia="Times New Roman" w:hAnsi="GHEA Grapalat" w:cs="Times New Roman"/>
          <w:color w:val="auto"/>
          <w:lang w:val="hy-AM"/>
        </w:rPr>
        <w:t>ւյթը և սեփական կապիտալը շուրջ 4.</w:t>
      </w:r>
      <w:r w:rsidRPr="000232DD">
        <w:rPr>
          <w:rFonts w:ascii="GHEA Grapalat" w:eastAsia="Times New Roman" w:hAnsi="GHEA Grapalat" w:cs="Times New Roman"/>
          <w:color w:val="auto"/>
          <w:lang w:val="hy-AM"/>
        </w:rPr>
        <w:t>5 մլրդ դրամով։</w:t>
      </w:r>
    </w:p>
    <w:p w14:paraId="4A5EB0B3" w14:textId="6FDE260D" w:rsidR="00802FF2" w:rsidRPr="000232DD" w:rsidRDefault="00802FF2" w:rsidP="00082769">
      <w:pPr>
        <w:spacing w:before="40" w:after="60" w:line="312" w:lineRule="auto"/>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Ֆիսկալ ռիսկի կարգավիճակը նպատակահարմար է պահպանել «միջին» մակարդակում։ Մի կողմից՝ ընկերությունը շահութաբեր է, գործառնական արդյունքը բարելավվել է, դրամական միջոցների մնացորդը զգալիորեն աճել է, իսկ վերաֆինանսավորման արդյունքում նվազել է տոկոսադրույքային ռիսկը։ Մյուս կողմից՝ փոխառությունների ծավալի աճը, զգալի շահաբաժինների բաշխումը և բաժնետիրոջը տրամադրված փոխառությունը, սեփական կապիտալի նվազումը, արտարժութային բաց դիրքը թույլ չեն տալիս գնահատել ռիսկը</w:t>
      </w:r>
      <w:r w:rsidR="0031057C">
        <w:rPr>
          <w:rFonts w:ascii="GHEA Grapalat" w:eastAsia="Times New Roman" w:hAnsi="GHEA Grapalat" w:cs="Times New Roman"/>
          <w:color w:val="auto"/>
          <w:lang w:val="hy-AM"/>
        </w:rPr>
        <w:t>՝</w:t>
      </w:r>
      <w:r w:rsidRPr="000232DD">
        <w:rPr>
          <w:rFonts w:ascii="GHEA Grapalat" w:eastAsia="Times New Roman" w:hAnsi="GHEA Grapalat" w:cs="Times New Roman"/>
          <w:color w:val="auto"/>
          <w:lang w:val="hy-AM"/>
        </w:rPr>
        <w:t xml:space="preserve"> որպես նվազած։</w:t>
      </w:r>
    </w:p>
    <w:p w14:paraId="2DAD9BE5" w14:textId="77777777" w:rsidR="00802FF2" w:rsidRPr="000232DD" w:rsidRDefault="00802FF2" w:rsidP="00082769">
      <w:pPr>
        <w:spacing w:before="40" w:after="60" w:line="312" w:lineRule="auto"/>
        <w:ind w:right="-22"/>
        <w:jc w:val="both"/>
        <w:rPr>
          <w:rFonts w:ascii="GHEA Grapalat" w:eastAsia="Times New Roman" w:hAnsi="GHEA Grapalat" w:cs="Times New Roman"/>
          <w:b/>
          <w:color w:val="auto"/>
          <w:sz w:val="24"/>
          <w:szCs w:val="24"/>
          <w:lang w:val="hy-AM"/>
        </w:rPr>
      </w:pPr>
      <w:r w:rsidRPr="000232DD">
        <w:rPr>
          <w:rFonts w:ascii="GHEA Grapalat" w:eastAsia="Times New Roman" w:hAnsi="GHEA Grapalat" w:cs="Times New Roman"/>
          <w:b/>
          <w:color w:val="auto"/>
          <w:sz w:val="24"/>
          <w:szCs w:val="24"/>
          <w:lang w:val="hy-AM"/>
        </w:rPr>
        <w:t>«ԱՐՄՓԱՈՒԵՐ» ՓԲԸ (ԵՐԵՎԱՆԻ ՆՈՐ ՋԷԿ)</w:t>
      </w:r>
    </w:p>
    <w:p w14:paraId="78426400"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Ընկերությունը Երևան քաղաքում կառուցել և հանձնել է շահագործման ջերմային էլեկտրակայան, որը հանդիսանում է աշխարհում էլեկտրաէներգիայի արտադրության խոշոր գործունեություն իրականացնող իտալական «Ռենկո» էներգետիկական խմբի և գերմանական «Սիմենս» խմբի դուստր ընկերություն: Պայմանագրի ժամկետը կազմում է 20 տարի՝ սկսած առևտրային շահագործման մեկնարկից: Կայանը շահագործման է հանձնվել 2021թ. դեկտեմբերի 11-ին:</w:t>
      </w:r>
    </w:p>
    <w:p w14:paraId="26033C9A" w14:textId="7F920323"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Հիմնական պայմանական պարտավորությունը ՀՀ կառավարության կողմից պարտավորությունների չկատարման հետևանքով պայմանագրի վաղաժամ դադարեցման դեպքում կայանի հետգնման պարտավորությունն է (նյութականացման դեպքերն են՝ օտարումը, բռնագրավումը, զավթումը, ՀՀ կառավարությանն առնչվող անվճարունակության դեպքի տեղի ունենալը, պայմանագրի շրջանակներում պետության կողմից տրված հավաստիացումների և երաշխիքների էական խախտումը, ծրագրի կառուցման կամ շահագործման՝ Կառուցապատողի կարողության վրա էականորեն և անբարենպաստ կերպով ազդող օրենսդրական փոփոխությունը): Շահագործման առաջին տարվանից հետո պայմանական պարտավորության գումարին կավելանա 15 տոկոս հավելավճար՝ ի հավելումն ներդրման գումարի, իսկ այնուհետև գումարը կնվազի տարեկան 5 տոկոսով: Քանի որ կայանը ստիպված էր վերագործարկվել շահագործման մեջ մտնելուց անմիջապես հետո, հավելավճարը կիրառելի է միայն 2023թ.-ի սեպտեմբերից։ Վերագործարկման</w:t>
      </w:r>
      <w:r w:rsidR="003753CD">
        <w:rPr>
          <w:rFonts w:ascii="GHEA Grapalat" w:eastAsia="Times New Roman" w:hAnsi="GHEA Grapalat" w:cs="Times New Roman"/>
          <w:color w:val="auto"/>
          <w:lang w:val="hy-AM"/>
        </w:rPr>
        <w:t xml:space="preserve"> համար պահանջվել էր լրացուցիչ 3.</w:t>
      </w:r>
      <w:r w:rsidRPr="000232DD">
        <w:rPr>
          <w:rFonts w:ascii="GHEA Grapalat" w:eastAsia="Times New Roman" w:hAnsi="GHEA Grapalat" w:cs="Times New Roman"/>
          <w:color w:val="auto"/>
          <w:lang w:val="hy-AM"/>
        </w:rPr>
        <w:t xml:space="preserve">2 մլն ԱՄՆ դոլար, որը ֆինանսավորվել է սեփական կապիտալի համալրման հաշվին։ Հիմնական միջոցների մնացորդը 2025թ.-ի ավարտին կազմել է </w:t>
      </w:r>
      <w:r w:rsidR="003753CD">
        <w:rPr>
          <w:rFonts w:ascii="GHEA Grapalat" w:eastAsia="Times New Roman" w:hAnsi="GHEA Grapalat" w:cs="Times New Roman"/>
          <w:color w:val="auto"/>
          <w:lang w:val="hy-AM"/>
        </w:rPr>
        <w:t>220.</w:t>
      </w:r>
      <w:r w:rsidRPr="005A5E0C">
        <w:rPr>
          <w:rFonts w:ascii="GHEA Grapalat" w:eastAsia="Times New Roman" w:hAnsi="GHEA Grapalat" w:cs="Times New Roman"/>
          <w:color w:val="auto"/>
          <w:lang w:val="hy-AM"/>
        </w:rPr>
        <w:t>7 մլն ԱՄՆ դոլար</w:t>
      </w:r>
      <w:r w:rsidRPr="000232DD">
        <w:rPr>
          <w:rFonts w:ascii="GHEA Grapalat" w:eastAsia="Times New Roman" w:hAnsi="GHEA Grapalat" w:cs="Times New Roman"/>
          <w:color w:val="auto"/>
          <w:lang w:val="hy-AM"/>
        </w:rPr>
        <w:t>՝ մաշվածության նվազեցումից հետո:</w:t>
      </w:r>
    </w:p>
    <w:p w14:paraId="6538A94C" w14:textId="27EFCE3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 xml:space="preserve">Միաժամանակ, որոշ պայմանագրային դեպքերի դեպքում Կառավարությանը տրված է Ծրագիրը հետ գնելու փոխարեն Ավագ Պարտքի ամբողջական վաղաժամկետ մարումը ֆինանսավորելու տարբերակ։ 2025թ. վերջի դրությամբ ընկերության բանկային վարկերի մնացորդը կազմել է շուրջ </w:t>
      </w:r>
      <w:r w:rsidR="003753CD">
        <w:rPr>
          <w:rFonts w:ascii="GHEA Grapalat" w:eastAsia="Times New Roman" w:hAnsi="GHEA Grapalat" w:cs="Times New Roman"/>
          <w:color w:val="auto"/>
          <w:lang w:val="hy-AM"/>
        </w:rPr>
        <w:t>135.</w:t>
      </w:r>
      <w:r w:rsidRPr="005A5E0C">
        <w:rPr>
          <w:rFonts w:ascii="GHEA Grapalat" w:eastAsia="Times New Roman" w:hAnsi="GHEA Grapalat" w:cs="Times New Roman"/>
          <w:color w:val="auto"/>
          <w:lang w:val="hy-AM"/>
        </w:rPr>
        <w:t>7 մլն ԱՄՆ</w:t>
      </w:r>
      <w:r w:rsidRPr="000232DD">
        <w:rPr>
          <w:rFonts w:ascii="GHEA Grapalat" w:eastAsia="Times New Roman" w:hAnsi="GHEA Grapalat" w:cs="Times New Roman"/>
          <w:color w:val="auto"/>
          <w:lang w:val="hy-AM"/>
        </w:rPr>
        <w:t xml:space="preserve"> դոլար։ Այս պարտքային պարտավորությունը և Կայանի հետգնման արժեքի գնահատականը չպետք է գումարվեն, քանի որ դրանք այլընտրանքային մեխանիզմներ են։</w:t>
      </w:r>
    </w:p>
    <w:p w14:paraId="49C3C225" w14:textId="6769ADB6" w:rsidR="00802FF2" w:rsidRPr="000232DD" w:rsidRDefault="00802FF2" w:rsidP="00082769">
      <w:pPr>
        <w:spacing w:after="0"/>
        <w:ind w:right="-22"/>
        <w:jc w:val="both"/>
        <w:rPr>
          <w:rFonts w:ascii="GHEA Grapalat" w:eastAsia="Times New Roman" w:hAnsi="GHEA Grapalat" w:cs="Times New Roman"/>
          <w:color w:val="auto"/>
          <w:lang w:val="hy-AM"/>
        </w:rPr>
      </w:pPr>
      <w:r w:rsidRPr="005A5E0C">
        <w:rPr>
          <w:rFonts w:ascii="GHEA Grapalat" w:eastAsia="Times New Roman" w:hAnsi="GHEA Grapalat" w:cs="Times New Roman"/>
          <w:color w:val="auto"/>
          <w:lang w:val="hy-AM"/>
        </w:rPr>
        <w:t>Ընկերության 2025թ. ֆինանսական արդյունքները գործառնական մակարդակում բարելավվել են. համախառն շահույթի մարժան 2024թ. շուրջ 12.3%-ից աճել է մինչև շուրջ 31.</w:t>
      </w:r>
      <w:r w:rsidR="003753CD">
        <w:rPr>
          <w:rFonts w:ascii="GHEA Grapalat" w:eastAsia="Times New Roman" w:hAnsi="GHEA Grapalat" w:cs="Times New Roman"/>
          <w:color w:val="auto"/>
          <w:lang w:val="hy-AM"/>
        </w:rPr>
        <w:t>1%, իսկ գործառնական շահույթը՝ 6.1 մլն ԱՄՆ դոլարից մինչև 10.</w:t>
      </w:r>
      <w:r w:rsidRPr="005A5E0C">
        <w:rPr>
          <w:rFonts w:ascii="GHEA Grapalat" w:eastAsia="Times New Roman" w:hAnsi="GHEA Grapalat" w:cs="Times New Roman"/>
          <w:color w:val="auto"/>
          <w:lang w:val="hy-AM"/>
        </w:rPr>
        <w:t xml:space="preserve">5 մլն ԱՄՆ դոլար։ 2025թ. գործառնություններից ստացված </w:t>
      </w:r>
      <w:r w:rsidR="003753CD">
        <w:rPr>
          <w:rFonts w:ascii="GHEA Grapalat" w:eastAsia="Times New Roman" w:hAnsi="GHEA Grapalat" w:cs="Times New Roman"/>
          <w:color w:val="auto"/>
          <w:lang w:val="hy-AM"/>
        </w:rPr>
        <w:t>զուտ դրամական հոսքը կազմել է 21.</w:t>
      </w:r>
      <w:r w:rsidRPr="005A5E0C">
        <w:rPr>
          <w:rFonts w:ascii="GHEA Grapalat" w:eastAsia="Times New Roman" w:hAnsi="GHEA Grapalat" w:cs="Times New Roman"/>
          <w:color w:val="auto"/>
          <w:lang w:val="hy-AM"/>
        </w:rPr>
        <w:t>3 մլն ԱՄՆ դոլար, սակայն միայն վարկերի մայր գումարի մարումները և վճարվ</w:t>
      </w:r>
      <w:r w:rsidR="003753CD">
        <w:rPr>
          <w:rFonts w:ascii="GHEA Grapalat" w:eastAsia="Times New Roman" w:hAnsi="GHEA Grapalat" w:cs="Times New Roman"/>
          <w:color w:val="auto"/>
          <w:lang w:val="hy-AM"/>
        </w:rPr>
        <w:t>ած տոկոսները կազմել են շուրջ 24.</w:t>
      </w:r>
      <w:r w:rsidRPr="005A5E0C">
        <w:rPr>
          <w:rFonts w:ascii="GHEA Grapalat" w:eastAsia="Times New Roman" w:hAnsi="GHEA Grapalat" w:cs="Times New Roman"/>
          <w:color w:val="auto"/>
          <w:lang w:val="hy-AM"/>
        </w:rPr>
        <w:t>1 մլն ԱՄՆ դոլար, մասամբ մեղմված հեջից ստացված շուրջ 3</w:t>
      </w:r>
      <w:r w:rsidR="003753CD">
        <w:rPr>
          <w:rFonts w:ascii="GHEA Grapalat" w:eastAsia="Times New Roman" w:hAnsi="GHEA Grapalat" w:cs="Times New Roman"/>
          <w:color w:val="auto"/>
          <w:lang w:val="hy-AM"/>
        </w:rPr>
        <w:t>.</w:t>
      </w:r>
      <w:r w:rsidRPr="005A5E0C">
        <w:rPr>
          <w:rFonts w:ascii="GHEA Grapalat" w:eastAsia="Times New Roman" w:hAnsi="GHEA Grapalat" w:cs="Times New Roman"/>
          <w:color w:val="auto"/>
          <w:lang w:val="hy-AM"/>
        </w:rPr>
        <w:t>0 մլն ԱՄՆ դոլարով։ Բ</w:t>
      </w:r>
      <w:r w:rsidR="003753CD">
        <w:rPr>
          <w:rFonts w:ascii="GHEA Grapalat" w:eastAsia="Times New Roman" w:hAnsi="GHEA Grapalat" w:cs="Times New Roman"/>
          <w:color w:val="auto"/>
          <w:lang w:val="hy-AM"/>
        </w:rPr>
        <w:t>ացի այդ, ֆինանսական ծախսերը՝ 12.</w:t>
      </w:r>
      <w:r w:rsidRPr="005A5E0C">
        <w:rPr>
          <w:rFonts w:ascii="GHEA Grapalat" w:eastAsia="Times New Roman" w:hAnsi="GHEA Grapalat" w:cs="Times New Roman"/>
          <w:color w:val="auto"/>
          <w:lang w:val="hy-AM"/>
        </w:rPr>
        <w:t>0 մլն ԱՄՆ դոլար, գերազանցել են գործառնական շահույթը, և մինչև հար</w:t>
      </w:r>
      <w:r w:rsidR="003753CD">
        <w:rPr>
          <w:rFonts w:ascii="GHEA Grapalat" w:eastAsia="Times New Roman" w:hAnsi="GHEA Grapalat" w:cs="Times New Roman"/>
          <w:color w:val="auto"/>
          <w:lang w:val="hy-AM"/>
        </w:rPr>
        <w:t>կումը ընկերությունն ունեցել է 1.6 մլն ԱՄՆ դոլար վնաս. 0.</w:t>
      </w:r>
      <w:r w:rsidRPr="005A5E0C">
        <w:rPr>
          <w:rFonts w:ascii="GHEA Grapalat" w:eastAsia="Times New Roman" w:hAnsi="GHEA Grapalat" w:cs="Times New Roman"/>
          <w:color w:val="auto"/>
          <w:lang w:val="hy-AM"/>
        </w:rPr>
        <w:t>9 մլն ԱՄՆ դո</w:t>
      </w:r>
      <w:r w:rsidR="003753CD">
        <w:rPr>
          <w:rFonts w:ascii="GHEA Grapalat" w:eastAsia="Times New Roman" w:hAnsi="GHEA Grapalat" w:cs="Times New Roman"/>
          <w:color w:val="auto"/>
          <w:lang w:val="hy-AM"/>
        </w:rPr>
        <w:t>լար զուտ շահույթը ձևավորվել է 2.</w:t>
      </w:r>
      <w:r w:rsidRPr="005A5E0C">
        <w:rPr>
          <w:rFonts w:ascii="GHEA Grapalat" w:eastAsia="Times New Roman" w:hAnsi="GHEA Grapalat" w:cs="Times New Roman"/>
          <w:color w:val="auto"/>
          <w:lang w:val="hy-AM"/>
        </w:rPr>
        <w:t>5 մլն ԱՄՆ դոլար հետաձգված հարկային եկամտի հաշվին։</w:t>
      </w:r>
    </w:p>
    <w:p w14:paraId="75FBD0BE" w14:textId="271B21DE"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 xml:space="preserve">Ընկերության վարկային համաձայնագրերով սահմանված պարտքի սպասարկման ծածկույթի գործակիցը (DSCR) խախտվել է նախորդ երկու տարիների արդյունքներով: 2025թ. դեկտեմբերի 31-ի դրությամբ ցուցանիշի՝ համաձայնագրերով սահմանված նվազագույն մակարդակից ցածր լինելը պայմանավորված է հիմնականում ապահովագրական ծախսերի աճով, տոկոսադրույքի բարձրացմամբ, եվրո/ԱՄՆ դոլար փոխարժեքի տատանումներով, շահագործման և պահպանման պայմանագրով նախատեսված ինդեքսավորմամբ, ինչպես նաև ՀՀ դրամ/ԱՄՆ դոլար փոխարժեքի տատանումներին առնչվող սակագնի ճշգրտումներով: Ծրագրի ավարտի ամսաթվից առաջ «Արմփաուեր» ընկերությունը կանխատեսել է մինչև </w:t>
      </w:r>
      <w:r w:rsidRPr="005A5E0C">
        <w:rPr>
          <w:rFonts w:ascii="GHEA Grapalat" w:eastAsia="Times New Roman" w:hAnsi="GHEA Grapalat" w:cs="Times New Roman"/>
          <w:color w:val="auto"/>
          <w:lang w:val="hy-AM"/>
        </w:rPr>
        <w:t>2 մլն ԱՄՆ դոլարի</w:t>
      </w:r>
      <w:r w:rsidRPr="000232DD">
        <w:rPr>
          <w:rFonts w:ascii="GHEA Grapalat" w:eastAsia="Times New Roman" w:hAnsi="GHEA Grapalat" w:cs="Times New Roman"/>
          <w:color w:val="auto"/>
          <w:lang w:val="hy-AM"/>
        </w:rPr>
        <w:t xml:space="preserve"> ֆինանսավորման պակասուրդ՝ պարտքի սպասարկման պարտավորությունները կատարելու և պայմանագրով սահմանված DSCR մակարդակները վերականգնելու համար։ Ընկերության բաժնետերերը հաստատել են մինչև 2026թ.-ի մայիսի 31-ը </w:t>
      </w:r>
      <w:r w:rsidRPr="005A5E0C">
        <w:rPr>
          <w:rFonts w:ascii="GHEA Grapalat" w:eastAsia="Times New Roman" w:hAnsi="GHEA Grapalat" w:cs="Times New Roman"/>
          <w:color w:val="auto"/>
          <w:lang w:val="hy-AM"/>
        </w:rPr>
        <w:t>անհրաժեշտ՝ 2 մլն ԱՄՆ դոլարի</w:t>
      </w:r>
      <w:r w:rsidR="0031057C">
        <w:rPr>
          <w:rFonts w:ascii="GHEA Grapalat" w:eastAsia="Times New Roman" w:hAnsi="GHEA Grapalat" w:cs="Times New Roman"/>
          <w:color w:val="auto"/>
          <w:lang w:val="hy-AM"/>
        </w:rPr>
        <w:t xml:space="preserve"> «պակասուրդի</w:t>
      </w:r>
      <w:r w:rsidRPr="000232DD">
        <w:rPr>
          <w:rFonts w:ascii="GHEA Grapalat" w:eastAsia="Times New Roman" w:hAnsi="GHEA Grapalat" w:cs="Times New Roman"/>
          <w:color w:val="auto"/>
          <w:lang w:val="hy-AM"/>
        </w:rPr>
        <w:t xml:space="preserve"> ծածկման աջակցություն» (Deficiency Support) տրամադրելու պատրաստակամությունը։ Միաժամանակ, ինչպես և նախորդ տարի, այս տարի նույնպես «Արմփաուեր» ՓԲԸ-ն վարկատուներից ստացել է պահանջից հրաժարման համաձայնագիրը (Waiver):</w:t>
      </w:r>
    </w:p>
    <w:p w14:paraId="5883F7EB" w14:textId="77777777" w:rsidR="00802FF2" w:rsidRPr="000232DD" w:rsidRDefault="00802FF2" w:rsidP="00082769">
      <w:pPr>
        <w:tabs>
          <w:tab w:val="left" w:pos="6948"/>
        </w:tabs>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Հաշվի առնելով վերոգրյալը՝ ծրագրի հարկաբյուջետային ռիսկի կարգավիճակը պահպանվում է միջին մակարդակում:</w:t>
      </w:r>
    </w:p>
    <w:p w14:paraId="59CAC59D" w14:textId="77777777" w:rsidR="00802FF2" w:rsidRPr="000232DD" w:rsidRDefault="00802FF2" w:rsidP="00082769">
      <w:pPr>
        <w:tabs>
          <w:tab w:val="left" w:pos="6948"/>
        </w:tabs>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ab/>
      </w:r>
    </w:p>
    <w:p w14:paraId="530C10AB" w14:textId="77777777" w:rsidR="00802FF2" w:rsidRPr="000232DD" w:rsidRDefault="00802FF2" w:rsidP="00082769">
      <w:pPr>
        <w:spacing w:before="40" w:after="60" w:line="312" w:lineRule="auto"/>
        <w:ind w:right="-22"/>
        <w:jc w:val="both"/>
        <w:rPr>
          <w:rFonts w:ascii="GHEA Grapalat" w:eastAsia="Times New Roman" w:hAnsi="GHEA Grapalat" w:cs="Times New Roman"/>
          <w:b/>
          <w:color w:val="auto"/>
          <w:sz w:val="24"/>
          <w:szCs w:val="24"/>
          <w:lang w:val="hy-AM"/>
        </w:rPr>
      </w:pPr>
      <w:r w:rsidRPr="000232DD">
        <w:rPr>
          <w:rFonts w:ascii="GHEA Grapalat" w:eastAsia="Times New Roman" w:hAnsi="GHEA Grapalat" w:cs="Times New Roman"/>
          <w:b/>
          <w:color w:val="auto"/>
          <w:sz w:val="24"/>
          <w:szCs w:val="24"/>
          <w:lang w:val="hy-AM"/>
        </w:rPr>
        <w:t xml:space="preserve">«ՄԱՍՐԻԿ-1» ԱՐԵՎԱՅԻՆ ՖՈՏՈՎՈԼՏԱՅԻՆ ԿԱՅԱՆ </w:t>
      </w:r>
    </w:p>
    <w:p w14:paraId="10E85AE6" w14:textId="77777777" w:rsidR="00802FF2" w:rsidRPr="000232DD" w:rsidRDefault="00802FF2" w:rsidP="00082769">
      <w:pPr>
        <w:spacing w:before="40" w:after="60" w:line="312" w:lineRule="auto"/>
        <w:ind w:right="-22"/>
        <w:jc w:val="both"/>
        <w:rPr>
          <w:rFonts w:ascii="GHEA Grapalat" w:eastAsia="Times New Roman" w:hAnsi="GHEA Grapalat" w:cs="Times New Roman"/>
          <w:b/>
          <w:color w:val="auto"/>
          <w:sz w:val="24"/>
          <w:szCs w:val="24"/>
          <w:lang w:val="hy-AM"/>
        </w:rPr>
      </w:pPr>
      <w:r w:rsidRPr="000232DD">
        <w:rPr>
          <w:rFonts w:ascii="GHEA Grapalat" w:eastAsia="Times New Roman" w:hAnsi="GHEA Grapalat" w:cs="Times New Roman"/>
          <w:color w:val="auto"/>
          <w:lang w:val="hy-AM"/>
        </w:rPr>
        <w:t>Այս նախագծի շրջանակներում կառուցվել է 55 ՄՎտ դրվածքային հզորությամբ արևային էլեկտրակայանը: Այն պատկանում է La Providencia և FRV իսպանական մասնագիտացված խմբերին և ֆինանսավորվում է IFC-ի, EBRD-ի և Ֆինլանդիայի կառավարության վարկային միջոցներով: Պայմանագրի ֆինանսական կայացումը տեղի է ունեցել 2020թ. հուլիսին, իսկ աշխատանքները նախատեսվում էր ավարտել 2022թ.-ին, սակայն հաջորդող լրացուցիչ համաձայնագրերով այն հետաձգվել է մինչև 2024թ.-ի դեկտեմբեր, քանի որ արձանագրվել էին էական ուշացումներ, մասնավորապես՝ ադրբեջանական զինված ուժերի գործողություններով պայմանավորված (Մասրիկի տեղամասը սահմանին շատ մոտ է):</w:t>
      </w:r>
    </w:p>
    <w:p w14:paraId="3CF3D6D0" w14:textId="4BB3292A" w:rsidR="00802FF2" w:rsidRPr="000232DD" w:rsidRDefault="00802FF2" w:rsidP="00082769">
      <w:pPr>
        <w:spacing w:before="40" w:after="60" w:line="312" w:lineRule="auto"/>
        <w:ind w:right="-22"/>
        <w:jc w:val="both"/>
        <w:rPr>
          <w:rFonts w:ascii="GHEA Grapalat" w:eastAsia="Times New Roman" w:hAnsi="GHEA Grapalat" w:cs="Times New Roman"/>
          <w:b/>
          <w:color w:val="auto"/>
          <w:sz w:val="24"/>
          <w:szCs w:val="24"/>
          <w:lang w:val="hy-AM"/>
        </w:rPr>
      </w:pPr>
      <w:r w:rsidRPr="000232DD">
        <w:rPr>
          <w:rFonts w:ascii="GHEA Grapalat" w:eastAsia="Times New Roman" w:hAnsi="GHEA Grapalat" w:cs="Times New Roman"/>
          <w:color w:val="auto"/>
          <w:lang w:val="hy-AM"/>
        </w:rPr>
        <w:t>Կայանի կառուցման ավարտը և շահագործմանը հանձնման ավարտը արձանագրվել է 2025թ. մայիսի 14-ին ՀՀ հանրային ծառայությունները կարգավորող հանձնաժողովի (ՀԾԿՀ) ընդունած որոշումներով, երբ «ԷֆԱրՎի Մասրիկ» ընկերության «Մասրիկ-1» արևային կայանը անցել է արտադրության փուլ և սկսել առևտրային էլեկտրաէներգիայի մատակարարումները՝ համաձայնեցված պայմանագրային պայմաններին համապատասխան: 2025թ.-ը ընկերության առաջին լիարժեք շահագործման տարին է</w:t>
      </w:r>
      <w:r w:rsidRPr="000232DD">
        <w:rPr>
          <w:rFonts w:ascii="Cambria Math" w:eastAsia="Times New Roman" w:hAnsi="Cambria Math" w:cs="Cambria Math"/>
          <w:color w:val="auto"/>
          <w:lang w:val="hy-AM"/>
        </w:rPr>
        <w:t xml:space="preserve">․ </w:t>
      </w:r>
      <w:r w:rsidR="003753CD">
        <w:rPr>
          <w:rFonts w:ascii="GHEA Grapalat" w:eastAsia="Times New Roman" w:hAnsi="GHEA Grapalat" w:cs="Times New Roman"/>
          <w:color w:val="auto"/>
          <w:lang w:val="hy-AM"/>
        </w:rPr>
        <w:t>հասույթը կազմել է 1.</w:t>
      </w:r>
      <w:r w:rsidRPr="000232DD">
        <w:rPr>
          <w:rFonts w:ascii="GHEA Grapalat" w:eastAsia="Times New Roman" w:hAnsi="GHEA Grapalat" w:cs="Times New Roman"/>
          <w:color w:val="auto"/>
          <w:lang w:val="hy-AM"/>
        </w:rPr>
        <w:t>71 մլրդ</w:t>
      </w:r>
      <w:r w:rsidR="003753CD">
        <w:rPr>
          <w:rFonts w:ascii="GHEA Grapalat" w:eastAsia="Times New Roman" w:hAnsi="GHEA Grapalat" w:cs="Times New Roman"/>
          <w:color w:val="auto"/>
          <w:lang w:val="hy-AM"/>
        </w:rPr>
        <w:t xml:space="preserve"> դրամ, իսկ համախառն շահույթը՝ 1.</w:t>
      </w:r>
      <w:r w:rsidRPr="000232DD">
        <w:rPr>
          <w:rFonts w:ascii="GHEA Grapalat" w:eastAsia="Times New Roman" w:hAnsi="GHEA Grapalat" w:cs="Times New Roman"/>
          <w:color w:val="auto"/>
          <w:lang w:val="hy-AM"/>
        </w:rPr>
        <w:t>22 մլրդ դրամ, սակայն գործառնակ</w:t>
      </w:r>
      <w:r w:rsidR="003753CD">
        <w:rPr>
          <w:rFonts w:ascii="GHEA Grapalat" w:eastAsia="Times New Roman" w:hAnsi="GHEA Grapalat" w:cs="Times New Roman"/>
          <w:color w:val="auto"/>
          <w:lang w:val="hy-AM"/>
        </w:rPr>
        <w:t>ան շահույթը կազմել է ընդամենը 0.075</w:t>
      </w:r>
      <w:r w:rsidRPr="000232DD">
        <w:rPr>
          <w:rFonts w:ascii="GHEA Grapalat" w:eastAsia="Times New Roman" w:hAnsi="GHEA Grapalat" w:cs="Times New Roman"/>
          <w:color w:val="auto"/>
          <w:lang w:val="hy-AM"/>
        </w:rPr>
        <w:t xml:space="preserve"> մլ</w:t>
      </w:r>
      <w:r w:rsidR="003753CD">
        <w:rPr>
          <w:rFonts w:ascii="GHEA Grapalat" w:eastAsia="Times New Roman" w:hAnsi="GHEA Grapalat" w:cs="Times New Roman"/>
          <w:color w:val="auto"/>
          <w:lang w:val="hy-AM"/>
        </w:rPr>
        <w:t>րդ</w:t>
      </w:r>
      <w:r w:rsidRPr="000232DD">
        <w:rPr>
          <w:rFonts w:ascii="GHEA Grapalat" w:eastAsia="Times New Roman" w:hAnsi="GHEA Grapalat" w:cs="Times New Roman"/>
          <w:color w:val="auto"/>
          <w:lang w:val="hy-AM"/>
        </w:rPr>
        <w:t xml:space="preserve"> դրամ՝ պայմանավորված, ի թիվս այլնի, </w:t>
      </w:r>
      <w:r w:rsidR="003753CD">
        <w:rPr>
          <w:rFonts w:ascii="GHEA Grapalat" w:eastAsia="Times New Roman" w:hAnsi="GHEA Grapalat" w:cs="Times New Roman"/>
          <w:color w:val="auto"/>
          <w:lang w:val="hy-AM"/>
        </w:rPr>
        <w:t>0.</w:t>
      </w:r>
      <w:r w:rsidRPr="000232DD">
        <w:rPr>
          <w:rFonts w:ascii="GHEA Grapalat" w:eastAsia="Times New Roman" w:hAnsi="GHEA Grapalat" w:cs="Times New Roman"/>
          <w:color w:val="auto"/>
          <w:lang w:val="hy-AM"/>
        </w:rPr>
        <w:t>31 մլ</w:t>
      </w:r>
      <w:r w:rsidR="003753CD">
        <w:rPr>
          <w:rFonts w:ascii="GHEA Grapalat" w:eastAsia="Times New Roman" w:hAnsi="GHEA Grapalat" w:cs="Times New Roman"/>
          <w:color w:val="auto"/>
          <w:lang w:val="hy-AM"/>
        </w:rPr>
        <w:t>րդ</w:t>
      </w:r>
      <w:r w:rsidRPr="000232DD">
        <w:rPr>
          <w:rFonts w:ascii="GHEA Grapalat" w:eastAsia="Times New Roman" w:hAnsi="GHEA Grapalat" w:cs="Times New Roman"/>
          <w:color w:val="auto"/>
          <w:lang w:val="hy-AM"/>
        </w:rPr>
        <w:t xml:space="preserve"> դրամ ուշացումների գծով </w:t>
      </w:r>
      <w:r w:rsidRPr="005A5E0C">
        <w:rPr>
          <w:rFonts w:ascii="GHEA Grapalat" w:eastAsia="Times New Roman" w:hAnsi="GHEA Grapalat" w:cs="Times New Roman"/>
          <w:color w:val="auto"/>
          <w:lang w:val="hy-AM"/>
        </w:rPr>
        <w:t xml:space="preserve">ծախսով և </w:t>
      </w:r>
      <w:r w:rsidR="003753CD">
        <w:rPr>
          <w:rFonts w:ascii="GHEA Grapalat" w:eastAsia="Times New Roman" w:hAnsi="GHEA Grapalat" w:cs="Times New Roman"/>
          <w:color w:val="auto"/>
          <w:lang w:val="hy-AM"/>
        </w:rPr>
        <w:t>0.</w:t>
      </w:r>
      <w:r w:rsidRPr="005A5E0C">
        <w:rPr>
          <w:rFonts w:ascii="GHEA Grapalat" w:eastAsia="Times New Roman" w:hAnsi="GHEA Grapalat" w:cs="Times New Roman"/>
          <w:color w:val="auto"/>
          <w:lang w:val="hy-AM"/>
        </w:rPr>
        <w:t>7</w:t>
      </w:r>
      <w:r w:rsidR="003753CD">
        <w:rPr>
          <w:rFonts w:ascii="GHEA Grapalat" w:eastAsia="Times New Roman" w:hAnsi="GHEA Grapalat" w:cs="Times New Roman"/>
          <w:color w:val="auto"/>
          <w:lang w:val="hy-AM"/>
        </w:rPr>
        <w:t>5</w:t>
      </w:r>
      <w:r w:rsidRPr="005A5E0C">
        <w:rPr>
          <w:rFonts w:ascii="GHEA Grapalat" w:eastAsia="Times New Roman" w:hAnsi="GHEA Grapalat" w:cs="Times New Roman"/>
          <w:color w:val="auto"/>
          <w:lang w:val="hy-AM"/>
        </w:rPr>
        <w:t xml:space="preserve"> մլ</w:t>
      </w:r>
      <w:r w:rsidR="003753CD">
        <w:rPr>
          <w:rFonts w:ascii="GHEA Grapalat" w:eastAsia="Times New Roman" w:hAnsi="GHEA Grapalat" w:cs="Times New Roman"/>
          <w:color w:val="auto"/>
          <w:lang w:val="hy-AM"/>
        </w:rPr>
        <w:t>րդ</w:t>
      </w:r>
      <w:r w:rsidRPr="005A5E0C">
        <w:rPr>
          <w:rFonts w:ascii="GHEA Grapalat" w:eastAsia="Times New Roman" w:hAnsi="GHEA Grapalat" w:cs="Times New Roman"/>
          <w:color w:val="auto"/>
          <w:lang w:val="hy-AM"/>
        </w:rPr>
        <w:t xml:space="preserve"> դրամ</w:t>
      </w:r>
      <w:r w:rsidRPr="000232DD">
        <w:rPr>
          <w:rFonts w:ascii="GHEA Grapalat" w:eastAsia="Times New Roman" w:hAnsi="GHEA Grapalat" w:cs="Times New Roman"/>
          <w:color w:val="auto"/>
          <w:lang w:val="hy-AM"/>
        </w:rPr>
        <w:t xml:space="preserve"> այլ ծախսերով։ Զուտ շահույթը՝ </w:t>
      </w:r>
      <w:r w:rsidR="003753CD">
        <w:rPr>
          <w:rFonts w:ascii="GHEA Grapalat" w:eastAsia="Times New Roman" w:hAnsi="GHEA Grapalat" w:cs="Times New Roman"/>
          <w:color w:val="auto"/>
          <w:lang w:val="hy-AM"/>
        </w:rPr>
        <w:t>0.</w:t>
      </w:r>
      <w:r w:rsidRPr="000232DD">
        <w:rPr>
          <w:rFonts w:ascii="GHEA Grapalat" w:eastAsia="Times New Roman" w:hAnsi="GHEA Grapalat" w:cs="Times New Roman"/>
          <w:color w:val="auto"/>
          <w:lang w:val="hy-AM"/>
        </w:rPr>
        <w:t>5</w:t>
      </w:r>
      <w:r w:rsidR="003753CD">
        <w:rPr>
          <w:rFonts w:ascii="GHEA Grapalat" w:eastAsia="Times New Roman" w:hAnsi="GHEA Grapalat" w:cs="Times New Roman"/>
          <w:color w:val="auto"/>
          <w:lang w:val="hy-AM"/>
        </w:rPr>
        <w:t>3</w:t>
      </w:r>
      <w:r w:rsidRPr="000232DD">
        <w:rPr>
          <w:rFonts w:ascii="GHEA Grapalat" w:eastAsia="Times New Roman" w:hAnsi="GHEA Grapalat" w:cs="Times New Roman"/>
          <w:color w:val="auto"/>
          <w:lang w:val="hy-AM"/>
        </w:rPr>
        <w:t xml:space="preserve"> մլ</w:t>
      </w:r>
      <w:r w:rsidR="003753CD">
        <w:rPr>
          <w:rFonts w:ascii="GHEA Grapalat" w:eastAsia="Times New Roman" w:hAnsi="GHEA Grapalat" w:cs="Times New Roman"/>
          <w:color w:val="auto"/>
          <w:lang w:val="hy-AM"/>
        </w:rPr>
        <w:t>րդ</w:t>
      </w:r>
      <w:r w:rsidRPr="000232DD">
        <w:rPr>
          <w:rFonts w:ascii="GHEA Grapalat" w:eastAsia="Times New Roman" w:hAnsi="GHEA Grapalat" w:cs="Times New Roman"/>
          <w:color w:val="auto"/>
          <w:lang w:val="hy-AM"/>
        </w:rPr>
        <w:t xml:space="preserve"> դրամ, ավելի դրական պատկեր է տալիս, սակայն դրա զգալի մասը ձևավորվել է </w:t>
      </w:r>
      <w:r w:rsidR="003753CD">
        <w:rPr>
          <w:rFonts w:ascii="GHEA Grapalat" w:eastAsia="Times New Roman" w:hAnsi="GHEA Grapalat" w:cs="Times New Roman"/>
          <w:color w:val="auto"/>
          <w:lang w:val="hy-AM"/>
        </w:rPr>
        <w:t>0.</w:t>
      </w:r>
      <w:r w:rsidRPr="000232DD">
        <w:rPr>
          <w:rFonts w:ascii="GHEA Grapalat" w:eastAsia="Times New Roman" w:hAnsi="GHEA Grapalat" w:cs="Times New Roman"/>
          <w:color w:val="auto"/>
          <w:lang w:val="hy-AM"/>
        </w:rPr>
        <w:t>31 մլ</w:t>
      </w:r>
      <w:r w:rsidR="003753CD">
        <w:rPr>
          <w:rFonts w:ascii="GHEA Grapalat" w:eastAsia="Times New Roman" w:hAnsi="GHEA Grapalat" w:cs="Times New Roman"/>
          <w:color w:val="auto"/>
          <w:lang w:val="hy-AM"/>
        </w:rPr>
        <w:t>րդ</w:t>
      </w:r>
      <w:r w:rsidRPr="000232DD">
        <w:rPr>
          <w:rFonts w:ascii="GHEA Grapalat" w:eastAsia="Times New Roman" w:hAnsi="GHEA Grapalat" w:cs="Times New Roman"/>
          <w:color w:val="auto"/>
          <w:lang w:val="hy-AM"/>
        </w:rPr>
        <w:t xml:space="preserve"> դրամ փոխարժեքային օգուտի և </w:t>
      </w:r>
      <w:r w:rsidR="003753CD">
        <w:rPr>
          <w:rFonts w:ascii="GHEA Grapalat" w:eastAsia="Times New Roman" w:hAnsi="GHEA Grapalat" w:cs="Times New Roman"/>
          <w:color w:val="auto"/>
          <w:lang w:val="hy-AM"/>
        </w:rPr>
        <w:t>0.</w:t>
      </w:r>
      <w:r w:rsidRPr="000232DD">
        <w:rPr>
          <w:rFonts w:ascii="GHEA Grapalat" w:eastAsia="Times New Roman" w:hAnsi="GHEA Grapalat" w:cs="Times New Roman"/>
          <w:color w:val="auto"/>
          <w:lang w:val="hy-AM"/>
        </w:rPr>
        <w:t>1</w:t>
      </w:r>
      <w:r w:rsidR="003753CD">
        <w:rPr>
          <w:rFonts w:ascii="GHEA Grapalat" w:eastAsia="Times New Roman" w:hAnsi="GHEA Grapalat" w:cs="Times New Roman"/>
          <w:color w:val="auto"/>
          <w:lang w:val="hy-AM"/>
        </w:rPr>
        <w:t>3</w:t>
      </w:r>
      <w:r w:rsidRPr="000232DD">
        <w:rPr>
          <w:rFonts w:ascii="GHEA Grapalat" w:eastAsia="Times New Roman" w:hAnsi="GHEA Grapalat" w:cs="Times New Roman"/>
          <w:color w:val="auto"/>
          <w:lang w:val="hy-AM"/>
        </w:rPr>
        <w:t xml:space="preserve"> մլ</w:t>
      </w:r>
      <w:r w:rsidR="003753CD">
        <w:rPr>
          <w:rFonts w:ascii="GHEA Grapalat" w:eastAsia="Times New Roman" w:hAnsi="GHEA Grapalat" w:cs="Times New Roman"/>
          <w:color w:val="auto"/>
          <w:lang w:val="hy-AM"/>
        </w:rPr>
        <w:t>րդ</w:t>
      </w:r>
      <w:r w:rsidRPr="000232DD">
        <w:rPr>
          <w:rFonts w:ascii="GHEA Grapalat" w:eastAsia="Times New Roman" w:hAnsi="GHEA Grapalat" w:cs="Times New Roman"/>
          <w:color w:val="auto"/>
          <w:lang w:val="hy-AM"/>
        </w:rPr>
        <w:t xml:space="preserve"> դրամ հարկային փոխհատուցման հաշվին։ Հետևաբար, ընկերության հիմնական գործունեության շահութաբերությունը դեռևս համեմատաբար ցածր է։</w:t>
      </w:r>
    </w:p>
    <w:p w14:paraId="7184B84F" w14:textId="180D15B4" w:rsidR="00802FF2" w:rsidRPr="000232DD" w:rsidRDefault="00802FF2" w:rsidP="00082769">
      <w:pPr>
        <w:spacing w:before="40" w:after="60" w:line="312" w:lineRule="auto"/>
        <w:ind w:right="-22"/>
        <w:jc w:val="both"/>
        <w:rPr>
          <w:rFonts w:ascii="GHEA Grapalat" w:eastAsia="Times New Roman" w:hAnsi="GHEA Grapalat" w:cs="Times New Roman"/>
          <w:b/>
          <w:color w:val="auto"/>
          <w:sz w:val="24"/>
          <w:szCs w:val="24"/>
          <w:lang w:val="hy-AM"/>
        </w:rPr>
      </w:pPr>
      <w:r w:rsidRPr="000232DD">
        <w:rPr>
          <w:rFonts w:ascii="GHEA Grapalat" w:eastAsia="Times New Roman" w:hAnsi="GHEA Grapalat" w:cs="Times New Roman"/>
          <w:color w:val="auto"/>
          <w:lang w:val="hy-AM"/>
        </w:rPr>
        <w:t>Իրացվելիության վիճակը 2024թ. համեմատ էականորեն բարելավվել է</w:t>
      </w:r>
      <w:r w:rsidRPr="000232DD">
        <w:rPr>
          <w:rFonts w:ascii="Cambria Math" w:eastAsia="Times New Roman" w:hAnsi="Cambria Math" w:cs="Cambria Math"/>
          <w:color w:val="auto"/>
          <w:lang w:val="hy-AM"/>
        </w:rPr>
        <w:t>․</w:t>
      </w:r>
      <w:r w:rsidRPr="000232DD">
        <w:rPr>
          <w:rFonts w:ascii="GHEA Grapalat" w:eastAsia="Times New Roman" w:hAnsi="GHEA Grapalat" w:cs="Times New Roman"/>
          <w:color w:val="auto"/>
          <w:lang w:val="hy-AM"/>
        </w:rPr>
        <w:t xml:space="preserve"> գործառնական գործո</w:t>
      </w:r>
      <w:r w:rsidR="003753CD">
        <w:rPr>
          <w:rFonts w:ascii="GHEA Grapalat" w:eastAsia="Times New Roman" w:hAnsi="GHEA Grapalat" w:cs="Times New Roman"/>
          <w:color w:val="auto"/>
          <w:lang w:val="hy-AM"/>
        </w:rPr>
        <w:t>ւնեությունից 2025թ. ստացվել է 2.</w:t>
      </w:r>
      <w:r w:rsidRPr="000232DD">
        <w:rPr>
          <w:rFonts w:ascii="GHEA Grapalat" w:eastAsia="Times New Roman" w:hAnsi="GHEA Grapalat" w:cs="Times New Roman"/>
          <w:color w:val="auto"/>
          <w:lang w:val="hy-AM"/>
        </w:rPr>
        <w:t>37 մլրդ դրամ դրական դրամական հոսք, իսկ դրամական միջոցների</w:t>
      </w:r>
      <w:r w:rsidR="003753CD">
        <w:rPr>
          <w:rFonts w:ascii="GHEA Grapalat" w:eastAsia="Times New Roman" w:hAnsi="GHEA Grapalat" w:cs="Times New Roman"/>
          <w:color w:val="auto"/>
          <w:lang w:val="hy-AM"/>
        </w:rPr>
        <w:t xml:space="preserve"> մնացորդը տարեվերջին կազմել է 1.</w:t>
      </w:r>
      <w:r w:rsidRPr="000232DD">
        <w:rPr>
          <w:rFonts w:ascii="GHEA Grapalat" w:eastAsia="Times New Roman" w:hAnsi="GHEA Grapalat" w:cs="Times New Roman"/>
          <w:color w:val="auto"/>
          <w:lang w:val="hy-AM"/>
        </w:rPr>
        <w:t xml:space="preserve">38 մլրդ դրամ։ Միաժամանակ, շրջանառու կապիտալը կազմում է ընդամենը </w:t>
      </w:r>
      <w:r w:rsidR="003753CD">
        <w:rPr>
          <w:rFonts w:ascii="GHEA Grapalat" w:eastAsia="Times New Roman" w:hAnsi="GHEA Grapalat" w:cs="Times New Roman"/>
          <w:color w:val="auto"/>
          <w:lang w:val="hy-AM"/>
        </w:rPr>
        <w:t>0.</w:t>
      </w:r>
      <w:r w:rsidRPr="000232DD">
        <w:rPr>
          <w:rFonts w:ascii="GHEA Grapalat" w:eastAsia="Times New Roman" w:hAnsi="GHEA Grapalat" w:cs="Times New Roman"/>
          <w:color w:val="auto"/>
          <w:lang w:val="hy-AM"/>
        </w:rPr>
        <w:t>2</w:t>
      </w:r>
      <w:r w:rsidR="003753CD">
        <w:rPr>
          <w:rFonts w:ascii="GHEA Grapalat" w:eastAsia="Times New Roman" w:hAnsi="GHEA Grapalat" w:cs="Times New Roman"/>
          <w:color w:val="auto"/>
          <w:lang w:val="hy-AM"/>
        </w:rPr>
        <w:t>4</w:t>
      </w:r>
      <w:r w:rsidRPr="000232DD">
        <w:rPr>
          <w:rFonts w:ascii="GHEA Grapalat" w:eastAsia="Times New Roman" w:hAnsi="GHEA Grapalat" w:cs="Times New Roman"/>
          <w:color w:val="auto"/>
          <w:lang w:val="hy-AM"/>
        </w:rPr>
        <w:t xml:space="preserve"> մլ</w:t>
      </w:r>
      <w:r w:rsidR="003753CD">
        <w:rPr>
          <w:rFonts w:ascii="GHEA Grapalat" w:eastAsia="Times New Roman" w:hAnsi="GHEA Grapalat" w:cs="Times New Roman"/>
          <w:color w:val="auto"/>
          <w:lang w:val="hy-AM"/>
        </w:rPr>
        <w:t>րդ</w:t>
      </w:r>
      <w:r w:rsidRPr="000232DD">
        <w:rPr>
          <w:rFonts w:ascii="GHEA Grapalat" w:eastAsia="Times New Roman" w:hAnsi="GHEA Grapalat" w:cs="Times New Roman"/>
          <w:color w:val="auto"/>
          <w:lang w:val="hy-AM"/>
        </w:rPr>
        <w:t xml:space="preserve"> դրամ, իսկ առաջիկա 12 ամսվա պայմանագրային վճարումները՝ ներառյալ վարկերի տոկոսները և</w:t>
      </w:r>
      <w:r w:rsidR="003753CD">
        <w:rPr>
          <w:rFonts w:ascii="GHEA Grapalat" w:eastAsia="Times New Roman" w:hAnsi="GHEA Grapalat" w:cs="Times New Roman"/>
          <w:color w:val="auto"/>
          <w:lang w:val="hy-AM"/>
        </w:rPr>
        <w:t xml:space="preserve"> կրեդիտորական պարտքերը, շուրջ 3.</w:t>
      </w:r>
      <w:r w:rsidRPr="000232DD">
        <w:rPr>
          <w:rFonts w:ascii="GHEA Grapalat" w:eastAsia="Times New Roman" w:hAnsi="GHEA Grapalat" w:cs="Times New Roman"/>
          <w:color w:val="auto"/>
          <w:lang w:val="hy-AM"/>
        </w:rPr>
        <w:t>0 մլրդ դրամ են։ Հատկանշական է նաև, որ գործունեության անընդհատության գնահատման շրջանակում բաժնետերերը պարտավորվել են, անհրաժեշտության դեպքում, առնվազն հաջորդ 12 ամիսների ընթացքում ընկերությանը ֆինանսական աջակցություն տրամադրել։</w:t>
      </w:r>
    </w:p>
    <w:p w14:paraId="0B9FAB3C" w14:textId="3D875FE4" w:rsidR="00802FF2" w:rsidRPr="000232DD" w:rsidRDefault="00802FF2" w:rsidP="00082769">
      <w:pPr>
        <w:spacing w:before="40" w:after="60" w:line="312" w:lineRule="auto"/>
        <w:ind w:right="-22"/>
        <w:jc w:val="both"/>
        <w:rPr>
          <w:rFonts w:ascii="GHEA Grapalat" w:eastAsia="Times New Roman" w:hAnsi="GHEA Grapalat" w:cs="Times New Roman"/>
          <w:b/>
          <w:color w:val="auto"/>
          <w:sz w:val="24"/>
          <w:szCs w:val="24"/>
          <w:lang w:val="hy-AM"/>
        </w:rPr>
      </w:pPr>
      <w:r w:rsidRPr="000232DD">
        <w:rPr>
          <w:rFonts w:ascii="GHEA Grapalat" w:eastAsia="Times New Roman" w:hAnsi="GHEA Grapalat" w:cs="Times New Roman"/>
          <w:color w:val="auto"/>
          <w:lang w:val="hy-AM"/>
        </w:rPr>
        <w:t>Ընկերությունը շարունակում է ունենալ բարձր լծակ</w:t>
      </w:r>
      <w:r w:rsidRPr="000232DD">
        <w:rPr>
          <w:rFonts w:ascii="Cambria Math" w:eastAsia="Times New Roman" w:hAnsi="Cambria Math" w:cs="Cambria Math"/>
          <w:color w:val="auto"/>
          <w:lang w:val="hy-AM"/>
        </w:rPr>
        <w:t>․</w:t>
      </w:r>
      <w:r w:rsidRPr="000232DD">
        <w:rPr>
          <w:rFonts w:ascii="GHEA Grapalat" w:eastAsia="Times New Roman" w:hAnsi="GHEA Grapalat" w:cs="Times New Roman"/>
          <w:color w:val="auto"/>
          <w:lang w:val="hy-AM"/>
        </w:rPr>
        <w:t xml:space="preserve"> վարկային պարտավորությունների հ</w:t>
      </w:r>
      <w:r w:rsidR="003753CD">
        <w:rPr>
          <w:rFonts w:ascii="GHEA Grapalat" w:eastAsia="Times New Roman" w:hAnsi="GHEA Grapalat" w:cs="Times New Roman"/>
          <w:color w:val="auto"/>
          <w:lang w:val="hy-AM"/>
        </w:rPr>
        <w:t>աշվեկշռային արժեքը կազմում է 12.3 մլրդ դրամ, սեփական կապիտալը՝ 5.</w:t>
      </w:r>
      <w:r w:rsidRPr="000232DD">
        <w:rPr>
          <w:rFonts w:ascii="GHEA Grapalat" w:eastAsia="Times New Roman" w:hAnsi="GHEA Grapalat" w:cs="Times New Roman"/>
          <w:color w:val="auto"/>
          <w:lang w:val="hy-AM"/>
        </w:rPr>
        <w:t>8 մլրդ դրամ։ Դրական գործոն է վարկերի երկարաժամկետ բնույթը՝ հիմնական ֆինանսավորումը մարվում է մինչև 2043թ.։ Միաժամանակ, նախագծի բոլոր շարժական և անշարժ ակտիվները գրավադրված են վարկատուների օգտին։</w:t>
      </w:r>
    </w:p>
    <w:p w14:paraId="0778CC15" w14:textId="77777777" w:rsidR="00802FF2" w:rsidRPr="000232DD" w:rsidRDefault="00802FF2" w:rsidP="00082769">
      <w:pPr>
        <w:spacing w:before="40" w:after="60" w:line="312" w:lineRule="auto"/>
        <w:ind w:right="-22"/>
        <w:jc w:val="both"/>
        <w:rPr>
          <w:rFonts w:ascii="GHEA Grapalat" w:eastAsia="Times New Roman" w:hAnsi="GHEA Grapalat" w:cs="Times New Roman"/>
          <w:b/>
          <w:color w:val="auto"/>
          <w:sz w:val="24"/>
          <w:szCs w:val="24"/>
          <w:lang w:val="hy-AM"/>
        </w:rPr>
      </w:pPr>
      <w:r w:rsidRPr="000232DD">
        <w:rPr>
          <w:rFonts w:ascii="GHEA Grapalat" w:eastAsia="Times New Roman" w:hAnsi="GHEA Grapalat" w:cs="Times New Roman"/>
          <w:color w:val="auto"/>
          <w:lang w:val="hy-AM"/>
        </w:rPr>
        <w:t>Հիմնական պայմանական պարտավորությունը վաղաժամ դադարեցումն է՝ ՀՀ Կառավարության տարբեր հիմքերով գործողությունների հետևանքով. (ա) ՀՀ Կառավարությունը չի կատարում իր կողմից պարտավորություն հանդիսացող որևէ վճար, (բ) որևէ պետական մարմնի կողմից էքսպրոպրիացիայի կամ հարկադիր ձեռքբերման է ենթարկվել ծրագրի տարածքը, կայանը, գ) ՀՀ Կառավարությանը վերաբերող անվճարունակության դեպք, դ) Օրենքի փոփոխություն կամ անբարենպաստ պայմանի դեպք, ե) ՀՀ Կառավարության կողմից Համաձայնագրի ցանկացած այլ էական խախտում:</w:t>
      </w:r>
    </w:p>
    <w:p w14:paraId="4039E658" w14:textId="6D361988" w:rsidR="00802FF2" w:rsidRPr="000232DD" w:rsidRDefault="00802FF2" w:rsidP="00082769">
      <w:pPr>
        <w:spacing w:before="40" w:after="60" w:line="312" w:lineRule="auto"/>
        <w:ind w:right="-22"/>
        <w:jc w:val="both"/>
        <w:rPr>
          <w:rFonts w:ascii="GHEA Grapalat" w:eastAsia="Times New Roman" w:hAnsi="GHEA Grapalat" w:cs="Times New Roman"/>
          <w:b/>
          <w:color w:val="auto"/>
          <w:sz w:val="24"/>
          <w:szCs w:val="24"/>
          <w:lang w:val="hy-AM"/>
        </w:rPr>
      </w:pPr>
      <w:r w:rsidRPr="000232DD">
        <w:rPr>
          <w:rFonts w:ascii="GHEA Grapalat" w:eastAsia="Times New Roman" w:hAnsi="GHEA Grapalat" w:cs="Times New Roman"/>
          <w:color w:val="auto"/>
          <w:lang w:val="hy-AM"/>
        </w:rPr>
        <w:t>Հաշվարկվել է առավելագույնը 18</w:t>
      </w:r>
      <w:r w:rsidR="003753CD">
        <w:rPr>
          <w:rFonts w:ascii="GHEA Grapalat" w:eastAsia="Times New Roman" w:hAnsi="GHEA Grapalat" w:cs="Times New Roman"/>
          <w:color w:val="auto"/>
          <w:lang w:val="hy-AM"/>
        </w:rPr>
        <w:t>.</w:t>
      </w:r>
      <w:r w:rsidRPr="000232DD">
        <w:rPr>
          <w:rFonts w:ascii="GHEA Grapalat" w:eastAsia="Times New Roman" w:hAnsi="GHEA Grapalat" w:cs="Times New Roman"/>
          <w:color w:val="auto"/>
          <w:lang w:val="hy-AM"/>
        </w:rPr>
        <w:t xml:space="preserve">5 մլրդ ՀՀ դրամի փոխհատուցում՝ ըստ պայմանագրով սահմանված վաղաժամ դադարեցման դրույթի: </w:t>
      </w:r>
    </w:p>
    <w:p w14:paraId="084697F6" w14:textId="77777777" w:rsidR="00802FF2" w:rsidRPr="000232DD" w:rsidRDefault="00802FF2" w:rsidP="00082769">
      <w:pPr>
        <w:spacing w:before="40" w:after="60" w:line="312" w:lineRule="auto"/>
        <w:ind w:right="-22"/>
        <w:jc w:val="both"/>
        <w:rPr>
          <w:rFonts w:ascii="GHEA Grapalat" w:eastAsia="Times New Roman" w:hAnsi="GHEA Grapalat" w:cs="Times New Roman"/>
          <w:b/>
          <w:color w:val="auto"/>
          <w:sz w:val="24"/>
          <w:szCs w:val="24"/>
          <w:lang w:val="hy-AM"/>
        </w:rPr>
      </w:pPr>
      <w:r w:rsidRPr="000232DD">
        <w:rPr>
          <w:rFonts w:ascii="GHEA Grapalat" w:eastAsia="Times New Roman" w:hAnsi="GHEA Grapalat" w:cs="Times New Roman"/>
          <w:color w:val="auto"/>
          <w:lang w:val="hy-AM"/>
        </w:rPr>
        <w:t>Նախորդ տարվա համեմատ, էականորեն նվազել է տվյալ ծրագրի ռիսկի նյութականացման հավանականությունը և հարկաբյուջետային ռիսկի կարգավիճակը գնահատվում է «ցածր»։</w:t>
      </w:r>
    </w:p>
    <w:p w14:paraId="1740719D" w14:textId="77777777" w:rsidR="00802FF2" w:rsidRPr="000232DD" w:rsidRDefault="00802FF2" w:rsidP="00082769">
      <w:pPr>
        <w:spacing w:before="40" w:after="60"/>
        <w:ind w:right="-22"/>
        <w:jc w:val="both"/>
        <w:rPr>
          <w:rFonts w:ascii="GHEA Grapalat" w:eastAsia="Times New Roman" w:hAnsi="GHEA Grapalat" w:cs="Times New Roman"/>
          <w:color w:val="auto"/>
          <w:lang w:val="hy-AM"/>
        </w:rPr>
      </w:pPr>
    </w:p>
    <w:p w14:paraId="1E53652F" w14:textId="77777777" w:rsidR="00802FF2" w:rsidRPr="000232DD" w:rsidRDefault="00802FF2" w:rsidP="00082769">
      <w:pPr>
        <w:spacing w:before="40" w:after="60"/>
        <w:ind w:right="-22"/>
        <w:jc w:val="both"/>
        <w:rPr>
          <w:rFonts w:ascii="GHEA Grapalat" w:eastAsia="Times New Roman" w:hAnsi="GHEA Grapalat" w:cs="Times New Roman"/>
          <w:b/>
          <w:color w:val="auto"/>
          <w:lang w:val="hy-AM"/>
        </w:rPr>
      </w:pPr>
      <w:r w:rsidRPr="000232DD">
        <w:rPr>
          <w:rFonts w:ascii="GHEA Grapalat" w:eastAsia="Times New Roman" w:hAnsi="GHEA Grapalat" w:cs="Times New Roman"/>
          <w:b/>
          <w:color w:val="auto"/>
          <w:lang w:val="hy-AM"/>
        </w:rPr>
        <w:t>«ՀԱՅՓԱՍ» ՓԲԸ ԿԵՆՍԱՉԱՓԱԿԱՆ ԱՆՁՆԱԳՐԵՐ ԵՎ ՆՈՒՅՆԱԿԱՆԱՑՄԱՆ ՔԱՐՏԵՐԻ ՏՐԱՄԱԴՐՈՒՄ</w:t>
      </w:r>
    </w:p>
    <w:p w14:paraId="005D8B0E" w14:textId="77777777" w:rsidR="00802FF2" w:rsidRPr="000232DD" w:rsidRDefault="00802FF2" w:rsidP="00082769">
      <w:pPr>
        <w:spacing w:before="40" w:after="60"/>
        <w:ind w:right="-22"/>
        <w:jc w:val="both"/>
        <w:rPr>
          <w:rFonts w:ascii="GHEA Grapalat" w:eastAsia="Times New Roman" w:hAnsi="GHEA Grapalat" w:cs="Times New Roman"/>
          <w:b/>
          <w:color w:val="auto"/>
          <w:lang w:val="hy-AM"/>
        </w:rPr>
      </w:pPr>
      <w:r w:rsidRPr="000232DD">
        <w:rPr>
          <w:rFonts w:ascii="GHEA Grapalat" w:eastAsia="Times New Roman" w:hAnsi="GHEA Grapalat" w:cs="Times New Roman"/>
          <w:color w:val="auto"/>
          <w:lang w:val="hy-AM"/>
        </w:rPr>
        <w:t>2025թ.-ին ՀՀ ՆԳՆ-ն ամփոփել է կենսաչափական անձնագրերի և նույնականացման քարտերի համակարգի ներդրման համար կազմակերպության ընտրության մրցույթի արդյունքները, ըստ որի՝ հաղթող է ճանաչվել «IDEMIA Identity Security France և A.C.I. Technology S.à.r.l.» կոնսորցիումը։ Այս պայմանագիրը առաջինն է, որ ստորագրվել է ՊՄԳ օրենսդրական շրջանակին համապատասխան: Ծրագիրը անցել է ներդրումային փուլ 2025թ.-ի նոյեմբերին, և ակնկալվում է, որ 2026թ.-ի նոյեմբերից կներդրվի կենսաչափական անձնագրերի տրամադրման նոր համակարգը։</w:t>
      </w:r>
    </w:p>
    <w:p w14:paraId="1FAC366F" w14:textId="77777777" w:rsidR="00802FF2" w:rsidRPr="000232DD" w:rsidRDefault="00802FF2" w:rsidP="00082769">
      <w:pPr>
        <w:spacing w:before="40" w:after="60"/>
        <w:ind w:right="-22"/>
        <w:jc w:val="both"/>
        <w:rPr>
          <w:rFonts w:ascii="GHEA Grapalat" w:eastAsia="Times New Roman" w:hAnsi="GHEA Grapalat" w:cs="Times New Roman"/>
          <w:b/>
          <w:color w:val="auto"/>
          <w:lang w:val="hy-AM"/>
        </w:rPr>
      </w:pPr>
      <w:r w:rsidRPr="000232DD">
        <w:rPr>
          <w:rFonts w:ascii="GHEA Grapalat" w:eastAsia="Times New Roman" w:hAnsi="GHEA Grapalat" w:cs="Times New Roman"/>
          <w:color w:val="auto"/>
          <w:lang w:val="hy-AM"/>
        </w:rPr>
        <w:t>Այս ծրագրի պայմանական պարտավորություններն են` պայմանագրի վաղաժամ դադարեցման, նվազագույն ծավալի երաշխիքից բխող պարտավորությունները և գնաճի ու փոխարժեքի ազդեցության երաշխիքները: Վաղաժամ դադարեցման վճարը հաշվարկվում է հետևյալ կերպ՝ ներգրավված պարտքը և դրա մարման հետ կապված լրացուցիչ ծախսեր գումարած փոխհատուցվող սեփական կապիտալ։ Այս փուլում առանց ֆինանսական հաշվետվությունների այս պայմանական պարտավորության չափը հաշվարկել հնարավոր չէ։</w:t>
      </w:r>
    </w:p>
    <w:p w14:paraId="2CB10975" w14:textId="77777777" w:rsidR="00802FF2" w:rsidRPr="000232DD" w:rsidRDefault="00802FF2" w:rsidP="00082769">
      <w:pPr>
        <w:spacing w:before="40" w:after="60"/>
        <w:ind w:right="-22"/>
        <w:jc w:val="both"/>
        <w:rPr>
          <w:rFonts w:ascii="GHEA Grapalat" w:eastAsia="Times New Roman" w:hAnsi="GHEA Grapalat" w:cs="Times New Roman"/>
          <w:b/>
          <w:color w:val="auto"/>
          <w:lang w:val="hy-AM"/>
        </w:rPr>
      </w:pPr>
    </w:p>
    <w:p w14:paraId="1EC49A28" w14:textId="77777777" w:rsidR="00802FF2" w:rsidRPr="000232DD" w:rsidRDefault="00802FF2" w:rsidP="00082769">
      <w:pPr>
        <w:spacing w:before="40" w:after="60"/>
        <w:ind w:right="-22"/>
        <w:jc w:val="both"/>
        <w:rPr>
          <w:rFonts w:ascii="GHEA Grapalat" w:eastAsia="Times New Roman" w:hAnsi="GHEA Grapalat" w:cs="Times New Roman"/>
          <w:b/>
          <w:color w:val="auto"/>
          <w:lang w:val="hy-AM"/>
        </w:rPr>
      </w:pPr>
      <w:r w:rsidRPr="000232DD">
        <w:rPr>
          <w:rFonts w:ascii="GHEA Grapalat" w:eastAsia="Times New Roman" w:hAnsi="GHEA Grapalat" w:cs="Times New Roman"/>
          <w:b/>
          <w:color w:val="auto"/>
          <w:lang w:val="hy-AM"/>
        </w:rPr>
        <w:t xml:space="preserve">ՊԱՅՄԱՆԱԿԱՆ ՊԱՐՏԱՎՈՐՈՒԹՅՈՒՆՆԵՐԻ ԱՄՓՈՓ ՀԱՇՎԱՐԿ </w:t>
      </w:r>
    </w:p>
    <w:p w14:paraId="70071C35" w14:textId="043ABC3B" w:rsidR="00802FF2" w:rsidRPr="00A52417" w:rsidRDefault="00802FF2" w:rsidP="00A52417">
      <w:pPr>
        <w:pStyle w:val="Charts"/>
        <w:ind w:right="-22"/>
        <w:rPr>
          <w:b w:val="0"/>
          <w:bCs/>
          <w:color w:val="auto"/>
          <w:sz w:val="20"/>
          <w:szCs w:val="18"/>
        </w:rPr>
      </w:pPr>
      <w:r w:rsidRPr="00A52417">
        <w:rPr>
          <w:b w:val="0"/>
          <w:bCs/>
          <w:color w:val="auto"/>
          <w:sz w:val="20"/>
          <w:szCs w:val="18"/>
        </w:rPr>
        <w:t>Աղյուսակ 8. ՊՄԳ ծրագրերի գծով պայմանական պարտավորությունների ամփոփ հաշվարկ, 2025թ</w:t>
      </w:r>
      <w:r w:rsidR="003753CD" w:rsidRPr="00A52417">
        <w:rPr>
          <w:b w:val="0"/>
          <w:bCs/>
          <w:color w:val="auto"/>
          <w:sz w:val="20"/>
          <w:szCs w:val="18"/>
        </w:rPr>
        <w:t xml:space="preserve">., </w:t>
      </w:r>
      <w:r w:rsidRPr="00A52417">
        <w:rPr>
          <w:b w:val="0"/>
          <w:bCs/>
          <w:color w:val="auto"/>
          <w:sz w:val="20"/>
          <w:szCs w:val="18"/>
        </w:rPr>
        <w:t>(մլրդ ՀՀ դրամ)</w:t>
      </w:r>
    </w:p>
    <w:tbl>
      <w:tblPr>
        <w:tblW w:w="9805" w:type="dxa"/>
        <w:jc w:val="center"/>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ook w:val="04E0" w:firstRow="1" w:lastRow="1" w:firstColumn="1" w:lastColumn="0" w:noHBand="0" w:noVBand="1"/>
      </w:tblPr>
      <w:tblGrid>
        <w:gridCol w:w="2610"/>
        <w:gridCol w:w="1379"/>
        <w:gridCol w:w="1946"/>
        <w:gridCol w:w="1710"/>
        <w:gridCol w:w="2160"/>
      </w:tblGrid>
      <w:tr w:rsidR="004C0C21" w:rsidRPr="000232DD" w14:paraId="19AB77A2" w14:textId="77777777" w:rsidTr="001226F0">
        <w:trPr>
          <w:trHeight w:val="310"/>
          <w:jc w:val="center"/>
        </w:trPr>
        <w:tc>
          <w:tcPr>
            <w:tcW w:w="2610" w:type="dxa"/>
            <w:shd w:val="clear" w:color="auto" w:fill="9CC2E5"/>
            <w:vAlign w:val="center"/>
          </w:tcPr>
          <w:p w14:paraId="5BD21CB5" w14:textId="77777777" w:rsidR="00802FF2" w:rsidRPr="000232DD" w:rsidRDefault="00802FF2" w:rsidP="00082769">
            <w:pPr>
              <w:spacing w:before="40" w:after="60"/>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Ծրագրի անվանում</w:t>
            </w:r>
          </w:p>
        </w:tc>
        <w:tc>
          <w:tcPr>
            <w:tcW w:w="1379" w:type="dxa"/>
            <w:shd w:val="clear" w:color="auto" w:fill="9CC2E5"/>
            <w:vAlign w:val="center"/>
          </w:tcPr>
          <w:p w14:paraId="26A4248C" w14:textId="77777777" w:rsidR="00802FF2" w:rsidRPr="000232DD" w:rsidRDefault="00802FF2" w:rsidP="00082769">
            <w:pPr>
              <w:spacing w:before="40" w:after="60"/>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Այլ ՊՊ</w:t>
            </w:r>
          </w:p>
        </w:tc>
        <w:tc>
          <w:tcPr>
            <w:tcW w:w="1946" w:type="dxa"/>
            <w:shd w:val="clear" w:color="auto" w:fill="9CC2E5"/>
            <w:vAlign w:val="center"/>
          </w:tcPr>
          <w:p w14:paraId="021ACBB5" w14:textId="77777777" w:rsidR="00802FF2" w:rsidRPr="000232DD" w:rsidRDefault="00802FF2" w:rsidP="00082769">
            <w:pPr>
              <w:spacing w:before="40" w:after="60"/>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Վաղաժամ դադարեցում</w:t>
            </w:r>
          </w:p>
        </w:tc>
        <w:tc>
          <w:tcPr>
            <w:tcW w:w="1710" w:type="dxa"/>
            <w:shd w:val="clear" w:color="auto" w:fill="9CC2E5"/>
            <w:vAlign w:val="center"/>
          </w:tcPr>
          <w:p w14:paraId="59057EBF" w14:textId="77777777" w:rsidR="00802FF2" w:rsidRPr="000232DD" w:rsidRDefault="00802FF2" w:rsidP="00082769">
            <w:pPr>
              <w:spacing w:before="40" w:after="60"/>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Ընդհանուր ՊՊ</w:t>
            </w:r>
          </w:p>
        </w:tc>
        <w:tc>
          <w:tcPr>
            <w:tcW w:w="2160" w:type="dxa"/>
            <w:shd w:val="clear" w:color="auto" w:fill="9CC2E5"/>
            <w:vAlign w:val="center"/>
          </w:tcPr>
          <w:p w14:paraId="42DC54BC" w14:textId="77777777" w:rsidR="00802FF2" w:rsidRPr="000232DD" w:rsidRDefault="00802FF2" w:rsidP="00082769">
            <w:pPr>
              <w:spacing w:before="40" w:after="60"/>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ՀՆԱ նկատմամբ, %</w:t>
            </w:r>
          </w:p>
        </w:tc>
      </w:tr>
      <w:tr w:rsidR="004C0C21" w:rsidRPr="000232DD" w14:paraId="633FF967" w14:textId="77777777" w:rsidTr="001226F0">
        <w:trPr>
          <w:trHeight w:val="310"/>
          <w:jc w:val="center"/>
        </w:trPr>
        <w:tc>
          <w:tcPr>
            <w:tcW w:w="2610" w:type="dxa"/>
            <w:shd w:val="clear" w:color="auto" w:fill="auto"/>
            <w:vAlign w:val="center"/>
          </w:tcPr>
          <w:p w14:paraId="62193254"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«Հարավկովկասյան երկաթուղի» ՓԲԸ</w:t>
            </w:r>
          </w:p>
        </w:tc>
        <w:tc>
          <w:tcPr>
            <w:tcW w:w="1379" w:type="dxa"/>
            <w:shd w:val="clear" w:color="auto" w:fill="auto"/>
            <w:vAlign w:val="center"/>
          </w:tcPr>
          <w:p w14:paraId="7BACAE5B" w14:textId="77777777" w:rsidR="00802FF2" w:rsidRPr="000232DD" w:rsidRDefault="00802FF2" w:rsidP="00082769">
            <w:pPr>
              <w:spacing w:before="40" w:after="60"/>
              <w:ind w:right="-22"/>
              <w:jc w:val="right"/>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27</w:t>
            </w:r>
            <w:r w:rsidRPr="000232DD">
              <w:rPr>
                <w:rFonts w:ascii="GHEA Grapalat" w:eastAsia="Times New Roman" w:hAnsi="GHEA Grapalat" w:cs="Times New Roman"/>
                <w:color w:val="auto"/>
                <w:sz w:val="20"/>
                <w:szCs w:val="20"/>
                <w:vertAlign w:val="superscript"/>
              </w:rPr>
              <w:footnoteReference w:id="35"/>
            </w:r>
            <w:r w:rsidRPr="000232DD">
              <w:rPr>
                <w:rFonts w:ascii="Calibri" w:eastAsia="Times New Roman" w:hAnsi="Calibri" w:cs="Calibri"/>
                <w:color w:val="auto"/>
                <w:sz w:val="20"/>
                <w:szCs w:val="20"/>
              </w:rPr>
              <w:t> </w:t>
            </w:r>
          </w:p>
        </w:tc>
        <w:tc>
          <w:tcPr>
            <w:tcW w:w="1946" w:type="dxa"/>
            <w:shd w:val="clear" w:color="auto" w:fill="auto"/>
            <w:vAlign w:val="center"/>
          </w:tcPr>
          <w:p w14:paraId="2AA9E434"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lang w:val="hy-AM"/>
              </w:rPr>
            </w:pPr>
            <w:r w:rsidRPr="000232DD">
              <w:rPr>
                <w:rFonts w:ascii="GHEA Grapalat" w:eastAsia="Times New Roman" w:hAnsi="GHEA Grapalat" w:cs="Times New Roman"/>
                <w:color w:val="auto"/>
                <w:sz w:val="20"/>
                <w:szCs w:val="20"/>
                <w:lang w:val="hy-AM"/>
              </w:rPr>
              <w:t>100</w:t>
            </w:r>
          </w:p>
        </w:tc>
        <w:tc>
          <w:tcPr>
            <w:tcW w:w="1710" w:type="dxa"/>
            <w:shd w:val="clear" w:color="auto" w:fill="auto"/>
            <w:vAlign w:val="center"/>
          </w:tcPr>
          <w:p w14:paraId="52A45E34"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lang w:val="hy-AM"/>
              </w:rPr>
            </w:pPr>
            <w:r w:rsidRPr="000232DD">
              <w:rPr>
                <w:rFonts w:ascii="GHEA Grapalat" w:eastAsia="Times New Roman" w:hAnsi="GHEA Grapalat" w:cs="Times New Roman"/>
                <w:color w:val="auto"/>
                <w:sz w:val="20"/>
                <w:szCs w:val="20"/>
                <w:lang w:val="hy-AM"/>
              </w:rPr>
              <w:t>100</w:t>
            </w:r>
          </w:p>
        </w:tc>
        <w:tc>
          <w:tcPr>
            <w:tcW w:w="2160" w:type="dxa"/>
            <w:shd w:val="clear" w:color="auto" w:fill="auto"/>
            <w:vAlign w:val="center"/>
          </w:tcPr>
          <w:p w14:paraId="06BEDD64"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lang w:val="hy-AM"/>
              </w:rPr>
              <w:t>0.9</w:t>
            </w:r>
          </w:p>
        </w:tc>
      </w:tr>
      <w:tr w:rsidR="004C0C21" w:rsidRPr="000232DD" w14:paraId="1AE5B59A" w14:textId="77777777" w:rsidTr="001226F0">
        <w:trPr>
          <w:trHeight w:val="310"/>
          <w:jc w:val="center"/>
        </w:trPr>
        <w:tc>
          <w:tcPr>
            <w:tcW w:w="2610" w:type="dxa"/>
            <w:shd w:val="clear" w:color="auto" w:fill="auto"/>
            <w:vAlign w:val="center"/>
          </w:tcPr>
          <w:p w14:paraId="284FC77A"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«Վեոլիա Ջուր» ՓԲԸ</w:t>
            </w:r>
          </w:p>
        </w:tc>
        <w:tc>
          <w:tcPr>
            <w:tcW w:w="1379" w:type="dxa"/>
            <w:shd w:val="clear" w:color="auto" w:fill="auto"/>
            <w:vAlign w:val="center"/>
          </w:tcPr>
          <w:p w14:paraId="17A44BBE" w14:textId="77777777" w:rsidR="00802FF2" w:rsidRPr="000232DD" w:rsidRDefault="00802FF2" w:rsidP="00082769">
            <w:pPr>
              <w:spacing w:before="40" w:after="60"/>
              <w:ind w:right="-22"/>
              <w:jc w:val="right"/>
              <w:rPr>
                <w:rFonts w:ascii="GHEA Grapalat" w:eastAsia="Times New Roman" w:hAnsi="GHEA Grapalat" w:cs="Times New Roman"/>
                <w:color w:val="auto"/>
                <w:sz w:val="20"/>
                <w:szCs w:val="20"/>
              </w:rPr>
            </w:pPr>
            <w:r w:rsidRPr="000232DD">
              <w:rPr>
                <w:rFonts w:ascii="Calibri" w:eastAsia="Times New Roman" w:hAnsi="Calibri" w:cs="Calibri"/>
                <w:color w:val="auto"/>
                <w:sz w:val="20"/>
                <w:szCs w:val="20"/>
              </w:rPr>
              <w:t> </w:t>
            </w:r>
          </w:p>
        </w:tc>
        <w:tc>
          <w:tcPr>
            <w:tcW w:w="1946" w:type="dxa"/>
            <w:shd w:val="clear" w:color="auto" w:fill="auto"/>
            <w:vAlign w:val="center"/>
          </w:tcPr>
          <w:p w14:paraId="14FA8940"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lang w:val="hy-AM"/>
              </w:rPr>
            </w:pPr>
            <w:r w:rsidRPr="000232DD">
              <w:rPr>
                <w:rFonts w:ascii="GHEA Grapalat" w:eastAsia="Times New Roman" w:hAnsi="GHEA Grapalat" w:cs="Times New Roman"/>
                <w:color w:val="auto"/>
                <w:sz w:val="20"/>
                <w:szCs w:val="20"/>
                <w:lang w:val="hy-AM"/>
              </w:rPr>
              <w:t>45</w:t>
            </w:r>
          </w:p>
        </w:tc>
        <w:tc>
          <w:tcPr>
            <w:tcW w:w="1710" w:type="dxa"/>
            <w:shd w:val="clear" w:color="auto" w:fill="auto"/>
            <w:vAlign w:val="center"/>
          </w:tcPr>
          <w:p w14:paraId="6A700BD4"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lang w:val="hy-AM"/>
              </w:rPr>
            </w:pPr>
            <w:r w:rsidRPr="000232DD">
              <w:rPr>
                <w:rFonts w:ascii="GHEA Grapalat" w:eastAsia="Times New Roman" w:hAnsi="GHEA Grapalat" w:cs="Times New Roman"/>
                <w:color w:val="auto"/>
                <w:sz w:val="20"/>
                <w:szCs w:val="20"/>
                <w:lang w:val="hy-AM"/>
              </w:rPr>
              <w:t>45</w:t>
            </w:r>
          </w:p>
        </w:tc>
        <w:tc>
          <w:tcPr>
            <w:tcW w:w="2160" w:type="dxa"/>
            <w:shd w:val="clear" w:color="auto" w:fill="auto"/>
            <w:vAlign w:val="center"/>
          </w:tcPr>
          <w:p w14:paraId="6782AAF7"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lang w:val="hy-AM"/>
              </w:rPr>
            </w:pPr>
            <w:r w:rsidRPr="000232DD">
              <w:rPr>
                <w:rFonts w:ascii="GHEA Grapalat" w:eastAsia="Times New Roman" w:hAnsi="GHEA Grapalat" w:cs="Times New Roman"/>
                <w:color w:val="auto"/>
                <w:sz w:val="20"/>
                <w:szCs w:val="20"/>
                <w:lang w:val="hy-AM"/>
              </w:rPr>
              <w:t>0.4</w:t>
            </w:r>
          </w:p>
        </w:tc>
      </w:tr>
      <w:tr w:rsidR="004C0C21" w:rsidRPr="000232DD" w14:paraId="79E13B1D" w14:textId="77777777" w:rsidTr="001226F0">
        <w:trPr>
          <w:trHeight w:val="310"/>
          <w:jc w:val="center"/>
        </w:trPr>
        <w:tc>
          <w:tcPr>
            <w:tcW w:w="2610" w:type="dxa"/>
            <w:shd w:val="clear" w:color="auto" w:fill="auto"/>
            <w:vAlign w:val="center"/>
          </w:tcPr>
          <w:p w14:paraId="79748FB0"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«Արմենիա միջազգային օդանավակայաններ» ՓԲԸ</w:t>
            </w:r>
          </w:p>
        </w:tc>
        <w:tc>
          <w:tcPr>
            <w:tcW w:w="1379" w:type="dxa"/>
            <w:shd w:val="clear" w:color="auto" w:fill="auto"/>
            <w:vAlign w:val="center"/>
          </w:tcPr>
          <w:p w14:paraId="07B93C5E" w14:textId="77777777" w:rsidR="00802FF2" w:rsidRPr="000232DD" w:rsidRDefault="00802FF2" w:rsidP="00082769">
            <w:pPr>
              <w:spacing w:before="40" w:after="60"/>
              <w:ind w:right="-22"/>
              <w:jc w:val="right"/>
              <w:rPr>
                <w:rFonts w:ascii="GHEA Grapalat" w:eastAsia="Times New Roman" w:hAnsi="GHEA Grapalat" w:cs="Times New Roman"/>
                <w:color w:val="auto"/>
                <w:sz w:val="20"/>
                <w:szCs w:val="20"/>
              </w:rPr>
            </w:pPr>
            <w:r w:rsidRPr="000232DD">
              <w:rPr>
                <w:rFonts w:ascii="Calibri" w:eastAsia="Times New Roman" w:hAnsi="Calibri" w:cs="Calibri"/>
                <w:color w:val="auto"/>
                <w:sz w:val="20"/>
                <w:szCs w:val="20"/>
              </w:rPr>
              <w:t> </w:t>
            </w:r>
          </w:p>
        </w:tc>
        <w:tc>
          <w:tcPr>
            <w:tcW w:w="1946" w:type="dxa"/>
            <w:shd w:val="clear" w:color="auto" w:fill="auto"/>
            <w:vAlign w:val="center"/>
          </w:tcPr>
          <w:p w14:paraId="684D8523"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3</w:t>
            </w:r>
            <w:r w:rsidRPr="000232DD">
              <w:rPr>
                <w:rFonts w:ascii="GHEA Grapalat" w:eastAsia="Times New Roman" w:hAnsi="GHEA Grapalat" w:cs="Times New Roman"/>
                <w:color w:val="auto"/>
                <w:sz w:val="20"/>
                <w:szCs w:val="20"/>
                <w:lang w:val="hy-AM"/>
              </w:rPr>
              <w:t>28</w:t>
            </w:r>
          </w:p>
        </w:tc>
        <w:tc>
          <w:tcPr>
            <w:tcW w:w="1710" w:type="dxa"/>
            <w:shd w:val="clear" w:color="auto" w:fill="auto"/>
            <w:vAlign w:val="center"/>
          </w:tcPr>
          <w:p w14:paraId="00F98941"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lang w:val="hy-AM"/>
              </w:rPr>
              <w:t>328</w:t>
            </w:r>
          </w:p>
        </w:tc>
        <w:tc>
          <w:tcPr>
            <w:tcW w:w="2160" w:type="dxa"/>
            <w:shd w:val="clear" w:color="auto" w:fill="auto"/>
            <w:vAlign w:val="center"/>
          </w:tcPr>
          <w:p w14:paraId="0013278F"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lang w:val="hy-AM"/>
              </w:rPr>
              <w:t>2.9</w:t>
            </w:r>
          </w:p>
        </w:tc>
      </w:tr>
      <w:tr w:rsidR="004C0C21" w:rsidRPr="000232DD" w14:paraId="626F0BB1" w14:textId="77777777" w:rsidTr="001226F0">
        <w:trPr>
          <w:trHeight w:val="310"/>
          <w:jc w:val="center"/>
        </w:trPr>
        <w:tc>
          <w:tcPr>
            <w:tcW w:w="2610" w:type="dxa"/>
            <w:shd w:val="clear" w:color="auto" w:fill="auto"/>
            <w:vAlign w:val="center"/>
          </w:tcPr>
          <w:p w14:paraId="50A5CCA4"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«Քոնթուր Գլոբալ հիդրո կասկադ» ՓԲԸ</w:t>
            </w:r>
          </w:p>
        </w:tc>
        <w:tc>
          <w:tcPr>
            <w:tcW w:w="1379" w:type="dxa"/>
            <w:shd w:val="clear" w:color="auto" w:fill="auto"/>
            <w:vAlign w:val="center"/>
          </w:tcPr>
          <w:p w14:paraId="03A8A226" w14:textId="77777777" w:rsidR="00802FF2" w:rsidRPr="000232DD" w:rsidRDefault="00802FF2" w:rsidP="00082769">
            <w:pPr>
              <w:spacing w:before="40" w:after="60"/>
              <w:ind w:right="-22"/>
              <w:jc w:val="right"/>
              <w:rPr>
                <w:rFonts w:ascii="GHEA Grapalat" w:eastAsia="Times New Roman" w:hAnsi="GHEA Grapalat" w:cs="Times New Roman"/>
                <w:color w:val="auto"/>
                <w:sz w:val="20"/>
                <w:szCs w:val="20"/>
              </w:rPr>
            </w:pPr>
            <w:r w:rsidRPr="000232DD">
              <w:rPr>
                <w:rFonts w:ascii="Calibri" w:eastAsia="Times New Roman" w:hAnsi="Calibri" w:cs="Calibri"/>
                <w:color w:val="auto"/>
                <w:sz w:val="20"/>
                <w:szCs w:val="20"/>
              </w:rPr>
              <w:t> </w:t>
            </w:r>
          </w:p>
        </w:tc>
        <w:tc>
          <w:tcPr>
            <w:tcW w:w="1946" w:type="dxa"/>
            <w:shd w:val="clear" w:color="auto" w:fill="auto"/>
            <w:vAlign w:val="center"/>
          </w:tcPr>
          <w:p w14:paraId="776134DD"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lang w:val="hy-AM"/>
              </w:rPr>
            </w:pPr>
            <w:r w:rsidRPr="000232DD">
              <w:rPr>
                <w:rFonts w:ascii="GHEA Grapalat" w:eastAsia="Times New Roman" w:hAnsi="GHEA Grapalat" w:cs="Times New Roman"/>
                <w:color w:val="auto"/>
                <w:sz w:val="20"/>
                <w:szCs w:val="20"/>
              </w:rPr>
              <w:t>9</w:t>
            </w:r>
            <w:r w:rsidRPr="000232DD">
              <w:rPr>
                <w:rFonts w:ascii="GHEA Grapalat" w:eastAsia="Times New Roman" w:hAnsi="GHEA Grapalat" w:cs="Times New Roman"/>
                <w:color w:val="auto"/>
                <w:sz w:val="20"/>
                <w:szCs w:val="20"/>
                <w:lang w:val="hy-AM"/>
              </w:rPr>
              <w:t>5</w:t>
            </w:r>
          </w:p>
        </w:tc>
        <w:tc>
          <w:tcPr>
            <w:tcW w:w="1710" w:type="dxa"/>
            <w:shd w:val="clear" w:color="auto" w:fill="auto"/>
            <w:vAlign w:val="center"/>
          </w:tcPr>
          <w:p w14:paraId="6735F0CD"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lang w:val="hy-AM"/>
              </w:rPr>
            </w:pPr>
            <w:r w:rsidRPr="000232DD">
              <w:rPr>
                <w:rFonts w:ascii="GHEA Grapalat" w:eastAsia="Times New Roman" w:hAnsi="GHEA Grapalat" w:cs="Times New Roman"/>
                <w:color w:val="auto"/>
                <w:sz w:val="20"/>
                <w:szCs w:val="20"/>
              </w:rPr>
              <w:t>9</w:t>
            </w:r>
            <w:r w:rsidRPr="000232DD">
              <w:rPr>
                <w:rFonts w:ascii="GHEA Grapalat" w:eastAsia="Times New Roman" w:hAnsi="GHEA Grapalat" w:cs="Times New Roman"/>
                <w:color w:val="auto"/>
                <w:sz w:val="20"/>
                <w:szCs w:val="20"/>
                <w:lang w:val="hy-AM"/>
              </w:rPr>
              <w:t>5</w:t>
            </w:r>
          </w:p>
        </w:tc>
        <w:tc>
          <w:tcPr>
            <w:tcW w:w="2160" w:type="dxa"/>
            <w:shd w:val="clear" w:color="auto" w:fill="auto"/>
            <w:vAlign w:val="center"/>
          </w:tcPr>
          <w:p w14:paraId="1B63E5AE"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lang w:val="hy-AM"/>
              </w:rPr>
              <w:t>0.8</w:t>
            </w:r>
          </w:p>
        </w:tc>
      </w:tr>
      <w:tr w:rsidR="004C0C21" w:rsidRPr="000232DD" w14:paraId="3EFCA1AC" w14:textId="77777777" w:rsidTr="001226F0">
        <w:trPr>
          <w:trHeight w:val="310"/>
          <w:jc w:val="center"/>
        </w:trPr>
        <w:tc>
          <w:tcPr>
            <w:tcW w:w="2610" w:type="dxa"/>
            <w:shd w:val="clear" w:color="auto" w:fill="auto"/>
            <w:vAlign w:val="center"/>
          </w:tcPr>
          <w:p w14:paraId="59206A14"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«Արմփաուեր» ՓԲԸ</w:t>
            </w:r>
          </w:p>
        </w:tc>
        <w:tc>
          <w:tcPr>
            <w:tcW w:w="1379" w:type="dxa"/>
            <w:shd w:val="clear" w:color="auto" w:fill="auto"/>
            <w:vAlign w:val="center"/>
          </w:tcPr>
          <w:p w14:paraId="4B9266DE" w14:textId="77777777" w:rsidR="00802FF2" w:rsidRPr="000232DD" w:rsidRDefault="00802FF2" w:rsidP="00082769">
            <w:pPr>
              <w:spacing w:before="40" w:after="60"/>
              <w:ind w:right="-22"/>
              <w:jc w:val="right"/>
              <w:rPr>
                <w:rFonts w:ascii="GHEA Grapalat" w:eastAsia="Times New Roman" w:hAnsi="GHEA Grapalat" w:cs="Times New Roman"/>
                <w:color w:val="auto"/>
                <w:sz w:val="20"/>
                <w:szCs w:val="20"/>
              </w:rPr>
            </w:pPr>
            <w:r w:rsidRPr="000232DD">
              <w:rPr>
                <w:rFonts w:ascii="Calibri" w:eastAsia="Times New Roman" w:hAnsi="Calibri" w:cs="Calibri"/>
                <w:color w:val="auto"/>
                <w:sz w:val="20"/>
                <w:szCs w:val="20"/>
              </w:rPr>
              <w:t> </w:t>
            </w:r>
          </w:p>
        </w:tc>
        <w:tc>
          <w:tcPr>
            <w:tcW w:w="1946" w:type="dxa"/>
            <w:shd w:val="clear" w:color="auto" w:fill="auto"/>
            <w:vAlign w:val="center"/>
          </w:tcPr>
          <w:p w14:paraId="4A81382D"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lang w:val="hy-AM"/>
              </w:rPr>
            </w:pPr>
            <w:r w:rsidRPr="000232DD">
              <w:rPr>
                <w:rFonts w:ascii="GHEA Grapalat" w:eastAsia="Times New Roman" w:hAnsi="GHEA Grapalat" w:cs="Times New Roman"/>
                <w:color w:val="auto"/>
                <w:sz w:val="20"/>
                <w:szCs w:val="20"/>
              </w:rPr>
              <w:t>9</w:t>
            </w:r>
            <w:r w:rsidRPr="000232DD">
              <w:rPr>
                <w:rFonts w:ascii="GHEA Grapalat" w:eastAsia="Times New Roman" w:hAnsi="GHEA Grapalat" w:cs="Times New Roman"/>
                <w:color w:val="auto"/>
                <w:sz w:val="20"/>
                <w:szCs w:val="20"/>
                <w:lang w:val="hy-AM"/>
              </w:rPr>
              <w:t>3</w:t>
            </w:r>
          </w:p>
        </w:tc>
        <w:tc>
          <w:tcPr>
            <w:tcW w:w="1710" w:type="dxa"/>
            <w:shd w:val="clear" w:color="auto" w:fill="auto"/>
            <w:vAlign w:val="center"/>
          </w:tcPr>
          <w:p w14:paraId="5A54F4E8"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lang w:val="hy-AM"/>
              </w:rPr>
            </w:pPr>
            <w:r w:rsidRPr="000232DD">
              <w:rPr>
                <w:rFonts w:ascii="GHEA Grapalat" w:eastAsia="Times New Roman" w:hAnsi="GHEA Grapalat" w:cs="Times New Roman"/>
                <w:color w:val="auto"/>
                <w:sz w:val="20"/>
                <w:szCs w:val="20"/>
              </w:rPr>
              <w:t>9</w:t>
            </w:r>
            <w:r w:rsidRPr="000232DD">
              <w:rPr>
                <w:rFonts w:ascii="GHEA Grapalat" w:eastAsia="Times New Roman" w:hAnsi="GHEA Grapalat" w:cs="Times New Roman"/>
                <w:color w:val="auto"/>
                <w:sz w:val="20"/>
                <w:szCs w:val="20"/>
                <w:lang w:val="hy-AM"/>
              </w:rPr>
              <w:t>3</w:t>
            </w:r>
          </w:p>
        </w:tc>
        <w:tc>
          <w:tcPr>
            <w:tcW w:w="2160" w:type="dxa"/>
            <w:shd w:val="clear" w:color="auto" w:fill="auto"/>
            <w:vAlign w:val="center"/>
          </w:tcPr>
          <w:p w14:paraId="08444AF7"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lang w:val="hy-AM"/>
              </w:rPr>
              <w:t>0.8</w:t>
            </w:r>
          </w:p>
        </w:tc>
      </w:tr>
      <w:tr w:rsidR="004C0C21" w:rsidRPr="000232DD" w14:paraId="3E438048" w14:textId="77777777" w:rsidTr="001226F0">
        <w:trPr>
          <w:trHeight w:val="310"/>
          <w:jc w:val="center"/>
        </w:trPr>
        <w:tc>
          <w:tcPr>
            <w:tcW w:w="2610" w:type="dxa"/>
            <w:shd w:val="clear" w:color="auto" w:fill="auto"/>
            <w:vAlign w:val="center"/>
          </w:tcPr>
          <w:p w14:paraId="7CD3294F" w14:textId="77777777" w:rsidR="00802FF2" w:rsidRPr="000232DD" w:rsidRDefault="00802FF2" w:rsidP="00082769">
            <w:pPr>
              <w:spacing w:before="40" w:after="60"/>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«Էֆարվի Մասրիկ» ՓԲԸ</w:t>
            </w:r>
          </w:p>
        </w:tc>
        <w:tc>
          <w:tcPr>
            <w:tcW w:w="1379" w:type="dxa"/>
            <w:shd w:val="clear" w:color="auto" w:fill="auto"/>
            <w:vAlign w:val="center"/>
          </w:tcPr>
          <w:p w14:paraId="4BE4B622" w14:textId="77777777" w:rsidR="00802FF2" w:rsidRPr="000232DD" w:rsidRDefault="00802FF2" w:rsidP="00082769">
            <w:pPr>
              <w:spacing w:before="40" w:after="60"/>
              <w:ind w:right="-22"/>
              <w:jc w:val="right"/>
              <w:rPr>
                <w:rFonts w:ascii="GHEA Grapalat" w:eastAsia="Times New Roman" w:hAnsi="GHEA Grapalat" w:cs="Times New Roman"/>
                <w:color w:val="auto"/>
                <w:sz w:val="20"/>
                <w:szCs w:val="20"/>
              </w:rPr>
            </w:pPr>
            <w:r w:rsidRPr="000232DD">
              <w:rPr>
                <w:rFonts w:ascii="Calibri" w:eastAsia="Times New Roman" w:hAnsi="Calibri" w:cs="Calibri"/>
                <w:color w:val="auto"/>
                <w:sz w:val="20"/>
                <w:szCs w:val="20"/>
              </w:rPr>
              <w:t> </w:t>
            </w:r>
          </w:p>
        </w:tc>
        <w:tc>
          <w:tcPr>
            <w:tcW w:w="1946" w:type="dxa"/>
            <w:shd w:val="clear" w:color="auto" w:fill="auto"/>
            <w:vAlign w:val="center"/>
          </w:tcPr>
          <w:p w14:paraId="202C08B3"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lang w:val="hy-AM"/>
              </w:rPr>
              <w:t>19</w:t>
            </w:r>
          </w:p>
        </w:tc>
        <w:tc>
          <w:tcPr>
            <w:tcW w:w="1710" w:type="dxa"/>
            <w:shd w:val="clear" w:color="auto" w:fill="auto"/>
            <w:vAlign w:val="center"/>
          </w:tcPr>
          <w:p w14:paraId="54568667"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lang w:val="hy-AM"/>
              </w:rPr>
              <w:t>19</w:t>
            </w:r>
          </w:p>
        </w:tc>
        <w:tc>
          <w:tcPr>
            <w:tcW w:w="2160" w:type="dxa"/>
            <w:shd w:val="clear" w:color="auto" w:fill="auto"/>
            <w:vAlign w:val="center"/>
          </w:tcPr>
          <w:p w14:paraId="166F1348"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lang w:val="hy-AM"/>
              </w:rPr>
            </w:pPr>
            <w:r w:rsidRPr="000232DD">
              <w:rPr>
                <w:rFonts w:ascii="GHEA Grapalat" w:eastAsia="Times New Roman" w:hAnsi="GHEA Grapalat" w:cs="Times New Roman"/>
                <w:color w:val="auto"/>
                <w:sz w:val="20"/>
                <w:szCs w:val="20"/>
              </w:rPr>
              <w:t>0</w:t>
            </w:r>
            <w:r w:rsidRPr="000232DD">
              <w:rPr>
                <w:rFonts w:ascii="GHEA Grapalat" w:eastAsia="Times New Roman" w:hAnsi="GHEA Grapalat" w:cs="Times New Roman"/>
                <w:color w:val="auto"/>
                <w:sz w:val="20"/>
                <w:szCs w:val="20"/>
                <w:lang w:val="hy-AM"/>
              </w:rPr>
              <w:t>.2</w:t>
            </w:r>
          </w:p>
        </w:tc>
      </w:tr>
      <w:tr w:rsidR="004C0C21" w:rsidRPr="000232DD" w14:paraId="4B3E750F" w14:textId="77777777" w:rsidTr="001226F0">
        <w:trPr>
          <w:trHeight w:val="310"/>
          <w:jc w:val="center"/>
        </w:trPr>
        <w:tc>
          <w:tcPr>
            <w:tcW w:w="2610" w:type="dxa"/>
            <w:shd w:val="clear" w:color="auto" w:fill="auto"/>
            <w:vAlign w:val="center"/>
          </w:tcPr>
          <w:p w14:paraId="3E9D1CCD" w14:textId="77777777" w:rsidR="00802FF2" w:rsidRPr="000232DD" w:rsidRDefault="00802FF2" w:rsidP="00082769">
            <w:pPr>
              <w:spacing w:before="40" w:after="60"/>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Ընդամենը</w:t>
            </w:r>
          </w:p>
        </w:tc>
        <w:tc>
          <w:tcPr>
            <w:tcW w:w="1379" w:type="dxa"/>
            <w:shd w:val="clear" w:color="auto" w:fill="auto"/>
            <w:vAlign w:val="center"/>
          </w:tcPr>
          <w:p w14:paraId="2C66CBBA" w14:textId="77777777" w:rsidR="00802FF2" w:rsidRPr="000232DD" w:rsidRDefault="00802FF2" w:rsidP="00082769">
            <w:pPr>
              <w:spacing w:before="40" w:after="60"/>
              <w:ind w:right="-22"/>
              <w:jc w:val="right"/>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27</w:t>
            </w:r>
          </w:p>
        </w:tc>
        <w:tc>
          <w:tcPr>
            <w:tcW w:w="1946" w:type="dxa"/>
            <w:shd w:val="clear" w:color="auto" w:fill="auto"/>
            <w:vAlign w:val="center"/>
          </w:tcPr>
          <w:p w14:paraId="7EA25D95"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lang w:val="hy-AM"/>
              </w:rPr>
            </w:pPr>
            <w:r w:rsidRPr="000232DD">
              <w:rPr>
                <w:rFonts w:ascii="GHEA Grapalat" w:eastAsia="Times New Roman" w:hAnsi="GHEA Grapalat" w:cs="Times New Roman"/>
                <w:color w:val="auto"/>
                <w:sz w:val="20"/>
                <w:szCs w:val="20"/>
                <w:lang w:val="hy-AM"/>
              </w:rPr>
              <w:t>680</w:t>
            </w:r>
          </w:p>
        </w:tc>
        <w:tc>
          <w:tcPr>
            <w:tcW w:w="1710" w:type="dxa"/>
            <w:shd w:val="clear" w:color="auto" w:fill="auto"/>
            <w:vAlign w:val="center"/>
          </w:tcPr>
          <w:p w14:paraId="35ED141E"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lang w:val="hy-AM"/>
              </w:rPr>
              <w:t>680</w:t>
            </w:r>
          </w:p>
        </w:tc>
        <w:tc>
          <w:tcPr>
            <w:tcW w:w="2160" w:type="dxa"/>
            <w:shd w:val="clear" w:color="auto" w:fill="auto"/>
            <w:vAlign w:val="center"/>
          </w:tcPr>
          <w:p w14:paraId="63298775" w14:textId="77777777" w:rsidR="00802FF2" w:rsidRPr="000232DD" w:rsidRDefault="00802FF2" w:rsidP="00082769">
            <w:pPr>
              <w:spacing w:before="40" w:after="60"/>
              <w:ind w:right="-22"/>
              <w:jc w:val="center"/>
              <w:rPr>
                <w:rFonts w:ascii="GHEA Grapalat" w:eastAsia="Times New Roman" w:hAnsi="GHEA Grapalat" w:cs="Times New Roman"/>
                <w:color w:val="auto"/>
                <w:sz w:val="20"/>
                <w:szCs w:val="20"/>
                <w:lang w:val="hy-AM"/>
              </w:rPr>
            </w:pPr>
            <w:r w:rsidRPr="000232DD">
              <w:rPr>
                <w:rFonts w:ascii="GHEA Grapalat" w:eastAsia="Times New Roman" w:hAnsi="GHEA Grapalat" w:cs="Times New Roman"/>
                <w:color w:val="auto"/>
                <w:sz w:val="20"/>
                <w:szCs w:val="20"/>
              </w:rPr>
              <w:t>6.</w:t>
            </w:r>
            <w:r w:rsidRPr="000232DD">
              <w:rPr>
                <w:rFonts w:ascii="GHEA Grapalat" w:eastAsia="Times New Roman" w:hAnsi="GHEA Grapalat" w:cs="Times New Roman"/>
                <w:color w:val="auto"/>
                <w:sz w:val="20"/>
                <w:szCs w:val="20"/>
                <w:lang w:val="hy-AM"/>
              </w:rPr>
              <w:t>0</w:t>
            </w:r>
          </w:p>
        </w:tc>
      </w:tr>
    </w:tbl>
    <w:p w14:paraId="361DAD52" w14:textId="77777777" w:rsidR="00802FF2" w:rsidRPr="000232DD" w:rsidRDefault="00802FF2" w:rsidP="00082769">
      <w:pPr>
        <w:spacing w:before="160"/>
        <w:ind w:right="-22"/>
        <w:jc w:val="both"/>
        <w:rPr>
          <w:rFonts w:ascii="GHEA Grapalat" w:hAnsi="GHEA Grapalat"/>
          <w:bCs/>
          <w:i/>
          <w:iCs/>
          <w:color w:val="auto"/>
          <w:lang w:val="hy-AM"/>
        </w:rPr>
      </w:pPr>
      <w:r w:rsidRPr="000232DD">
        <w:rPr>
          <w:rFonts w:ascii="GHEA Grapalat" w:hAnsi="GHEA Grapalat"/>
          <w:bCs/>
          <w:i/>
          <w:iCs/>
          <w:color w:val="auto"/>
          <w:sz w:val="20"/>
          <w:szCs w:val="20"/>
          <w:lang w:val="hy-AM"/>
        </w:rPr>
        <w:t>Ծանոթագրություններ. ԱՄՆ դոլարով արտահայտված գումարների փոխարկման համար կիրառվել է 366 ՀՀ դրամ 1 ԱՄՆ դոլարի դիմաց փոխարժեքը: 2025թ. ՀՆԱ-ն՝ 11,317 մլրդ ՀՀ դրամ</w:t>
      </w:r>
      <w:r w:rsidRPr="000232DD">
        <w:rPr>
          <w:rFonts w:ascii="GHEA Grapalat" w:hAnsi="GHEA Grapalat"/>
          <w:bCs/>
          <w:i/>
          <w:iCs/>
          <w:color w:val="auto"/>
          <w:lang w:val="hy-AM"/>
        </w:rPr>
        <w:t>:</w:t>
      </w:r>
    </w:p>
    <w:p w14:paraId="2B8EF9B5" w14:textId="77777777" w:rsidR="00802FF2" w:rsidRPr="000232DD" w:rsidRDefault="00802FF2" w:rsidP="00082769">
      <w:pPr>
        <w:spacing w:before="40" w:after="60" w:line="312" w:lineRule="auto"/>
        <w:ind w:right="-22"/>
        <w:jc w:val="both"/>
        <w:rPr>
          <w:rFonts w:ascii="GHEA Grapalat" w:eastAsia="Times New Roman" w:hAnsi="GHEA Grapalat" w:cs="Times New Roman"/>
          <w:b/>
          <w:color w:val="auto"/>
          <w:sz w:val="24"/>
          <w:szCs w:val="24"/>
          <w:lang w:val="hy-AM"/>
        </w:rPr>
      </w:pPr>
    </w:p>
    <w:p w14:paraId="270E6335" w14:textId="77777777" w:rsidR="00802FF2" w:rsidRPr="000232DD" w:rsidRDefault="00802FF2" w:rsidP="00082769">
      <w:pPr>
        <w:spacing w:before="40" w:after="60" w:line="312" w:lineRule="auto"/>
        <w:ind w:right="-22"/>
        <w:jc w:val="both"/>
        <w:rPr>
          <w:rFonts w:ascii="GHEA Grapalat" w:eastAsia="Times New Roman" w:hAnsi="GHEA Grapalat" w:cs="Times New Roman"/>
          <w:b/>
          <w:color w:val="auto"/>
          <w:sz w:val="24"/>
          <w:szCs w:val="24"/>
          <w:lang w:val="hy-AM"/>
        </w:rPr>
      </w:pPr>
      <w:r w:rsidRPr="000232DD">
        <w:rPr>
          <w:rFonts w:ascii="GHEA Grapalat" w:eastAsia="Times New Roman" w:hAnsi="GHEA Grapalat" w:cs="Times New Roman"/>
          <w:b/>
          <w:color w:val="auto"/>
          <w:sz w:val="24"/>
          <w:szCs w:val="24"/>
          <w:lang w:val="hy-AM"/>
        </w:rPr>
        <w:t>ԱՅԳ -1</w:t>
      </w:r>
    </w:p>
    <w:p w14:paraId="6E00A28C" w14:textId="64BB68EB"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 xml:space="preserve">2021թ.-ի հունիսի 18-ի ՀՀ կառավարության որոշմամբ հաստատվել են Հայաստանում արդյունաբերական մասշտաբի «Այգ-1» արևային ֆոտովոլտային ծրագրի շրջանակում կազմակերպված մրցույթի ընթացակարգի արդյունքները՝ հաղթող ճանաչելով «Աբու Դաբի Ֆյուչեր Էներջի Քոմփանի» ՀԲԸ («Մասդար»)։ Հայաստանի Հանրապետությանը պատկանում է ծրագրային ընկերության 15% բաժնեմասը։ Ծրագրի իրականացման շուրջ կնքվել է կառավարության աջակցության համաձայնագիր, իսկ ֆինանսական կայացման համար նախապես սահմանված վերջնաժամկետը մի քանի անգամ երկարաձգվել է: Ներկայումս կողմերը նորից գտնվում են բանակցությունների մեջ։ Ծրագրով նախատեսվում է իրականացնել շուրջ </w:t>
      </w:r>
      <w:r w:rsidR="00E8245C">
        <w:rPr>
          <w:rFonts w:ascii="GHEA Grapalat" w:eastAsia="Times New Roman" w:hAnsi="GHEA Grapalat" w:cs="Times New Roman"/>
          <w:color w:val="auto"/>
          <w:lang w:val="hy-AM"/>
        </w:rPr>
        <w:t>0.</w:t>
      </w:r>
      <w:r w:rsidRPr="005A5E0C">
        <w:rPr>
          <w:rFonts w:ascii="GHEA Grapalat" w:eastAsia="Times New Roman" w:hAnsi="GHEA Grapalat" w:cs="Times New Roman"/>
          <w:color w:val="auto"/>
          <w:lang w:val="hy-AM"/>
        </w:rPr>
        <w:t>17 մլ</w:t>
      </w:r>
      <w:r w:rsidR="00E8245C">
        <w:rPr>
          <w:rFonts w:ascii="GHEA Grapalat" w:eastAsia="Times New Roman" w:hAnsi="GHEA Grapalat" w:cs="Times New Roman"/>
          <w:color w:val="auto"/>
          <w:lang w:val="hy-AM"/>
        </w:rPr>
        <w:t>րդ</w:t>
      </w:r>
      <w:r w:rsidRPr="005A5E0C">
        <w:rPr>
          <w:rFonts w:ascii="GHEA Grapalat" w:eastAsia="Times New Roman" w:hAnsi="GHEA Grapalat" w:cs="Times New Roman"/>
          <w:color w:val="auto"/>
          <w:lang w:val="hy-AM"/>
        </w:rPr>
        <w:t xml:space="preserve"> ԱՄՆ դոլարի չափով ներդրում: Այս փուլում, նախքան ֆինանսական կայացումը, պայմանագրի դադարեցման պարագայում վաղաժամ դադարեցման առավելագույն պայմանական պարտավորությունը կազմում է </w:t>
      </w:r>
      <w:r w:rsidR="00E8245C">
        <w:rPr>
          <w:rFonts w:ascii="GHEA Grapalat" w:eastAsia="Times New Roman" w:hAnsi="GHEA Grapalat" w:cs="Times New Roman"/>
          <w:color w:val="auto"/>
          <w:lang w:val="hy-AM"/>
        </w:rPr>
        <w:t>0.</w:t>
      </w:r>
      <w:r w:rsidRPr="005A5E0C">
        <w:rPr>
          <w:rFonts w:ascii="GHEA Grapalat" w:eastAsia="Times New Roman" w:hAnsi="GHEA Grapalat" w:cs="Times New Roman"/>
          <w:color w:val="auto"/>
          <w:lang w:val="hy-AM"/>
        </w:rPr>
        <w:t>38 մլ</w:t>
      </w:r>
      <w:r w:rsidR="00E8245C">
        <w:rPr>
          <w:rFonts w:ascii="GHEA Grapalat" w:eastAsia="Times New Roman" w:hAnsi="GHEA Grapalat" w:cs="Times New Roman"/>
          <w:color w:val="auto"/>
          <w:lang w:val="hy-AM"/>
        </w:rPr>
        <w:t>րդ</w:t>
      </w:r>
      <w:r w:rsidRPr="005A5E0C">
        <w:rPr>
          <w:rFonts w:ascii="GHEA Grapalat" w:eastAsia="Times New Roman" w:hAnsi="GHEA Grapalat" w:cs="Times New Roman"/>
          <w:color w:val="auto"/>
          <w:lang w:val="hy-AM"/>
        </w:rPr>
        <w:t xml:space="preserve"> դրամ։</w:t>
      </w:r>
    </w:p>
    <w:p w14:paraId="31D485D3" w14:textId="77777777" w:rsidR="00802FF2" w:rsidRPr="000232DD" w:rsidRDefault="00802FF2" w:rsidP="00082769">
      <w:pPr>
        <w:pStyle w:val="TOC4"/>
        <w:ind w:right="-22"/>
        <w:rPr>
          <w:color w:val="auto"/>
          <w:lang w:val="hy-AM"/>
        </w:rPr>
      </w:pPr>
      <w:r w:rsidRPr="000232DD">
        <w:rPr>
          <w:color w:val="auto"/>
          <w:lang w:val="hy-AM"/>
        </w:rPr>
        <w:t>3.1.4 ԲՆԱԿԱՆ ԵՎ ՄԱՐԴԱԾԻՆ ԱՂԵՏՆԵՐԻՑ ԲԽՈՂ ՀԱՐԿԱԲՅՈՒՋԵՏԱՅԻՆ ՌԻՍԿԵՐ</w:t>
      </w:r>
      <w:bookmarkStart w:id="510" w:name="_Toc170906944"/>
      <w:bookmarkStart w:id="511" w:name="_Toc170906572"/>
      <w:bookmarkEnd w:id="505"/>
      <w:bookmarkEnd w:id="506"/>
    </w:p>
    <w:p w14:paraId="411EC093" w14:textId="77777777" w:rsidR="00802FF2" w:rsidRPr="000232DD" w:rsidRDefault="00802FF2" w:rsidP="00082769">
      <w:pPr>
        <w:spacing w:before="360"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 xml:space="preserve">Աղետների ռիսկը համարվում է Հայաստանում հարկաբյուջետային հատուկ ռիսկերի արդիական աղբյուրներից մեկը՝ հաշվի առնելով երկրում առկա «աղետների պրոֆիլը», որը ներառում է էական երկրաֆիզիկական (հատկապես՝ երկրաշարժերի և սողանքների), եղանակային պայմանների հետ կապված (հիդրոօդերևութաբանական և այլ), ինչպես նաև մարդածին ռիսկեր: </w:t>
      </w:r>
    </w:p>
    <w:p w14:paraId="53CEA7D6"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Համաձայն ՄԱԿ Զարգացման ծրագրի տվյալների՝ Հայաստանը աշխարհում ամենից շատ աղետների ենթակա 60 երկրների շարքում է: Հայաստանը բազմաթիվ վտանգներ ունեցող երկրի տիպիկ օրինակ է՝ խոշոր երկրաշարժերի, ջրհեղեղների, երաշտների, ծայրահեղ եղանակային պայմանների (ցրտահարություն և ջերմային ալիքներ), ուժեղ քամիների, կարկուտի, փոթորիկների, սելավների, սողանքների և այլնի պատմությամբ:</w:t>
      </w:r>
    </w:p>
    <w:p w14:paraId="3A098DD1"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Երկրաֆիզիկական ռիսկերից ՀՀ-ում 7.0 կամ ավելի բարձր մագնիտուդ ուժգնությամբ երկրաշարժի դեպքում կարող է փլուզվել Երևան քաղաքի շենքերի մեծամասնությունը՝ խլելով շուրջ 300,000 մարդու կյանք: Նախնական ուսումնասիրությունները ցույց են տալիս, որ 2012թ. տվյալներով տնտեսական վնասները կարող են հավասար լինել՝ ընդհուպ ՀՆԱ-ի 100 տոկոսին</w:t>
      </w:r>
      <w:r w:rsidRPr="000232DD">
        <w:rPr>
          <w:rFonts w:ascii="GHEA Grapalat" w:eastAsia="Times New Roman" w:hAnsi="GHEA Grapalat" w:cs="Times New Roman"/>
          <w:color w:val="auto"/>
          <w:vertAlign w:val="superscript"/>
          <w:lang w:val="hy-AM"/>
        </w:rPr>
        <w:footnoteReference w:id="36"/>
      </w:r>
      <w:r w:rsidRPr="000232DD">
        <w:rPr>
          <w:rFonts w:ascii="GHEA Grapalat" w:eastAsia="Times New Roman" w:hAnsi="GHEA Grapalat" w:cs="Times New Roman"/>
          <w:color w:val="auto"/>
          <w:lang w:val="hy-AM"/>
        </w:rPr>
        <w:t>:</w:t>
      </w:r>
    </w:p>
    <w:p w14:paraId="1B9252EF" w14:textId="74E559F2"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2017թ.-ին Համաշխարհային բանկը հաշվարկել է 1.3 մ</w:t>
      </w:r>
      <w:r w:rsidR="00E8245C">
        <w:rPr>
          <w:rFonts w:ascii="GHEA Grapalat" w:eastAsia="Times New Roman" w:hAnsi="GHEA Grapalat" w:cs="Times New Roman"/>
          <w:color w:val="auto"/>
          <w:lang w:val="hy-AM"/>
        </w:rPr>
        <w:t>լրդ</w:t>
      </w:r>
      <w:r w:rsidRPr="000232DD">
        <w:rPr>
          <w:rFonts w:ascii="GHEA Grapalat" w:eastAsia="Times New Roman" w:hAnsi="GHEA Grapalat" w:cs="Times New Roman"/>
          <w:color w:val="auto"/>
          <w:lang w:val="hy-AM"/>
        </w:rPr>
        <w:t xml:space="preserve"> ԱՄՆ դոլարի չափով «ֆինանսավորման բաց»՝ Սպիտակի երկրաշարժի նման ևս մեկ ուժեղ երկրաշարժի դեպքում</w:t>
      </w:r>
      <w:r w:rsidRPr="000232DD">
        <w:rPr>
          <w:rFonts w:ascii="GHEA Grapalat" w:eastAsia="Times New Roman" w:hAnsi="GHEA Grapalat" w:cs="Times New Roman"/>
          <w:color w:val="auto"/>
          <w:vertAlign w:val="superscript"/>
          <w:lang w:val="hy-AM"/>
        </w:rPr>
        <w:footnoteReference w:id="37"/>
      </w:r>
      <w:r w:rsidR="00B6632B">
        <w:rPr>
          <w:rFonts w:ascii="GHEA Grapalat" w:eastAsia="Times New Roman" w:hAnsi="GHEA Grapalat" w:cs="Times New Roman"/>
          <w:color w:val="auto"/>
          <w:lang w:val="hy-AM"/>
        </w:rPr>
        <w:t>,</w:t>
      </w:r>
      <w:r w:rsidRPr="000232DD">
        <w:rPr>
          <w:rFonts w:ascii="GHEA Grapalat" w:eastAsia="Times New Roman" w:hAnsi="GHEA Grapalat" w:cs="Times New Roman"/>
          <w:color w:val="auto"/>
          <w:lang w:val="hy-AM"/>
        </w:rPr>
        <w:t xml:space="preserve"> </w:t>
      </w:r>
      <w:r w:rsidR="00B6632B">
        <w:rPr>
          <w:rFonts w:ascii="GHEA Grapalat" w:eastAsia="Times New Roman" w:hAnsi="GHEA Grapalat" w:cs="Times New Roman"/>
          <w:color w:val="auto"/>
          <w:lang w:val="hy-AM"/>
        </w:rPr>
        <w:t>ս</w:t>
      </w:r>
      <w:r w:rsidRPr="000232DD">
        <w:rPr>
          <w:rFonts w:ascii="GHEA Grapalat" w:eastAsia="Times New Roman" w:hAnsi="GHEA Grapalat" w:cs="Times New Roman"/>
          <w:color w:val="auto"/>
          <w:lang w:val="hy-AM"/>
        </w:rPr>
        <w:t>ակայն, համաձայն աղետների նվազեցման և վերականգնման գլոբալ հիմնադրամի կողմից 2017թ.-ին կազմված՝ Հայաստանի աղետների ռիսկի պրոֆիլի, ընդհանուր տնտեսական ազդեցությունը կարող է շատ ավելի մեծ լինել, չնայած հնարավոր զոհերի գնահատված ավելի փոքր քանակին</w:t>
      </w:r>
      <w:r w:rsidRPr="000232DD">
        <w:rPr>
          <w:rFonts w:ascii="GHEA Grapalat" w:eastAsia="Times New Roman" w:hAnsi="GHEA Grapalat" w:cs="Times New Roman"/>
          <w:color w:val="auto"/>
          <w:vertAlign w:val="superscript"/>
          <w:lang w:val="hy-AM"/>
        </w:rPr>
        <w:footnoteReference w:id="38"/>
      </w:r>
      <w:r w:rsidRPr="000232DD">
        <w:rPr>
          <w:rFonts w:ascii="GHEA Grapalat" w:eastAsia="Times New Roman" w:hAnsi="GHEA Grapalat" w:cs="Times New Roman"/>
          <w:color w:val="auto"/>
          <w:lang w:val="hy-AM"/>
        </w:rPr>
        <w:t xml:space="preserve">: </w:t>
      </w:r>
    </w:p>
    <w:p w14:paraId="578463A7"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 xml:space="preserve">ՇՄՆ քարտեզագրման արդյունքներով արձանագրվել է շուրջ 2500 սողանքային տարածք, որոնց համար 2024թ.-ին պետական բյուջեի «Սողանքային տեղամասերի ինժեներաերկրաբանական հետազոտություններ» հոդվածով ուղղվել է </w:t>
      </w:r>
      <w:r w:rsidRPr="00E8245C">
        <w:rPr>
          <w:rFonts w:ascii="GHEA Grapalat" w:eastAsia="Times New Roman" w:hAnsi="GHEA Grapalat" w:cs="Times New Roman"/>
          <w:color w:val="auto"/>
          <w:lang w:val="hy-AM"/>
        </w:rPr>
        <w:t>60,376 հազար</w:t>
      </w:r>
      <w:r w:rsidRPr="000232DD">
        <w:rPr>
          <w:rFonts w:ascii="GHEA Grapalat" w:eastAsia="Times New Roman" w:hAnsi="GHEA Grapalat" w:cs="Times New Roman"/>
          <w:color w:val="auto"/>
          <w:lang w:val="hy-AM"/>
        </w:rPr>
        <w:t xml:space="preserve"> ՀՀ դրամ, իսկ որպես սողանքներից բխող խնդիրների ֆինանսավորման աղբյուր ներկայումս դիտարկվում է ՀՀ կառավարության պահուստային ֆոնդը:</w:t>
      </w:r>
    </w:p>
    <w:p w14:paraId="6B5BC32B" w14:textId="619AA333" w:rsidR="00802FF2" w:rsidRPr="00E8245C" w:rsidRDefault="00802FF2" w:rsidP="00E8245C">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Ինչ վերաբերում է եղանակային պայմանների հետ կապված ռիսկերին, ապա կլիմայի փոփոխությունը համարվում է աղետների և՛ հաճախականության, և՛ ուժգնության վրա ազդող էական գործոն: Այդ իսկ պատճառով կարևոր է ներդրումներ կատարել կլիմայի փոփոխության հարմարվողականության և աղետների ռիսկի համապարփակ նվազեցման ուղղություններով։ Վերջին 9 տասնամյակի ընթացքում գրանցվել է միջին ջերմաստիճանի կայուն աճ և միջին տեղումների կայուն նվազում՝ համաշխարհային միջինից բարձր և վերջին 3 տասնամյակների ընթացքում արագացող միտումներով։ Հայաստանի տարածքի համար 1961-1990թթ</w:t>
      </w:r>
      <w:r w:rsidRPr="000232DD">
        <w:rPr>
          <w:rFonts w:ascii="Cambria Math" w:eastAsia="Times New Roman" w:hAnsi="Cambria Math" w:cs="Cambria Math"/>
          <w:color w:val="auto"/>
          <w:lang w:val="hy-AM"/>
        </w:rPr>
        <w:t>․</w:t>
      </w:r>
      <w:r w:rsidRPr="000232DD">
        <w:rPr>
          <w:rFonts w:ascii="GHEA Grapalat" w:eastAsia="Times New Roman" w:hAnsi="GHEA Grapalat" w:cs="Times New Roman"/>
          <w:color w:val="auto"/>
          <w:lang w:val="hy-AM"/>
        </w:rPr>
        <w:t xml:space="preserve"> միջինի (5.50 ºC) նկատմամբ կանխատեսվում է տարեկան միջին ջերմաստիճանի աճ՝ մինչև 1.60 ºC -ով՝ 2040թ</w:t>
      </w:r>
      <w:r w:rsidRPr="000232DD">
        <w:rPr>
          <w:rFonts w:ascii="Cambria Math" w:eastAsia="Times New Roman" w:hAnsi="Cambria Math" w:cs="Cambria Math"/>
          <w:color w:val="auto"/>
          <w:lang w:val="hy-AM"/>
        </w:rPr>
        <w:t>․</w:t>
      </w:r>
      <w:r w:rsidRPr="000232DD">
        <w:rPr>
          <w:rFonts w:ascii="GHEA Grapalat" w:eastAsia="Times New Roman" w:hAnsi="GHEA Grapalat" w:cs="Times New Roman"/>
          <w:color w:val="auto"/>
          <w:lang w:val="hy-AM"/>
        </w:rPr>
        <w:t>, 3.30 ºC-ով՝ 2070թ</w:t>
      </w:r>
      <w:r w:rsidRPr="000232DD">
        <w:rPr>
          <w:rFonts w:ascii="Cambria Math" w:eastAsia="Times New Roman" w:hAnsi="Cambria Math" w:cs="Cambria Math"/>
          <w:color w:val="auto"/>
          <w:lang w:val="hy-AM"/>
        </w:rPr>
        <w:t>․</w:t>
      </w:r>
      <w:r w:rsidRPr="000232DD">
        <w:rPr>
          <w:rFonts w:ascii="GHEA Grapalat" w:eastAsia="Times New Roman" w:hAnsi="GHEA Grapalat" w:cs="Times New Roman"/>
          <w:color w:val="auto"/>
          <w:lang w:val="hy-AM"/>
        </w:rPr>
        <w:t xml:space="preserve"> և 4.70 ºC-ով՝ 2100թ</w:t>
      </w:r>
      <w:r w:rsidRPr="000232DD">
        <w:rPr>
          <w:rFonts w:ascii="Cambria Math" w:eastAsia="Times New Roman" w:hAnsi="Cambria Math" w:cs="Cambria Math"/>
          <w:color w:val="auto"/>
          <w:lang w:val="hy-AM"/>
        </w:rPr>
        <w:t>․</w:t>
      </w:r>
      <w:r w:rsidRPr="000232DD">
        <w:rPr>
          <w:rFonts w:ascii="GHEA Grapalat" w:eastAsia="Times New Roman" w:hAnsi="GHEA Grapalat" w:cs="Times New Roman"/>
          <w:color w:val="auto"/>
          <w:lang w:val="hy-AM"/>
        </w:rPr>
        <w:t>։ Մթնոլորտային տեղումների դեպքում ակնկալվում է 1961-1990թթ</w:t>
      </w:r>
      <w:r w:rsidRPr="000232DD">
        <w:rPr>
          <w:rFonts w:ascii="Cambria Math" w:eastAsia="Times New Roman" w:hAnsi="Cambria Math" w:cs="Cambria Math"/>
          <w:color w:val="auto"/>
          <w:lang w:val="hy-AM"/>
        </w:rPr>
        <w:t>․</w:t>
      </w:r>
      <w:r w:rsidRPr="000232DD">
        <w:rPr>
          <w:rFonts w:ascii="GHEA Grapalat" w:eastAsia="Times New Roman" w:hAnsi="GHEA Grapalat" w:cs="Times New Roman"/>
          <w:color w:val="auto"/>
          <w:lang w:val="hy-AM"/>
        </w:rPr>
        <w:t xml:space="preserve"> տարեկան տեղումների միջին քանակի (592 մմ) նկատմամբ նվազում՝ մինչև 2.7%-ով՝ 2040թ</w:t>
      </w:r>
      <w:r w:rsidRPr="000232DD">
        <w:rPr>
          <w:rFonts w:ascii="Cambria Math" w:eastAsia="Times New Roman" w:hAnsi="Cambria Math" w:cs="Cambria Math"/>
          <w:color w:val="auto"/>
          <w:lang w:val="hy-AM"/>
        </w:rPr>
        <w:t>․</w:t>
      </w:r>
      <w:r w:rsidRPr="000232DD">
        <w:rPr>
          <w:rFonts w:ascii="GHEA Grapalat" w:eastAsia="Times New Roman" w:hAnsi="GHEA Grapalat" w:cs="Times New Roman"/>
          <w:color w:val="auto"/>
          <w:lang w:val="hy-AM"/>
        </w:rPr>
        <w:t>, 5.4%-ով՝ 2070թ</w:t>
      </w:r>
      <w:r w:rsidRPr="000232DD">
        <w:rPr>
          <w:rFonts w:ascii="Cambria Math" w:eastAsia="Times New Roman" w:hAnsi="Cambria Math" w:cs="Cambria Math"/>
          <w:color w:val="auto"/>
          <w:lang w:val="hy-AM"/>
        </w:rPr>
        <w:t>․</w:t>
      </w:r>
      <w:r w:rsidRPr="000232DD">
        <w:rPr>
          <w:rFonts w:ascii="GHEA Grapalat" w:eastAsia="Times New Roman" w:hAnsi="GHEA Grapalat" w:cs="Times New Roman"/>
          <w:color w:val="auto"/>
          <w:lang w:val="hy-AM"/>
        </w:rPr>
        <w:t xml:space="preserve"> և 8.3%-ով՝ 2100թ</w:t>
      </w:r>
      <w:r w:rsidRPr="000232DD">
        <w:rPr>
          <w:rFonts w:ascii="Cambria Math" w:eastAsia="Times New Roman" w:hAnsi="Cambria Math" w:cs="Cambria Math"/>
          <w:color w:val="auto"/>
          <w:lang w:val="hy-AM"/>
        </w:rPr>
        <w:t>․</w:t>
      </w:r>
      <w:r w:rsidRPr="000232DD">
        <w:rPr>
          <w:rFonts w:ascii="GHEA Grapalat" w:eastAsia="Times New Roman" w:hAnsi="GHEA Grapalat" w:cs="Times New Roman"/>
          <w:color w:val="auto"/>
          <w:lang w:val="hy-AM"/>
        </w:rPr>
        <w:t xml:space="preserve"> (Աղյուսակ 9)</w:t>
      </w:r>
      <w:r w:rsidRPr="000232DD">
        <w:rPr>
          <w:rFonts w:ascii="GHEA Grapalat" w:eastAsia="Times New Roman" w:hAnsi="GHEA Grapalat" w:cs="Times New Roman"/>
          <w:color w:val="auto"/>
          <w:vertAlign w:val="superscript"/>
          <w:lang w:val="hy-AM"/>
        </w:rPr>
        <w:footnoteReference w:id="39"/>
      </w:r>
      <w:r w:rsidR="00E8245C">
        <w:rPr>
          <w:rFonts w:ascii="GHEA Grapalat" w:eastAsia="Times New Roman" w:hAnsi="GHEA Grapalat" w:cs="Times New Roman"/>
          <w:color w:val="auto"/>
          <w:lang w:val="hy-AM"/>
        </w:rPr>
        <w:t xml:space="preserve"> ։ </w:t>
      </w:r>
    </w:p>
    <w:p w14:paraId="0454BE0F" w14:textId="77777777" w:rsidR="00D370E4" w:rsidRDefault="00D370E4" w:rsidP="00D370E4">
      <w:pPr>
        <w:pStyle w:val="TableTitleCharCharCharCharCharCharCharCharCharChar11"/>
        <w:ind w:right="-22"/>
        <w:rPr>
          <w:rFonts w:ascii="Sylfaen" w:eastAsia="Times New Roman" w:hAnsi="Sylfaen" w:cs="Sylfaen"/>
          <w:color w:val="auto"/>
          <w:lang w:val="hy-AM"/>
        </w:rPr>
      </w:pPr>
    </w:p>
    <w:p w14:paraId="60A70A47" w14:textId="77777777" w:rsidR="00D370E4" w:rsidRDefault="00D370E4" w:rsidP="00D370E4">
      <w:pPr>
        <w:pStyle w:val="TableTitleCharCharCharCharCharCharCharCharCharChar11"/>
        <w:ind w:right="-22"/>
        <w:rPr>
          <w:rFonts w:ascii="Sylfaen" w:eastAsia="Times New Roman" w:hAnsi="Sylfaen" w:cs="Sylfaen"/>
          <w:color w:val="auto"/>
          <w:lang w:val="hy-AM"/>
        </w:rPr>
      </w:pPr>
    </w:p>
    <w:p w14:paraId="3A5B34E5" w14:textId="420BFAF3" w:rsidR="00802FF2" w:rsidRPr="00A52417" w:rsidRDefault="00802FF2" w:rsidP="00A52417">
      <w:pPr>
        <w:pStyle w:val="Charts"/>
        <w:ind w:right="-22"/>
        <w:rPr>
          <w:b w:val="0"/>
          <w:bCs/>
          <w:color w:val="auto"/>
          <w:sz w:val="20"/>
          <w:szCs w:val="18"/>
        </w:rPr>
      </w:pPr>
      <w:r w:rsidRPr="00A52417">
        <w:rPr>
          <w:b w:val="0"/>
          <w:bCs/>
          <w:color w:val="auto"/>
          <w:sz w:val="20"/>
          <w:szCs w:val="18"/>
        </w:rPr>
        <w:t>Աղյուսակ 9. Տարեկան միջին ջերմաստիճանի (T, ºC) և տեղումների քանակի (P, մմ) կանխատեսվող արժեքները Հայաստանի տարածքում՝ ըստ բարձրության տարբեր գոտիների (մ) METRAS մոդելով՝ համաձայն RCP8.5 սցենարի</w:t>
      </w:r>
      <w:r w:rsidRPr="00A52417">
        <w:rPr>
          <w:b w:val="0"/>
          <w:bCs/>
          <w:color w:val="auto"/>
          <w:sz w:val="20"/>
          <w:szCs w:val="18"/>
        </w:rPr>
        <w:footnoteReference w:id="40"/>
      </w:r>
    </w:p>
    <w:tbl>
      <w:tblPr>
        <w:tblW w:w="9265" w:type="dxa"/>
        <w:jc w:val="center"/>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ook w:val="04A0" w:firstRow="1" w:lastRow="0" w:firstColumn="1" w:lastColumn="0" w:noHBand="0" w:noVBand="1"/>
      </w:tblPr>
      <w:tblGrid>
        <w:gridCol w:w="1705"/>
        <w:gridCol w:w="867"/>
        <w:gridCol w:w="885"/>
        <w:gridCol w:w="8"/>
        <w:gridCol w:w="997"/>
        <w:gridCol w:w="1001"/>
        <w:gridCol w:w="20"/>
        <w:gridCol w:w="869"/>
        <w:gridCol w:w="806"/>
        <w:gridCol w:w="28"/>
        <w:gridCol w:w="861"/>
        <w:gridCol w:w="1218"/>
      </w:tblGrid>
      <w:tr w:rsidR="004C0C21" w:rsidRPr="000232DD" w14:paraId="56A498B6" w14:textId="77777777" w:rsidTr="002D118D">
        <w:trPr>
          <w:trHeight w:val="300"/>
          <w:jc w:val="center"/>
        </w:trPr>
        <w:tc>
          <w:tcPr>
            <w:tcW w:w="1705" w:type="dxa"/>
            <w:vMerge w:val="restart"/>
            <w:shd w:val="clear" w:color="auto" w:fill="DAE9F7" w:themeFill="text2" w:themeFillTint="1A"/>
            <w:noWrap/>
            <w:vAlign w:val="center"/>
            <w:hideMark/>
          </w:tcPr>
          <w:p w14:paraId="5808FACC"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 xml:space="preserve">Բարձրության գոտիներ, </w:t>
            </w:r>
            <w:r w:rsidRPr="000232DD">
              <w:rPr>
                <w:rFonts w:ascii="GHEA Grapalat" w:eastAsia="Times New Roman" w:hAnsi="GHEA Grapalat" w:cs="Times New Roman"/>
                <w:b/>
                <w:color w:val="auto"/>
                <w:sz w:val="20"/>
                <w:szCs w:val="20"/>
              </w:rPr>
              <w:br/>
              <w:t>մ</w:t>
            </w:r>
          </w:p>
        </w:tc>
        <w:tc>
          <w:tcPr>
            <w:tcW w:w="1760" w:type="dxa"/>
            <w:gridSpan w:val="3"/>
            <w:shd w:val="clear" w:color="auto" w:fill="DAE9F7" w:themeFill="text2" w:themeFillTint="1A"/>
            <w:vAlign w:val="center"/>
            <w:hideMark/>
          </w:tcPr>
          <w:p w14:paraId="6B8A5A7E" w14:textId="77777777" w:rsidR="00802FF2" w:rsidRPr="000232DD" w:rsidRDefault="00802FF2" w:rsidP="00082769">
            <w:pPr>
              <w:spacing w:line="240" w:lineRule="auto"/>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1961-1990</w:t>
            </w:r>
          </w:p>
        </w:tc>
        <w:tc>
          <w:tcPr>
            <w:tcW w:w="2018" w:type="dxa"/>
            <w:gridSpan w:val="3"/>
            <w:shd w:val="clear" w:color="auto" w:fill="DAE9F7" w:themeFill="text2" w:themeFillTint="1A"/>
            <w:vAlign w:val="center"/>
            <w:hideMark/>
          </w:tcPr>
          <w:p w14:paraId="35BE93AD" w14:textId="77777777" w:rsidR="00802FF2" w:rsidRPr="000232DD" w:rsidRDefault="00802FF2" w:rsidP="00082769">
            <w:pPr>
              <w:spacing w:line="240" w:lineRule="auto"/>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2011-2040</w:t>
            </w:r>
          </w:p>
        </w:tc>
        <w:tc>
          <w:tcPr>
            <w:tcW w:w="1703" w:type="dxa"/>
            <w:gridSpan w:val="3"/>
            <w:shd w:val="clear" w:color="auto" w:fill="DAE9F7" w:themeFill="text2" w:themeFillTint="1A"/>
            <w:vAlign w:val="center"/>
            <w:hideMark/>
          </w:tcPr>
          <w:p w14:paraId="6B343015" w14:textId="77777777" w:rsidR="00802FF2" w:rsidRPr="000232DD" w:rsidRDefault="00802FF2" w:rsidP="00082769">
            <w:pPr>
              <w:spacing w:line="240" w:lineRule="auto"/>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2041-2070</w:t>
            </w:r>
          </w:p>
        </w:tc>
        <w:tc>
          <w:tcPr>
            <w:tcW w:w="2079" w:type="dxa"/>
            <w:gridSpan w:val="2"/>
            <w:shd w:val="clear" w:color="auto" w:fill="DAE9F7" w:themeFill="text2" w:themeFillTint="1A"/>
            <w:vAlign w:val="center"/>
            <w:hideMark/>
          </w:tcPr>
          <w:p w14:paraId="4C258678" w14:textId="77777777" w:rsidR="00802FF2" w:rsidRPr="000232DD" w:rsidRDefault="00802FF2" w:rsidP="00082769">
            <w:pPr>
              <w:spacing w:line="240" w:lineRule="auto"/>
              <w:ind w:right="-22"/>
              <w:jc w:val="center"/>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2071-2100</w:t>
            </w:r>
          </w:p>
        </w:tc>
      </w:tr>
      <w:tr w:rsidR="004C0C21" w:rsidRPr="000232DD" w14:paraId="7C02DCB7" w14:textId="77777777" w:rsidTr="002D118D">
        <w:trPr>
          <w:trHeight w:val="300"/>
          <w:jc w:val="center"/>
        </w:trPr>
        <w:tc>
          <w:tcPr>
            <w:tcW w:w="1705" w:type="dxa"/>
            <w:vMerge/>
            <w:shd w:val="clear" w:color="auto" w:fill="DAE9F7" w:themeFill="text2" w:themeFillTint="1A"/>
            <w:vAlign w:val="center"/>
            <w:hideMark/>
          </w:tcPr>
          <w:p w14:paraId="03836646"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p>
        </w:tc>
        <w:tc>
          <w:tcPr>
            <w:tcW w:w="867" w:type="dxa"/>
            <w:shd w:val="clear" w:color="auto" w:fill="DAE9F7" w:themeFill="text2" w:themeFillTint="1A"/>
            <w:vAlign w:val="center"/>
            <w:hideMark/>
          </w:tcPr>
          <w:p w14:paraId="62F72AF9"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T, °C</w:t>
            </w:r>
          </w:p>
        </w:tc>
        <w:tc>
          <w:tcPr>
            <w:tcW w:w="885" w:type="dxa"/>
            <w:shd w:val="clear" w:color="auto" w:fill="DAE9F7" w:themeFill="text2" w:themeFillTint="1A"/>
            <w:vAlign w:val="center"/>
            <w:hideMark/>
          </w:tcPr>
          <w:p w14:paraId="3F387E5B"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P, մմ</w:t>
            </w:r>
          </w:p>
        </w:tc>
        <w:tc>
          <w:tcPr>
            <w:tcW w:w="1005" w:type="dxa"/>
            <w:gridSpan w:val="2"/>
            <w:shd w:val="clear" w:color="auto" w:fill="DAE9F7" w:themeFill="text2" w:themeFillTint="1A"/>
            <w:vAlign w:val="center"/>
            <w:hideMark/>
          </w:tcPr>
          <w:p w14:paraId="7554321C"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T, °C</w:t>
            </w:r>
          </w:p>
        </w:tc>
        <w:tc>
          <w:tcPr>
            <w:tcW w:w="1001" w:type="dxa"/>
            <w:shd w:val="clear" w:color="auto" w:fill="DAE9F7" w:themeFill="text2" w:themeFillTint="1A"/>
            <w:vAlign w:val="center"/>
            <w:hideMark/>
          </w:tcPr>
          <w:p w14:paraId="3A136032"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P, մմ</w:t>
            </w:r>
          </w:p>
        </w:tc>
        <w:tc>
          <w:tcPr>
            <w:tcW w:w="889" w:type="dxa"/>
            <w:gridSpan w:val="2"/>
            <w:shd w:val="clear" w:color="auto" w:fill="DAE9F7" w:themeFill="text2" w:themeFillTint="1A"/>
            <w:vAlign w:val="center"/>
            <w:hideMark/>
          </w:tcPr>
          <w:p w14:paraId="145E3A1B"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T, °C</w:t>
            </w:r>
          </w:p>
        </w:tc>
        <w:tc>
          <w:tcPr>
            <w:tcW w:w="806" w:type="dxa"/>
            <w:shd w:val="clear" w:color="auto" w:fill="DAE9F7" w:themeFill="text2" w:themeFillTint="1A"/>
            <w:vAlign w:val="center"/>
            <w:hideMark/>
          </w:tcPr>
          <w:p w14:paraId="7DE7CC69"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P, մմ</w:t>
            </w:r>
          </w:p>
        </w:tc>
        <w:tc>
          <w:tcPr>
            <w:tcW w:w="889" w:type="dxa"/>
            <w:gridSpan w:val="2"/>
            <w:shd w:val="clear" w:color="auto" w:fill="DAE9F7" w:themeFill="text2" w:themeFillTint="1A"/>
            <w:vAlign w:val="center"/>
            <w:hideMark/>
          </w:tcPr>
          <w:p w14:paraId="4099D799"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T, °C</w:t>
            </w:r>
          </w:p>
        </w:tc>
        <w:tc>
          <w:tcPr>
            <w:tcW w:w="1218" w:type="dxa"/>
            <w:shd w:val="clear" w:color="auto" w:fill="DAE9F7" w:themeFill="text2" w:themeFillTint="1A"/>
            <w:vAlign w:val="center"/>
            <w:hideMark/>
          </w:tcPr>
          <w:p w14:paraId="68F0E15F"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P, մմ</w:t>
            </w:r>
          </w:p>
        </w:tc>
      </w:tr>
      <w:tr w:rsidR="004C0C21" w:rsidRPr="000232DD" w14:paraId="40B00739" w14:textId="77777777" w:rsidTr="002D118D">
        <w:trPr>
          <w:trHeight w:val="300"/>
          <w:jc w:val="center"/>
        </w:trPr>
        <w:tc>
          <w:tcPr>
            <w:tcW w:w="1705" w:type="dxa"/>
            <w:shd w:val="clear" w:color="auto" w:fill="auto"/>
            <w:noWrap/>
            <w:vAlign w:val="center"/>
            <w:hideMark/>
          </w:tcPr>
          <w:p w14:paraId="14DA4534"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 xml:space="preserve">    &lt; 800</w:t>
            </w:r>
          </w:p>
        </w:tc>
        <w:tc>
          <w:tcPr>
            <w:tcW w:w="867" w:type="dxa"/>
            <w:shd w:val="clear" w:color="auto" w:fill="auto"/>
            <w:noWrap/>
            <w:vAlign w:val="center"/>
            <w:hideMark/>
          </w:tcPr>
          <w:p w14:paraId="149DA4F3"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11.2</w:t>
            </w:r>
          </w:p>
        </w:tc>
        <w:tc>
          <w:tcPr>
            <w:tcW w:w="885" w:type="dxa"/>
            <w:shd w:val="clear" w:color="auto" w:fill="auto"/>
            <w:noWrap/>
            <w:vAlign w:val="center"/>
            <w:hideMark/>
          </w:tcPr>
          <w:p w14:paraId="7ECDB592"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467</w:t>
            </w:r>
          </w:p>
        </w:tc>
        <w:tc>
          <w:tcPr>
            <w:tcW w:w="1005" w:type="dxa"/>
            <w:gridSpan w:val="2"/>
            <w:shd w:val="clear" w:color="auto" w:fill="auto"/>
            <w:noWrap/>
            <w:vAlign w:val="center"/>
            <w:hideMark/>
          </w:tcPr>
          <w:p w14:paraId="34BBA431"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12.8</w:t>
            </w:r>
          </w:p>
        </w:tc>
        <w:tc>
          <w:tcPr>
            <w:tcW w:w="1001" w:type="dxa"/>
            <w:shd w:val="clear" w:color="auto" w:fill="auto"/>
            <w:noWrap/>
            <w:vAlign w:val="center"/>
            <w:hideMark/>
          </w:tcPr>
          <w:p w14:paraId="1D96B2E9"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452</w:t>
            </w:r>
          </w:p>
        </w:tc>
        <w:tc>
          <w:tcPr>
            <w:tcW w:w="889" w:type="dxa"/>
            <w:gridSpan w:val="2"/>
            <w:shd w:val="clear" w:color="auto" w:fill="auto"/>
            <w:noWrap/>
            <w:vAlign w:val="center"/>
            <w:hideMark/>
          </w:tcPr>
          <w:p w14:paraId="395A5695"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14.5</w:t>
            </w:r>
          </w:p>
        </w:tc>
        <w:tc>
          <w:tcPr>
            <w:tcW w:w="806" w:type="dxa"/>
            <w:shd w:val="clear" w:color="auto" w:fill="auto"/>
            <w:noWrap/>
            <w:vAlign w:val="center"/>
            <w:hideMark/>
          </w:tcPr>
          <w:p w14:paraId="59B865F9"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439</w:t>
            </w:r>
          </w:p>
        </w:tc>
        <w:tc>
          <w:tcPr>
            <w:tcW w:w="889" w:type="dxa"/>
            <w:gridSpan w:val="2"/>
            <w:shd w:val="clear" w:color="auto" w:fill="auto"/>
            <w:noWrap/>
            <w:vAlign w:val="center"/>
            <w:hideMark/>
          </w:tcPr>
          <w:p w14:paraId="122CE51D"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15.9</w:t>
            </w:r>
          </w:p>
        </w:tc>
        <w:tc>
          <w:tcPr>
            <w:tcW w:w="1218" w:type="dxa"/>
            <w:shd w:val="clear" w:color="auto" w:fill="auto"/>
            <w:noWrap/>
            <w:vAlign w:val="center"/>
            <w:hideMark/>
          </w:tcPr>
          <w:p w14:paraId="5F5E5357"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426</w:t>
            </w:r>
          </w:p>
        </w:tc>
      </w:tr>
      <w:tr w:rsidR="004C0C21" w:rsidRPr="000232DD" w14:paraId="1AD1D668" w14:textId="77777777" w:rsidTr="002D118D">
        <w:trPr>
          <w:trHeight w:val="300"/>
          <w:jc w:val="center"/>
        </w:trPr>
        <w:tc>
          <w:tcPr>
            <w:tcW w:w="1705" w:type="dxa"/>
            <w:shd w:val="clear" w:color="auto" w:fill="auto"/>
            <w:noWrap/>
            <w:vAlign w:val="center"/>
            <w:hideMark/>
          </w:tcPr>
          <w:p w14:paraId="3C11EEA6"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800 - 1000</w:t>
            </w:r>
          </w:p>
        </w:tc>
        <w:tc>
          <w:tcPr>
            <w:tcW w:w="867" w:type="dxa"/>
            <w:shd w:val="clear" w:color="auto" w:fill="auto"/>
            <w:noWrap/>
            <w:vAlign w:val="center"/>
            <w:hideMark/>
          </w:tcPr>
          <w:p w14:paraId="16FD2116"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10.8</w:t>
            </w:r>
          </w:p>
        </w:tc>
        <w:tc>
          <w:tcPr>
            <w:tcW w:w="885" w:type="dxa"/>
            <w:shd w:val="clear" w:color="auto" w:fill="auto"/>
            <w:noWrap/>
            <w:vAlign w:val="center"/>
            <w:hideMark/>
          </w:tcPr>
          <w:p w14:paraId="07EB071D"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343</w:t>
            </w:r>
          </w:p>
        </w:tc>
        <w:tc>
          <w:tcPr>
            <w:tcW w:w="1005" w:type="dxa"/>
            <w:gridSpan w:val="2"/>
            <w:shd w:val="clear" w:color="auto" w:fill="auto"/>
            <w:noWrap/>
            <w:vAlign w:val="center"/>
            <w:hideMark/>
          </w:tcPr>
          <w:p w14:paraId="5E7C86E6"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12.4</w:t>
            </w:r>
          </w:p>
        </w:tc>
        <w:tc>
          <w:tcPr>
            <w:tcW w:w="1001" w:type="dxa"/>
            <w:shd w:val="clear" w:color="auto" w:fill="auto"/>
            <w:noWrap/>
            <w:vAlign w:val="center"/>
            <w:hideMark/>
          </w:tcPr>
          <w:p w14:paraId="6A501B91"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332</w:t>
            </w:r>
          </w:p>
        </w:tc>
        <w:tc>
          <w:tcPr>
            <w:tcW w:w="889" w:type="dxa"/>
            <w:gridSpan w:val="2"/>
            <w:shd w:val="clear" w:color="auto" w:fill="auto"/>
            <w:noWrap/>
            <w:vAlign w:val="center"/>
            <w:hideMark/>
          </w:tcPr>
          <w:p w14:paraId="1E3E66BD"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14.1</w:t>
            </w:r>
          </w:p>
        </w:tc>
        <w:tc>
          <w:tcPr>
            <w:tcW w:w="806" w:type="dxa"/>
            <w:shd w:val="clear" w:color="auto" w:fill="auto"/>
            <w:noWrap/>
            <w:vAlign w:val="center"/>
            <w:hideMark/>
          </w:tcPr>
          <w:p w14:paraId="5AF82B10"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322</w:t>
            </w:r>
          </w:p>
        </w:tc>
        <w:tc>
          <w:tcPr>
            <w:tcW w:w="889" w:type="dxa"/>
            <w:gridSpan w:val="2"/>
            <w:shd w:val="clear" w:color="auto" w:fill="auto"/>
            <w:noWrap/>
            <w:vAlign w:val="center"/>
            <w:hideMark/>
          </w:tcPr>
          <w:p w14:paraId="7D98ECCF"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15.5</w:t>
            </w:r>
          </w:p>
        </w:tc>
        <w:tc>
          <w:tcPr>
            <w:tcW w:w="1218" w:type="dxa"/>
            <w:shd w:val="clear" w:color="auto" w:fill="auto"/>
            <w:noWrap/>
            <w:vAlign w:val="center"/>
            <w:hideMark/>
          </w:tcPr>
          <w:p w14:paraId="6EC1C5E5"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313</w:t>
            </w:r>
          </w:p>
        </w:tc>
      </w:tr>
      <w:tr w:rsidR="004C0C21" w:rsidRPr="000232DD" w14:paraId="6F7A8AAC" w14:textId="77777777" w:rsidTr="002D118D">
        <w:trPr>
          <w:trHeight w:val="300"/>
          <w:jc w:val="center"/>
        </w:trPr>
        <w:tc>
          <w:tcPr>
            <w:tcW w:w="1705" w:type="dxa"/>
            <w:shd w:val="clear" w:color="auto" w:fill="auto"/>
            <w:noWrap/>
            <w:vAlign w:val="center"/>
            <w:hideMark/>
          </w:tcPr>
          <w:p w14:paraId="7F1B2320"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1000 - 1500</w:t>
            </w:r>
          </w:p>
        </w:tc>
        <w:tc>
          <w:tcPr>
            <w:tcW w:w="867" w:type="dxa"/>
            <w:shd w:val="clear" w:color="auto" w:fill="auto"/>
            <w:noWrap/>
            <w:vAlign w:val="center"/>
            <w:hideMark/>
          </w:tcPr>
          <w:p w14:paraId="4F1F908A"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8.4</w:t>
            </w:r>
          </w:p>
        </w:tc>
        <w:tc>
          <w:tcPr>
            <w:tcW w:w="885" w:type="dxa"/>
            <w:shd w:val="clear" w:color="auto" w:fill="auto"/>
            <w:noWrap/>
            <w:vAlign w:val="center"/>
            <w:hideMark/>
          </w:tcPr>
          <w:p w14:paraId="08F8D92D"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502</w:t>
            </w:r>
          </w:p>
        </w:tc>
        <w:tc>
          <w:tcPr>
            <w:tcW w:w="1005" w:type="dxa"/>
            <w:gridSpan w:val="2"/>
            <w:shd w:val="clear" w:color="auto" w:fill="auto"/>
            <w:noWrap/>
            <w:vAlign w:val="center"/>
            <w:hideMark/>
          </w:tcPr>
          <w:p w14:paraId="4DB03B0F"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10</w:t>
            </w:r>
          </w:p>
        </w:tc>
        <w:tc>
          <w:tcPr>
            <w:tcW w:w="1001" w:type="dxa"/>
            <w:shd w:val="clear" w:color="auto" w:fill="auto"/>
            <w:noWrap/>
            <w:vAlign w:val="center"/>
            <w:hideMark/>
          </w:tcPr>
          <w:p w14:paraId="7CD692A0"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486</w:t>
            </w:r>
          </w:p>
        </w:tc>
        <w:tc>
          <w:tcPr>
            <w:tcW w:w="889" w:type="dxa"/>
            <w:gridSpan w:val="2"/>
            <w:shd w:val="clear" w:color="auto" w:fill="auto"/>
            <w:noWrap/>
            <w:vAlign w:val="center"/>
            <w:hideMark/>
          </w:tcPr>
          <w:p w14:paraId="4EC3FEB5"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11.7</w:t>
            </w:r>
          </w:p>
        </w:tc>
        <w:tc>
          <w:tcPr>
            <w:tcW w:w="806" w:type="dxa"/>
            <w:shd w:val="clear" w:color="auto" w:fill="auto"/>
            <w:noWrap/>
            <w:vAlign w:val="center"/>
            <w:hideMark/>
          </w:tcPr>
          <w:p w14:paraId="500F45E3"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472</w:t>
            </w:r>
          </w:p>
        </w:tc>
        <w:tc>
          <w:tcPr>
            <w:tcW w:w="889" w:type="dxa"/>
            <w:gridSpan w:val="2"/>
            <w:shd w:val="clear" w:color="auto" w:fill="auto"/>
            <w:noWrap/>
            <w:vAlign w:val="center"/>
            <w:hideMark/>
          </w:tcPr>
          <w:p w14:paraId="74F8F106"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13.1</w:t>
            </w:r>
          </w:p>
        </w:tc>
        <w:tc>
          <w:tcPr>
            <w:tcW w:w="1218" w:type="dxa"/>
            <w:shd w:val="clear" w:color="auto" w:fill="auto"/>
            <w:noWrap/>
            <w:vAlign w:val="center"/>
            <w:hideMark/>
          </w:tcPr>
          <w:p w14:paraId="0D437209"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458</w:t>
            </w:r>
          </w:p>
        </w:tc>
      </w:tr>
      <w:tr w:rsidR="004C0C21" w:rsidRPr="000232DD" w14:paraId="6CAB3249" w14:textId="77777777" w:rsidTr="002D118D">
        <w:trPr>
          <w:trHeight w:val="300"/>
          <w:jc w:val="center"/>
        </w:trPr>
        <w:tc>
          <w:tcPr>
            <w:tcW w:w="1705" w:type="dxa"/>
            <w:shd w:val="clear" w:color="auto" w:fill="auto"/>
            <w:noWrap/>
            <w:vAlign w:val="center"/>
            <w:hideMark/>
          </w:tcPr>
          <w:p w14:paraId="4B26ECA8"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1500 - 2000</w:t>
            </w:r>
          </w:p>
        </w:tc>
        <w:tc>
          <w:tcPr>
            <w:tcW w:w="867" w:type="dxa"/>
            <w:shd w:val="clear" w:color="auto" w:fill="auto"/>
            <w:noWrap/>
            <w:vAlign w:val="center"/>
            <w:hideMark/>
          </w:tcPr>
          <w:p w14:paraId="2F51D2C2"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5.5</w:t>
            </w:r>
          </w:p>
        </w:tc>
        <w:tc>
          <w:tcPr>
            <w:tcW w:w="885" w:type="dxa"/>
            <w:shd w:val="clear" w:color="auto" w:fill="auto"/>
            <w:noWrap/>
            <w:vAlign w:val="center"/>
            <w:hideMark/>
          </w:tcPr>
          <w:p w14:paraId="710F1B44"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592</w:t>
            </w:r>
          </w:p>
        </w:tc>
        <w:tc>
          <w:tcPr>
            <w:tcW w:w="1005" w:type="dxa"/>
            <w:gridSpan w:val="2"/>
            <w:shd w:val="clear" w:color="auto" w:fill="auto"/>
            <w:noWrap/>
            <w:vAlign w:val="center"/>
            <w:hideMark/>
          </w:tcPr>
          <w:p w14:paraId="6B95E1C8"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7.1</w:t>
            </w:r>
          </w:p>
        </w:tc>
        <w:tc>
          <w:tcPr>
            <w:tcW w:w="1001" w:type="dxa"/>
            <w:shd w:val="clear" w:color="auto" w:fill="auto"/>
            <w:noWrap/>
            <w:vAlign w:val="center"/>
            <w:hideMark/>
          </w:tcPr>
          <w:p w14:paraId="7003AD04"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573</w:t>
            </w:r>
          </w:p>
        </w:tc>
        <w:tc>
          <w:tcPr>
            <w:tcW w:w="889" w:type="dxa"/>
            <w:gridSpan w:val="2"/>
            <w:shd w:val="clear" w:color="auto" w:fill="auto"/>
            <w:noWrap/>
            <w:vAlign w:val="center"/>
            <w:hideMark/>
          </w:tcPr>
          <w:p w14:paraId="581159EE"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8.8</w:t>
            </w:r>
          </w:p>
        </w:tc>
        <w:tc>
          <w:tcPr>
            <w:tcW w:w="806" w:type="dxa"/>
            <w:shd w:val="clear" w:color="auto" w:fill="auto"/>
            <w:noWrap/>
            <w:vAlign w:val="center"/>
            <w:hideMark/>
          </w:tcPr>
          <w:p w14:paraId="2CB3D375"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557</w:t>
            </w:r>
          </w:p>
        </w:tc>
        <w:tc>
          <w:tcPr>
            <w:tcW w:w="889" w:type="dxa"/>
            <w:gridSpan w:val="2"/>
            <w:shd w:val="clear" w:color="auto" w:fill="auto"/>
            <w:noWrap/>
            <w:vAlign w:val="center"/>
            <w:hideMark/>
          </w:tcPr>
          <w:p w14:paraId="09C3FABC"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10.2</w:t>
            </w:r>
          </w:p>
        </w:tc>
        <w:tc>
          <w:tcPr>
            <w:tcW w:w="1218" w:type="dxa"/>
            <w:shd w:val="clear" w:color="auto" w:fill="auto"/>
            <w:noWrap/>
            <w:vAlign w:val="center"/>
            <w:hideMark/>
          </w:tcPr>
          <w:p w14:paraId="3E76BFDC"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540</w:t>
            </w:r>
          </w:p>
        </w:tc>
      </w:tr>
      <w:tr w:rsidR="004C0C21" w:rsidRPr="000232DD" w14:paraId="00872157" w14:textId="77777777" w:rsidTr="002D118D">
        <w:trPr>
          <w:trHeight w:val="300"/>
          <w:jc w:val="center"/>
        </w:trPr>
        <w:tc>
          <w:tcPr>
            <w:tcW w:w="1705" w:type="dxa"/>
            <w:shd w:val="clear" w:color="auto" w:fill="auto"/>
            <w:noWrap/>
            <w:vAlign w:val="center"/>
            <w:hideMark/>
          </w:tcPr>
          <w:p w14:paraId="7EB512C7"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2000 - 2500</w:t>
            </w:r>
          </w:p>
        </w:tc>
        <w:tc>
          <w:tcPr>
            <w:tcW w:w="867" w:type="dxa"/>
            <w:shd w:val="clear" w:color="auto" w:fill="auto"/>
            <w:noWrap/>
            <w:vAlign w:val="center"/>
            <w:hideMark/>
          </w:tcPr>
          <w:p w14:paraId="039E4AAB"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3.3</w:t>
            </w:r>
          </w:p>
        </w:tc>
        <w:tc>
          <w:tcPr>
            <w:tcW w:w="885" w:type="dxa"/>
            <w:shd w:val="clear" w:color="auto" w:fill="auto"/>
            <w:noWrap/>
            <w:vAlign w:val="center"/>
            <w:hideMark/>
          </w:tcPr>
          <w:p w14:paraId="6AA324A9"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660</w:t>
            </w:r>
          </w:p>
        </w:tc>
        <w:tc>
          <w:tcPr>
            <w:tcW w:w="1005" w:type="dxa"/>
            <w:gridSpan w:val="2"/>
            <w:shd w:val="clear" w:color="auto" w:fill="auto"/>
            <w:noWrap/>
            <w:vAlign w:val="center"/>
            <w:hideMark/>
          </w:tcPr>
          <w:p w14:paraId="0FC25D7C"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4.9</w:t>
            </w:r>
          </w:p>
        </w:tc>
        <w:tc>
          <w:tcPr>
            <w:tcW w:w="1001" w:type="dxa"/>
            <w:shd w:val="clear" w:color="auto" w:fill="auto"/>
            <w:noWrap/>
            <w:vAlign w:val="center"/>
            <w:hideMark/>
          </w:tcPr>
          <w:p w14:paraId="2E891BB7"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640</w:t>
            </w:r>
          </w:p>
        </w:tc>
        <w:tc>
          <w:tcPr>
            <w:tcW w:w="889" w:type="dxa"/>
            <w:gridSpan w:val="2"/>
            <w:shd w:val="clear" w:color="auto" w:fill="auto"/>
            <w:noWrap/>
            <w:vAlign w:val="center"/>
            <w:hideMark/>
          </w:tcPr>
          <w:p w14:paraId="5CF901C3"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6.6</w:t>
            </w:r>
          </w:p>
        </w:tc>
        <w:tc>
          <w:tcPr>
            <w:tcW w:w="806" w:type="dxa"/>
            <w:shd w:val="clear" w:color="auto" w:fill="auto"/>
            <w:noWrap/>
            <w:vAlign w:val="center"/>
            <w:hideMark/>
          </w:tcPr>
          <w:p w14:paraId="57C57E37"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621</w:t>
            </w:r>
          </w:p>
        </w:tc>
        <w:tc>
          <w:tcPr>
            <w:tcW w:w="889" w:type="dxa"/>
            <w:gridSpan w:val="2"/>
            <w:shd w:val="clear" w:color="auto" w:fill="auto"/>
            <w:noWrap/>
            <w:vAlign w:val="center"/>
            <w:hideMark/>
          </w:tcPr>
          <w:p w14:paraId="4E87DECB"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8</w:t>
            </w:r>
          </w:p>
        </w:tc>
        <w:tc>
          <w:tcPr>
            <w:tcW w:w="1218" w:type="dxa"/>
            <w:shd w:val="clear" w:color="auto" w:fill="auto"/>
            <w:noWrap/>
            <w:vAlign w:val="center"/>
            <w:hideMark/>
          </w:tcPr>
          <w:p w14:paraId="4D7AF147"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603</w:t>
            </w:r>
          </w:p>
        </w:tc>
      </w:tr>
      <w:tr w:rsidR="004C0C21" w:rsidRPr="000232DD" w14:paraId="26BF6F95" w14:textId="77777777" w:rsidTr="002D118D">
        <w:trPr>
          <w:trHeight w:val="300"/>
          <w:jc w:val="center"/>
        </w:trPr>
        <w:tc>
          <w:tcPr>
            <w:tcW w:w="1705" w:type="dxa"/>
            <w:shd w:val="clear" w:color="auto" w:fill="auto"/>
            <w:noWrap/>
            <w:vAlign w:val="center"/>
            <w:hideMark/>
          </w:tcPr>
          <w:p w14:paraId="5B16B356"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2500 - 3000</w:t>
            </w:r>
          </w:p>
        </w:tc>
        <w:tc>
          <w:tcPr>
            <w:tcW w:w="867" w:type="dxa"/>
            <w:shd w:val="clear" w:color="auto" w:fill="auto"/>
            <w:noWrap/>
            <w:vAlign w:val="center"/>
            <w:hideMark/>
          </w:tcPr>
          <w:p w14:paraId="10EAD4F2"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1.6</w:t>
            </w:r>
          </w:p>
        </w:tc>
        <w:tc>
          <w:tcPr>
            <w:tcW w:w="885" w:type="dxa"/>
            <w:shd w:val="clear" w:color="auto" w:fill="auto"/>
            <w:noWrap/>
            <w:vAlign w:val="center"/>
            <w:hideMark/>
          </w:tcPr>
          <w:p w14:paraId="1BF7F9AB"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732</w:t>
            </w:r>
          </w:p>
        </w:tc>
        <w:tc>
          <w:tcPr>
            <w:tcW w:w="1005" w:type="dxa"/>
            <w:gridSpan w:val="2"/>
            <w:shd w:val="clear" w:color="auto" w:fill="auto"/>
            <w:noWrap/>
            <w:vAlign w:val="center"/>
            <w:hideMark/>
          </w:tcPr>
          <w:p w14:paraId="1331DFFA"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3.2</w:t>
            </w:r>
          </w:p>
        </w:tc>
        <w:tc>
          <w:tcPr>
            <w:tcW w:w="1001" w:type="dxa"/>
            <w:shd w:val="clear" w:color="auto" w:fill="auto"/>
            <w:noWrap/>
            <w:vAlign w:val="center"/>
            <w:hideMark/>
          </w:tcPr>
          <w:p w14:paraId="7B6A3EE7"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713</w:t>
            </w:r>
          </w:p>
        </w:tc>
        <w:tc>
          <w:tcPr>
            <w:tcW w:w="889" w:type="dxa"/>
            <w:gridSpan w:val="2"/>
            <w:shd w:val="clear" w:color="auto" w:fill="auto"/>
            <w:noWrap/>
            <w:vAlign w:val="center"/>
            <w:hideMark/>
          </w:tcPr>
          <w:p w14:paraId="35FC0FE4"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4.9</w:t>
            </w:r>
          </w:p>
        </w:tc>
        <w:tc>
          <w:tcPr>
            <w:tcW w:w="806" w:type="dxa"/>
            <w:shd w:val="clear" w:color="auto" w:fill="auto"/>
            <w:noWrap/>
            <w:vAlign w:val="center"/>
            <w:hideMark/>
          </w:tcPr>
          <w:p w14:paraId="21FA6DEE"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692</w:t>
            </w:r>
          </w:p>
        </w:tc>
        <w:tc>
          <w:tcPr>
            <w:tcW w:w="889" w:type="dxa"/>
            <w:gridSpan w:val="2"/>
            <w:shd w:val="clear" w:color="auto" w:fill="auto"/>
            <w:noWrap/>
            <w:vAlign w:val="center"/>
            <w:hideMark/>
          </w:tcPr>
          <w:p w14:paraId="1F57FD9C"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6.3</w:t>
            </w:r>
          </w:p>
        </w:tc>
        <w:tc>
          <w:tcPr>
            <w:tcW w:w="1218" w:type="dxa"/>
            <w:shd w:val="clear" w:color="auto" w:fill="auto"/>
            <w:noWrap/>
            <w:vAlign w:val="center"/>
            <w:hideMark/>
          </w:tcPr>
          <w:p w14:paraId="0DA8FB5A"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671</w:t>
            </w:r>
          </w:p>
        </w:tc>
      </w:tr>
      <w:tr w:rsidR="004C0C21" w:rsidRPr="000232DD" w14:paraId="7851C20A" w14:textId="77777777" w:rsidTr="002D118D">
        <w:trPr>
          <w:trHeight w:val="300"/>
          <w:jc w:val="center"/>
        </w:trPr>
        <w:tc>
          <w:tcPr>
            <w:tcW w:w="1705" w:type="dxa"/>
            <w:shd w:val="clear" w:color="auto" w:fill="auto"/>
            <w:noWrap/>
            <w:vAlign w:val="center"/>
            <w:hideMark/>
          </w:tcPr>
          <w:p w14:paraId="19287056" w14:textId="77777777" w:rsidR="00802FF2" w:rsidRPr="000232DD" w:rsidRDefault="00802FF2" w:rsidP="00082769">
            <w:pPr>
              <w:spacing w:line="240" w:lineRule="auto"/>
              <w:ind w:right="-22"/>
              <w:rPr>
                <w:rFonts w:ascii="GHEA Grapalat" w:eastAsia="Times New Roman" w:hAnsi="GHEA Grapalat" w:cs="Times New Roman"/>
                <w:b/>
                <w:color w:val="auto"/>
                <w:sz w:val="20"/>
                <w:szCs w:val="20"/>
              </w:rPr>
            </w:pPr>
            <w:r w:rsidRPr="000232DD">
              <w:rPr>
                <w:rFonts w:ascii="GHEA Grapalat" w:eastAsia="Times New Roman" w:hAnsi="GHEA Grapalat" w:cs="Times New Roman"/>
                <w:b/>
                <w:color w:val="auto"/>
                <w:sz w:val="20"/>
                <w:szCs w:val="20"/>
              </w:rPr>
              <w:t xml:space="preserve">     &gt; 3000</w:t>
            </w:r>
          </w:p>
        </w:tc>
        <w:tc>
          <w:tcPr>
            <w:tcW w:w="867" w:type="dxa"/>
            <w:shd w:val="clear" w:color="auto" w:fill="auto"/>
            <w:noWrap/>
            <w:vAlign w:val="center"/>
            <w:hideMark/>
          </w:tcPr>
          <w:p w14:paraId="3F6A587A"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-0.7</w:t>
            </w:r>
          </w:p>
        </w:tc>
        <w:tc>
          <w:tcPr>
            <w:tcW w:w="885" w:type="dxa"/>
            <w:shd w:val="clear" w:color="auto" w:fill="auto"/>
            <w:noWrap/>
            <w:vAlign w:val="center"/>
            <w:hideMark/>
          </w:tcPr>
          <w:p w14:paraId="6DD113DD"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800</w:t>
            </w:r>
          </w:p>
        </w:tc>
        <w:tc>
          <w:tcPr>
            <w:tcW w:w="1005" w:type="dxa"/>
            <w:gridSpan w:val="2"/>
            <w:shd w:val="clear" w:color="auto" w:fill="auto"/>
            <w:noWrap/>
            <w:vAlign w:val="center"/>
            <w:hideMark/>
          </w:tcPr>
          <w:p w14:paraId="08F3F36F"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0.9</w:t>
            </w:r>
          </w:p>
        </w:tc>
        <w:tc>
          <w:tcPr>
            <w:tcW w:w="1001" w:type="dxa"/>
            <w:shd w:val="clear" w:color="auto" w:fill="auto"/>
            <w:noWrap/>
            <w:vAlign w:val="center"/>
            <w:hideMark/>
          </w:tcPr>
          <w:p w14:paraId="11CE9D67"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776</w:t>
            </w:r>
          </w:p>
        </w:tc>
        <w:tc>
          <w:tcPr>
            <w:tcW w:w="889" w:type="dxa"/>
            <w:gridSpan w:val="2"/>
            <w:shd w:val="clear" w:color="auto" w:fill="auto"/>
            <w:noWrap/>
            <w:vAlign w:val="center"/>
            <w:hideMark/>
          </w:tcPr>
          <w:p w14:paraId="3E79351C"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2.6</w:t>
            </w:r>
          </w:p>
        </w:tc>
        <w:tc>
          <w:tcPr>
            <w:tcW w:w="806" w:type="dxa"/>
            <w:shd w:val="clear" w:color="auto" w:fill="auto"/>
            <w:noWrap/>
            <w:vAlign w:val="center"/>
            <w:hideMark/>
          </w:tcPr>
          <w:p w14:paraId="4AF751F5"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753</w:t>
            </w:r>
          </w:p>
        </w:tc>
        <w:tc>
          <w:tcPr>
            <w:tcW w:w="889" w:type="dxa"/>
            <w:gridSpan w:val="2"/>
            <w:shd w:val="clear" w:color="auto" w:fill="auto"/>
            <w:noWrap/>
            <w:vAlign w:val="center"/>
            <w:hideMark/>
          </w:tcPr>
          <w:p w14:paraId="0D0FF53B"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4</w:t>
            </w:r>
          </w:p>
        </w:tc>
        <w:tc>
          <w:tcPr>
            <w:tcW w:w="1218" w:type="dxa"/>
            <w:shd w:val="clear" w:color="auto" w:fill="auto"/>
            <w:noWrap/>
            <w:vAlign w:val="center"/>
            <w:hideMark/>
          </w:tcPr>
          <w:p w14:paraId="383F8804" w14:textId="77777777" w:rsidR="00802FF2" w:rsidRPr="000232DD" w:rsidRDefault="00802FF2" w:rsidP="00082769">
            <w:pPr>
              <w:spacing w:line="240" w:lineRule="auto"/>
              <w:ind w:right="-22"/>
              <w:rPr>
                <w:rFonts w:ascii="GHEA Grapalat" w:eastAsia="Times New Roman" w:hAnsi="GHEA Grapalat" w:cs="Times New Roman"/>
                <w:color w:val="auto"/>
                <w:sz w:val="20"/>
                <w:szCs w:val="20"/>
              </w:rPr>
            </w:pPr>
            <w:r w:rsidRPr="000232DD">
              <w:rPr>
                <w:rFonts w:ascii="GHEA Grapalat" w:eastAsia="Times New Roman" w:hAnsi="GHEA Grapalat" w:cs="Times New Roman"/>
                <w:color w:val="auto"/>
                <w:sz w:val="20"/>
                <w:szCs w:val="20"/>
              </w:rPr>
              <w:t>731</w:t>
            </w:r>
          </w:p>
        </w:tc>
      </w:tr>
      <w:tr w:rsidR="00802FF2" w:rsidRPr="000232DD" w14:paraId="03BAD541" w14:textId="77777777" w:rsidTr="002D118D">
        <w:trPr>
          <w:trHeight w:val="330"/>
          <w:jc w:val="center"/>
        </w:trPr>
        <w:tc>
          <w:tcPr>
            <w:tcW w:w="1705" w:type="dxa"/>
            <w:shd w:val="clear" w:color="auto" w:fill="auto"/>
            <w:noWrap/>
            <w:vAlign w:val="center"/>
            <w:hideMark/>
          </w:tcPr>
          <w:p w14:paraId="738DE97F" w14:textId="77777777" w:rsidR="00802FF2" w:rsidRPr="000232DD" w:rsidRDefault="00802FF2" w:rsidP="00082769">
            <w:pPr>
              <w:ind w:right="-22"/>
              <w:rPr>
                <w:rFonts w:ascii="GHEA Grapalat" w:eastAsia="Times New Roman" w:hAnsi="GHEA Grapalat" w:cs="Times New Roman"/>
                <w:b/>
                <w:i/>
                <w:color w:val="auto"/>
              </w:rPr>
            </w:pPr>
            <w:r w:rsidRPr="000232DD">
              <w:rPr>
                <w:rFonts w:ascii="GHEA Grapalat" w:eastAsia="Times New Roman" w:hAnsi="GHEA Grapalat" w:cs="Times New Roman"/>
                <w:b/>
                <w:i/>
                <w:color w:val="auto"/>
              </w:rPr>
              <w:t>Հայաստան</w:t>
            </w:r>
          </w:p>
        </w:tc>
        <w:tc>
          <w:tcPr>
            <w:tcW w:w="867" w:type="dxa"/>
            <w:shd w:val="clear" w:color="auto" w:fill="auto"/>
            <w:noWrap/>
            <w:vAlign w:val="center"/>
            <w:hideMark/>
          </w:tcPr>
          <w:p w14:paraId="2643B4AF" w14:textId="77777777" w:rsidR="00802FF2" w:rsidRPr="000232DD" w:rsidRDefault="00802FF2" w:rsidP="00082769">
            <w:pPr>
              <w:ind w:right="-22"/>
              <w:rPr>
                <w:rFonts w:ascii="GHEA Grapalat" w:eastAsia="Times New Roman" w:hAnsi="GHEA Grapalat" w:cs="Times New Roman"/>
                <w:i/>
                <w:color w:val="auto"/>
              </w:rPr>
            </w:pPr>
            <w:r w:rsidRPr="000232DD">
              <w:rPr>
                <w:rFonts w:ascii="GHEA Grapalat" w:eastAsia="Times New Roman" w:hAnsi="GHEA Grapalat" w:cs="Times New Roman"/>
                <w:i/>
                <w:color w:val="auto"/>
              </w:rPr>
              <w:t>5.5</w:t>
            </w:r>
          </w:p>
        </w:tc>
        <w:tc>
          <w:tcPr>
            <w:tcW w:w="885" w:type="dxa"/>
            <w:shd w:val="clear" w:color="auto" w:fill="auto"/>
            <w:noWrap/>
            <w:vAlign w:val="center"/>
            <w:hideMark/>
          </w:tcPr>
          <w:p w14:paraId="0E7767AF" w14:textId="77777777" w:rsidR="00802FF2" w:rsidRPr="000232DD" w:rsidRDefault="00802FF2" w:rsidP="00082769">
            <w:pPr>
              <w:ind w:right="-22"/>
              <w:rPr>
                <w:rFonts w:ascii="GHEA Grapalat" w:eastAsia="Times New Roman" w:hAnsi="GHEA Grapalat" w:cs="Times New Roman"/>
                <w:i/>
                <w:color w:val="auto"/>
              </w:rPr>
            </w:pPr>
            <w:r w:rsidRPr="000232DD">
              <w:rPr>
                <w:rFonts w:ascii="GHEA Grapalat" w:eastAsia="Times New Roman" w:hAnsi="GHEA Grapalat" w:cs="Times New Roman"/>
                <w:i/>
                <w:color w:val="auto"/>
              </w:rPr>
              <w:t>592</w:t>
            </w:r>
          </w:p>
        </w:tc>
        <w:tc>
          <w:tcPr>
            <w:tcW w:w="1005" w:type="dxa"/>
            <w:gridSpan w:val="2"/>
            <w:shd w:val="clear" w:color="auto" w:fill="auto"/>
            <w:noWrap/>
            <w:vAlign w:val="center"/>
            <w:hideMark/>
          </w:tcPr>
          <w:p w14:paraId="15D14A57" w14:textId="77777777" w:rsidR="00802FF2" w:rsidRPr="000232DD" w:rsidRDefault="00802FF2" w:rsidP="00082769">
            <w:pPr>
              <w:ind w:right="-22"/>
              <w:rPr>
                <w:rFonts w:ascii="GHEA Grapalat" w:eastAsia="Times New Roman" w:hAnsi="GHEA Grapalat" w:cs="Times New Roman"/>
                <w:i/>
                <w:color w:val="auto"/>
              </w:rPr>
            </w:pPr>
            <w:r w:rsidRPr="000232DD">
              <w:rPr>
                <w:rFonts w:ascii="GHEA Grapalat" w:eastAsia="Times New Roman" w:hAnsi="GHEA Grapalat" w:cs="Times New Roman"/>
                <w:i/>
                <w:color w:val="auto"/>
              </w:rPr>
              <w:t>7.1</w:t>
            </w:r>
          </w:p>
        </w:tc>
        <w:tc>
          <w:tcPr>
            <w:tcW w:w="1001" w:type="dxa"/>
            <w:shd w:val="clear" w:color="auto" w:fill="auto"/>
            <w:noWrap/>
            <w:vAlign w:val="center"/>
            <w:hideMark/>
          </w:tcPr>
          <w:p w14:paraId="191DB410" w14:textId="77777777" w:rsidR="00802FF2" w:rsidRPr="000232DD" w:rsidRDefault="00802FF2" w:rsidP="00082769">
            <w:pPr>
              <w:ind w:right="-22"/>
              <w:rPr>
                <w:rFonts w:ascii="GHEA Grapalat" w:eastAsia="Times New Roman" w:hAnsi="GHEA Grapalat" w:cs="Times New Roman"/>
                <w:i/>
                <w:color w:val="auto"/>
              </w:rPr>
            </w:pPr>
            <w:r w:rsidRPr="000232DD">
              <w:rPr>
                <w:rFonts w:ascii="GHEA Grapalat" w:eastAsia="Times New Roman" w:hAnsi="GHEA Grapalat" w:cs="Times New Roman"/>
                <w:i/>
                <w:color w:val="auto"/>
              </w:rPr>
              <w:t>576</w:t>
            </w:r>
          </w:p>
        </w:tc>
        <w:tc>
          <w:tcPr>
            <w:tcW w:w="889" w:type="dxa"/>
            <w:gridSpan w:val="2"/>
            <w:shd w:val="clear" w:color="auto" w:fill="auto"/>
            <w:noWrap/>
            <w:vAlign w:val="center"/>
            <w:hideMark/>
          </w:tcPr>
          <w:p w14:paraId="23919617" w14:textId="77777777" w:rsidR="00802FF2" w:rsidRPr="000232DD" w:rsidRDefault="00802FF2" w:rsidP="00082769">
            <w:pPr>
              <w:ind w:right="-22"/>
              <w:rPr>
                <w:rFonts w:ascii="GHEA Grapalat" w:eastAsia="Times New Roman" w:hAnsi="GHEA Grapalat" w:cs="Times New Roman"/>
                <w:i/>
                <w:color w:val="auto"/>
              </w:rPr>
            </w:pPr>
            <w:r w:rsidRPr="000232DD">
              <w:rPr>
                <w:rFonts w:ascii="GHEA Grapalat" w:eastAsia="Times New Roman" w:hAnsi="GHEA Grapalat" w:cs="Times New Roman"/>
                <w:i/>
                <w:color w:val="auto"/>
              </w:rPr>
              <w:t>8.8</w:t>
            </w:r>
          </w:p>
        </w:tc>
        <w:tc>
          <w:tcPr>
            <w:tcW w:w="806" w:type="dxa"/>
            <w:shd w:val="clear" w:color="auto" w:fill="auto"/>
            <w:noWrap/>
            <w:vAlign w:val="center"/>
            <w:hideMark/>
          </w:tcPr>
          <w:p w14:paraId="2337C6C0" w14:textId="77777777" w:rsidR="00802FF2" w:rsidRPr="000232DD" w:rsidRDefault="00802FF2" w:rsidP="00082769">
            <w:pPr>
              <w:ind w:right="-22"/>
              <w:rPr>
                <w:rFonts w:ascii="GHEA Grapalat" w:eastAsia="Times New Roman" w:hAnsi="GHEA Grapalat" w:cs="Times New Roman"/>
                <w:i/>
                <w:color w:val="auto"/>
              </w:rPr>
            </w:pPr>
            <w:r w:rsidRPr="000232DD">
              <w:rPr>
                <w:rFonts w:ascii="GHEA Grapalat" w:eastAsia="Times New Roman" w:hAnsi="GHEA Grapalat" w:cs="Times New Roman"/>
                <w:i/>
                <w:color w:val="auto"/>
              </w:rPr>
              <w:t>560</w:t>
            </w:r>
          </w:p>
        </w:tc>
        <w:tc>
          <w:tcPr>
            <w:tcW w:w="889" w:type="dxa"/>
            <w:gridSpan w:val="2"/>
            <w:shd w:val="clear" w:color="auto" w:fill="auto"/>
            <w:noWrap/>
            <w:vAlign w:val="center"/>
            <w:hideMark/>
          </w:tcPr>
          <w:p w14:paraId="2DD077C9" w14:textId="77777777" w:rsidR="00802FF2" w:rsidRPr="000232DD" w:rsidRDefault="00802FF2" w:rsidP="00082769">
            <w:pPr>
              <w:ind w:right="-22"/>
              <w:rPr>
                <w:rFonts w:ascii="GHEA Grapalat" w:eastAsia="Times New Roman" w:hAnsi="GHEA Grapalat" w:cs="Times New Roman"/>
                <w:i/>
                <w:color w:val="auto"/>
              </w:rPr>
            </w:pPr>
            <w:r w:rsidRPr="000232DD">
              <w:rPr>
                <w:rFonts w:ascii="GHEA Grapalat" w:eastAsia="Times New Roman" w:hAnsi="GHEA Grapalat" w:cs="Times New Roman"/>
                <w:i/>
                <w:color w:val="auto"/>
              </w:rPr>
              <w:t>10.2</w:t>
            </w:r>
          </w:p>
        </w:tc>
        <w:tc>
          <w:tcPr>
            <w:tcW w:w="1218" w:type="dxa"/>
            <w:shd w:val="clear" w:color="auto" w:fill="auto"/>
            <w:noWrap/>
            <w:vAlign w:val="center"/>
            <w:hideMark/>
          </w:tcPr>
          <w:p w14:paraId="3190312A" w14:textId="77777777" w:rsidR="00802FF2" w:rsidRPr="000232DD" w:rsidRDefault="00802FF2" w:rsidP="00082769">
            <w:pPr>
              <w:ind w:right="-22"/>
              <w:rPr>
                <w:rFonts w:ascii="GHEA Grapalat" w:eastAsia="Times New Roman" w:hAnsi="GHEA Grapalat" w:cs="Times New Roman"/>
                <w:i/>
                <w:color w:val="auto"/>
              </w:rPr>
            </w:pPr>
            <w:r w:rsidRPr="000232DD">
              <w:rPr>
                <w:rFonts w:ascii="GHEA Grapalat" w:eastAsia="Times New Roman" w:hAnsi="GHEA Grapalat" w:cs="Times New Roman"/>
                <w:i/>
                <w:color w:val="auto"/>
              </w:rPr>
              <w:t>543</w:t>
            </w:r>
          </w:p>
        </w:tc>
      </w:tr>
    </w:tbl>
    <w:p w14:paraId="3193CC8C" w14:textId="77777777" w:rsidR="00802FF2" w:rsidRPr="000232DD" w:rsidRDefault="00802FF2" w:rsidP="00082769">
      <w:pPr>
        <w:ind w:right="-22"/>
        <w:rPr>
          <w:rFonts w:ascii="GHEA Grapalat" w:eastAsia="Times New Roman" w:hAnsi="GHEA Grapalat" w:cs="Times New Roman"/>
          <w:color w:val="auto"/>
          <w:sz w:val="20"/>
          <w:szCs w:val="20"/>
        </w:rPr>
      </w:pPr>
    </w:p>
    <w:p w14:paraId="0E1AD79A"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 xml:space="preserve">2025թ.-ին ՀՀ-ում գրանցվել է 18,586 արտակարգ դեպք, որոնցից 3.67%-ը բաժին է ընկել տարերային վտանգավոր երևույթներին: Արտակարգ դեպքերի 80%-ը բաժին է ընկել </w:t>
      </w:r>
      <w:r w:rsidRPr="000232DD">
        <w:rPr>
          <w:rFonts w:ascii="GHEA Grapalat" w:eastAsia="Times New Roman" w:hAnsi="GHEA Grapalat" w:cs="Times New Roman"/>
          <w:b/>
          <w:color w:val="auto"/>
        </w:rPr>
        <w:t>տեխնածին արտակարգ դեպքերին</w:t>
      </w:r>
      <w:r w:rsidRPr="000232DD">
        <w:rPr>
          <w:rFonts w:ascii="GHEA Grapalat" w:eastAsia="Times New Roman" w:hAnsi="GHEA Grapalat" w:cs="Times New Roman"/>
          <w:color w:val="auto"/>
        </w:rPr>
        <w:t xml:space="preserve"> (Գծապատկեր 17):</w:t>
      </w:r>
    </w:p>
    <w:p w14:paraId="36CDE006" w14:textId="77777777" w:rsidR="00802FF2" w:rsidRPr="000232DD" w:rsidRDefault="00802FF2" w:rsidP="00082769">
      <w:pPr>
        <w:spacing w:before="0" w:after="160" w:line="259" w:lineRule="auto"/>
        <w:ind w:right="-22"/>
        <w:rPr>
          <w:rFonts w:ascii="GHEA Grapalat" w:eastAsia="Times New Roman" w:hAnsi="GHEA Grapalat" w:cs="Times New Roman"/>
          <w:b/>
          <w:i/>
          <w:color w:val="auto"/>
          <w:sz w:val="20"/>
          <w:szCs w:val="20"/>
        </w:rPr>
      </w:pPr>
    </w:p>
    <w:p w14:paraId="09CB341C" w14:textId="267B48EA" w:rsidR="00D75267" w:rsidRPr="00A52417" w:rsidRDefault="00D75267" w:rsidP="00082769">
      <w:pPr>
        <w:pStyle w:val="Charts"/>
        <w:ind w:right="-22"/>
        <w:rPr>
          <w:rFonts w:eastAsia="Times New Roman"/>
          <w:color w:val="auto"/>
        </w:rPr>
      </w:pPr>
      <w:r w:rsidRPr="00A52417">
        <w:rPr>
          <w:b w:val="0"/>
          <w:bCs/>
          <w:color w:val="auto"/>
          <w:sz w:val="20"/>
          <w:szCs w:val="18"/>
        </w:rPr>
        <w:t>Գծապատկեր 17. Արտակարգ</w:t>
      </w:r>
      <w:r w:rsidR="00760928" w:rsidRPr="00A52417">
        <w:rPr>
          <w:b w:val="0"/>
          <w:bCs/>
          <w:color w:val="auto"/>
          <w:sz w:val="20"/>
          <w:szCs w:val="18"/>
        </w:rPr>
        <w:t xml:space="preserve"> իրավիճակների         </w:t>
      </w:r>
      <w:r w:rsidR="00E8245C" w:rsidRPr="00A52417">
        <w:rPr>
          <w:b w:val="0"/>
          <w:bCs/>
          <w:color w:val="auto"/>
          <w:sz w:val="20"/>
          <w:szCs w:val="18"/>
        </w:rPr>
        <w:t xml:space="preserve">    </w:t>
      </w:r>
      <w:r w:rsidRPr="00A52417">
        <w:rPr>
          <w:b w:val="0"/>
          <w:bCs/>
          <w:color w:val="auto"/>
          <w:sz w:val="20"/>
          <w:szCs w:val="18"/>
        </w:rPr>
        <w:t>Գծապատկեր 18. Արտակարգ դեպքերը բաշխումն՝ ըստ դեպքերի (%)</w:t>
      </w:r>
      <w:r w:rsidR="005A5E0C" w:rsidRPr="00A52417">
        <w:rPr>
          <w:rFonts w:eastAsia="Times New Roman"/>
          <w:color w:val="auto"/>
        </w:rPr>
        <w:t xml:space="preserve">                                              </w:t>
      </w:r>
      <w:r w:rsidR="00A52417" w:rsidRPr="00A52417">
        <w:rPr>
          <w:rFonts w:eastAsia="Times New Roman"/>
          <w:color w:val="auto"/>
        </w:rPr>
        <w:t xml:space="preserve"> </w:t>
      </w:r>
      <w:r w:rsidR="00A52417">
        <w:rPr>
          <w:rFonts w:eastAsia="Times New Roman"/>
          <w:color w:val="auto"/>
        </w:rPr>
        <w:t xml:space="preserve">             </w:t>
      </w:r>
      <w:r w:rsidR="005A5E0C" w:rsidRPr="00A52417">
        <w:rPr>
          <w:rFonts w:eastAsia="Times New Roman"/>
          <w:color w:val="auto"/>
        </w:rPr>
        <w:t xml:space="preserve"> </w:t>
      </w:r>
      <w:r w:rsidR="005A5E0C" w:rsidRPr="00A52417">
        <w:rPr>
          <w:b w:val="0"/>
          <w:bCs/>
          <w:color w:val="auto"/>
          <w:sz w:val="20"/>
          <w:szCs w:val="18"/>
        </w:rPr>
        <w:t>(քանակ)</w:t>
      </w:r>
      <w:r w:rsidR="005A5E0C" w:rsidRPr="00A52417">
        <w:rPr>
          <w:rFonts w:eastAsia="Times New Roman"/>
          <w:color w:val="auto"/>
        </w:rPr>
        <w:t xml:space="preserve">   </w:t>
      </w:r>
    </w:p>
    <w:p w14:paraId="2BE4EC46" w14:textId="34170965" w:rsidR="00275E0A" w:rsidRPr="000232DD" w:rsidRDefault="00D75267" w:rsidP="00082769">
      <w:pPr>
        <w:ind w:right="-22"/>
        <w:rPr>
          <w:rFonts w:ascii="GHEA Grapalat" w:eastAsia="Times New Roman" w:hAnsi="GHEA Grapalat" w:cs="Times New Roman"/>
          <w:b/>
          <w:i/>
          <w:color w:val="auto"/>
          <w:sz w:val="20"/>
          <w:szCs w:val="20"/>
        </w:rPr>
      </w:pPr>
      <w:r w:rsidRPr="000232DD">
        <w:rPr>
          <w:rFonts w:ascii="GHEA Grapalat" w:eastAsia="Times New Roman" w:hAnsi="GHEA Grapalat" w:cs="Times New Roman"/>
          <w:noProof/>
          <w:color w:val="auto"/>
        </w:rPr>
        <w:drawing>
          <wp:anchor distT="0" distB="0" distL="114300" distR="114300" simplePos="0" relativeHeight="251679744" behindDoc="1" locked="0" layoutInCell="1" allowOverlap="1" wp14:anchorId="748E681B" wp14:editId="04263086">
            <wp:simplePos x="0" y="0"/>
            <wp:positionH relativeFrom="margin">
              <wp:posOffset>3343275</wp:posOffset>
            </wp:positionH>
            <wp:positionV relativeFrom="paragraph">
              <wp:posOffset>8890</wp:posOffset>
            </wp:positionV>
            <wp:extent cx="3133725" cy="2609850"/>
            <wp:effectExtent l="0" t="0" r="9525" b="0"/>
            <wp:wrapNone/>
            <wp:docPr id="1545876466" name="Chart 1545876466"/>
            <wp:cNvGraphicFramePr/>
            <a:graphic xmlns:a="http://schemas.openxmlformats.org/drawingml/2006/main">
              <a:graphicData uri="http://schemas.openxmlformats.org/drawingml/2006/chart">
                <c:chart xmlns:c="http://schemas.openxmlformats.org/drawingml/2006/chart" xmlns:r="http://schemas.openxmlformats.org/officeDocument/2006/relationships" r:id="rId96"/>
              </a:graphicData>
            </a:graphic>
            <wp14:sizeRelH relativeFrom="margin">
              <wp14:pctWidth>0</wp14:pctWidth>
            </wp14:sizeRelH>
            <wp14:sizeRelV relativeFrom="margin">
              <wp14:pctHeight>0</wp14:pctHeight>
            </wp14:sizeRelV>
          </wp:anchor>
        </w:drawing>
      </w:r>
      <w:r w:rsidRPr="000232DD">
        <w:rPr>
          <w:rFonts w:ascii="GHEA Grapalat" w:eastAsia="Times New Roman" w:hAnsi="GHEA Grapalat" w:cs="Times New Roman"/>
          <w:noProof/>
          <w:color w:val="auto"/>
        </w:rPr>
        <w:drawing>
          <wp:inline distT="0" distB="0" distL="0" distR="0" wp14:anchorId="5BEE7F15" wp14:editId="5BEF13BF">
            <wp:extent cx="3200400" cy="2647950"/>
            <wp:effectExtent l="0" t="0" r="0" b="0"/>
            <wp:docPr id="1545876467" name="Chart 1545876467"/>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p>
    <w:p w14:paraId="1F6BD32C" w14:textId="66187C20" w:rsidR="00802FF2" w:rsidRPr="000232DD" w:rsidRDefault="00802FF2" w:rsidP="00082769">
      <w:pPr>
        <w:ind w:right="-22"/>
        <w:rPr>
          <w:rFonts w:ascii="GHEA Grapalat" w:eastAsia="Times New Roman" w:hAnsi="GHEA Grapalat" w:cs="Times New Roman"/>
          <w:color w:val="auto"/>
        </w:rPr>
      </w:pPr>
    </w:p>
    <w:p w14:paraId="0691013A" w14:textId="7F82BA7A"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2025թ.-ին 2024թ.-ի համեմատությամբ ունեցել ենք արտակարգ դեպքերի աճ շուրջ 36.94%-ով, ինչը հիմնականում պայմանավորված է եղել տեխնածին աղետների՝ շուրջ 48.6% աճով՝ մասնավորապես կապված 2025թ.-ին տեղի ունեցած հրդեհների աճի հետ (2025թ.-ին 2024թ.-ի համեմատությամբ հրդեհների քանակի աճել է շուրջ 83%-ով):</w:t>
      </w:r>
    </w:p>
    <w:p w14:paraId="03E8B111" w14:textId="4AF9CF75" w:rsidR="00802FF2" w:rsidRPr="000232DD" w:rsidRDefault="00802FF2" w:rsidP="00082769">
      <w:pPr>
        <w:spacing w:after="0"/>
        <w:ind w:right="-22"/>
        <w:jc w:val="both"/>
        <w:rPr>
          <w:rFonts w:ascii="GHEA Grapalat" w:eastAsia="Times New Roman" w:hAnsi="GHEA Grapalat" w:cs="Times New Roman"/>
          <w:color w:val="auto"/>
        </w:rPr>
      </w:pPr>
      <w:r w:rsidRPr="005A5E0C">
        <w:rPr>
          <w:rFonts w:ascii="GHEA Grapalat" w:eastAsia="Times New Roman" w:hAnsi="GHEA Grapalat" w:cs="Times New Roman"/>
          <w:color w:val="auto"/>
        </w:rPr>
        <w:t>2020թ.-ին տարերային աղետների պատճ</w:t>
      </w:r>
      <w:r w:rsidR="00E8245C">
        <w:rPr>
          <w:rFonts w:ascii="GHEA Grapalat" w:eastAsia="Times New Roman" w:hAnsi="GHEA Grapalat" w:cs="Times New Roman"/>
          <w:color w:val="auto"/>
        </w:rPr>
        <w:t>առած ընդհանուր վնասը կազմել է 3.</w:t>
      </w:r>
      <w:r w:rsidRPr="005A5E0C">
        <w:rPr>
          <w:rFonts w:ascii="GHEA Grapalat" w:eastAsia="Times New Roman" w:hAnsi="GHEA Grapalat" w:cs="Times New Roman"/>
          <w:color w:val="auto"/>
        </w:rPr>
        <w:t>8 մլրդ դրամ, 2021թ.-ին՝ շուրջ 3</w:t>
      </w:r>
      <w:r w:rsidR="00E8245C">
        <w:rPr>
          <w:rFonts w:ascii="GHEA Grapalat" w:eastAsia="Times New Roman" w:hAnsi="GHEA Grapalat" w:cs="Times New Roman"/>
          <w:color w:val="auto"/>
          <w:lang w:val="hy-AM"/>
        </w:rPr>
        <w:t>.</w:t>
      </w:r>
      <w:r w:rsidRPr="005A5E0C">
        <w:rPr>
          <w:rFonts w:ascii="GHEA Grapalat" w:eastAsia="Times New Roman" w:hAnsi="GHEA Grapalat" w:cs="Times New Roman"/>
          <w:color w:val="auto"/>
        </w:rPr>
        <w:t xml:space="preserve">1 մլրդ դրամ (հիմնական պատճառներ են հանդիսացել ուժեղ քամիները, երաշտը, տորնադոները և երկրաշարժերը), 2022թ.-ին` </w:t>
      </w:r>
      <w:r w:rsidR="00E8245C">
        <w:rPr>
          <w:rFonts w:ascii="GHEA Grapalat" w:eastAsia="Times New Roman" w:hAnsi="GHEA Grapalat" w:cs="Times New Roman"/>
          <w:color w:val="auto"/>
          <w:lang w:val="hy-AM"/>
        </w:rPr>
        <w:t>0.</w:t>
      </w:r>
      <w:r w:rsidRPr="005A5E0C">
        <w:rPr>
          <w:rFonts w:ascii="GHEA Grapalat" w:eastAsia="Times New Roman" w:hAnsi="GHEA Grapalat" w:cs="Times New Roman"/>
          <w:color w:val="auto"/>
        </w:rPr>
        <w:t>7</w:t>
      </w:r>
      <w:r w:rsidR="00E8245C">
        <w:rPr>
          <w:rFonts w:ascii="GHEA Grapalat" w:eastAsia="Times New Roman" w:hAnsi="GHEA Grapalat" w:cs="Times New Roman"/>
          <w:color w:val="auto"/>
          <w:lang w:val="hy-AM"/>
        </w:rPr>
        <w:t>3</w:t>
      </w:r>
      <w:r w:rsidRPr="005A5E0C">
        <w:rPr>
          <w:rFonts w:ascii="GHEA Grapalat" w:eastAsia="Times New Roman" w:hAnsi="GHEA Grapalat" w:cs="Times New Roman"/>
          <w:color w:val="auto"/>
        </w:rPr>
        <w:t xml:space="preserve"> մլ</w:t>
      </w:r>
      <w:r w:rsidR="005A5E0C">
        <w:rPr>
          <w:rFonts w:ascii="GHEA Grapalat" w:eastAsia="Times New Roman" w:hAnsi="GHEA Grapalat" w:cs="Times New Roman"/>
          <w:color w:val="auto"/>
          <w:lang w:val="hy-AM"/>
        </w:rPr>
        <w:t>րդ</w:t>
      </w:r>
      <w:r w:rsidRPr="005A5E0C">
        <w:rPr>
          <w:rFonts w:ascii="GHEA Grapalat" w:eastAsia="Times New Roman" w:hAnsi="GHEA Grapalat" w:cs="Times New Roman"/>
          <w:color w:val="auto"/>
        </w:rPr>
        <w:t xml:space="preserve"> դրամ, 2023թ.-ին` </w:t>
      </w:r>
      <w:r w:rsidR="00E8245C">
        <w:rPr>
          <w:rFonts w:ascii="GHEA Grapalat" w:eastAsia="Times New Roman" w:hAnsi="GHEA Grapalat" w:cs="Times New Roman"/>
          <w:color w:val="auto"/>
          <w:lang w:val="hy-AM"/>
        </w:rPr>
        <w:t>0.</w:t>
      </w:r>
      <w:r w:rsidRPr="005A5E0C">
        <w:rPr>
          <w:rFonts w:ascii="GHEA Grapalat" w:eastAsia="Times New Roman" w:hAnsi="GHEA Grapalat" w:cs="Times New Roman"/>
          <w:color w:val="auto"/>
        </w:rPr>
        <w:t>89 մլ</w:t>
      </w:r>
      <w:r w:rsidR="005A5E0C">
        <w:rPr>
          <w:rFonts w:ascii="GHEA Grapalat" w:eastAsia="Times New Roman" w:hAnsi="GHEA Grapalat" w:cs="Times New Roman"/>
          <w:color w:val="auto"/>
          <w:lang w:val="hy-AM"/>
        </w:rPr>
        <w:t>րդ</w:t>
      </w:r>
      <w:r w:rsidRPr="005A5E0C">
        <w:rPr>
          <w:rFonts w:ascii="GHEA Grapalat" w:eastAsia="Times New Roman" w:hAnsi="GHEA Grapalat" w:cs="Times New Roman"/>
          <w:color w:val="auto"/>
        </w:rPr>
        <w:t xml:space="preserve"> դրամ, իսկ 2024թ.-ին` 1</w:t>
      </w:r>
      <w:r w:rsidR="00E8245C">
        <w:rPr>
          <w:rFonts w:ascii="GHEA Grapalat" w:eastAsia="Times New Roman" w:hAnsi="GHEA Grapalat" w:cs="Times New Roman"/>
          <w:color w:val="auto"/>
          <w:lang w:val="hy-AM"/>
        </w:rPr>
        <w:t>.</w:t>
      </w:r>
      <w:r w:rsidRPr="005A5E0C">
        <w:rPr>
          <w:rFonts w:ascii="GHEA Grapalat" w:eastAsia="Times New Roman" w:hAnsi="GHEA Grapalat" w:cs="Times New Roman"/>
          <w:color w:val="auto"/>
        </w:rPr>
        <w:t>87 մլրդ ՀՀ դրամ, 2025թ.-ին գյուղատնտեսութ</w:t>
      </w:r>
      <w:r w:rsidR="00E8245C">
        <w:rPr>
          <w:rFonts w:ascii="GHEA Grapalat" w:eastAsia="Times New Roman" w:hAnsi="GHEA Grapalat" w:cs="Times New Roman"/>
          <w:color w:val="auto"/>
        </w:rPr>
        <w:t>յանը պատճառված վնասը կազմել է 2.</w:t>
      </w:r>
      <w:r w:rsidRPr="005A5E0C">
        <w:rPr>
          <w:rFonts w:ascii="GHEA Grapalat" w:eastAsia="Times New Roman" w:hAnsi="GHEA Grapalat" w:cs="Times New Roman"/>
          <w:color w:val="auto"/>
        </w:rPr>
        <w:t xml:space="preserve">19 մլրդ ՀՀ դրամ, իսկ 2025թ.-ին և 2026թ.-ի առաջին երկու ամիսներին ֆիզիկական և իրավաբանական անձանց պատճառված վնասը (շենք, շինություններ) կազմել է </w:t>
      </w:r>
      <w:r w:rsidR="00BA761E">
        <w:rPr>
          <w:rFonts w:ascii="GHEA Grapalat" w:eastAsia="Times New Roman" w:hAnsi="GHEA Grapalat" w:cs="Times New Roman"/>
          <w:color w:val="auto"/>
          <w:lang w:val="hy-AM"/>
        </w:rPr>
        <w:t>0.</w:t>
      </w:r>
      <w:r w:rsidR="00BA761E" w:rsidRPr="00BA761E">
        <w:rPr>
          <w:rFonts w:ascii="GHEA Grapalat" w:eastAsia="Times New Roman" w:hAnsi="GHEA Grapalat" w:cs="Times New Roman"/>
          <w:color w:val="000000" w:themeColor="text1"/>
          <w:lang w:val="hy-AM"/>
        </w:rPr>
        <w:t>0</w:t>
      </w:r>
      <w:r w:rsidR="00BA761E" w:rsidRPr="00BA761E">
        <w:rPr>
          <w:rFonts w:ascii="GHEA Grapalat" w:eastAsia="Times New Roman" w:hAnsi="GHEA Grapalat" w:cs="Times New Roman"/>
          <w:color w:val="000000" w:themeColor="text1"/>
        </w:rPr>
        <w:t>4</w:t>
      </w:r>
      <w:r w:rsidR="00BA761E" w:rsidRPr="00BA761E">
        <w:rPr>
          <w:rFonts w:ascii="GHEA Grapalat" w:eastAsia="Times New Roman" w:hAnsi="GHEA Grapalat" w:cs="Times New Roman"/>
          <w:color w:val="000000" w:themeColor="text1"/>
          <w:lang w:val="hy-AM"/>
        </w:rPr>
        <w:t>2</w:t>
      </w:r>
      <w:r w:rsidRPr="00BA761E">
        <w:rPr>
          <w:rFonts w:ascii="GHEA Grapalat" w:eastAsia="Times New Roman" w:hAnsi="GHEA Grapalat" w:cs="Times New Roman"/>
          <w:color w:val="000000" w:themeColor="text1"/>
        </w:rPr>
        <w:t xml:space="preserve"> մլ</w:t>
      </w:r>
      <w:r w:rsidR="00BA761E">
        <w:rPr>
          <w:rFonts w:ascii="GHEA Grapalat" w:eastAsia="Times New Roman" w:hAnsi="GHEA Grapalat" w:cs="Times New Roman"/>
          <w:color w:val="000000" w:themeColor="text1"/>
          <w:lang w:val="hy-AM"/>
        </w:rPr>
        <w:t>րդ</w:t>
      </w:r>
      <w:r w:rsidRPr="00BA761E">
        <w:rPr>
          <w:rFonts w:ascii="GHEA Grapalat" w:eastAsia="Times New Roman" w:hAnsi="GHEA Grapalat" w:cs="Times New Roman"/>
          <w:color w:val="000000" w:themeColor="text1"/>
        </w:rPr>
        <w:t xml:space="preserve"> ՀՀ դրամ, </w:t>
      </w:r>
      <w:r w:rsidRPr="005A5E0C">
        <w:rPr>
          <w:rFonts w:ascii="GHEA Grapalat" w:eastAsia="Times New Roman" w:hAnsi="GHEA Grapalat" w:cs="Times New Roman"/>
          <w:color w:val="auto"/>
        </w:rPr>
        <w:t>որը պայմանավորված է եղել այնպիսի տարերային աղետներով, ինչպիսիք են կարկուտը, սելավը, ցրտահարությունը, ուժեղ քամին, հրդեհը և առատ ձյունը: Վնասի գնահատումն իրականացվում է համաձայն ՀՀ կառավարության 10.11.2011թ. թիվ 1582-Ն որոշման</w:t>
      </w:r>
      <w:r w:rsidRPr="005A5E0C">
        <w:rPr>
          <w:rFonts w:ascii="GHEA Grapalat" w:eastAsia="Times New Roman" w:hAnsi="GHEA Grapalat" w:cs="Times New Roman"/>
          <w:color w:val="auto"/>
          <w:vertAlign w:val="superscript"/>
        </w:rPr>
        <w:footnoteReference w:id="41"/>
      </w:r>
      <w:r w:rsidRPr="005A5E0C">
        <w:rPr>
          <w:rFonts w:ascii="GHEA Grapalat" w:eastAsia="Times New Roman" w:hAnsi="GHEA Grapalat" w:cs="Times New Roman"/>
          <w:color w:val="auto"/>
        </w:rPr>
        <w:t>:</w:t>
      </w:r>
    </w:p>
    <w:p w14:paraId="10DD85FC"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 xml:space="preserve">Հայաստանում փաստացի առկա են ֆինանսական պաշտպանության ռազմավարության որոշ բաղադրիչներ. աղետներին արձագանքման անհրաժեշտության դեպքում օգտագործվում է կառավարության պահուստային ֆոնդը, աղետների դեպքում երբեմն կարող են կիրառվել պետական բյուջեի միջոցների վերաբաշխումներ, ինչպես նաև COVID-19 համավարակով պայմանավորված ճգնաժամի ընթացքում Հայաստանը ներգրավել է հետաղետային ֆինանսավորում: </w:t>
      </w:r>
    </w:p>
    <w:p w14:paraId="1D69DFDA"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ՀՀ-ում առկա է աղետների ռիսկի կառավարման (այսուհետ՝ ԱՌԿ) 2023-2030թթ. ռազմավարություն, որը ընդգրկում է ԱՌԿ պետական քաղաքականության շրջանակը</w:t>
      </w:r>
      <w:r w:rsidRPr="000232DD">
        <w:rPr>
          <w:rFonts w:ascii="GHEA Grapalat" w:eastAsia="Times New Roman" w:hAnsi="GHEA Grapalat" w:cs="Times New Roman"/>
          <w:color w:val="auto"/>
          <w:vertAlign w:val="superscript"/>
        </w:rPr>
        <w:footnoteReference w:id="42"/>
      </w:r>
      <w:r w:rsidRPr="000232DD">
        <w:rPr>
          <w:rFonts w:ascii="GHEA Grapalat" w:eastAsia="Times New Roman" w:hAnsi="GHEA Grapalat" w:cs="Times New Roman"/>
          <w:color w:val="auto"/>
        </w:rPr>
        <w:t>: Ռազմավարությամբ սահմանված «Կարևոր նշանակության օբյեկտների սեյսմիկ անվտանգության բարելավում» ծրագրի շրջանակներում նախատեսված երեք միջոցառումներից</w:t>
      </w:r>
      <w:bookmarkStart w:id="512" w:name="_Hlk190912391"/>
      <w:r w:rsidRPr="000232DD">
        <w:rPr>
          <w:rFonts w:ascii="GHEA Grapalat" w:eastAsia="Times New Roman" w:hAnsi="GHEA Grapalat" w:cs="Times New Roman"/>
          <w:color w:val="auto"/>
        </w:rPr>
        <w:t>՝ «Կրթական հաստատությունների սեյսմիկ ռիսկի գնահատում» միջոցառման իրականացման ուղղությամբ կատարվել է 4 կրթական հաստատության սեյսմիկ ռիսկի գնահատում՝ նախատեսված 12-ի փոխարեն, «Նախադպրոցական ուսումնական հաստատությունների, երեխաների, տարեցների ու հաշմանդամություն ունեցող անձանց խնամքի և պաշտպանության, առողջապահական հաստատությունների շենքերի սեյսմիկ խոցելիության գնահատում» միջոցառման իրականացման ուղղությամբ կատարվել է 2 նախադպրոցական ուսումնական հաստատության և 12 հասարակական և այլ նշանակության շինությունների սեյսմիկ խոցելիության գնահատում։ Միջոցառումը համարվում է մասնակի կատարված, քանի որ ամբողջությամբ չի ապահովվել «Տարեկան 6 մանկապարտեզ, 2 տարեցների և հաշմանդամություն ունեցող անձանց խնամքի և պաշտպանության շենքերի, 4 առողջապահական հաստատությունների և ցերեկային խնամք ու դաստիարակություն իրականացնող կազմակերպությունների շենքերի սեյսմիկ խոցելիության գնահատում» ցուցանիշը։</w:t>
      </w:r>
      <w:bookmarkStart w:id="513" w:name="_Hlk190912422"/>
      <w:r w:rsidRPr="000232DD">
        <w:rPr>
          <w:rFonts w:ascii="GHEA Grapalat" w:eastAsia="Times New Roman" w:hAnsi="GHEA Grapalat" w:cs="Times New Roman"/>
          <w:color w:val="auto"/>
        </w:rPr>
        <w:t xml:space="preserve"> «Սեյսմիկ խոցելիության գնահատման արդյունքներով խոցելիության նվազեցման միջոցառումների իրականացում</w:t>
      </w:r>
      <w:bookmarkEnd w:id="513"/>
      <w:r w:rsidRPr="000232DD">
        <w:rPr>
          <w:rFonts w:ascii="GHEA Grapalat" w:eastAsia="Times New Roman" w:hAnsi="GHEA Grapalat" w:cs="Times New Roman"/>
          <w:color w:val="auto"/>
        </w:rPr>
        <w:t>» երրորդ միջոցառման</w:t>
      </w:r>
      <w:bookmarkEnd w:id="512"/>
      <w:r w:rsidRPr="000232DD">
        <w:rPr>
          <w:rFonts w:ascii="GHEA Grapalat" w:eastAsia="Times New Roman" w:hAnsi="GHEA Grapalat" w:cs="Times New Roman"/>
          <w:color w:val="auto"/>
        </w:rPr>
        <w:t xml:space="preserve"> ուղղությամբ կատարվել է ՀՀ տարածքում փլուզման վտանգ ունեցող թվով 41 բազմաբնակարան շենքի հետազոտություն և տրվել են 41 շենքի տեխնիկական վիճակի և սեյսմիկ խոցելիության մակարդակի վերաբերյալ եզրակացություններ։ Միջոցառումը համարվում է կատարված, քանի որ ապահովում է սահմանված՝ «Գնահատված հաստատությունների սեյսմիկ խոցելիության նվազեցում առնվազն 20%-ով» ցուցանիշը։ </w:t>
      </w:r>
    </w:p>
    <w:p w14:paraId="01BD76BB" w14:textId="77777777"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ՀՀ-ում իրականացվում է պետական աջակցության՝ գյուղատնտեսության ոլորտում ապահովագրական փորձնական ծրագիր՝ համաձայն ՀՀ կառավարության 2019թ. թիվ 1485-Լ որոշման</w:t>
      </w:r>
      <w:r w:rsidRPr="000232DD">
        <w:rPr>
          <w:rFonts w:ascii="GHEA Grapalat" w:eastAsia="Times New Roman" w:hAnsi="GHEA Grapalat" w:cs="Times New Roman"/>
          <w:color w:val="auto"/>
          <w:vertAlign w:val="superscript"/>
        </w:rPr>
        <w:footnoteReference w:id="43"/>
      </w:r>
      <w:r w:rsidRPr="000232DD">
        <w:rPr>
          <w:rFonts w:ascii="GHEA Grapalat" w:eastAsia="Times New Roman" w:hAnsi="GHEA Grapalat" w:cs="Times New Roman"/>
          <w:color w:val="auto"/>
        </w:rPr>
        <w:t>:</w:t>
      </w:r>
    </w:p>
    <w:p w14:paraId="5C8090D0" w14:textId="47333242" w:rsidR="00802FF2" w:rsidRPr="000232DD" w:rsidRDefault="00802FF2" w:rsidP="00082769">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2019թ.-ին մեկնարկած գյուղատնտեսության ոլորտում ապահովագրական համակարգի ներդրման փորձնական ծրագիրը շարունակաբար իրականացվում է նաև 2025 և 2026 թվականներին: 2023թ.-ի բարձր վնասաբերությամբ պայմանավորված 2024թ.-ին վերաապահովագրական ընկերությունը դուրս է եկել հայկական շուկայից, և ապահովագրական ընկերությունների ռիսկերը մեղմելու նպատակով ՀՀ կառավարությունը ստանձնել է այդ գործառույթը, որը կրում է շարունակական բնույթ: 2025թ.-ի</w:t>
      </w:r>
      <w:r w:rsidR="00B6632B">
        <w:rPr>
          <w:rFonts w:ascii="GHEA Grapalat" w:eastAsia="Times New Roman" w:hAnsi="GHEA Grapalat" w:cs="Times New Roman"/>
          <w:color w:val="auto"/>
        </w:rPr>
        <w:t>ն կնքվել է 32 ապահովագրական պայ</w:t>
      </w:r>
      <w:r w:rsidRPr="000232DD">
        <w:rPr>
          <w:rFonts w:ascii="GHEA Grapalat" w:eastAsia="Times New Roman" w:hAnsi="GHEA Grapalat" w:cs="Times New Roman"/>
          <w:color w:val="auto"/>
        </w:rPr>
        <w:t xml:space="preserve">մանագիր: Մասնավորապես` ապահովագրվել է ծիրան, խաղող, դեղձ, սալոր, խնձոր, կեռաս, բալ, ձմերուկ, սեխ, կարտոֆիլ և հացահատիկային մշակաբույսերը՝ կարկուտի, հրդեհի, գարնանային ցրտահարման և երաշտի ռիսկերից: 2025թ.-ի ընթացքում թվով 4 ապահովագրական պայմանագրերի </w:t>
      </w:r>
      <w:r w:rsidRPr="00E8245C">
        <w:rPr>
          <w:rFonts w:ascii="GHEA Grapalat" w:eastAsia="Times New Roman" w:hAnsi="GHEA Grapalat" w:cs="Times New Roman"/>
          <w:color w:val="000000" w:themeColor="text1"/>
        </w:rPr>
        <w:t xml:space="preserve">գծով վճարվել է 788,840 ՀՀ դրամ </w:t>
      </w:r>
      <w:r w:rsidRPr="000232DD">
        <w:rPr>
          <w:rFonts w:ascii="GHEA Grapalat" w:eastAsia="Times New Roman" w:hAnsi="GHEA Grapalat" w:cs="Times New Roman"/>
          <w:color w:val="auto"/>
        </w:rPr>
        <w:t>ապահովագրական հատուցում: 2024-2025թթ. ընթացքում Գյուղատնտեսությունը ապահովագրողների ազգային գործակալության անդամ ապահովագրական ընկերություններից մեկում առկա է մեկ քաղաքացիական գործ. նշանակվել է դատական նիստ:</w:t>
      </w:r>
    </w:p>
    <w:p w14:paraId="02B6A3F2" w14:textId="5C729C03" w:rsidR="00802FF2" w:rsidRPr="000232DD" w:rsidRDefault="00802FF2" w:rsidP="00E8245C">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 xml:space="preserve">2026թ.-ի փետրվար-մարտ ամիսների համախառն ապահովագրավճարը կազմել է շուրջ </w:t>
      </w:r>
      <w:r w:rsidR="00E8245C">
        <w:rPr>
          <w:rFonts w:ascii="GHEA Grapalat" w:eastAsia="Times New Roman" w:hAnsi="GHEA Grapalat" w:cs="Times New Roman"/>
          <w:color w:val="auto"/>
          <w:lang w:val="hy-AM"/>
        </w:rPr>
        <w:t>0.</w:t>
      </w:r>
      <w:r w:rsidRPr="005A5E0C">
        <w:rPr>
          <w:rFonts w:ascii="GHEA Grapalat" w:eastAsia="Times New Roman" w:hAnsi="GHEA Grapalat" w:cs="Times New Roman"/>
          <w:color w:val="auto"/>
        </w:rPr>
        <w:t>705 մլ</w:t>
      </w:r>
      <w:r w:rsidR="005A5E0C" w:rsidRPr="005A5E0C">
        <w:rPr>
          <w:rFonts w:ascii="GHEA Grapalat" w:eastAsia="Times New Roman" w:hAnsi="GHEA Grapalat" w:cs="Times New Roman"/>
          <w:color w:val="auto"/>
          <w:lang w:val="hy-AM"/>
        </w:rPr>
        <w:t>րդ</w:t>
      </w:r>
      <w:r w:rsidRPr="005A5E0C">
        <w:rPr>
          <w:rFonts w:ascii="GHEA Grapalat" w:eastAsia="Times New Roman" w:hAnsi="GHEA Grapalat" w:cs="Times New Roman"/>
          <w:color w:val="auto"/>
        </w:rPr>
        <w:t xml:space="preserve"> ՀՀ</w:t>
      </w:r>
      <w:r w:rsidRPr="000232DD">
        <w:rPr>
          <w:rFonts w:ascii="GHEA Grapalat" w:eastAsia="Times New Roman" w:hAnsi="GHEA Grapalat" w:cs="Times New Roman"/>
          <w:color w:val="auto"/>
        </w:rPr>
        <w:t xml:space="preserve"> դրամ, սուբսիդավորվող ապահովագրավճարը՝ շուրջ </w:t>
      </w:r>
      <w:r w:rsidR="00E8245C">
        <w:rPr>
          <w:rFonts w:ascii="GHEA Grapalat" w:eastAsia="Times New Roman" w:hAnsi="GHEA Grapalat" w:cs="Times New Roman"/>
          <w:color w:val="auto"/>
          <w:lang w:val="hy-AM"/>
        </w:rPr>
        <w:t>0.</w:t>
      </w:r>
      <w:r w:rsidR="00E8245C">
        <w:rPr>
          <w:rFonts w:ascii="GHEA Grapalat" w:eastAsia="Times New Roman" w:hAnsi="GHEA Grapalat" w:cs="Times New Roman"/>
          <w:color w:val="auto"/>
        </w:rPr>
        <w:t>32</w:t>
      </w:r>
      <w:r w:rsidRPr="000232DD">
        <w:rPr>
          <w:rFonts w:ascii="GHEA Grapalat" w:eastAsia="Times New Roman" w:hAnsi="GHEA Grapalat" w:cs="Times New Roman"/>
          <w:color w:val="auto"/>
        </w:rPr>
        <w:t xml:space="preserve"> մլ</w:t>
      </w:r>
      <w:r w:rsidR="00E8245C">
        <w:rPr>
          <w:rFonts w:ascii="GHEA Grapalat" w:eastAsia="Times New Roman" w:hAnsi="GHEA Grapalat" w:cs="Times New Roman"/>
          <w:color w:val="auto"/>
          <w:lang w:val="hy-AM"/>
        </w:rPr>
        <w:t>րդ</w:t>
      </w:r>
      <w:r w:rsidR="00B6632B">
        <w:rPr>
          <w:rFonts w:ascii="GHEA Grapalat" w:eastAsia="Times New Roman" w:hAnsi="GHEA Grapalat" w:cs="Times New Roman"/>
          <w:color w:val="auto"/>
        </w:rPr>
        <w:t xml:space="preserve"> ՀՀ դրամ, իսկ ապահո</w:t>
      </w:r>
      <w:r w:rsidRPr="000232DD">
        <w:rPr>
          <w:rFonts w:ascii="GHEA Grapalat" w:eastAsia="Times New Roman" w:hAnsi="GHEA Grapalat" w:cs="Times New Roman"/>
          <w:color w:val="auto"/>
        </w:rPr>
        <w:t>վագրված այգիների և ցանքատարածությունների</w:t>
      </w:r>
      <w:r w:rsidR="00E8245C">
        <w:rPr>
          <w:rFonts w:ascii="GHEA Grapalat" w:eastAsia="Times New Roman" w:hAnsi="GHEA Grapalat" w:cs="Times New Roman"/>
          <w:color w:val="auto"/>
        </w:rPr>
        <w:t xml:space="preserve"> մակերեսը՝ շուրջ 3775 հա:   </w:t>
      </w:r>
    </w:p>
    <w:p w14:paraId="33BC1F1B" w14:textId="77777777" w:rsidR="00802FF2" w:rsidRPr="00A52417" w:rsidRDefault="00802FF2" w:rsidP="00D370E4">
      <w:pPr>
        <w:pStyle w:val="TableTitleCharCharCharCharCharCharCharCharCharChar11"/>
        <w:ind w:right="-22"/>
        <w:rPr>
          <w:rFonts w:ascii="GHEA Grapalat" w:hAnsi="GHEA Grapalat"/>
          <w:b w:val="0"/>
          <w:smallCaps w:val="0"/>
          <w:color w:val="auto"/>
          <w:sz w:val="20"/>
          <w:szCs w:val="18"/>
          <w:lang w:val="hy-AM"/>
        </w:rPr>
      </w:pPr>
      <w:r w:rsidRPr="00A52417">
        <w:rPr>
          <w:rFonts w:ascii="GHEA Grapalat" w:hAnsi="GHEA Grapalat"/>
          <w:b w:val="0"/>
          <w:smallCaps w:val="0"/>
          <w:color w:val="auto"/>
          <w:sz w:val="20"/>
          <w:szCs w:val="18"/>
          <w:lang w:val="hy-AM"/>
        </w:rPr>
        <w:t>Աղյուսակ 10. Գյուղատնտեսական ապահովագրության ամփոփ տվյալներ, 2020-2025թթ.</w:t>
      </w:r>
    </w:p>
    <w:tbl>
      <w:tblPr>
        <w:tblStyle w:val="GridTable4-Accent15"/>
        <w:tblW w:w="9356" w:type="dxa"/>
        <w:tblInd w:w="-5" w:type="dxa"/>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ayout w:type="fixed"/>
        <w:tblLook w:val="04A0" w:firstRow="1" w:lastRow="0" w:firstColumn="1" w:lastColumn="0" w:noHBand="0" w:noVBand="1"/>
      </w:tblPr>
      <w:tblGrid>
        <w:gridCol w:w="2160"/>
        <w:gridCol w:w="1242"/>
        <w:gridCol w:w="1418"/>
        <w:gridCol w:w="1134"/>
        <w:gridCol w:w="1134"/>
        <w:gridCol w:w="1134"/>
        <w:gridCol w:w="1134"/>
      </w:tblGrid>
      <w:tr w:rsidR="004C0C21" w:rsidRPr="000232DD" w14:paraId="2B27A1FA" w14:textId="77777777" w:rsidTr="001226F0">
        <w:trPr>
          <w:cnfStyle w:val="100000000000" w:firstRow="1" w:lastRow="0" w:firstColumn="0" w:lastColumn="0" w:oddVBand="0" w:evenVBand="0" w:oddHBand="0"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DAE9F7" w:themeFill="text2" w:themeFillTint="1A"/>
          </w:tcPr>
          <w:p w14:paraId="53021E62" w14:textId="77777777" w:rsidR="00802FF2" w:rsidRPr="000232DD" w:rsidRDefault="00802FF2" w:rsidP="00082769">
            <w:pPr>
              <w:spacing w:before="0" w:after="0" w:line="240" w:lineRule="auto"/>
              <w:ind w:right="-22"/>
              <w:rPr>
                <w:rFonts w:ascii="GHEA Grapalat" w:eastAsia="Calibri" w:hAnsi="GHEA Grapalat" w:cs="Times New Roman"/>
                <w:color w:val="auto"/>
              </w:rPr>
            </w:pPr>
          </w:p>
        </w:tc>
        <w:tc>
          <w:tcPr>
            <w:tcW w:w="1242" w:type="dxa"/>
            <w:tcBorders>
              <w:top w:val="none" w:sz="0" w:space="0" w:color="auto"/>
              <w:left w:val="none" w:sz="0" w:space="0" w:color="auto"/>
              <w:bottom w:val="none" w:sz="0" w:space="0" w:color="auto"/>
              <w:right w:val="none" w:sz="0" w:space="0" w:color="auto"/>
            </w:tcBorders>
            <w:shd w:val="clear" w:color="auto" w:fill="DAE9F7" w:themeFill="text2" w:themeFillTint="1A"/>
            <w:vAlign w:val="center"/>
            <w:hideMark/>
          </w:tcPr>
          <w:p w14:paraId="135482B3" w14:textId="77777777" w:rsidR="00802FF2" w:rsidRPr="000232DD" w:rsidRDefault="00802FF2" w:rsidP="00082769">
            <w:pPr>
              <w:spacing w:before="0" w:after="0" w:line="240" w:lineRule="auto"/>
              <w:ind w:right="-22"/>
              <w:cnfStyle w:val="100000000000" w:firstRow="1"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2020</w:t>
            </w:r>
          </w:p>
        </w:tc>
        <w:tc>
          <w:tcPr>
            <w:tcW w:w="1418" w:type="dxa"/>
            <w:tcBorders>
              <w:top w:val="none" w:sz="0" w:space="0" w:color="auto"/>
              <w:left w:val="none" w:sz="0" w:space="0" w:color="auto"/>
              <w:bottom w:val="none" w:sz="0" w:space="0" w:color="auto"/>
              <w:right w:val="none" w:sz="0" w:space="0" w:color="auto"/>
            </w:tcBorders>
            <w:shd w:val="clear" w:color="auto" w:fill="DAE9F7" w:themeFill="text2" w:themeFillTint="1A"/>
            <w:vAlign w:val="center"/>
            <w:hideMark/>
          </w:tcPr>
          <w:p w14:paraId="2C26D27D" w14:textId="77777777" w:rsidR="00802FF2" w:rsidRPr="000232DD" w:rsidRDefault="00802FF2" w:rsidP="00082769">
            <w:pPr>
              <w:spacing w:before="0" w:after="0" w:line="240" w:lineRule="auto"/>
              <w:ind w:right="-22"/>
              <w:cnfStyle w:val="100000000000" w:firstRow="1"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2021</w:t>
            </w:r>
          </w:p>
        </w:tc>
        <w:tc>
          <w:tcPr>
            <w:tcW w:w="1134" w:type="dxa"/>
            <w:tcBorders>
              <w:top w:val="none" w:sz="0" w:space="0" w:color="auto"/>
              <w:left w:val="none" w:sz="0" w:space="0" w:color="auto"/>
              <w:bottom w:val="none" w:sz="0" w:space="0" w:color="auto"/>
              <w:right w:val="none" w:sz="0" w:space="0" w:color="auto"/>
            </w:tcBorders>
            <w:shd w:val="clear" w:color="auto" w:fill="DAE9F7" w:themeFill="text2" w:themeFillTint="1A"/>
            <w:vAlign w:val="center"/>
            <w:hideMark/>
          </w:tcPr>
          <w:p w14:paraId="6865C77F" w14:textId="77777777" w:rsidR="00802FF2" w:rsidRPr="000232DD" w:rsidRDefault="00802FF2" w:rsidP="00082769">
            <w:pPr>
              <w:spacing w:before="0" w:after="0" w:line="240" w:lineRule="auto"/>
              <w:ind w:right="-22"/>
              <w:cnfStyle w:val="100000000000" w:firstRow="1"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2022</w:t>
            </w:r>
          </w:p>
        </w:tc>
        <w:tc>
          <w:tcPr>
            <w:tcW w:w="1134" w:type="dxa"/>
            <w:tcBorders>
              <w:top w:val="none" w:sz="0" w:space="0" w:color="auto"/>
              <w:left w:val="none" w:sz="0" w:space="0" w:color="auto"/>
              <w:bottom w:val="none" w:sz="0" w:space="0" w:color="auto"/>
              <w:right w:val="none" w:sz="0" w:space="0" w:color="auto"/>
            </w:tcBorders>
            <w:shd w:val="clear" w:color="auto" w:fill="DAE9F7" w:themeFill="text2" w:themeFillTint="1A"/>
            <w:vAlign w:val="center"/>
            <w:hideMark/>
          </w:tcPr>
          <w:p w14:paraId="23A334EC" w14:textId="77777777" w:rsidR="00802FF2" w:rsidRPr="000232DD" w:rsidRDefault="00802FF2" w:rsidP="00082769">
            <w:pPr>
              <w:spacing w:before="0" w:after="0" w:line="240" w:lineRule="auto"/>
              <w:ind w:right="-22"/>
              <w:cnfStyle w:val="100000000000" w:firstRow="1"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2023</w:t>
            </w:r>
          </w:p>
        </w:tc>
        <w:tc>
          <w:tcPr>
            <w:tcW w:w="1134" w:type="dxa"/>
            <w:tcBorders>
              <w:top w:val="none" w:sz="0" w:space="0" w:color="auto"/>
              <w:left w:val="none" w:sz="0" w:space="0" w:color="auto"/>
              <w:bottom w:val="none" w:sz="0" w:space="0" w:color="auto"/>
              <w:right w:val="none" w:sz="0" w:space="0" w:color="auto"/>
            </w:tcBorders>
            <w:shd w:val="clear" w:color="auto" w:fill="DAE9F7" w:themeFill="text2" w:themeFillTint="1A"/>
            <w:vAlign w:val="center"/>
          </w:tcPr>
          <w:p w14:paraId="4731F6C9" w14:textId="77777777" w:rsidR="00802FF2" w:rsidRPr="000232DD" w:rsidRDefault="00802FF2" w:rsidP="00082769">
            <w:pPr>
              <w:spacing w:before="0" w:after="0" w:line="240" w:lineRule="auto"/>
              <w:ind w:right="-22"/>
              <w:cnfStyle w:val="100000000000" w:firstRow="1"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2024</w:t>
            </w:r>
          </w:p>
        </w:tc>
        <w:tc>
          <w:tcPr>
            <w:tcW w:w="1134" w:type="dxa"/>
            <w:tcBorders>
              <w:top w:val="none" w:sz="0" w:space="0" w:color="auto"/>
              <w:left w:val="none" w:sz="0" w:space="0" w:color="auto"/>
              <w:bottom w:val="none" w:sz="0" w:space="0" w:color="auto"/>
              <w:right w:val="none" w:sz="0" w:space="0" w:color="auto"/>
            </w:tcBorders>
            <w:shd w:val="clear" w:color="auto" w:fill="DAE9F7" w:themeFill="text2" w:themeFillTint="1A"/>
            <w:vAlign w:val="center"/>
          </w:tcPr>
          <w:p w14:paraId="62D54792" w14:textId="77777777" w:rsidR="00802FF2" w:rsidRPr="000232DD" w:rsidRDefault="00802FF2" w:rsidP="00082769">
            <w:pPr>
              <w:spacing w:before="0" w:after="0" w:line="240" w:lineRule="auto"/>
              <w:ind w:right="-22"/>
              <w:cnfStyle w:val="100000000000" w:firstRow="1"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2025</w:t>
            </w:r>
          </w:p>
        </w:tc>
      </w:tr>
      <w:tr w:rsidR="004C0C21" w:rsidRPr="000232DD" w14:paraId="65296D1D" w14:textId="77777777" w:rsidTr="001226F0">
        <w:trPr>
          <w:cnfStyle w:val="000000100000" w:firstRow="0" w:lastRow="0" w:firstColumn="0" w:lastColumn="0" w:oddVBand="0" w:evenVBand="0" w:oddHBand="1"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2160" w:type="dxa"/>
            <w:hideMark/>
          </w:tcPr>
          <w:p w14:paraId="2A7DC9EA" w14:textId="77777777" w:rsidR="00802FF2" w:rsidRPr="000232DD" w:rsidRDefault="00802FF2" w:rsidP="00082769">
            <w:pPr>
              <w:spacing w:before="0" w:after="0" w:line="240" w:lineRule="auto"/>
              <w:ind w:right="-22"/>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Պայմանագրերի թիվ, հատ</w:t>
            </w:r>
          </w:p>
        </w:tc>
        <w:tc>
          <w:tcPr>
            <w:tcW w:w="1242" w:type="dxa"/>
            <w:hideMark/>
          </w:tcPr>
          <w:p w14:paraId="36B7E489" w14:textId="77777777" w:rsidR="00802FF2" w:rsidRPr="000232DD" w:rsidRDefault="00802FF2" w:rsidP="00082769">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1546</w:t>
            </w:r>
          </w:p>
        </w:tc>
        <w:tc>
          <w:tcPr>
            <w:tcW w:w="1418" w:type="dxa"/>
            <w:hideMark/>
          </w:tcPr>
          <w:p w14:paraId="47C71D08" w14:textId="77777777" w:rsidR="00802FF2" w:rsidRPr="000232DD" w:rsidRDefault="00802FF2" w:rsidP="00082769">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4279</w:t>
            </w:r>
          </w:p>
        </w:tc>
        <w:tc>
          <w:tcPr>
            <w:tcW w:w="1134" w:type="dxa"/>
            <w:hideMark/>
          </w:tcPr>
          <w:p w14:paraId="3CB19DC3" w14:textId="77777777" w:rsidR="00802FF2" w:rsidRPr="000232DD" w:rsidRDefault="00802FF2" w:rsidP="00082769">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5091</w:t>
            </w:r>
          </w:p>
        </w:tc>
        <w:tc>
          <w:tcPr>
            <w:tcW w:w="1134" w:type="dxa"/>
            <w:hideMark/>
          </w:tcPr>
          <w:p w14:paraId="04FE243A" w14:textId="77777777" w:rsidR="00802FF2" w:rsidRPr="000232DD" w:rsidRDefault="00802FF2" w:rsidP="00082769">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10192</w:t>
            </w:r>
          </w:p>
        </w:tc>
        <w:tc>
          <w:tcPr>
            <w:tcW w:w="1134" w:type="dxa"/>
          </w:tcPr>
          <w:p w14:paraId="24C06524" w14:textId="77777777" w:rsidR="00802FF2" w:rsidRPr="000232DD" w:rsidRDefault="00802FF2" w:rsidP="00082769">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27</w:t>
            </w:r>
          </w:p>
        </w:tc>
        <w:tc>
          <w:tcPr>
            <w:tcW w:w="1134" w:type="dxa"/>
          </w:tcPr>
          <w:p w14:paraId="03F4E608" w14:textId="77777777" w:rsidR="00802FF2" w:rsidRPr="000232DD" w:rsidRDefault="00802FF2" w:rsidP="00082769">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32</w:t>
            </w:r>
          </w:p>
        </w:tc>
      </w:tr>
      <w:tr w:rsidR="004C0C21" w:rsidRPr="000232DD" w14:paraId="199B9B54" w14:textId="77777777" w:rsidTr="001226F0">
        <w:trPr>
          <w:trHeight w:val="355"/>
        </w:trPr>
        <w:tc>
          <w:tcPr>
            <w:cnfStyle w:val="001000000000" w:firstRow="0" w:lastRow="0" w:firstColumn="1" w:lastColumn="0" w:oddVBand="0" w:evenVBand="0" w:oddHBand="0" w:evenHBand="0" w:firstRowFirstColumn="0" w:firstRowLastColumn="0" w:lastRowFirstColumn="0" w:lastRowLastColumn="0"/>
            <w:tcW w:w="2160" w:type="dxa"/>
            <w:hideMark/>
          </w:tcPr>
          <w:p w14:paraId="014BD1D2" w14:textId="77777777" w:rsidR="00802FF2" w:rsidRPr="000232DD" w:rsidRDefault="00802FF2" w:rsidP="00082769">
            <w:pPr>
              <w:spacing w:before="0" w:after="0" w:line="240" w:lineRule="auto"/>
              <w:ind w:right="-22"/>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Ապահովագրված տարածք, հա</w:t>
            </w:r>
          </w:p>
        </w:tc>
        <w:tc>
          <w:tcPr>
            <w:tcW w:w="1242" w:type="dxa"/>
            <w:hideMark/>
          </w:tcPr>
          <w:p w14:paraId="54BD286D" w14:textId="77777777" w:rsidR="00802FF2" w:rsidRPr="000232DD" w:rsidRDefault="00802FF2" w:rsidP="00082769">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2363.3</w:t>
            </w:r>
          </w:p>
        </w:tc>
        <w:tc>
          <w:tcPr>
            <w:tcW w:w="1418" w:type="dxa"/>
            <w:hideMark/>
          </w:tcPr>
          <w:p w14:paraId="77C4ADD8" w14:textId="77777777" w:rsidR="00802FF2" w:rsidRPr="000232DD" w:rsidRDefault="00802FF2" w:rsidP="00082769">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5832</w:t>
            </w:r>
          </w:p>
        </w:tc>
        <w:tc>
          <w:tcPr>
            <w:tcW w:w="1134" w:type="dxa"/>
            <w:hideMark/>
          </w:tcPr>
          <w:p w14:paraId="4F4E3160" w14:textId="77777777" w:rsidR="00802FF2" w:rsidRPr="000232DD" w:rsidRDefault="00802FF2" w:rsidP="00082769">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6444</w:t>
            </w:r>
          </w:p>
        </w:tc>
        <w:tc>
          <w:tcPr>
            <w:tcW w:w="1134" w:type="dxa"/>
            <w:hideMark/>
          </w:tcPr>
          <w:p w14:paraId="05C91E19" w14:textId="77777777" w:rsidR="00802FF2" w:rsidRPr="000232DD" w:rsidRDefault="00802FF2" w:rsidP="00082769">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11662</w:t>
            </w:r>
          </w:p>
        </w:tc>
        <w:tc>
          <w:tcPr>
            <w:tcW w:w="1134" w:type="dxa"/>
          </w:tcPr>
          <w:p w14:paraId="0F945FFB" w14:textId="77777777" w:rsidR="00802FF2" w:rsidRPr="000232DD" w:rsidRDefault="00802FF2" w:rsidP="00082769">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247</w:t>
            </w:r>
          </w:p>
        </w:tc>
        <w:tc>
          <w:tcPr>
            <w:tcW w:w="1134" w:type="dxa"/>
          </w:tcPr>
          <w:p w14:paraId="4A32CAD1" w14:textId="77777777" w:rsidR="00802FF2" w:rsidRPr="000232DD" w:rsidRDefault="00802FF2" w:rsidP="00082769">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20</w:t>
            </w:r>
          </w:p>
        </w:tc>
      </w:tr>
      <w:tr w:rsidR="004C0C21" w:rsidRPr="000232DD" w14:paraId="7D6F7D8D" w14:textId="77777777" w:rsidTr="001226F0">
        <w:trPr>
          <w:cnfStyle w:val="000000100000" w:firstRow="0" w:lastRow="0" w:firstColumn="0" w:lastColumn="0" w:oddVBand="0" w:evenVBand="0" w:oddHBand="1" w:evenHBand="0" w:firstRowFirstColumn="0" w:firstRowLastColumn="0" w:lastRowFirstColumn="0" w:lastRowLastColumn="0"/>
          <w:trHeight w:val="664"/>
        </w:trPr>
        <w:tc>
          <w:tcPr>
            <w:cnfStyle w:val="001000000000" w:firstRow="0" w:lastRow="0" w:firstColumn="1" w:lastColumn="0" w:oddVBand="0" w:evenVBand="0" w:oddHBand="0" w:evenHBand="0" w:firstRowFirstColumn="0" w:firstRowLastColumn="0" w:lastRowFirstColumn="0" w:lastRowLastColumn="0"/>
            <w:tcW w:w="2160" w:type="dxa"/>
            <w:hideMark/>
          </w:tcPr>
          <w:p w14:paraId="01A2B279" w14:textId="143ED7EF" w:rsidR="00802FF2" w:rsidRPr="00E8245C" w:rsidRDefault="00802FF2" w:rsidP="00E8245C">
            <w:pPr>
              <w:spacing w:before="0" w:after="0" w:line="240" w:lineRule="auto"/>
              <w:ind w:right="-22"/>
              <w:rPr>
                <w:rFonts w:ascii="GHEA Grapalat" w:eastAsia="Calibri" w:hAnsi="GHEA Grapalat" w:cs="Times New Roman"/>
                <w:color w:val="auto"/>
                <w:sz w:val="20"/>
                <w:szCs w:val="20"/>
                <w:highlight w:val="red"/>
              </w:rPr>
            </w:pPr>
            <w:r w:rsidRPr="00E8245C">
              <w:rPr>
                <w:rFonts w:ascii="GHEA Grapalat" w:eastAsia="Calibri" w:hAnsi="GHEA Grapalat" w:cs="Times New Roman"/>
                <w:color w:val="auto"/>
                <w:sz w:val="20"/>
                <w:szCs w:val="20"/>
              </w:rPr>
              <w:t>Համախառն ապահովագրավճար, մլ</w:t>
            </w:r>
            <w:r w:rsidR="00E8245C" w:rsidRPr="00E8245C">
              <w:rPr>
                <w:rFonts w:ascii="GHEA Grapalat" w:eastAsia="Calibri" w:hAnsi="GHEA Grapalat" w:cs="Times New Roman"/>
                <w:color w:val="auto"/>
                <w:sz w:val="20"/>
                <w:szCs w:val="20"/>
                <w:lang w:val="hy-AM"/>
              </w:rPr>
              <w:t>րդ</w:t>
            </w:r>
            <w:r w:rsidRPr="00E8245C">
              <w:rPr>
                <w:rFonts w:ascii="GHEA Grapalat" w:eastAsia="Calibri" w:hAnsi="GHEA Grapalat" w:cs="Times New Roman"/>
                <w:color w:val="auto"/>
                <w:sz w:val="20"/>
                <w:szCs w:val="20"/>
              </w:rPr>
              <w:t xml:space="preserve"> դրամ</w:t>
            </w:r>
          </w:p>
        </w:tc>
        <w:tc>
          <w:tcPr>
            <w:tcW w:w="1242" w:type="dxa"/>
            <w:hideMark/>
          </w:tcPr>
          <w:p w14:paraId="59A56DF9" w14:textId="0C8FE55E" w:rsidR="00802FF2" w:rsidRPr="000232DD" w:rsidRDefault="00E8245C" w:rsidP="00E8245C">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Pr>
                <w:rFonts w:ascii="GHEA Grapalat" w:eastAsia="Calibri" w:hAnsi="GHEA Grapalat" w:cs="Times New Roman"/>
                <w:color w:val="auto"/>
                <w:sz w:val="20"/>
                <w:szCs w:val="20"/>
                <w:lang w:val="hy-AM"/>
              </w:rPr>
              <w:t>0.</w:t>
            </w:r>
            <w:r w:rsidR="00802FF2" w:rsidRPr="000232DD">
              <w:rPr>
                <w:rFonts w:ascii="GHEA Grapalat" w:eastAsia="Calibri" w:hAnsi="GHEA Grapalat" w:cs="Times New Roman"/>
                <w:color w:val="auto"/>
                <w:sz w:val="20"/>
                <w:szCs w:val="20"/>
              </w:rPr>
              <w:t>13</w:t>
            </w:r>
          </w:p>
        </w:tc>
        <w:tc>
          <w:tcPr>
            <w:tcW w:w="1418" w:type="dxa"/>
            <w:hideMark/>
          </w:tcPr>
          <w:p w14:paraId="3A78D521" w14:textId="4B80ED4B" w:rsidR="00802FF2" w:rsidRPr="000232DD" w:rsidRDefault="00E8245C" w:rsidP="00E8245C">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Pr>
                <w:rFonts w:ascii="GHEA Grapalat" w:eastAsia="Calibri" w:hAnsi="GHEA Grapalat" w:cs="Times New Roman"/>
                <w:color w:val="auto"/>
                <w:sz w:val="20"/>
                <w:szCs w:val="20"/>
                <w:lang w:val="hy-AM"/>
              </w:rPr>
              <w:t>0.</w:t>
            </w:r>
            <w:r w:rsidR="00802FF2" w:rsidRPr="000232DD">
              <w:rPr>
                <w:rFonts w:ascii="GHEA Grapalat" w:eastAsia="Calibri" w:hAnsi="GHEA Grapalat" w:cs="Times New Roman"/>
                <w:color w:val="auto"/>
                <w:sz w:val="20"/>
                <w:szCs w:val="20"/>
              </w:rPr>
              <w:t>47</w:t>
            </w:r>
          </w:p>
        </w:tc>
        <w:tc>
          <w:tcPr>
            <w:tcW w:w="1134" w:type="dxa"/>
            <w:hideMark/>
          </w:tcPr>
          <w:p w14:paraId="489538F7" w14:textId="71B7E732" w:rsidR="00802FF2" w:rsidRPr="00E8245C" w:rsidRDefault="00E8245C" w:rsidP="00E8245C">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lang w:val="hy-AM"/>
              </w:rPr>
            </w:pPr>
            <w:r>
              <w:rPr>
                <w:rFonts w:ascii="GHEA Grapalat" w:eastAsia="Calibri" w:hAnsi="GHEA Grapalat" w:cs="Times New Roman"/>
                <w:color w:val="auto"/>
                <w:sz w:val="20"/>
                <w:szCs w:val="20"/>
                <w:lang w:val="hy-AM"/>
              </w:rPr>
              <w:t>0.</w:t>
            </w:r>
            <w:r w:rsidR="00802FF2" w:rsidRPr="000232DD">
              <w:rPr>
                <w:rFonts w:ascii="GHEA Grapalat" w:eastAsia="Calibri" w:hAnsi="GHEA Grapalat" w:cs="Times New Roman"/>
                <w:color w:val="auto"/>
                <w:sz w:val="20"/>
                <w:szCs w:val="20"/>
              </w:rPr>
              <w:t>8</w:t>
            </w:r>
            <w:r>
              <w:rPr>
                <w:rFonts w:ascii="GHEA Grapalat" w:eastAsia="Calibri" w:hAnsi="GHEA Grapalat" w:cs="Times New Roman"/>
                <w:color w:val="auto"/>
                <w:sz w:val="20"/>
                <w:szCs w:val="20"/>
                <w:lang w:val="hy-AM"/>
              </w:rPr>
              <w:t>7</w:t>
            </w:r>
          </w:p>
        </w:tc>
        <w:tc>
          <w:tcPr>
            <w:tcW w:w="1134" w:type="dxa"/>
            <w:hideMark/>
          </w:tcPr>
          <w:p w14:paraId="1FB73DBD" w14:textId="00148151" w:rsidR="00802FF2" w:rsidRPr="000232DD" w:rsidRDefault="00802FF2" w:rsidP="00E8245C">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1</w:t>
            </w:r>
            <w:r w:rsidR="00E8245C">
              <w:rPr>
                <w:rFonts w:ascii="GHEA Grapalat" w:eastAsia="Calibri" w:hAnsi="GHEA Grapalat" w:cs="Times New Roman"/>
                <w:color w:val="auto"/>
                <w:sz w:val="20"/>
                <w:szCs w:val="20"/>
              </w:rPr>
              <w:t>.</w:t>
            </w:r>
            <w:r w:rsidRPr="000232DD">
              <w:rPr>
                <w:rFonts w:ascii="GHEA Grapalat" w:eastAsia="Calibri" w:hAnsi="GHEA Grapalat" w:cs="Times New Roman"/>
                <w:color w:val="auto"/>
                <w:sz w:val="20"/>
                <w:szCs w:val="20"/>
              </w:rPr>
              <w:t>8</w:t>
            </w:r>
          </w:p>
        </w:tc>
        <w:tc>
          <w:tcPr>
            <w:tcW w:w="1134" w:type="dxa"/>
          </w:tcPr>
          <w:p w14:paraId="53C8459D" w14:textId="0BF61AF2" w:rsidR="00802FF2" w:rsidRPr="000232DD" w:rsidRDefault="00E8245C" w:rsidP="00E8245C">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Pr>
                <w:rFonts w:ascii="GHEA Grapalat" w:eastAsia="Calibri" w:hAnsi="GHEA Grapalat" w:cs="Times New Roman"/>
                <w:color w:val="auto"/>
                <w:sz w:val="20"/>
                <w:szCs w:val="20"/>
                <w:lang w:val="hy-AM"/>
              </w:rPr>
              <w:t>0.022</w:t>
            </w:r>
          </w:p>
        </w:tc>
        <w:tc>
          <w:tcPr>
            <w:tcW w:w="1134" w:type="dxa"/>
          </w:tcPr>
          <w:p w14:paraId="45237C97" w14:textId="11E1B862" w:rsidR="00802FF2" w:rsidRPr="000232DD" w:rsidRDefault="00E8245C" w:rsidP="00E8245C">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Pr>
                <w:rFonts w:ascii="GHEA Grapalat" w:eastAsia="Calibri" w:hAnsi="GHEA Grapalat" w:cs="Times New Roman"/>
                <w:color w:val="auto"/>
                <w:sz w:val="20"/>
                <w:szCs w:val="20"/>
                <w:lang w:val="hy-AM"/>
              </w:rPr>
              <w:t>0.002</w:t>
            </w:r>
          </w:p>
        </w:tc>
      </w:tr>
      <w:tr w:rsidR="004C0C21" w:rsidRPr="000232DD" w14:paraId="30712709" w14:textId="77777777" w:rsidTr="001226F0">
        <w:trPr>
          <w:trHeight w:val="355"/>
        </w:trPr>
        <w:tc>
          <w:tcPr>
            <w:cnfStyle w:val="001000000000" w:firstRow="0" w:lastRow="0" w:firstColumn="1" w:lastColumn="0" w:oddVBand="0" w:evenVBand="0" w:oddHBand="0" w:evenHBand="0" w:firstRowFirstColumn="0" w:firstRowLastColumn="0" w:lastRowFirstColumn="0" w:lastRowLastColumn="0"/>
            <w:tcW w:w="2160" w:type="dxa"/>
            <w:hideMark/>
          </w:tcPr>
          <w:p w14:paraId="39307C1D" w14:textId="77D61497" w:rsidR="00802FF2" w:rsidRPr="000232DD" w:rsidRDefault="00802FF2" w:rsidP="00082769">
            <w:pPr>
              <w:spacing w:before="0" w:after="0" w:line="240" w:lineRule="auto"/>
              <w:ind w:right="-22"/>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 xml:space="preserve">Սուբսիդիա, </w:t>
            </w:r>
            <w:r w:rsidR="00E8245C">
              <w:rPr>
                <w:rFonts w:ascii="GHEA Grapalat" w:eastAsia="Calibri" w:hAnsi="GHEA Grapalat" w:cs="Times New Roman"/>
                <w:color w:val="auto"/>
                <w:sz w:val="20"/>
                <w:szCs w:val="20"/>
              </w:rPr>
              <w:t>մլրդ</w:t>
            </w:r>
            <w:r w:rsidRPr="000232DD">
              <w:rPr>
                <w:rFonts w:ascii="GHEA Grapalat" w:eastAsia="Calibri" w:hAnsi="GHEA Grapalat" w:cs="Times New Roman"/>
                <w:color w:val="auto"/>
                <w:sz w:val="20"/>
                <w:szCs w:val="20"/>
              </w:rPr>
              <w:t xml:space="preserve"> դրամ</w:t>
            </w:r>
          </w:p>
        </w:tc>
        <w:tc>
          <w:tcPr>
            <w:tcW w:w="1242" w:type="dxa"/>
            <w:hideMark/>
          </w:tcPr>
          <w:p w14:paraId="141641F9" w14:textId="006E9106" w:rsidR="00802FF2" w:rsidRPr="000232DD" w:rsidRDefault="00E8245C" w:rsidP="00082769">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Pr>
                <w:rFonts w:ascii="GHEA Grapalat" w:eastAsia="Calibri" w:hAnsi="GHEA Grapalat" w:cs="Times New Roman"/>
                <w:color w:val="auto"/>
                <w:sz w:val="20"/>
                <w:szCs w:val="20"/>
                <w:lang w:val="hy-AM"/>
              </w:rPr>
              <w:t>0.0</w:t>
            </w:r>
            <w:r w:rsidR="00802FF2" w:rsidRPr="000232DD">
              <w:rPr>
                <w:rFonts w:ascii="GHEA Grapalat" w:eastAsia="Calibri" w:hAnsi="GHEA Grapalat" w:cs="Times New Roman"/>
                <w:color w:val="auto"/>
                <w:sz w:val="20"/>
                <w:szCs w:val="20"/>
              </w:rPr>
              <w:t>69</w:t>
            </w:r>
          </w:p>
        </w:tc>
        <w:tc>
          <w:tcPr>
            <w:tcW w:w="1418" w:type="dxa"/>
            <w:hideMark/>
          </w:tcPr>
          <w:p w14:paraId="34EDB457" w14:textId="209D0678" w:rsidR="00802FF2" w:rsidRPr="00E8245C" w:rsidRDefault="00E8245C" w:rsidP="00E8245C">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lang w:val="hy-AM"/>
              </w:rPr>
            </w:pPr>
            <w:r>
              <w:rPr>
                <w:rFonts w:ascii="GHEA Grapalat" w:eastAsia="Calibri" w:hAnsi="GHEA Grapalat" w:cs="Times New Roman"/>
                <w:color w:val="auto"/>
                <w:sz w:val="20"/>
                <w:szCs w:val="20"/>
                <w:lang w:val="hy-AM"/>
              </w:rPr>
              <w:t>0.</w:t>
            </w:r>
            <w:r w:rsidR="00802FF2" w:rsidRPr="000232DD">
              <w:rPr>
                <w:rFonts w:ascii="GHEA Grapalat" w:eastAsia="Calibri" w:hAnsi="GHEA Grapalat" w:cs="Times New Roman"/>
                <w:color w:val="auto"/>
                <w:sz w:val="20"/>
                <w:szCs w:val="20"/>
              </w:rPr>
              <w:t>2</w:t>
            </w:r>
            <w:r>
              <w:rPr>
                <w:rFonts w:ascii="GHEA Grapalat" w:eastAsia="Calibri" w:hAnsi="GHEA Grapalat" w:cs="Times New Roman"/>
                <w:color w:val="auto"/>
                <w:sz w:val="20"/>
                <w:szCs w:val="20"/>
                <w:lang w:val="hy-AM"/>
              </w:rPr>
              <w:t>8</w:t>
            </w:r>
          </w:p>
        </w:tc>
        <w:tc>
          <w:tcPr>
            <w:tcW w:w="1134" w:type="dxa"/>
            <w:hideMark/>
          </w:tcPr>
          <w:p w14:paraId="1E2C4101" w14:textId="6C759F82" w:rsidR="00802FF2" w:rsidRPr="000232DD" w:rsidRDefault="00E8245C" w:rsidP="00E8245C">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Pr>
                <w:rFonts w:ascii="GHEA Grapalat" w:eastAsia="Calibri" w:hAnsi="GHEA Grapalat" w:cs="Times New Roman"/>
                <w:color w:val="auto"/>
                <w:sz w:val="20"/>
                <w:szCs w:val="20"/>
                <w:lang w:val="hy-AM"/>
              </w:rPr>
              <w:t>0.</w:t>
            </w:r>
            <w:r w:rsidR="00802FF2" w:rsidRPr="000232DD">
              <w:rPr>
                <w:rFonts w:ascii="GHEA Grapalat" w:eastAsia="Calibri" w:hAnsi="GHEA Grapalat" w:cs="Times New Roman"/>
                <w:color w:val="auto"/>
                <w:sz w:val="20"/>
                <w:szCs w:val="20"/>
              </w:rPr>
              <w:t>51</w:t>
            </w:r>
          </w:p>
        </w:tc>
        <w:tc>
          <w:tcPr>
            <w:tcW w:w="1134" w:type="dxa"/>
            <w:hideMark/>
          </w:tcPr>
          <w:p w14:paraId="22C67D36" w14:textId="44B4150C" w:rsidR="00802FF2" w:rsidRPr="000232DD" w:rsidRDefault="00802FF2" w:rsidP="00E8245C">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1</w:t>
            </w:r>
            <w:r w:rsidR="00E8245C">
              <w:rPr>
                <w:rFonts w:ascii="GHEA Grapalat" w:eastAsia="Calibri" w:hAnsi="GHEA Grapalat" w:cs="Times New Roman"/>
                <w:color w:val="auto"/>
                <w:sz w:val="20"/>
                <w:szCs w:val="20"/>
                <w:lang w:val="hy-AM"/>
              </w:rPr>
              <w:t>.</w:t>
            </w:r>
            <w:r w:rsidRPr="000232DD">
              <w:rPr>
                <w:rFonts w:ascii="GHEA Grapalat" w:eastAsia="Calibri" w:hAnsi="GHEA Grapalat" w:cs="Times New Roman"/>
                <w:color w:val="auto"/>
                <w:sz w:val="20"/>
                <w:szCs w:val="20"/>
              </w:rPr>
              <w:t>1</w:t>
            </w:r>
          </w:p>
        </w:tc>
        <w:tc>
          <w:tcPr>
            <w:tcW w:w="1134" w:type="dxa"/>
          </w:tcPr>
          <w:p w14:paraId="33BE3CC9" w14:textId="7F02397F" w:rsidR="00802FF2" w:rsidRPr="000232DD" w:rsidRDefault="00E8245C" w:rsidP="00E8245C">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Pr>
                <w:rFonts w:ascii="GHEA Grapalat" w:eastAsia="Calibri" w:hAnsi="GHEA Grapalat" w:cs="Times New Roman"/>
                <w:color w:val="auto"/>
                <w:sz w:val="20"/>
                <w:szCs w:val="20"/>
                <w:lang w:val="hy-AM"/>
              </w:rPr>
              <w:t>0.01</w:t>
            </w:r>
            <w:r w:rsidR="00802FF2" w:rsidRPr="000232DD">
              <w:rPr>
                <w:rFonts w:ascii="GHEA Grapalat" w:eastAsia="Calibri" w:hAnsi="GHEA Grapalat" w:cs="Times New Roman"/>
                <w:color w:val="auto"/>
                <w:sz w:val="20"/>
                <w:szCs w:val="20"/>
              </w:rPr>
              <w:t>1</w:t>
            </w:r>
          </w:p>
        </w:tc>
        <w:tc>
          <w:tcPr>
            <w:tcW w:w="1134" w:type="dxa"/>
          </w:tcPr>
          <w:p w14:paraId="242EBF64" w14:textId="16947B36" w:rsidR="00802FF2" w:rsidRPr="000232DD" w:rsidRDefault="00E8245C" w:rsidP="00E8245C">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Pr>
                <w:rFonts w:ascii="GHEA Grapalat" w:eastAsia="Calibri" w:hAnsi="GHEA Grapalat" w:cs="Times New Roman"/>
                <w:color w:val="auto"/>
                <w:sz w:val="20"/>
                <w:szCs w:val="20"/>
                <w:lang w:val="hy-AM"/>
              </w:rPr>
              <w:t>0.00</w:t>
            </w:r>
            <w:r w:rsidR="00802FF2" w:rsidRPr="000232DD">
              <w:rPr>
                <w:rFonts w:ascii="GHEA Grapalat" w:eastAsia="Calibri" w:hAnsi="GHEA Grapalat" w:cs="Times New Roman"/>
                <w:color w:val="auto"/>
                <w:sz w:val="20"/>
                <w:szCs w:val="20"/>
              </w:rPr>
              <w:t>13</w:t>
            </w:r>
          </w:p>
        </w:tc>
      </w:tr>
      <w:tr w:rsidR="004C0C21" w:rsidRPr="000232DD" w14:paraId="4304084D" w14:textId="77777777" w:rsidTr="001226F0">
        <w:trPr>
          <w:cnfStyle w:val="000000100000" w:firstRow="0" w:lastRow="0" w:firstColumn="0" w:lastColumn="0" w:oddVBand="0" w:evenVBand="0" w:oddHBand="1"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2160" w:type="dxa"/>
            <w:hideMark/>
          </w:tcPr>
          <w:p w14:paraId="7FF35796" w14:textId="3523778C" w:rsidR="00802FF2" w:rsidRPr="000232DD" w:rsidRDefault="00802FF2" w:rsidP="00E8245C">
            <w:pPr>
              <w:spacing w:before="0" w:after="0" w:line="240" w:lineRule="auto"/>
              <w:ind w:right="-22"/>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Հատուցումներ, մլ</w:t>
            </w:r>
            <w:r w:rsidR="00E8245C">
              <w:rPr>
                <w:rFonts w:ascii="GHEA Grapalat" w:eastAsia="Calibri" w:hAnsi="GHEA Grapalat" w:cs="Times New Roman"/>
                <w:color w:val="auto"/>
                <w:sz w:val="20"/>
                <w:szCs w:val="20"/>
                <w:lang w:val="hy-AM"/>
              </w:rPr>
              <w:t>րդ</w:t>
            </w:r>
            <w:r w:rsidRPr="000232DD">
              <w:rPr>
                <w:rFonts w:ascii="GHEA Grapalat" w:eastAsia="Calibri" w:hAnsi="GHEA Grapalat" w:cs="Times New Roman"/>
                <w:color w:val="auto"/>
                <w:sz w:val="20"/>
                <w:szCs w:val="20"/>
              </w:rPr>
              <w:t xml:space="preserve"> դրամ</w:t>
            </w:r>
          </w:p>
        </w:tc>
        <w:tc>
          <w:tcPr>
            <w:tcW w:w="1242" w:type="dxa"/>
            <w:hideMark/>
          </w:tcPr>
          <w:p w14:paraId="35741519" w14:textId="66ABFAFE" w:rsidR="00802FF2" w:rsidRPr="000232DD" w:rsidRDefault="00E8245C" w:rsidP="00223757">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Pr>
                <w:rFonts w:ascii="GHEA Grapalat" w:eastAsia="Calibri" w:hAnsi="GHEA Grapalat" w:cs="Times New Roman"/>
                <w:color w:val="auto"/>
                <w:sz w:val="20"/>
                <w:szCs w:val="20"/>
                <w:lang w:val="hy-AM"/>
              </w:rPr>
              <w:t>0.</w:t>
            </w:r>
            <w:r w:rsidR="00802FF2" w:rsidRPr="000232DD">
              <w:rPr>
                <w:rFonts w:ascii="GHEA Grapalat" w:eastAsia="Calibri" w:hAnsi="GHEA Grapalat" w:cs="Times New Roman"/>
                <w:color w:val="auto"/>
                <w:sz w:val="20"/>
                <w:szCs w:val="20"/>
              </w:rPr>
              <w:t>15</w:t>
            </w:r>
          </w:p>
        </w:tc>
        <w:tc>
          <w:tcPr>
            <w:tcW w:w="1418" w:type="dxa"/>
            <w:hideMark/>
          </w:tcPr>
          <w:p w14:paraId="415A2072" w14:textId="3CD7A2B7" w:rsidR="00802FF2" w:rsidRPr="00223757" w:rsidRDefault="00223757" w:rsidP="00223757">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lang w:val="hy-AM"/>
              </w:rPr>
            </w:pPr>
            <w:r>
              <w:rPr>
                <w:rFonts w:ascii="GHEA Grapalat" w:eastAsia="Calibri" w:hAnsi="GHEA Grapalat" w:cs="Times New Roman"/>
                <w:color w:val="auto"/>
                <w:sz w:val="20"/>
                <w:szCs w:val="20"/>
                <w:lang w:val="hy-AM"/>
              </w:rPr>
              <w:t>0.</w:t>
            </w:r>
            <w:r w:rsidR="00802FF2" w:rsidRPr="000232DD">
              <w:rPr>
                <w:rFonts w:ascii="GHEA Grapalat" w:eastAsia="Calibri" w:hAnsi="GHEA Grapalat" w:cs="Times New Roman"/>
                <w:color w:val="auto"/>
                <w:sz w:val="20"/>
                <w:szCs w:val="20"/>
              </w:rPr>
              <w:t>3</w:t>
            </w:r>
            <w:r>
              <w:rPr>
                <w:rFonts w:ascii="GHEA Grapalat" w:eastAsia="Calibri" w:hAnsi="GHEA Grapalat" w:cs="Times New Roman"/>
                <w:color w:val="auto"/>
                <w:sz w:val="20"/>
                <w:szCs w:val="20"/>
                <w:lang w:val="hy-AM"/>
              </w:rPr>
              <w:t>2</w:t>
            </w:r>
          </w:p>
        </w:tc>
        <w:tc>
          <w:tcPr>
            <w:tcW w:w="1134" w:type="dxa"/>
            <w:hideMark/>
          </w:tcPr>
          <w:p w14:paraId="399B9061" w14:textId="2822FACA" w:rsidR="00802FF2" w:rsidRPr="000232DD" w:rsidRDefault="00802FF2" w:rsidP="00223757">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1</w:t>
            </w:r>
            <w:r w:rsidR="00223757">
              <w:rPr>
                <w:rFonts w:ascii="GHEA Grapalat" w:eastAsia="Calibri" w:hAnsi="GHEA Grapalat" w:cs="Times New Roman"/>
                <w:color w:val="auto"/>
                <w:sz w:val="20"/>
                <w:szCs w:val="20"/>
                <w:lang w:val="hy-AM"/>
              </w:rPr>
              <w:t>.</w:t>
            </w:r>
            <w:r w:rsidRPr="000232DD">
              <w:rPr>
                <w:rFonts w:ascii="GHEA Grapalat" w:eastAsia="Calibri" w:hAnsi="GHEA Grapalat" w:cs="Times New Roman"/>
                <w:color w:val="auto"/>
                <w:sz w:val="20"/>
                <w:szCs w:val="20"/>
              </w:rPr>
              <w:t>3</w:t>
            </w:r>
          </w:p>
        </w:tc>
        <w:tc>
          <w:tcPr>
            <w:tcW w:w="1134" w:type="dxa"/>
            <w:hideMark/>
          </w:tcPr>
          <w:p w14:paraId="1FFEA059" w14:textId="72F4D90D" w:rsidR="00802FF2" w:rsidRPr="000232DD" w:rsidRDefault="00802FF2" w:rsidP="00223757">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2</w:t>
            </w:r>
            <w:r w:rsidR="00223757">
              <w:rPr>
                <w:rFonts w:ascii="GHEA Grapalat" w:eastAsia="Calibri" w:hAnsi="GHEA Grapalat" w:cs="Times New Roman"/>
                <w:color w:val="auto"/>
                <w:sz w:val="20"/>
                <w:szCs w:val="20"/>
                <w:lang w:val="hy-AM"/>
              </w:rPr>
              <w:t>.</w:t>
            </w:r>
            <w:r w:rsidRPr="000232DD">
              <w:rPr>
                <w:rFonts w:ascii="GHEA Grapalat" w:eastAsia="Calibri" w:hAnsi="GHEA Grapalat" w:cs="Times New Roman"/>
                <w:color w:val="auto"/>
                <w:sz w:val="20"/>
                <w:szCs w:val="20"/>
              </w:rPr>
              <w:t>7</w:t>
            </w:r>
          </w:p>
        </w:tc>
        <w:tc>
          <w:tcPr>
            <w:tcW w:w="1134" w:type="dxa"/>
          </w:tcPr>
          <w:p w14:paraId="065A3846" w14:textId="77777777" w:rsidR="00802FF2" w:rsidRPr="000232DD" w:rsidRDefault="00802FF2" w:rsidP="00082769">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0</w:t>
            </w:r>
          </w:p>
        </w:tc>
        <w:tc>
          <w:tcPr>
            <w:tcW w:w="1134" w:type="dxa"/>
          </w:tcPr>
          <w:p w14:paraId="4E2D82E9" w14:textId="483ED043" w:rsidR="00802FF2" w:rsidRPr="000232DD" w:rsidRDefault="00802FF2" w:rsidP="00223757">
            <w:pPr>
              <w:spacing w:before="0" w:after="0" w:line="240" w:lineRule="auto"/>
              <w:ind w:right="-22"/>
              <w:jc w:val="right"/>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0</w:t>
            </w:r>
            <w:r w:rsidR="00223757">
              <w:rPr>
                <w:rFonts w:ascii="GHEA Grapalat" w:eastAsia="Calibri" w:hAnsi="GHEA Grapalat" w:cs="Times New Roman"/>
                <w:color w:val="auto"/>
                <w:sz w:val="20"/>
                <w:szCs w:val="20"/>
                <w:lang w:val="hy-AM"/>
              </w:rPr>
              <w:t>.0008</w:t>
            </w:r>
          </w:p>
        </w:tc>
      </w:tr>
      <w:tr w:rsidR="004C0C21" w:rsidRPr="000232DD" w14:paraId="66EC07FF" w14:textId="77777777" w:rsidTr="001226F0">
        <w:trPr>
          <w:trHeight w:val="372"/>
        </w:trPr>
        <w:tc>
          <w:tcPr>
            <w:cnfStyle w:val="001000000000" w:firstRow="0" w:lastRow="0" w:firstColumn="1" w:lastColumn="0" w:oddVBand="0" w:evenVBand="0" w:oddHBand="0" w:evenHBand="0" w:firstRowFirstColumn="0" w:firstRowLastColumn="0" w:lastRowFirstColumn="0" w:lastRowLastColumn="0"/>
            <w:tcW w:w="2160" w:type="dxa"/>
            <w:hideMark/>
          </w:tcPr>
          <w:p w14:paraId="0CBF3BC8" w14:textId="77777777" w:rsidR="00802FF2" w:rsidRPr="000232DD" w:rsidRDefault="00802FF2" w:rsidP="00082769">
            <w:pPr>
              <w:spacing w:before="0" w:after="0" w:line="240" w:lineRule="auto"/>
              <w:ind w:right="-22"/>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Հատուցումների քանակ, հատ</w:t>
            </w:r>
          </w:p>
        </w:tc>
        <w:tc>
          <w:tcPr>
            <w:tcW w:w="1242" w:type="dxa"/>
          </w:tcPr>
          <w:p w14:paraId="1F6517EA" w14:textId="77777777" w:rsidR="00802FF2" w:rsidRPr="000232DD" w:rsidRDefault="00802FF2" w:rsidP="00082769">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p>
        </w:tc>
        <w:tc>
          <w:tcPr>
            <w:tcW w:w="1418" w:type="dxa"/>
            <w:hideMark/>
          </w:tcPr>
          <w:p w14:paraId="04531E97" w14:textId="77777777" w:rsidR="00802FF2" w:rsidRPr="000232DD" w:rsidRDefault="00802FF2" w:rsidP="00082769">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1517</w:t>
            </w:r>
          </w:p>
        </w:tc>
        <w:tc>
          <w:tcPr>
            <w:tcW w:w="1134" w:type="dxa"/>
            <w:hideMark/>
          </w:tcPr>
          <w:p w14:paraId="03C92B46" w14:textId="77777777" w:rsidR="00802FF2" w:rsidRPr="000232DD" w:rsidRDefault="00802FF2" w:rsidP="00082769">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2167</w:t>
            </w:r>
          </w:p>
        </w:tc>
        <w:tc>
          <w:tcPr>
            <w:tcW w:w="1134" w:type="dxa"/>
            <w:hideMark/>
          </w:tcPr>
          <w:p w14:paraId="578DDA8B" w14:textId="77777777" w:rsidR="00802FF2" w:rsidRPr="000232DD" w:rsidRDefault="00802FF2" w:rsidP="00082769">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3864</w:t>
            </w:r>
          </w:p>
        </w:tc>
        <w:tc>
          <w:tcPr>
            <w:tcW w:w="1134" w:type="dxa"/>
          </w:tcPr>
          <w:p w14:paraId="7805F696" w14:textId="77777777" w:rsidR="00802FF2" w:rsidRPr="000232DD" w:rsidRDefault="00802FF2" w:rsidP="00082769">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0</w:t>
            </w:r>
          </w:p>
        </w:tc>
        <w:tc>
          <w:tcPr>
            <w:tcW w:w="1134" w:type="dxa"/>
          </w:tcPr>
          <w:p w14:paraId="17D1CE82" w14:textId="77777777" w:rsidR="00802FF2" w:rsidRPr="000232DD" w:rsidRDefault="00802FF2" w:rsidP="00082769">
            <w:pPr>
              <w:spacing w:before="0" w:after="0" w:line="240" w:lineRule="auto"/>
              <w:ind w:right="-22"/>
              <w:jc w:val="right"/>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sz w:val="20"/>
                <w:szCs w:val="20"/>
              </w:rPr>
            </w:pPr>
            <w:r w:rsidRPr="000232DD">
              <w:rPr>
                <w:rFonts w:ascii="GHEA Grapalat" w:eastAsia="Calibri" w:hAnsi="GHEA Grapalat" w:cs="Times New Roman"/>
                <w:color w:val="auto"/>
                <w:sz w:val="20"/>
                <w:szCs w:val="20"/>
              </w:rPr>
              <w:t>4</w:t>
            </w:r>
          </w:p>
        </w:tc>
      </w:tr>
    </w:tbl>
    <w:p w14:paraId="07FBB960" w14:textId="77777777" w:rsidR="00802FF2" w:rsidRPr="000232DD" w:rsidRDefault="00802FF2" w:rsidP="00082769">
      <w:pPr>
        <w:spacing w:after="0"/>
        <w:ind w:right="-22"/>
        <w:jc w:val="both"/>
        <w:rPr>
          <w:rFonts w:ascii="GHEA Grapalat" w:eastAsia="Times New Roman" w:hAnsi="GHEA Grapalat" w:cs="Times New Roman"/>
          <w:color w:val="auto"/>
        </w:rPr>
      </w:pPr>
    </w:p>
    <w:p w14:paraId="1DEFBC0A" w14:textId="05A15743" w:rsidR="00802FF2" w:rsidRPr="00E8245C" w:rsidRDefault="00802FF2" w:rsidP="00E8245C">
      <w:pPr>
        <w:spacing w:after="0"/>
        <w:ind w:right="-22"/>
        <w:jc w:val="both"/>
        <w:rPr>
          <w:rFonts w:ascii="GHEA Grapalat" w:eastAsia="Times New Roman" w:hAnsi="GHEA Grapalat" w:cs="Times New Roman"/>
          <w:color w:val="auto"/>
        </w:rPr>
      </w:pPr>
      <w:r w:rsidRPr="000232DD">
        <w:rPr>
          <w:rFonts w:ascii="GHEA Grapalat" w:eastAsia="Times New Roman" w:hAnsi="GHEA Grapalat" w:cs="Times New Roman"/>
          <w:color w:val="auto"/>
        </w:rPr>
        <w:t xml:space="preserve">«Սեյսմիկ անվտանգության բարելավման ծրագրի» շրջանակներում 01.04.2026 թվականի դրությամբ ավարտվել են 18,036 աշակերտի համար նախատեսված 28 դպրոցի կառուցման աշխատանքները, 6,304 աշակերտի համար նախատեսված 18 դպրոց կառուցման փուլում են: </w:t>
      </w:r>
      <w:bookmarkStart w:id="514" w:name="_Toc170906571"/>
      <w:bookmarkStart w:id="515" w:name="_Toc170906943"/>
    </w:p>
    <w:p w14:paraId="110D95E4" w14:textId="45DBA9BE" w:rsidR="00802FF2" w:rsidRPr="00A52417" w:rsidRDefault="00802FF2" w:rsidP="00D370E4">
      <w:pPr>
        <w:pStyle w:val="TableTitleCharCharCharCharCharCharCharCharCharChar11"/>
        <w:ind w:right="-22"/>
        <w:rPr>
          <w:rFonts w:ascii="GHEA Grapalat" w:hAnsi="GHEA Grapalat"/>
          <w:b w:val="0"/>
          <w:smallCaps w:val="0"/>
          <w:color w:val="auto"/>
          <w:sz w:val="20"/>
          <w:szCs w:val="18"/>
          <w:lang w:val="hy-AM"/>
        </w:rPr>
      </w:pPr>
      <w:r w:rsidRPr="00A52417">
        <w:rPr>
          <w:rFonts w:ascii="GHEA Grapalat" w:hAnsi="GHEA Grapalat"/>
          <w:b w:val="0"/>
          <w:smallCaps w:val="0"/>
          <w:color w:val="auto"/>
          <w:sz w:val="20"/>
          <w:szCs w:val="18"/>
          <w:lang w:val="hy-AM"/>
        </w:rPr>
        <w:t xml:space="preserve">Աղյուսակ 11. Ծրագրի շրջանակում 2025թ. կատարված փաստացի և 2026-2029թթ. համար պլանավորված ծախսերը, </w:t>
      </w:r>
      <w:r w:rsidR="005A5E0C" w:rsidRPr="00A52417">
        <w:rPr>
          <w:rFonts w:ascii="GHEA Grapalat" w:hAnsi="GHEA Grapalat"/>
          <w:b w:val="0"/>
          <w:smallCaps w:val="0"/>
          <w:color w:val="auto"/>
          <w:sz w:val="20"/>
          <w:szCs w:val="18"/>
          <w:lang w:val="hy-AM"/>
        </w:rPr>
        <w:t>մլրդ</w:t>
      </w:r>
      <w:r w:rsidRPr="00A52417">
        <w:rPr>
          <w:rFonts w:ascii="GHEA Grapalat" w:hAnsi="GHEA Grapalat"/>
          <w:b w:val="0"/>
          <w:smallCaps w:val="0"/>
          <w:color w:val="auto"/>
          <w:sz w:val="20"/>
          <w:szCs w:val="18"/>
          <w:lang w:val="hy-AM"/>
        </w:rPr>
        <w:t xml:space="preserve"> ՀՀ դրամ</w:t>
      </w:r>
    </w:p>
    <w:tbl>
      <w:tblPr>
        <w:tblStyle w:val="GridTable4-Accent15"/>
        <w:tblW w:w="9351" w:type="dxa"/>
        <w:tblBorders>
          <w:top w:val="single" w:sz="4" w:space="0" w:color="E8E8E8" w:themeColor="background2"/>
          <w:left w:val="single" w:sz="4" w:space="0" w:color="E8E8E8" w:themeColor="background2"/>
          <w:bottom w:val="single" w:sz="4" w:space="0" w:color="E8E8E8" w:themeColor="background2"/>
          <w:right w:val="single" w:sz="4" w:space="0" w:color="E8E8E8" w:themeColor="background2"/>
          <w:insideH w:val="single" w:sz="4" w:space="0" w:color="E8E8E8" w:themeColor="background2"/>
          <w:insideV w:val="single" w:sz="4" w:space="0" w:color="E8E8E8" w:themeColor="background2"/>
        </w:tblBorders>
        <w:tblLayout w:type="fixed"/>
        <w:tblLook w:val="04A0" w:firstRow="1" w:lastRow="0" w:firstColumn="1" w:lastColumn="0" w:noHBand="0" w:noVBand="1"/>
      </w:tblPr>
      <w:tblGrid>
        <w:gridCol w:w="1838"/>
        <w:gridCol w:w="1701"/>
        <w:gridCol w:w="1559"/>
        <w:gridCol w:w="1560"/>
        <w:gridCol w:w="1275"/>
        <w:gridCol w:w="1418"/>
      </w:tblGrid>
      <w:tr w:rsidR="004C0C21" w:rsidRPr="000232DD" w14:paraId="16E85712" w14:textId="77777777" w:rsidTr="001226F0">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1838" w:type="dxa"/>
            <w:tcBorders>
              <w:top w:val="none" w:sz="0" w:space="0" w:color="auto"/>
              <w:left w:val="none" w:sz="0" w:space="0" w:color="auto"/>
              <w:bottom w:val="none" w:sz="0" w:space="0" w:color="auto"/>
              <w:right w:val="none" w:sz="0" w:space="0" w:color="auto"/>
            </w:tcBorders>
            <w:shd w:val="clear" w:color="auto" w:fill="DAE9F7" w:themeFill="text2" w:themeFillTint="1A"/>
          </w:tcPr>
          <w:p w14:paraId="513BFF87" w14:textId="77777777" w:rsidR="00275E0A" w:rsidRPr="00E8245C" w:rsidRDefault="00275E0A" w:rsidP="00082769">
            <w:pPr>
              <w:spacing w:before="0" w:after="0"/>
              <w:ind w:right="-22"/>
              <w:rPr>
                <w:rFonts w:ascii="GHEA Grapalat" w:eastAsia="Calibri" w:hAnsi="GHEA Grapalat" w:cs="Times New Roman"/>
                <w:color w:val="auto"/>
                <w:lang w:val="hy-AM"/>
              </w:rPr>
            </w:pPr>
            <w:r w:rsidRPr="00E8245C">
              <w:rPr>
                <w:rFonts w:ascii="GHEA Grapalat" w:eastAsia="Calibri" w:hAnsi="GHEA Grapalat" w:cs="Times New Roman"/>
                <w:color w:val="auto"/>
                <w:lang w:val="hy-AM"/>
              </w:rPr>
              <w:t xml:space="preserve"> </w:t>
            </w:r>
          </w:p>
        </w:tc>
        <w:tc>
          <w:tcPr>
            <w:tcW w:w="1701" w:type="dxa"/>
            <w:tcBorders>
              <w:top w:val="none" w:sz="0" w:space="0" w:color="auto"/>
              <w:left w:val="none" w:sz="0" w:space="0" w:color="auto"/>
              <w:bottom w:val="none" w:sz="0" w:space="0" w:color="auto"/>
              <w:right w:val="none" w:sz="0" w:space="0" w:color="auto"/>
            </w:tcBorders>
            <w:shd w:val="clear" w:color="auto" w:fill="DAE9F7" w:themeFill="text2" w:themeFillTint="1A"/>
            <w:hideMark/>
          </w:tcPr>
          <w:p w14:paraId="05C6C4A0" w14:textId="77777777" w:rsidR="00275E0A" w:rsidRPr="000232DD" w:rsidRDefault="00275E0A" w:rsidP="00082769">
            <w:pPr>
              <w:spacing w:before="0" w:after="0"/>
              <w:ind w:right="-22"/>
              <w:cnfStyle w:val="100000000000" w:firstRow="1" w:lastRow="0" w:firstColumn="0" w:lastColumn="0" w:oddVBand="0" w:evenVBand="0" w:oddHBand="0" w:evenHBand="0" w:firstRowFirstColumn="0" w:firstRowLastColumn="0" w:lastRowFirstColumn="0" w:lastRowLastColumn="0"/>
              <w:rPr>
                <w:rFonts w:ascii="GHEA Grapalat" w:eastAsia="Calibri" w:hAnsi="GHEA Grapalat" w:cs="Times New Roman"/>
                <w:color w:val="auto"/>
              </w:rPr>
            </w:pPr>
            <w:r w:rsidRPr="000232DD">
              <w:rPr>
                <w:rFonts w:ascii="GHEA Grapalat" w:eastAsia="Calibri" w:hAnsi="GHEA Grapalat" w:cs="Times New Roman"/>
                <w:color w:val="auto"/>
              </w:rPr>
              <w:t>2025</w:t>
            </w:r>
          </w:p>
        </w:tc>
        <w:tc>
          <w:tcPr>
            <w:tcW w:w="1559" w:type="dxa"/>
            <w:tcBorders>
              <w:top w:val="none" w:sz="0" w:space="0" w:color="auto"/>
              <w:left w:val="none" w:sz="0" w:space="0" w:color="auto"/>
              <w:bottom w:val="none" w:sz="0" w:space="0" w:color="auto"/>
              <w:right w:val="none" w:sz="0" w:space="0" w:color="auto"/>
            </w:tcBorders>
            <w:shd w:val="clear" w:color="auto" w:fill="DAE9F7" w:themeFill="text2" w:themeFillTint="1A"/>
            <w:hideMark/>
          </w:tcPr>
          <w:p w14:paraId="3571D4CA" w14:textId="69836A4E" w:rsidR="00275E0A" w:rsidRPr="000232DD" w:rsidRDefault="00275E0A" w:rsidP="00082769">
            <w:pPr>
              <w:spacing w:before="0" w:after="0"/>
              <w:ind w:right="-22"/>
              <w:cnfStyle w:val="100000000000" w:firstRow="1" w:lastRow="0" w:firstColumn="0" w:lastColumn="0" w:oddVBand="0" w:evenVBand="0" w:oddHBand="0" w:evenHBand="0" w:firstRowFirstColumn="0" w:firstRowLastColumn="0" w:lastRowFirstColumn="0" w:lastRowLastColumn="0"/>
              <w:rPr>
                <w:rFonts w:ascii="GHEA Grapalat" w:eastAsia="Calibri" w:hAnsi="GHEA Grapalat" w:cs="Times New Roman"/>
                <w:color w:val="auto"/>
              </w:rPr>
            </w:pPr>
            <w:r w:rsidRPr="000232DD">
              <w:rPr>
                <w:rFonts w:ascii="GHEA Grapalat" w:eastAsia="Calibri" w:hAnsi="GHEA Grapalat" w:cs="Times New Roman"/>
                <w:color w:val="auto"/>
              </w:rPr>
              <w:t>2026</w:t>
            </w:r>
          </w:p>
        </w:tc>
        <w:tc>
          <w:tcPr>
            <w:tcW w:w="1560" w:type="dxa"/>
            <w:tcBorders>
              <w:top w:val="none" w:sz="0" w:space="0" w:color="auto"/>
              <w:left w:val="none" w:sz="0" w:space="0" w:color="auto"/>
              <w:bottom w:val="none" w:sz="0" w:space="0" w:color="auto"/>
              <w:right w:val="none" w:sz="0" w:space="0" w:color="auto"/>
            </w:tcBorders>
            <w:shd w:val="clear" w:color="auto" w:fill="DAE9F7" w:themeFill="text2" w:themeFillTint="1A"/>
            <w:hideMark/>
          </w:tcPr>
          <w:p w14:paraId="6AFD18BB" w14:textId="77777777" w:rsidR="00275E0A" w:rsidRPr="000232DD" w:rsidRDefault="00275E0A" w:rsidP="00082769">
            <w:pPr>
              <w:spacing w:before="0" w:after="0"/>
              <w:ind w:right="-22"/>
              <w:cnfStyle w:val="100000000000" w:firstRow="1" w:lastRow="0" w:firstColumn="0" w:lastColumn="0" w:oddVBand="0" w:evenVBand="0" w:oddHBand="0" w:evenHBand="0" w:firstRowFirstColumn="0" w:firstRowLastColumn="0" w:lastRowFirstColumn="0" w:lastRowLastColumn="0"/>
              <w:rPr>
                <w:rFonts w:ascii="GHEA Grapalat" w:eastAsia="Calibri" w:hAnsi="GHEA Grapalat" w:cs="Times New Roman"/>
                <w:color w:val="auto"/>
              </w:rPr>
            </w:pPr>
            <w:r w:rsidRPr="000232DD">
              <w:rPr>
                <w:rFonts w:ascii="GHEA Grapalat" w:eastAsia="Calibri" w:hAnsi="GHEA Grapalat" w:cs="Times New Roman"/>
                <w:color w:val="auto"/>
              </w:rPr>
              <w:t>2027</w:t>
            </w:r>
          </w:p>
        </w:tc>
        <w:tc>
          <w:tcPr>
            <w:tcW w:w="1275" w:type="dxa"/>
            <w:tcBorders>
              <w:top w:val="none" w:sz="0" w:space="0" w:color="auto"/>
              <w:left w:val="none" w:sz="0" w:space="0" w:color="auto"/>
              <w:bottom w:val="none" w:sz="0" w:space="0" w:color="auto"/>
              <w:right w:val="none" w:sz="0" w:space="0" w:color="auto"/>
            </w:tcBorders>
            <w:shd w:val="clear" w:color="auto" w:fill="DAE9F7" w:themeFill="text2" w:themeFillTint="1A"/>
            <w:hideMark/>
          </w:tcPr>
          <w:p w14:paraId="0AAAA57D" w14:textId="77777777" w:rsidR="00275E0A" w:rsidRPr="000232DD" w:rsidRDefault="00275E0A" w:rsidP="00082769">
            <w:pPr>
              <w:spacing w:before="0" w:after="0"/>
              <w:ind w:right="-22"/>
              <w:cnfStyle w:val="100000000000" w:firstRow="1" w:lastRow="0" w:firstColumn="0" w:lastColumn="0" w:oddVBand="0" w:evenVBand="0" w:oddHBand="0" w:evenHBand="0" w:firstRowFirstColumn="0" w:firstRowLastColumn="0" w:lastRowFirstColumn="0" w:lastRowLastColumn="0"/>
              <w:rPr>
                <w:rFonts w:ascii="GHEA Grapalat" w:eastAsia="Calibri" w:hAnsi="GHEA Grapalat" w:cs="Times New Roman"/>
                <w:color w:val="auto"/>
              </w:rPr>
            </w:pPr>
            <w:r w:rsidRPr="000232DD">
              <w:rPr>
                <w:rFonts w:ascii="GHEA Grapalat" w:eastAsia="Calibri" w:hAnsi="GHEA Grapalat" w:cs="Times New Roman"/>
                <w:color w:val="auto"/>
              </w:rPr>
              <w:t>2028</w:t>
            </w:r>
          </w:p>
        </w:tc>
        <w:tc>
          <w:tcPr>
            <w:tcW w:w="1418" w:type="dxa"/>
            <w:tcBorders>
              <w:top w:val="none" w:sz="0" w:space="0" w:color="auto"/>
              <w:left w:val="none" w:sz="0" w:space="0" w:color="auto"/>
              <w:bottom w:val="none" w:sz="0" w:space="0" w:color="auto"/>
              <w:right w:val="none" w:sz="0" w:space="0" w:color="auto"/>
            </w:tcBorders>
            <w:shd w:val="clear" w:color="auto" w:fill="DAE9F7" w:themeFill="text2" w:themeFillTint="1A"/>
          </w:tcPr>
          <w:p w14:paraId="4F9B6116" w14:textId="77777777" w:rsidR="00275E0A" w:rsidRPr="000232DD" w:rsidRDefault="00275E0A" w:rsidP="00082769">
            <w:pPr>
              <w:spacing w:before="0" w:after="0"/>
              <w:ind w:right="-22"/>
              <w:cnfStyle w:val="100000000000" w:firstRow="1" w:lastRow="0" w:firstColumn="0" w:lastColumn="0" w:oddVBand="0" w:evenVBand="0" w:oddHBand="0" w:evenHBand="0" w:firstRowFirstColumn="0" w:firstRowLastColumn="0" w:lastRowFirstColumn="0" w:lastRowLastColumn="0"/>
              <w:rPr>
                <w:rFonts w:ascii="GHEA Grapalat" w:eastAsia="Calibri" w:hAnsi="GHEA Grapalat" w:cs="Times New Roman"/>
                <w:color w:val="auto"/>
              </w:rPr>
            </w:pPr>
            <w:r w:rsidRPr="000232DD">
              <w:rPr>
                <w:rFonts w:ascii="GHEA Grapalat" w:eastAsia="Calibri" w:hAnsi="GHEA Grapalat" w:cs="Times New Roman"/>
                <w:color w:val="auto"/>
              </w:rPr>
              <w:t>2029</w:t>
            </w:r>
          </w:p>
        </w:tc>
      </w:tr>
      <w:tr w:rsidR="004C0C21" w:rsidRPr="000232DD" w14:paraId="21CFE558" w14:textId="77777777" w:rsidTr="001226F0">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838" w:type="dxa"/>
            <w:hideMark/>
          </w:tcPr>
          <w:p w14:paraId="6A610B5A" w14:textId="77777777" w:rsidR="00275E0A" w:rsidRPr="000232DD" w:rsidRDefault="00275E0A" w:rsidP="00082769">
            <w:pPr>
              <w:spacing w:before="0" w:after="0"/>
              <w:ind w:right="-22"/>
              <w:rPr>
                <w:rFonts w:ascii="GHEA Grapalat" w:eastAsia="Calibri" w:hAnsi="GHEA Grapalat" w:cs="Times New Roman"/>
                <w:color w:val="auto"/>
              </w:rPr>
            </w:pPr>
            <w:r w:rsidRPr="000232DD">
              <w:rPr>
                <w:rFonts w:ascii="GHEA Grapalat" w:eastAsia="Calibri" w:hAnsi="GHEA Grapalat" w:cs="Times New Roman"/>
                <w:color w:val="auto"/>
              </w:rPr>
              <w:t>Փաստացի կատարված</w:t>
            </w:r>
          </w:p>
          <w:p w14:paraId="27FD7648" w14:textId="77777777" w:rsidR="00275E0A" w:rsidRPr="000232DD" w:rsidRDefault="00275E0A" w:rsidP="00082769">
            <w:pPr>
              <w:spacing w:before="0" w:after="0"/>
              <w:ind w:right="-22"/>
              <w:rPr>
                <w:rFonts w:ascii="GHEA Grapalat" w:eastAsia="Calibri" w:hAnsi="GHEA Grapalat" w:cs="Times New Roman"/>
                <w:color w:val="auto"/>
              </w:rPr>
            </w:pPr>
            <w:r w:rsidRPr="000232DD">
              <w:rPr>
                <w:rFonts w:ascii="GHEA Grapalat" w:eastAsia="Calibri" w:hAnsi="GHEA Grapalat" w:cs="Times New Roman"/>
                <w:color w:val="auto"/>
              </w:rPr>
              <w:t xml:space="preserve">ծախսեր  </w:t>
            </w:r>
          </w:p>
        </w:tc>
        <w:tc>
          <w:tcPr>
            <w:tcW w:w="1701" w:type="dxa"/>
            <w:hideMark/>
          </w:tcPr>
          <w:p w14:paraId="41AF61ED" w14:textId="787496E7" w:rsidR="00275E0A" w:rsidRPr="006C6FF6" w:rsidRDefault="006C6FF6" w:rsidP="006C6FF6">
            <w:pPr>
              <w:spacing w:before="0" w:after="0"/>
              <w:ind w:right="-22"/>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lang w:val="hy-AM"/>
              </w:rPr>
            </w:pPr>
            <w:r>
              <w:rPr>
                <w:rFonts w:ascii="GHEA Grapalat" w:eastAsia="Calibri" w:hAnsi="GHEA Grapalat" w:cs="Times New Roman"/>
                <w:color w:val="auto"/>
              </w:rPr>
              <w:t>14</w:t>
            </w:r>
            <w:r>
              <w:rPr>
                <w:rFonts w:ascii="GHEA Grapalat" w:eastAsia="Calibri" w:hAnsi="GHEA Grapalat" w:cs="Times New Roman"/>
                <w:color w:val="auto"/>
                <w:lang w:val="hy-AM"/>
              </w:rPr>
              <w:t>.</w:t>
            </w:r>
            <w:r w:rsidR="00275E0A" w:rsidRPr="000232DD">
              <w:rPr>
                <w:rFonts w:ascii="GHEA Grapalat" w:eastAsia="Calibri" w:hAnsi="GHEA Grapalat" w:cs="Times New Roman"/>
                <w:color w:val="auto"/>
              </w:rPr>
              <w:t>6</w:t>
            </w:r>
            <w:r>
              <w:rPr>
                <w:rFonts w:ascii="GHEA Grapalat" w:eastAsia="Calibri" w:hAnsi="GHEA Grapalat" w:cs="Times New Roman"/>
                <w:color w:val="auto"/>
                <w:lang w:val="hy-AM"/>
              </w:rPr>
              <w:t>6</w:t>
            </w:r>
          </w:p>
        </w:tc>
        <w:tc>
          <w:tcPr>
            <w:tcW w:w="1559" w:type="dxa"/>
          </w:tcPr>
          <w:p w14:paraId="004C9CAA" w14:textId="0E342621" w:rsidR="00275E0A" w:rsidRPr="000232DD" w:rsidRDefault="00275E0A" w:rsidP="00082769">
            <w:pPr>
              <w:spacing w:before="0" w:after="0"/>
              <w:ind w:right="-22"/>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rPr>
            </w:pPr>
          </w:p>
        </w:tc>
        <w:tc>
          <w:tcPr>
            <w:tcW w:w="1560" w:type="dxa"/>
          </w:tcPr>
          <w:p w14:paraId="1622D7E3" w14:textId="77777777" w:rsidR="00275E0A" w:rsidRPr="000232DD" w:rsidRDefault="00275E0A" w:rsidP="00082769">
            <w:pPr>
              <w:spacing w:before="0" w:after="0"/>
              <w:ind w:right="-22"/>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rPr>
            </w:pPr>
          </w:p>
        </w:tc>
        <w:tc>
          <w:tcPr>
            <w:tcW w:w="1275" w:type="dxa"/>
          </w:tcPr>
          <w:p w14:paraId="51C0E6CC" w14:textId="77777777" w:rsidR="00275E0A" w:rsidRPr="000232DD" w:rsidRDefault="00275E0A" w:rsidP="00082769">
            <w:pPr>
              <w:spacing w:before="0" w:after="0"/>
              <w:ind w:right="-22"/>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rPr>
            </w:pPr>
          </w:p>
        </w:tc>
        <w:tc>
          <w:tcPr>
            <w:tcW w:w="1418" w:type="dxa"/>
          </w:tcPr>
          <w:p w14:paraId="70630551" w14:textId="77777777" w:rsidR="00275E0A" w:rsidRPr="000232DD" w:rsidRDefault="00275E0A" w:rsidP="00082769">
            <w:pPr>
              <w:spacing w:before="0" w:after="0"/>
              <w:ind w:right="-22"/>
              <w:cnfStyle w:val="000000100000" w:firstRow="0" w:lastRow="0" w:firstColumn="0" w:lastColumn="0" w:oddVBand="0" w:evenVBand="0" w:oddHBand="1" w:evenHBand="0" w:firstRowFirstColumn="0" w:firstRowLastColumn="0" w:lastRowFirstColumn="0" w:lastRowLastColumn="0"/>
              <w:rPr>
                <w:rFonts w:ascii="GHEA Grapalat" w:eastAsia="Calibri" w:hAnsi="GHEA Grapalat" w:cs="Times New Roman"/>
                <w:color w:val="auto"/>
              </w:rPr>
            </w:pPr>
          </w:p>
        </w:tc>
      </w:tr>
      <w:tr w:rsidR="004C0C21" w:rsidRPr="000232DD" w14:paraId="1093E175" w14:textId="77777777" w:rsidTr="001226F0">
        <w:trPr>
          <w:trHeight w:val="646"/>
        </w:trPr>
        <w:tc>
          <w:tcPr>
            <w:cnfStyle w:val="001000000000" w:firstRow="0" w:lastRow="0" w:firstColumn="1" w:lastColumn="0" w:oddVBand="0" w:evenVBand="0" w:oddHBand="0" w:evenHBand="0" w:firstRowFirstColumn="0" w:firstRowLastColumn="0" w:lastRowFirstColumn="0" w:lastRowLastColumn="0"/>
            <w:tcW w:w="1838" w:type="dxa"/>
          </w:tcPr>
          <w:p w14:paraId="3F9E309E" w14:textId="77777777" w:rsidR="00275E0A" w:rsidRPr="000232DD" w:rsidRDefault="00275E0A" w:rsidP="00082769">
            <w:pPr>
              <w:spacing w:before="0" w:after="0"/>
              <w:ind w:right="-22"/>
              <w:rPr>
                <w:rFonts w:ascii="GHEA Grapalat" w:eastAsia="Calibri" w:hAnsi="GHEA Grapalat" w:cs="Times New Roman"/>
                <w:color w:val="auto"/>
              </w:rPr>
            </w:pPr>
            <w:r w:rsidRPr="000232DD">
              <w:rPr>
                <w:rFonts w:ascii="GHEA Grapalat" w:eastAsia="Calibri" w:hAnsi="GHEA Grapalat" w:cs="Times New Roman"/>
                <w:color w:val="auto"/>
              </w:rPr>
              <w:t>Պլանավորված ծախսեր</w:t>
            </w:r>
          </w:p>
        </w:tc>
        <w:tc>
          <w:tcPr>
            <w:tcW w:w="1701" w:type="dxa"/>
            <w:hideMark/>
          </w:tcPr>
          <w:p w14:paraId="32BBFA76" w14:textId="77777777" w:rsidR="00275E0A" w:rsidRPr="000232DD" w:rsidRDefault="00275E0A" w:rsidP="00082769">
            <w:pPr>
              <w:spacing w:before="0" w:after="0"/>
              <w:ind w:right="-22"/>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rPr>
            </w:pPr>
            <w:r w:rsidRPr="000232DD">
              <w:rPr>
                <w:rFonts w:ascii="GHEA Grapalat" w:eastAsia="Calibri" w:hAnsi="GHEA Grapalat" w:cs="Times New Roman"/>
                <w:color w:val="auto"/>
              </w:rPr>
              <w:t>-</w:t>
            </w:r>
          </w:p>
        </w:tc>
        <w:tc>
          <w:tcPr>
            <w:tcW w:w="1559" w:type="dxa"/>
            <w:hideMark/>
          </w:tcPr>
          <w:p w14:paraId="70844B45" w14:textId="6B092992" w:rsidR="00275E0A" w:rsidRPr="006C6FF6" w:rsidRDefault="00275E0A" w:rsidP="006C6FF6">
            <w:pPr>
              <w:spacing w:before="0" w:after="0"/>
              <w:ind w:right="-22"/>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lang w:val="hy-AM"/>
              </w:rPr>
            </w:pPr>
            <w:r w:rsidRPr="000232DD">
              <w:rPr>
                <w:rFonts w:ascii="GHEA Grapalat" w:eastAsia="Calibri" w:hAnsi="GHEA Grapalat" w:cs="Times New Roman"/>
                <w:color w:val="auto"/>
              </w:rPr>
              <w:t>12</w:t>
            </w:r>
            <w:r w:rsidR="006C6FF6">
              <w:rPr>
                <w:rFonts w:ascii="GHEA Grapalat" w:eastAsia="Calibri" w:hAnsi="GHEA Grapalat" w:cs="Times New Roman"/>
                <w:color w:val="auto"/>
                <w:lang w:val="hy-AM"/>
              </w:rPr>
              <w:t>.</w:t>
            </w:r>
            <w:r w:rsidRPr="000232DD">
              <w:rPr>
                <w:rFonts w:ascii="GHEA Grapalat" w:eastAsia="Calibri" w:hAnsi="GHEA Grapalat" w:cs="Times New Roman"/>
                <w:color w:val="auto"/>
              </w:rPr>
              <w:t>0</w:t>
            </w:r>
            <w:r w:rsidR="006C6FF6">
              <w:rPr>
                <w:rFonts w:ascii="GHEA Grapalat" w:eastAsia="Calibri" w:hAnsi="GHEA Grapalat" w:cs="Times New Roman"/>
                <w:color w:val="auto"/>
                <w:lang w:val="hy-AM"/>
              </w:rPr>
              <w:t>2</w:t>
            </w:r>
          </w:p>
        </w:tc>
        <w:tc>
          <w:tcPr>
            <w:tcW w:w="1560" w:type="dxa"/>
            <w:hideMark/>
          </w:tcPr>
          <w:p w14:paraId="1E487E12" w14:textId="1FD340FF" w:rsidR="00275E0A" w:rsidRPr="006C6FF6" w:rsidRDefault="00275E0A" w:rsidP="006C6FF6">
            <w:pPr>
              <w:spacing w:before="0" w:after="0"/>
              <w:ind w:right="-22"/>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lang w:val="hy-AM"/>
              </w:rPr>
            </w:pPr>
            <w:r w:rsidRPr="000232DD">
              <w:rPr>
                <w:rFonts w:ascii="GHEA Grapalat" w:eastAsia="Calibri" w:hAnsi="GHEA Grapalat" w:cs="Times New Roman"/>
                <w:color w:val="auto"/>
              </w:rPr>
              <w:t>9</w:t>
            </w:r>
            <w:r w:rsidR="006C6FF6">
              <w:rPr>
                <w:rFonts w:ascii="GHEA Grapalat" w:eastAsia="Calibri" w:hAnsi="GHEA Grapalat" w:cs="Times New Roman"/>
                <w:color w:val="auto"/>
              </w:rPr>
              <w:t>.</w:t>
            </w:r>
            <w:r w:rsidRPr="000232DD">
              <w:rPr>
                <w:rFonts w:ascii="GHEA Grapalat" w:eastAsia="Calibri" w:hAnsi="GHEA Grapalat" w:cs="Times New Roman"/>
                <w:color w:val="auto"/>
              </w:rPr>
              <w:t>4</w:t>
            </w:r>
            <w:r w:rsidR="006C6FF6">
              <w:rPr>
                <w:rFonts w:ascii="GHEA Grapalat" w:eastAsia="Calibri" w:hAnsi="GHEA Grapalat" w:cs="Times New Roman"/>
                <w:color w:val="auto"/>
                <w:lang w:val="hy-AM"/>
              </w:rPr>
              <w:t>8</w:t>
            </w:r>
          </w:p>
        </w:tc>
        <w:tc>
          <w:tcPr>
            <w:tcW w:w="1275" w:type="dxa"/>
            <w:hideMark/>
          </w:tcPr>
          <w:p w14:paraId="5E193082" w14:textId="77777777" w:rsidR="00275E0A" w:rsidRPr="000232DD" w:rsidRDefault="00275E0A" w:rsidP="00082769">
            <w:pPr>
              <w:spacing w:before="0" w:after="0"/>
              <w:ind w:right="-22"/>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rPr>
            </w:pPr>
            <w:r w:rsidRPr="000232DD">
              <w:rPr>
                <w:rFonts w:ascii="GHEA Grapalat" w:eastAsia="Calibri" w:hAnsi="GHEA Grapalat" w:cs="Times New Roman"/>
                <w:color w:val="auto"/>
              </w:rPr>
              <w:t>-</w:t>
            </w:r>
          </w:p>
        </w:tc>
        <w:tc>
          <w:tcPr>
            <w:tcW w:w="1418" w:type="dxa"/>
          </w:tcPr>
          <w:p w14:paraId="0766DF5F" w14:textId="77777777" w:rsidR="00275E0A" w:rsidRPr="000232DD" w:rsidRDefault="00275E0A" w:rsidP="00082769">
            <w:pPr>
              <w:spacing w:before="0" w:after="0"/>
              <w:ind w:right="-22"/>
              <w:cnfStyle w:val="000000000000" w:firstRow="0" w:lastRow="0" w:firstColumn="0" w:lastColumn="0" w:oddVBand="0" w:evenVBand="0" w:oddHBand="0" w:evenHBand="0" w:firstRowFirstColumn="0" w:firstRowLastColumn="0" w:lastRowFirstColumn="0" w:lastRowLastColumn="0"/>
              <w:rPr>
                <w:rFonts w:ascii="GHEA Grapalat" w:eastAsia="Calibri" w:hAnsi="GHEA Grapalat" w:cs="Times New Roman"/>
                <w:color w:val="auto"/>
              </w:rPr>
            </w:pPr>
            <w:r w:rsidRPr="000232DD">
              <w:rPr>
                <w:rFonts w:ascii="GHEA Grapalat" w:eastAsia="Calibri" w:hAnsi="GHEA Grapalat" w:cs="Times New Roman"/>
                <w:color w:val="auto"/>
              </w:rPr>
              <w:t>-</w:t>
            </w:r>
          </w:p>
        </w:tc>
      </w:tr>
    </w:tbl>
    <w:p w14:paraId="143D03D9" w14:textId="77777777" w:rsidR="00802FF2" w:rsidRPr="000232DD" w:rsidRDefault="00802FF2" w:rsidP="00082769">
      <w:pPr>
        <w:ind w:right="-22"/>
        <w:rPr>
          <w:rFonts w:ascii="GHEA Grapalat" w:eastAsia="Times New Roman" w:hAnsi="GHEA Grapalat" w:cs="Times New Roman"/>
          <w:color w:val="auto"/>
        </w:rPr>
      </w:pPr>
    </w:p>
    <w:p w14:paraId="03C9541B" w14:textId="77777777" w:rsidR="00802FF2" w:rsidRPr="000232DD" w:rsidRDefault="00802FF2" w:rsidP="00082769">
      <w:pPr>
        <w:pStyle w:val="TOC4"/>
        <w:ind w:right="-22"/>
        <w:rPr>
          <w:color w:val="auto"/>
        </w:rPr>
      </w:pPr>
      <w:r w:rsidRPr="000232DD">
        <w:rPr>
          <w:color w:val="auto"/>
        </w:rPr>
        <w:t>3.1.5. ԲՆԱՊԱՀՊԱՆԱԿԱՆ ՊԱՐՏԱՎՈՐՈՒԹՅՈՒՆՆԵՐԻՑ, ՇՐՋԱԿԱ ՄԻՋԱՎԱՅՐԻ ԴԵԳՐԱԴԱՑԻԱՅԻՑ ԵՎ ՋԵՐՄՈՑԱՅԻՆ ԳԱԶԵՐԻ ԱՐՏԱՆԵՏՈՒՄՆԵՐԻ ԱՎԵԼԱՑՈՒՄԻՑ ԲԽՈՂ ՀԱՐԿԱԲՅՈՒՋԵՏԱՅԻՆ ՌԻՍԿԵՐ</w:t>
      </w:r>
      <w:bookmarkEnd w:id="514"/>
      <w:bookmarkEnd w:id="515"/>
    </w:p>
    <w:p w14:paraId="5DAC5318"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Համաշխարհային տնտեսության աճի տեմպերի զգալի ավելացումը բնապահպանական մարտահրավերներ է ստեղծում, մասնավորապես, բնապահպանական ասպեկտները հաճախ դառնում են հարկաբյուջետային ռիսկերի աղբյուր՝ հատկապես կլիմայի փոփոխության պայմաններում:</w:t>
      </w:r>
    </w:p>
    <w:p w14:paraId="36FC9DE8"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Կլիմայի փոփոխությունը նշանակալի ազդեցություն ունի նաև Հայաստանի Հանրապետության վրա: Մասնավորապես, ավելանում է բնական աղետների քանակը և փոխվում են բնական ցիկլերը (երաշտների, վաղ ցրտահարությունների, անտառային հրդեհների և ջրհեղեղների թվի աճ), կրճատվում է կենսաբազմազանությունը: 2019թ.-ին գրանցվել է +1.5°C շեղում՝ 1961-1990թթ.-ի միջին տարեկան ջերմաստիճանից</w:t>
      </w:r>
      <w:r w:rsidRPr="000232DD">
        <w:rPr>
          <w:rFonts w:ascii="GHEA Grapalat" w:eastAsia="Times New Roman" w:hAnsi="GHEA Grapalat" w:cs="Times New Roman"/>
          <w:color w:val="auto"/>
          <w:vertAlign w:val="superscript"/>
          <w:lang w:val="hy-AM"/>
        </w:rPr>
        <w:footnoteReference w:id="44"/>
      </w:r>
      <w:r w:rsidRPr="000232DD">
        <w:rPr>
          <w:rFonts w:ascii="GHEA Grapalat" w:eastAsia="Times New Roman" w:hAnsi="GHEA Grapalat" w:cs="Times New Roman"/>
          <w:color w:val="auto"/>
          <w:lang w:val="hy-AM"/>
        </w:rPr>
        <w:t xml:space="preserve">: </w:t>
      </w:r>
    </w:p>
    <w:p w14:paraId="14428D20" w14:textId="0F74811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 xml:space="preserve">Հայաստանի Հանրապետության 2019թ.-ի ջերմոցային գազերի (ՋԳ) մասնաբաժնում գերակշռում է ածխածնի երկօքսիդը, որի մասնաբաժինը ընդհանուր </w:t>
      </w:r>
      <w:r w:rsidR="00E8245C">
        <w:rPr>
          <w:rFonts w:ascii="GHEA Grapalat" w:eastAsia="Times New Roman" w:hAnsi="GHEA Grapalat" w:cs="Times New Roman"/>
          <w:color w:val="auto"/>
          <w:lang w:val="hy-AM"/>
        </w:rPr>
        <w:t>արտանետումներում կազմել է 55.</w:t>
      </w:r>
      <w:r w:rsidRPr="000232DD">
        <w:rPr>
          <w:rFonts w:ascii="GHEA Grapalat" w:eastAsia="Times New Roman" w:hAnsi="GHEA Grapalat" w:cs="Times New Roman"/>
          <w:color w:val="auto"/>
          <w:lang w:val="hy-AM"/>
        </w:rPr>
        <w:t>7%, մեթ</w:t>
      </w:r>
      <w:r w:rsidR="00E8245C">
        <w:rPr>
          <w:rFonts w:ascii="GHEA Grapalat" w:eastAsia="Times New Roman" w:hAnsi="GHEA Grapalat" w:cs="Times New Roman"/>
          <w:color w:val="auto"/>
          <w:lang w:val="hy-AM"/>
        </w:rPr>
        <w:t>անը՝ 24.2%, ազոտի ենթօքսիդը՝ 11.</w:t>
      </w:r>
      <w:r w:rsidRPr="000232DD">
        <w:rPr>
          <w:rFonts w:ascii="GHEA Grapalat" w:eastAsia="Times New Roman" w:hAnsi="GHEA Grapalat" w:cs="Times New Roman"/>
          <w:color w:val="auto"/>
          <w:lang w:val="hy-AM"/>
        </w:rPr>
        <w:t xml:space="preserve">4%, </w:t>
      </w:r>
      <w:r w:rsidR="00E8245C">
        <w:rPr>
          <w:rFonts w:ascii="GHEA Grapalat" w:eastAsia="Times New Roman" w:hAnsi="GHEA Grapalat" w:cs="Times New Roman"/>
          <w:color w:val="auto"/>
          <w:lang w:val="hy-AM"/>
        </w:rPr>
        <w:t>և հիդրոֆտորածխածինները՝ շուրջ 8.</w:t>
      </w:r>
      <w:r w:rsidRPr="000232DD">
        <w:rPr>
          <w:rFonts w:ascii="GHEA Grapalat" w:eastAsia="Times New Roman" w:hAnsi="GHEA Grapalat" w:cs="Times New Roman"/>
          <w:color w:val="auto"/>
          <w:lang w:val="hy-AM"/>
        </w:rPr>
        <w:t xml:space="preserve">7%: 2019թ.-ի տվյալներով ՋԳ արտանետումների մասնաբաժնում ամենամեծ աղբյուրը էներգետիկայի ոլորտն է՝ 64% մասնաբաժնով, որն իր </w:t>
      </w:r>
      <w:r w:rsidR="00E8245C">
        <w:rPr>
          <w:rFonts w:ascii="GHEA Grapalat" w:eastAsia="Times New Roman" w:hAnsi="GHEA Grapalat" w:cs="Times New Roman"/>
          <w:color w:val="auto"/>
          <w:lang w:val="hy-AM"/>
        </w:rPr>
        <w:t>մեջ ներառում է բնակարանային (19.1%), տրանսպորտային (30.</w:t>
      </w:r>
      <w:r w:rsidRPr="000232DD">
        <w:rPr>
          <w:rFonts w:ascii="GHEA Grapalat" w:eastAsia="Times New Roman" w:hAnsi="GHEA Grapalat" w:cs="Times New Roman"/>
          <w:color w:val="auto"/>
          <w:lang w:val="hy-AM"/>
        </w:rPr>
        <w:t xml:space="preserve">1%) ենթաոլորտները: Երկրորդ խոշոր ոլորտը գյուղատնտեսությունն </w:t>
      </w:r>
      <w:r w:rsidR="00E8245C">
        <w:rPr>
          <w:rFonts w:ascii="GHEA Grapalat" w:eastAsia="Times New Roman" w:hAnsi="GHEA Grapalat" w:cs="Times New Roman"/>
          <w:color w:val="auto"/>
          <w:lang w:val="hy-AM"/>
        </w:rPr>
        <w:t>է, որի մասնաբաժինը կազմում է 18.</w:t>
      </w:r>
      <w:r w:rsidRPr="000232DD">
        <w:rPr>
          <w:rFonts w:ascii="GHEA Grapalat" w:eastAsia="Times New Roman" w:hAnsi="GHEA Grapalat" w:cs="Times New Roman"/>
          <w:color w:val="auto"/>
          <w:lang w:val="hy-AM"/>
        </w:rPr>
        <w:t xml:space="preserve">8%: ՋԳ արտանետումների կրճատման և կլանման կարողությունների ընդլայնման ուղղությամբ պետությունն իրականացնում է աջակցության ծրագրեր: Մասնավորապես, Կառավարությունը շեշտը դնում է սեփական էներգետիկ ռեսուրսների առավելագույն օգտագործումն ապահովող միջոցառումների վրա (էներգետիկ անկախության) և կենտրոնանում էներգիայի վերականգնվող աղբյուրների և էներգաարդյունավետության բարձրացման ծրագրերի իրականացման վրա: Այդ նպատակով պետությունն աջակցում է արևային ֆոտովոլտային կայանների տեղադրմանը և տրամադրում արտոնություններ էլեկտրական մեքենաների ներկրման մաքսատուրքերի համար, որը շարունակական է: Կառավարության 2024 թվականի հունվարի 11-ի «ՋԳ արտանետումների գույքագրման կարգը հաստատելու մասին» N 54-Ն որոշման կատարման նպատակով ստեղծվել է առցանց (MRV platform) հարթակ՝ տվյալների և ազգային հաշվետվությունների հասանելիությունը ապահովելու համար, որի մաս է կազմում նաև ՋԳ գույքագրման էլեկտրոնային շտեմարանը: Գործարկված շտեմարանը ֆիսկալ ռիսկերի գնահատման շրջանակներում հնարավորություն կտա անդրադարձ կատարել բնապահպանական ռիսկերին՝ փաստական տվյալների  արձանագրման միջոցով: </w:t>
      </w:r>
    </w:p>
    <w:p w14:paraId="582CAECF" w14:textId="5FC4BAA2"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ՀՀ շրջակա միջավայրի նախարարության կողմից (ՇՄՆ), 11.10.2019թ. N337-L հրամանով նույնականացված, հնարավոր բնապահպանական պարտավորություններ ենթադրող 44 տեղամասերից բացի, 2025թ.-ի ընթացքում վերականգնում պահանջող նոր տեղամասեր չեն արձանագրվել: 2025թ.-ին ընդերքօգտագործման թափոնների փակված օբյեկտների, լքված արտադրական լցակույտերի վերականգնման աշխատանքներ չեն իրականացվել, իրականացվել են տարածքների հստակեցման աշխատանքներ: ՏԿԵ նախարարության հետ նախաձեռնվել են քննարկումներ ընդերքօգտագործման թափոնների լքված/տիրազուրկ տեղամասերում հաստատված, մնացորդային արդյունաբերական պաշարների ու ընդերքօգտագործման իրավունքի առկայության, ինչպես նաև այդ տարածքներում ռեկուլտիվացիոն աշխատանքներ իրականացնելու նպատակահարմարության վերաբերյալ: Թվայնացման աշխատանքներին զուգահեռ կիրականացվի նաև հանքավայրերի և հանքերևակումների գույքագրում, որից հետո հնարավոր կլինի անդրադառնալ հանքավայրերում և հարակից տարածքներում առկա ընդերքօգտագործման թափոնների լցակույտերի ռեկուլտիվացման գործընթացին: 2023թ.-ին հատկացված բյուջետային միջոցների հաշվին մշակվել է Նազիկ և Փխրուտ պոչամբարի ռեկուլտիվացիոն աշխատանքների նախագծանախահաշվային փաթեթները: ՇՄՆ և «Ախթալայի ԼՀԿ» ՓԲԸ-ի միջև ձեռք է բերվել պայմանավորվածություն Նազիկ պոչամբարի ռեկուլտիվացիոն աշխատանքների իրականացման համար, որը նախատեսվում էր սկսել 2025թ. օգոստոս-սեպտեմբեր ամիսներին: Ընկերության կողմից 2024թ.-ին տեղի ունեցած ջրհեղեղի հետևանքների վերացմանն ուղղված միջոցառումների իրականացման համար ծախսված զգալի ֆինանսական միջոցներով պայմանավորված՝ Նազիկ պոչամբարի ռեկուլտիվացիոն աշխատանքները տեղափոխվել են 2026թ.-ին: «Ալյոտիգ» ՍՊԸ նախատեսում էր իրեն սեփականության իրավունքով պատկանող պոչամբարներում (այդ թվում՝ Փխրուտ պոչամբարում) իրականացնել գոյացած և գոյացող պոչանքների սակավաթափոն մշակման/վերամշակման ներդրումային ծրագիր, ընդ որում՝ ընկերությունը պարտավորվել է համապատասխան թույլտվությունները ստանալիս և ծրագիրն իրականացնելիս պետական բյուջե վերադարձնել նախագծանախահաշվային փաստաթղթերի վրա կատարված</w:t>
      </w:r>
      <w:r w:rsidRPr="007A0B1B">
        <w:rPr>
          <w:rFonts w:ascii="GHEA Grapalat" w:eastAsia="Times New Roman" w:hAnsi="GHEA Grapalat" w:cs="Times New Roman"/>
          <w:color w:val="auto"/>
          <w:lang w:val="hy-AM"/>
        </w:rPr>
        <w:t xml:space="preserve">՝ </w:t>
      </w:r>
      <w:r w:rsidR="00223757">
        <w:rPr>
          <w:rFonts w:ascii="GHEA Grapalat" w:eastAsia="Times New Roman" w:hAnsi="GHEA Grapalat" w:cs="Times New Roman"/>
          <w:color w:val="auto"/>
          <w:lang w:val="hy-AM"/>
        </w:rPr>
        <w:t>0.0</w:t>
      </w:r>
      <w:r w:rsidRPr="007A0B1B">
        <w:rPr>
          <w:rFonts w:ascii="GHEA Grapalat" w:eastAsia="Times New Roman" w:hAnsi="GHEA Grapalat" w:cs="Times New Roman"/>
          <w:color w:val="auto"/>
          <w:lang w:val="hy-AM"/>
        </w:rPr>
        <w:t>69</w:t>
      </w:r>
      <w:r w:rsidR="007A0B1B" w:rsidRPr="007A0B1B">
        <w:rPr>
          <w:rFonts w:ascii="GHEA Grapalat" w:eastAsia="Times New Roman" w:hAnsi="GHEA Grapalat" w:cs="Times New Roman"/>
          <w:color w:val="auto"/>
          <w:lang w:val="hy-AM"/>
        </w:rPr>
        <w:t xml:space="preserve"> մլ</w:t>
      </w:r>
      <w:r w:rsidR="00223757">
        <w:rPr>
          <w:rFonts w:ascii="GHEA Grapalat" w:eastAsia="Times New Roman" w:hAnsi="GHEA Grapalat" w:cs="Times New Roman"/>
          <w:color w:val="auto"/>
          <w:lang w:val="hy-AM"/>
        </w:rPr>
        <w:t>րդ</w:t>
      </w:r>
      <w:r w:rsidRPr="007A0B1B">
        <w:rPr>
          <w:rFonts w:ascii="GHEA Grapalat" w:eastAsia="Times New Roman" w:hAnsi="GHEA Grapalat" w:cs="Times New Roman"/>
          <w:color w:val="auto"/>
          <w:lang w:val="hy-AM"/>
        </w:rPr>
        <w:t xml:space="preserve"> ՀՀ դրամ ծախսը:</w:t>
      </w:r>
      <w:r w:rsidRPr="000232DD">
        <w:rPr>
          <w:rFonts w:ascii="GHEA Grapalat" w:eastAsia="Times New Roman" w:hAnsi="GHEA Grapalat" w:cs="Times New Roman"/>
          <w:color w:val="auto"/>
          <w:lang w:val="hy-AM"/>
        </w:rPr>
        <w:t xml:space="preserve"> 2025թ.-ի դեկտեմբերի 29-ի դրությամբ ընկերությունը չի հստակեցրել աշխատանքների վերսկսելու ժամկետները և ակնկալում է, որ այն կհստակեցվի 2026թ.-ի ապրիլ-մայիս ամիսներին՝ տեղեկացնելով նախագծի իրականացման և պետական բյուջեից ծախսված  գումարի վերադարձի ժամկետների մասին:</w:t>
      </w:r>
    </w:p>
    <w:p w14:paraId="453B1F27" w14:textId="79199F42"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 xml:space="preserve">Սևանա լճի ջրածածկ անտառտնկարկների մաքրման աշխատանքների իրականացման նպատակով ՇՄՆ-ի և «Սևան ազգային պարկ» ՊՈԱԿ-ի միջև 2025թ.-ին կնքվել է դրամաշնորհային պայմանագիր՝ 37 985.0 հազ. ՀՀ դրամի չափով և 2025 թ.-ին հատկացվել է </w:t>
      </w:r>
      <w:r w:rsidRPr="00223757">
        <w:rPr>
          <w:rFonts w:ascii="GHEA Grapalat" w:eastAsia="Times New Roman" w:hAnsi="GHEA Grapalat" w:cs="Times New Roman"/>
          <w:color w:val="auto"/>
          <w:lang w:val="hy-AM"/>
        </w:rPr>
        <w:t>21</w:t>
      </w:r>
      <w:r w:rsidR="007A0B1B" w:rsidRPr="00223757">
        <w:rPr>
          <w:rFonts w:ascii="GHEA Grapalat" w:eastAsia="Times New Roman" w:hAnsi="GHEA Grapalat" w:cs="Times New Roman"/>
          <w:color w:val="auto"/>
          <w:lang w:val="hy-AM"/>
        </w:rPr>
        <w:t>,</w:t>
      </w:r>
      <w:r w:rsidRPr="00223757">
        <w:rPr>
          <w:rFonts w:ascii="GHEA Grapalat" w:eastAsia="Times New Roman" w:hAnsi="GHEA Grapalat" w:cs="Times New Roman"/>
          <w:color w:val="auto"/>
          <w:lang w:val="hy-AM"/>
        </w:rPr>
        <w:t xml:space="preserve"> 476.1 հազ. ՀՀ դրամ,</w:t>
      </w:r>
      <w:r w:rsidRPr="000232DD">
        <w:rPr>
          <w:rFonts w:ascii="GHEA Grapalat" w:eastAsia="Times New Roman" w:hAnsi="GHEA Grapalat" w:cs="Times New Roman"/>
          <w:color w:val="auto"/>
          <w:lang w:val="hy-AM"/>
        </w:rPr>
        <w:t xml:space="preserve"> որի արդյունքում փաստացի մաքրվել է 22.86 հա տարածք:</w:t>
      </w:r>
    </w:p>
    <w:p w14:paraId="082700D9" w14:textId="77777777"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2025թ.-ին Սևանա լճի առափնյա հատվածներում ծովի մակարդակից 1901,5 մետր բացարձակ նիշից ցածր, ապօրինի կառուցված և քանդման ենթակա շենք-շինությունների ապամոնտաժման (քանդման) աշխատանքների իրականացման նպատակով ապամոնտաժվել է ապօրինի կառուցված և քանդման ենթակա 61 շենք-շինություն:</w:t>
      </w:r>
    </w:p>
    <w:p w14:paraId="5B584AF7" w14:textId="03CC163B" w:rsidR="00802FF2" w:rsidRPr="000232DD" w:rsidRDefault="00802FF2" w:rsidP="00082769">
      <w:pPr>
        <w:spacing w:after="0"/>
        <w:ind w:right="-22"/>
        <w:jc w:val="both"/>
        <w:rPr>
          <w:rFonts w:ascii="GHEA Grapalat" w:eastAsia="Times New Roman" w:hAnsi="GHEA Grapalat" w:cs="Times New Roman"/>
          <w:color w:val="auto"/>
          <w:lang w:val="hy-AM"/>
        </w:rPr>
      </w:pPr>
      <w:r w:rsidRPr="000232DD">
        <w:rPr>
          <w:rFonts w:ascii="GHEA Grapalat" w:eastAsia="Times New Roman" w:hAnsi="GHEA Grapalat" w:cs="Times New Roman"/>
          <w:color w:val="auto"/>
          <w:lang w:val="hy-AM"/>
        </w:rPr>
        <w:t>2025թ.-ին ՇՄՆ և «Հայանտառ» ու « Սևան ազգային պ</w:t>
      </w:r>
      <w:r w:rsidR="00B6632B">
        <w:rPr>
          <w:rFonts w:ascii="GHEA Grapalat" w:eastAsia="Times New Roman" w:hAnsi="GHEA Grapalat" w:cs="Times New Roman"/>
          <w:color w:val="auto"/>
          <w:lang w:val="hy-AM"/>
        </w:rPr>
        <w:t>արկ» ՊՈԱԿ-ների  միջև կնքված պայ</w:t>
      </w:r>
      <w:r w:rsidRPr="000232DD">
        <w:rPr>
          <w:rFonts w:ascii="GHEA Grapalat" w:eastAsia="Times New Roman" w:hAnsi="GHEA Grapalat" w:cs="Times New Roman"/>
          <w:color w:val="auto"/>
          <w:lang w:val="hy-AM"/>
        </w:rPr>
        <w:t>ման</w:t>
      </w:r>
      <w:r w:rsidR="00B6632B">
        <w:rPr>
          <w:rFonts w:ascii="GHEA Grapalat" w:eastAsia="Times New Roman" w:hAnsi="GHEA Grapalat" w:cs="Times New Roman"/>
          <w:color w:val="auto"/>
          <w:lang w:val="hy-AM"/>
        </w:rPr>
        <w:t>ա</w:t>
      </w:r>
      <w:r w:rsidRPr="000232DD">
        <w:rPr>
          <w:rFonts w:ascii="GHEA Grapalat" w:eastAsia="Times New Roman" w:hAnsi="GHEA Grapalat" w:cs="Times New Roman"/>
          <w:color w:val="auto"/>
          <w:lang w:val="hy-AM"/>
        </w:rPr>
        <w:t xml:space="preserve">գրերով իրականացվել են 95 հա անտառվերականգնման և 170 հա անտառապատման, ինչպես նաև նախորդ տարիներին հիմնադրված  անտառմշակույթի խնամքի ու լրացման աշխատանքներ, որոնց համար փաստացի ծախսվել </w:t>
      </w:r>
      <w:r w:rsidRPr="00223757">
        <w:rPr>
          <w:rFonts w:ascii="GHEA Grapalat" w:eastAsia="Times New Roman" w:hAnsi="GHEA Grapalat" w:cs="Times New Roman"/>
          <w:color w:val="auto"/>
          <w:lang w:val="hy-AM"/>
        </w:rPr>
        <w:t>է 934 259.24 հազ.</w:t>
      </w:r>
      <w:r w:rsidRPr="000232DD">
        <w:rPr>
          <w:rFonts w:ascii="GHEA Grapalat" w:eastAsia="Times New Roman" w:hAnsi="GHEA Grapalat" w:cs="Times New Roman"/>
          <w:color w:val="auto"/>
          <w:lang w:val="hy-AM"/>
        </w:rPr>
        <w:t xml:space="preserve"> ՀՀ դրամ: «Արգելոցապարկային համալիր», «Արփի լիճ» ազգային պարկ, «Զանգեզուր» կենսոլորտային համալիր, «Դիլիջան» ազգային պարկ ՊՈԱԿ-ների կողմից՝ առանց ֆինանսական միջոցների իրականացվել է շուրջ 21.38 հա տարածքի անտառվերականգնում:</w:t>
      </w:r>
    </w:p>
    <w:p w14:paraId="6540C02B" w14:textId="0707071D" w:rsidR="00802FF2" w:rsidRPr="000232DD" w:rsidRDefault="00802FF2" w:rsidP="00082769">
      <w:pPr>
        <w:pStyle w:val="TOC4"/>
        <w:ind w:right="-22"/>
        <w:rPr>
          <w:color w:val="auto"/>
          <w:lang w:val="hy-AM"/>
        </w:rPr>
      </w:pPr>
      <w:r w:rsidRPr="000232DD">
        <w:rPr>
          <w:color w:val="auto"/>
          <w:lang w:val="hy-AM"/>
        </w:rPr>
        <w:t>3.1</w:t>
      </w:r>
      <w:r w:rsidRPr="000232DD">
        <w:rPr>
          <w:rFonts w:ascii="MS Mincho" w:eastAsia="MS Mincho" w:hAnsi="MS Mincho" w:cs="MS Mincho" w:hint="eastAsia"/>
          <w:color w:val="auto"/>
          <w:lang w:val="hy-AM"/>
        </w:rPr>
        <w:t>․</w:t>
      </w:r>
      <w:r w:rsidRPr="000232DD">
        <w:rPr>
          <w:color w:val="auto"/>
          <w:lang w:val="hy-AM"/>
        </w:rPr>
        <w:t>ՊԵՏՈՒԹՅԱՆ ԴԵՄ ԻՐԱԿԱՆԱՑՎՈՂ ԴԱՏԱԿԱՆ ՎԱՐՈՒՅԹՆԵՐԻՑ ԲԽՈՂ ՀԱՐԿԱԲՅՈՒՋԵՏԱՅԻՆ ՌԻՍԿԵՐ</w:t>
      </w:r>
      <w:bookmarkEnd w:id="510"/>
      <w:bookmarkEnd w:id="511"/>
    </w:p>
    <w:p w14:paraId="001914AE" w14:textId="77777777" w:rsidR="00802FF2" w:rsidRPr="000232DD" w:rsidRDefault="00802FF2" w:rsidP="00082769">
      <w:pPr>
        <w:spacing w:before="0" w:after="160" w:line="259" w:lineRule="auto"/>
        <w:ind w:right="-22"/>
        <w:jc w:val="both"/>
        <w:rPr>
          <w:rFonts w:ascii="GHEA Grapalat" w:eastAsia="Times New Roman" w:hAnsi="GHEA Grapalat" w:cs="Times New Roman"/>
          <w:color w:val="auto"/>
          <w:lang w:val="hy-AM"/>
        </w:rPr>
      </w:pPr>
    </w:p>
    <w:p w14:paraId="5D3B0FA1" w14:textId="7E733808" w:rsidR="00802FF2" w:rsidRPr="00223757" w:rsidRDefault="00802FF2" w:rsidP="00082769">
      <w:pPr>
        <w:spacing w:before="0" w:after="160" w:line="259" w:lineRule="auto"/>
        <w:ind w:right="-22"/>
        <w:jc w:val="both"/>
        <w:rPr>
          <w:rFonts w:ascii="GHEA Grapalat" w:hAnsi="GHEA Grapalat"/>
          <w:color w:val="auto"/>
          <w:szCs w:val="20"/>
          <w:lang w:val="hy-AM"/>
        </w:rPr>
      </w:pPr>
      <w:r w:rsidRPr="00223757">
        <w:rPr>
          <w:rFonts w:ascii="GHEA Grapalat" w:hAnsi="GHEA Grapalat"/>
          <w:color w:val="auto"/>
          <w:szCs w:val="20"/>
          <w:lang w:val="hy-AM"/>
        </w:rPr>
        <w:t xml:space="preserve">2026թ.-ի մարտի 31-ի դրությամբ ընդդեմ Հայաստանի Հանրապետության Մարդու իրավունքների եվրոպական դատարանը կոմունիկացրել է 479 գործ (ընթացքում գտնվող գործեր, որոնցով առկա չէ վերջնական դատական ակտ)։ 2025թ. ընթացքում օրինական ուժի մեջ է մտել ՀՀ-ի դեմ կայացված 24 վճիռ, 3 գանգատ հանվել է քննվող գործերի ցուցակից՝ բարեկամական կարգավորման հիմքով: Նշված վճիռների և որոշումների արդյունքում ՀՀ-ն դիմումատուներին պարտավորվել է վճարել 695,434 եվրոյին համարժեք ՀՀ դրամ և </w:t>
      </w:r>
      <w:r w:rsidR="00223757">
        <w:rPr>
          <w:rFonts w:ascii="GHEA Grapalat" w:hAnsi="GHEA Grapalat"/>
          <w:color w:val="auto"/>
          <w:szCs w:val="20"/>
          <w:lang w:val="hy-AM"/>
        </w:rPr>
        <w:t>0.00</w:t>
      </w:r>
      <w:r w:rsidRPr="00223757">
        <w:rPr>
          <w:rFonts w:ascii="GHEA Grapalat" w:hAnsi="GHEA Grapalat"/>
          <w:color w:val="auto"/>
          <w:szCs w:val="20"/>
          <w:lang w:val="hy-AM"/>
        </w:rPr>
        <w:t>2</w:t>
      </w:r>
      <w:r w:rsidR="00223757">
        <w:rPr>
          <w:rFonts w:ascii="GHEA Grapalat" w:hAnsi="GHEA Grapalat"/>
          <w:color w:val="auto"/>
          <w:szCs w:val="20"/>
          <w:lang w:val="hy-AM"/>
        </w:rPr>
        <w:t>5</w:t>
      </w:r>
      <w:r w:rsidRPr="00223757">
        <w:rPr>
          <w:rFonts w:ascii="GHEA Grapalat" w:hAnsi="GHEA Grapalat"/>
          <w:color w:val="auto"/>
          <w:szCs w:val="20"/>
          <w:lang w:val="hy-AM"/>
        </w:rPr>
        <w:t xml:space="preserve"> ՀՀ</w:t>
      </w:r>
      <w:r w:rsidR="00223757">
        <w:rPr>
          <w:rFonts w:ascii="GHEA Grapalat" w:hAnsi="GHEA Grapalat"/>
          <w:color w:val="auto"/>
          <w:szCs w:val="20"/>
          <w:lang w:val="hy-AM"/>
        </w:rPr>
        <w:t xml:space="preserve"> մլրդ</w:t>
      </w:r>
      <w:r w:rsidRPr="00223757">
        <w:rPr>
          <w:rFonts w:ascii="GHEA Grapalat" w:hAnsi="GHEA Grapalat"/>
          <w:color w:val="auto"/>
          <w:szCs w:val="20"/>
          <w:lang w:val="hy-AM"/>
        </w:rPr>
        <w:t xml:space="preserve"> դրամ, որից վճարվել է 691,834 եվրոյին համարժեք ՀՀ դրամ և </w:t>
      </w:r>
      <w:r w:rsidR="00223757">
        <w:rPr>
          <w:rFonts w:ascii="GHEA Grapalat" w:hAnsi="GHEA Grapalat"/>
          <w:color w:val="auto"/>
          <w:szCs w:val="20"/>
          <w:lang w:val="hy-AM"/>
        </w:rPr>
        <w:t>0.00</w:t>
      </w:r>
      <w:r w:rsidRPr="00223757">
        <w:rPr>
          <w:rFonts w:ascii="GHEA Grapalat" w:hAnsi="GHEA Grapalat"/>
          <w:color w:val="auto"/>
          <w:szCs w:val="20"/>
          <w:lang w:val="hy-AM"/>
        </w:rPr>
        <w:t>2</w:t>
      </w:r>
      <w:r w:rsidR="00223757">
        <w:rPr>
          <w:rFonts w:ascii="GHEA Grapalat" w:hAnsi="GHEA Grapalat"/>
          <w:color w:val="auto"/>
          <w:szCs w:val="20"/>
          <w:lang w:val="hy-AM"/>
        </w:rPr>
        <w:t>5</w:t>
      </w:r>
      <w:r w:rsidRPr="00223757">
        <w:rPr>
          <w:rFonts w:ascii="GHEA Grapalat" w:hAnsi="GHEA Grapalat"/>
          <w:color w:val="auto"/>
          <w:szCs w:val="20"/>
          <w:lang w:val="hy-AM"/>
        </w:rPr>
        <w:t xml:space="preserve"> ՀՀ դրամ (Գծապատկեր 19):</w:t>
      </w:r>
    </w:p>
    <w:p w14:paraId="3DD38B13" w14:textId="77777777" w:rsidR="00802FF2" w:rsidRPr="000232DD" w:rsidRDefault="00802FF2" w:rsidP="00082769">
      <w:pPr>
        <w:spacing w:before="0" w:after="160" w:line="259" w:lineRule="auto"/>
        <w:ind w:right="-22"/>
        <w:jc w:val="both"/>
        <w:rPr>
          <w:rFonts w:ascii="GHEA Grapalat" w:hAnsi="GHEA Grapalat"/>
          <w:color w:val="auto"/>
          <w:szCs w:val="20"/>
          <w:lang w:val="hy-AM"/>
        </w:rPr>
      </w:pPr>
      <w:r w:rsidRPr="00223757">
        <w:rPr>
          <w:rFonts w:ascii="GHEA Grapalat" w:hAnsi="GHEA Grapalat"/>
          <w:color w:val="auto"/>
          <w:szCs w:val="20"/>
          <w:lang w:val="hy-AM"/>
        </w:rPr>
        <w:t>2026թ.-ի առաջին եռամսյակում օրինական ուժի մեջ է մտել ՀՀ-ի դեմ կայացված 9 վճիռ, որոնցով ՀՀ-ն պարտավորվել է վճարել 47,587 եվրոյին համարժեք ՀՀ դրամ։</w:t>
      </w:r>
    </w:p>
    <w:p w14:paraId="778B3B7B" w14:textId="77777777" w:rsidR="00802FF2" w:rsidRPr="00A52417" w:rsidRDefault="00802FF2" w:rsidP="00082769">
      <w:pPr>
        <w:pStyle w:val="Charts"/>
        <w:ind w:right="-22"/>
        <w:rPr>
          <w:b w:val="0"/>
          <w:bCs/>
          <w:color w:val="auto"/>
          <w:sz w:val="20"/>
          <w:szCs w:val="18"/>
        </w:rPr>
      </w:pPr>
      <w:r w:rsidRPr="00A52417">
        <w:rPr>
          <w:b w:val="0"/>
          <w:bCs/>
          <w:color w:val="auto"/>
          <w:sz w:val="20"/>
          <w:szCs w:val="18"/>
        </w:rPr>
        <w:t>Գծապատկեր 19. Կայացված վճիռների և Մարդու իրավունքների եվրոպական դատարանի կողմից վճարված արդարացի փոխհատուցման գումարները (հազար եվրո)</w:t>
      </w:r>
    </w:p>
    <w:p w14:paraId="3375C6E2" w14:textId="77777777" w:rsidR="00802FF2" w:rsidRPr="000232DD" w:rsidRDefault="00802FF2" w:rsidP="00082769">
      <w:pPr>
        <w:spacing w:before="0" w:after="160" w:line="259" w:lineRule="auto"/>
        <w:ind w:right="-22"/>
        <w:jc w:val="center"/>
        <w:rPr>
          <w:rFonts w:ascii="GHEA Grapalat" w:eastAsia="Times New Roman" w:hAnsi="GHEA Grapalat" w:cs="Times New Roman"/>
          <w:color w:val="auto"/>
        </w:rPr>
      </w:pPr>
      <w:r w:rsidRPr="000232DD">
        <w:rPr>
          <w:rFonts w:ascii="GHEA Grapalat" w:eastAsia="Times New Roman" w:hAnsi="GHEA Grapalat" w:cs="Times New Roman"/>
          <w:noProof/>
          <w:color w:val="auto"/>
        </w:rPr>
        <w:drawing>
          <wp:inline distT="0" distB="0" distL="0" distR="0" wp14:anchorId="6F2E0A92" wp14:editId="54587AA0">
            <wp:extent cx="4572000" cy="2743200"/>
            <wp:effectExtent l="0" t="0" r="0" b="0"/>
            <wp:docPr id="1545876468" name="Chart 1545876468"/>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14:paraId="485BA6D7" w14:textId="77777777" w:rsidR="00802FF2" w:rsidRPr="000232DD" w:rsidRDefault="00802FF2" w:rsidP="00082769">
      <w:pPr>
        <w:spacing w:before="0" w:after="160" w:line="259" w:lineRule="auto"/>
        <w:ind w:right="-22"/>
        <w:rPr>
          <w:rFonts w:ascii="GHEA Grapalat" w:eastAsia="Times New Roman" w:hAnsi="GHEA Grapalat" w:cs="Times New Roman"/>
          <w:color w:val="auto"/>
        </w:rPr>
      </w:pPr>
    </w:p>
    <w:p w14:paraId="7F1C5EAB" w14:textId="77777777" w:rsidR="00802FF2" w:rsidRPr="00223757" w:rsidRDefault="00802FF2" w:rsidP="00082769">
      <w:pPr>
        <w:spacing w:before="0" w:after="160" w:line="259" w:lineRule="auto"/>
        <w:ind w:right="-22"/>
        <w:jc w:val="both"/>
        <w:rPr>
          <w:rFonts w:ascii="GHEA Grapalat" w:hAnsi="GHEA Grapalat"/>
          <w:color w:val="auto"/>
          <w:szCs w:val="20"/>
          <w:lang w:val="hy-AM"/>
        </w:rPr>
      </w:pPr>
      <w:r w:rsidRPr="00223757">
        <w:rPr>
          <w:rFonts w:ascii="GHEA Grapalat" w:hAnsi="GHEA Grapalat"/>
          <w:color w:val="auto"/>
          <w:szCs w:val="20"/>
          <w:lang w:val="hy-AM"/>
        </w:rPr>
        <w:t>ՀՀ մասնակցությամբ 2026թ.-ի մարտի 31-ի դրությամբ առկա է 6 միջազգային արբիտրաժային վարույթ և 1 հնարավոր արբիտրաժային վարույթ, որոնցով պահանջվող գումարի ընդհանուր չափը կազմում է շուրջ 1,966,947,981.8 ԱՄՆ դոլար: Վերջին 5 տարիների ընթացքում, ներառյալ 2026թ. առաջին եռամսյակը, արբիտրաժային վարույթների շրջանակներում ՀՀ-ի կողմից հայցվորներին վճարումներ չեն կատարվել:</w:t>
      </w:r>
    </w:p>
    <w:p w14:paraId="7E68BAC8" w14:textId="5B564DE5" w:rsidR="00802FF2" w:rsidRPr="000232DD" w:rsidRDefault="00802FF2" w:rsidP="00082769">
      <w:pPr>
        <w:pStyle w:val="BodyText1"/>
        <w:ind w:left="0" w:right="-22"/>
        <w:rPr>
          <w:color w:val="auto"/>
          <w:lang w:val="hy-AM"/>
        </w:rPr>
      </w:pPr>
      <w:r w:rsidRPr="00223757">
        <w:rPr>
          <w:color w:val="auto"/>
          <w:lang w:val="hy-AM"/>
        </w:rPr>
        <w:t>Միջպետական վեճերի մասով 2026թ.-ի մարտի 31-ի դրությամբ ՀՀ մասնակցությամբ քննվում են թվով 11 միջպետական վեճեր, որոնցից 7-ը՝ Մարդու իրավունքների եվրոպական դատարանում, 2-ը՝ Արդարադատության միջազգային դատարանում, և 2-ը՝ Մշտական արբիտրաժային դատարանում։ Մշտական արբիտրաժային դատարանում քննվող գործերով</w:t>
      </w:r>
      <w:r w:rsidRPr="00223757">
        <w:rPr>
          <w:rFonts w:eastAsia="Times New Roman" w:cs="Times New Roman"/>
          <w:color w:val="auto"/>
          <w:lang w:val="hy-AM"/>
        </w:rPr>
        <w:t xml:space="preserve"> </w:t>
      </w:r>
      <w:r w:rsidRPr="00223757">
        <w:rPr>
          <w:color w:val="auto"/>
          <w:lang w:val="hy-AM"/>
        </w:rPr>
        <w:t>հայցապահանջների ընդհանուր չափը կազմում է 1</w:t>
      </w:r>
      <w:r w:rsidR="00BB7EC0">
        <w:rPr>
          <w:color w:val="auto"/>
          <w:lang w:val="hy-AM"/>
        </w:rPr>
        <w:t>.</w:t>
      </w:r>
      <w:r w:rsidRPr="00223757">
        <w:rPr>
          <w:color w:val="auto"/>
          <w:lang w:val="hy-AM"/>
        </w:rPr>
        <w:t>9</w:t>
      </w:r>
      <w:r w:rsidR="00BB7EC0">
        <w:rPr>
          <w:color w:val="auto"/>
          <w:lang w:val="hy-AM"/>
        </w:rPr>
        <w:t>1</w:t>
      </w:r>
      <w:r w:rsidRPr="00223757">
        <w:rPr>
          <w:color w:val="auto"/>
          <w:lang w:val="hy-AM"/>
        </w:rPr>
        <w:t xml:space="preserve"> </w:t>
      </w:r>
      <w:r w:rsidR="00BB7EC0">
        <w:rPr>
          <w:color w:val="auto"/>
          <w:lang w:val="hy-AM"/>
        </w:rPr>
        <w:t xml:space="preserve">մլրդ </w:t>
      </w:r>
      <w:r w:rsidRPr="00223757">
        <w:rPr>
          <w:color w:val="auto"/>
          <w:lang w:val="hy-AM"/>
        </w:rPr>
        <w:t>ԱՄՆ դոլար, որի մեջ ներառված է նաև «Հայաստանի էլեկտրական ցանցեր» ՓԲԸ-ի կողմից Հայաստանի Հանրապետության դեմ ընթացող միջազգային արբիտրաժային գործընթացներում ներկայացված պահանջը: Մնացած ատյաններում ընթացող վարույթներով դեռևս չի քննարկվել արդարացի փոխհատուցման պահանջների հարցը, ուստի հնարավոր չէ հստակ գնահատել պետական բյուջեի վրա դրանց հնարավոր ազդեցությունը։</w:t>
      </w:r>
    </w:p>
    <w:p w14:paraId="12D283D2" w14:textId="77777777" w:rsidR="00802FF2" w:rsidRPr="000232DD" w:rsidRDefault="00802FF2" w:rsidP="00082769">
      <w:pPr>
        <w:pStyle w:val="BodyText1"/>
        <w:ind w:left="0" w:right="-22"/>
        <w:rPr>
          <w:color w:val="auto"/>
          <w:lang w:val="hy-AM"/>
        </w:rPr>
      </w:pPr>
      <w:r w:rsidRPr="000232DD">
        <w:rPr>
          <w:color w:val="auto"/>
          <w:lang w:val="hy-AM"/>
        </w:rPr>
        <w:t>Հարկ է նկատի ունենալ, որ պահանջվող գումարների չափը չի արտացոլում ռիսկի իրական մակարդակը, քանի որ նույնիսկ ներկայացված հայցերով հաղթելու պարագայում վճռով հաճախ սահմանվում են ավելի փոքր գումարներ:</w:t>
      </w:r>
    </w:p>
    <w:p w14:paraId="3117B7D4" w14:textId="5CD1D187" w:rsidR="00802FF2" w:rsidRPr="000232DD" w:rsidRDefault="00802FF2" w:rsidP="00082769">
      <w:pPr>
        <w:pStyle w:val="BodyText1"/>
        <w:ind w:left="0" w:right="-22"/>
        <w:rPr>
          <w:color w:val="auto"/>
          <w:lang w:val="hy-AM"/>
        </w:rPr>
      </w:pPr>
      <w:r w:rsidRPr="00BB7EC0">
        <w:rPr>
          <w:color w:val="auto"/>
          <w:lang w:val="hy-AM"/>
        </w:rPr>
        <w:t>2026թ. մայիսի դրությամբ ՀՀ դատարաններում ՀՀ ֆինանսների նախարարության և ՀՀ վարչապետի համապատասխան հանձնարարականների հիման վրա ՀՀ ֆինանսների նախարարության մասնակցությամբ գույքային պահանջներով քննվում է 188 գործ, ընդհանուր</w:t>
      </w:r>
      <w:r w:rsidR="00BB7EC0">
        <w:rPr>
          <w:color w:val="auto"/>
          <w:lang w:val="hy-AM"/>
        </w:rPr>
        <w:t xml:space="preserve"> 1.5</w:t>
      </w:r>
      <w:r w:rsidRPr="00BB7EC0">
        <w:rPr>
          <w:color w:val="auto"/>
          <w:lang w:val="hy-AM"/>
        </w:rPr>
        <w:t>4</w:t>
      </w:r>
      <w:r w:rsidR="00BB7EC0">
        <w:rPr>
          <w:color w:val="auto"/>
          <w:lang w:val="hy-AM"/>
        </w:rPr>
        <w:t xml:space="preserve"> մլրդ</w:t>
      </w:r>
      <w:r w:rsidRPr="00BB7EC0">
        <w:rPr>
          <w:color w:val="auto"/>
          <w:lang w:val="hy-AM"/>
        </w:rPr>
        <w:t xml:space="preserve"> ՀՀ դրամ պահանջով:</w:t>
      </w:r>
    </w:p>
    <w:p w14:paraId="75F3FDC1" w14:textId="1FEB4281" w:rsidR="00802FF2" w:rsidRPr="00BB7EC0" w:rsidRDefault="00802FF2" w:rsidP="00082769">
      <w:pPr>
        <w:pStyle w:val="BodyText1"/>
        <w:ind w:left="0" w:right="-22"/>
        <w:rPr>
          <w:color w:val="auto"/>
          <w:lang w:val="hy-AM"/>
        </w:rPr>
      </w:pPr>
      <w:r w:rsidRPr="00BB7EC0">
        <w:rPr>
          <w:color w:val="auto"/>
          <w:lang w:val="hy-AM"/>
        </w:rPr>
        <w:t xml:space="preserve">Նշենք, որ 2025թ. մայիսից մինչև 2026թ. մայիսի դրությամբ ավարտված դատական գործերի հիման վրա վճարվել է </w:t>
      </w:r>
      <w:r w:rsidR="00BB7EC0" w:rsidRPr="00BB7EC0">
        <w:rPr>
          <w:color w:val="auto"/>
          <w:lang w:val="hy-AM"/>
        </w:rPr>
        <w:t>0.1</w:t>
      </w:r>
      <w:r w:rsidRPr="00BB7EC0">
        <w:rPr>
          <w:color w:val="auto"/>
          <w:lang w:val="hy-AM"/>
        </w:rPr>
        <w:t>1</w:t>
      </w:r>
      <w:r w:rsidR="00BB7EC0" w:rsidRPr="00BB7EC0">
        <w:rPr>
          <w:color w:val="auto"/>
          <w:lang w:val="hy-AM"/>
        </w:rPr>
        <w:t xml:space="preserve"> մլրդ</w:t>
      </w:r>
      <w:r w:rsidRPr="00BB7EC0">
        <w:rPr>
          <w:color w:val="auto"/>
          <w:lang w:val="hy-AM"/>
        </w:rPr>
        <w:t xml:space="preserve"> ՀՀ դրամ։</w:t>
      </w:r>
    </w:p>
    <w:p w14:paraId="2C5AC8BB" w14:textId="1B211867" w:rsidR="00802FF2" w:rsidRPr="000232DD" w:rsidRDefault="00802FF2" w:rsidP="00082769">
      <w:pPr>
        <w:pStyle w:val="BodyText1"/>
        <w:ind w:left="0" w:right="-22"/>
        <w:rPr>
          <w:color w:val="auto"/>
          <w:lang w:val="hy-AM"/>
        </w:rPr>
      </w:pPr>
      <w:r w:rsidRPr="00BB7EC0">
        <w:rPr>
          <w:color w:val="auto"/>
          <w:lang w:val="hy-AM"/>
        </w:rPr>
        <w:t>2020թ.-ից մինչև 2025թ. մայիս ընկած ժամանակահատվածում ՀՀ դատարաններում ՀՀ ֆինանսների նախարարության և ՀՀ վարչապետի համապատասխան հանձնարարականների հիման վրա ՀՀ ֆինանսների նախարարության մասնակցությամբ գույքային պահանջներով ներկայացվել է 452 գործ, ընդհանուր՝ 3</w:t>
      </w:r>
      <w:r w:rsidR="00BB7EC0">
        <w:rPr>
          <w:color w:val="auto"/>
          <w:lang w:val="hy-AM"/>
        </w:rPr>
        <w:t>.</w:t>
      </w:r>
      <w:r w:rsidRPr="00BB7EC0">
        <w:rPr>
          <w:color w:val="auto"/>
          <w:lang w:val="hy-AM"/>
        </w:rPr>
        <w:t>96</w:t>
      </w:r>
      <w:r w:rsidR="00BB7EC0">
        <w:rPr>
          <w:color w:val="auto"/>
          <w:lang w:val="hy-AM"/>
        </w:rPr>
        <w:t xml:space="preserve"> մլրդ</w:t>
      </w:r>
      <w:r w:rsidRPr="00BB7EC0">
        <w:rPr>
          <w:color w:val="auto"/>
          <w:lang w:val="hy-AM"/>
        </w:rPr>
        <w:t xml:space="preserve"> ՀՀ դրամ պահանջով, 1</w:t>
      </w:r>
      <w:r w:rsidR="00BB7EC0">
        <w:rPr>
          <w:color w:val="auto"/>
          <w:lang w:val="hy-AM"/>
        </w:rPr>
        <w:t>.</w:t>
      </w:r>
      <w:r w:rsidRPr="00BB7EC0">
        <w:rPr>
          <w:color w:val="auto"/>
          <w:lang w:val="hy-AM"/>
        </w:rPr>
        <w:t>57</w:t>
      </w:r>
      <w:r w:rsidR="00BB7EC0">
        <w:rPr>
          <w:color w:val="auto"/>
          <w:lang w:val="hy-AM"/>
        </w:rPr>
        <w:t xml:space="preserve"> մլրդ</w:t>
      </w:r>
      <w:r w:rsidRPr="00BB7EC0">
        <w:rPr>
          <w:color w:val="auto"/>
          <w:lang w:val="hy-AM"/>
        </w:rPr>
        <w:t xml:space="preserve"> ՀՀ դրամի չափով պահանջների մասով դատական գործերն ավարտվել են, որոնց հիման վրա վճարվել է </w:t>
      </w:r>
      <w:r w:rsidR="00BB7EC0">
        <w:rPr>
          <w:color w:val="auto"/>
          <w:lang w:val="hy-AM"/>
        </w:rPr>
        <w:t>0.</w:t>
      </w:r>
      <w:r w:rsidRPr="00BB7EC0">
        <w:rPr>
          <w:color w:val="auto"/>
          <w:lang w:val="hy-AM"/>
        </w:rPr>
        <w:t>56</w:t>
      </w:r>
      <w:r w:rsidR="00BB7EC0">
        <w:rPr>
          <w:color w:val="auto"/>
          <w:lang w:val="hy-AM"/>
        </w:rPr>
        <w:t xml:space="preserve"> մլրդ</w:t>
      </w:r>
      <w:r w:rsidRPr="00BB7EC0">
        <w:rPr>
          <w:color w:val="auto"/>
          <w:lang w:val="hy-AM"/>
        </w:rPr>
        <w:t xml:space="preserve"> ՀՀ դրամ: Այդ թվում մերժվել է 517,000 ԱՄՆ դոլարի և 611,459 եվրոյի պահանջ:</w:t>
      </w:r>
    </w:p>
    <w:p w14:paraId="31D36BE7" w14:textId="46C34324" w:rsidR="00802FF2" w:rsidRPr="00BB7EC0" w:rsidRDefault="00802FF2" w:rsidP="00082769">
      <w:pPr>
        <w:pStyle w:val="BodyText1"/>
        <w:ind w:left="0" w:right="-22"/>
        <w:rPr>
          <w:color w:val="auto"/>
          <w:lang w:val="hy-AM"/>
        </w:rPr>
      </w:pPr>
      <w:r w:rsidRPr="00BB7EC0">
        <w:rPr>
          <w:color w:val="auto"/>
          <w:lang w:val="hy-AM"/>
        </w:rPr>
        <w:t xml:space="preserve">Բացի վերը նշվածներից առկա են նաև այլ հայցեր՝ ընդդեմ ՀՀ պետական եկամուտների կոմիտեի: 2025թ. դեկտեմբերի 30-ի դրությամբ ՀՀ պետական եկամուտների կոմիտեի դեմ ներկայացված հայցադիմումներով ՀՀ դատարաններում քննվել են 5,672 դատական գործեր՝ </w:t>
      </w:r>
      <w:r w:rsidR="00BB7EC0">
        <w:rPr>
          <w:color w:val="auto"/>
          <w:lang w:val="hy-AM"/>
        </w:rPr>
        <w:t>257.3 մլրդ</w:t>
      </w:r>
      <w:r w:rsidRPr="00BB7EC0">
        <w:rPr>
          <w:color w:val="auto"/>
          <w:lang w:val="hy-AM"/>
        </w:rPr>
        <w:t xml:space="preserve"> ՀՀ դրամ գումարով, իսկ 2026թ. մարտի 31-ի դրությամբ՝  5,930  դատական գործեր՝</w:t>
      </w:r>
      <w:r w:rsidR="00BB7EC0">
        <w:rPr>
          <w:color w:val="auto"/>
          <w:lang w:val="hy-AM"/>
        </w:rPr>
        <w:t xml:space="preserve"> 258.0 մլրդ</w:t>
      </w:r>
      <w:r w:rsidRPr="00BB7EC0">
        <w:rPr>
          <w:color w:val="auto"/>
          <w:lang w:val="hy-AM"/>
        </w:rPr>
        <w:t xml:space="preserve"> ՀՀ դրամ գումարով:</w:t>
      </w:r>
    </w:p>
    <w:p w14:paraId="16DF38B7" w14:textId="50BB8D7D" w:rsidR="00802FF2" w:rsidRPr="000232DD" w:rsidRDefault="00802FF2" w:rsidP="00082769">
      <w:pPr>
        <w:pStyle w:val="BodyText1"/>
        <w:ind w:left="0" w:right="-22"/>
        <w:rPr>
          <w:color w:val="auto"/>
          <w:lang w:val="hy-AM"/>
        </w:rPr>
      </w:pPr>
      <w:r w:rsidRPr="00BB7EC0">
        <w:rPr>
          <w:color w:val="auto"/>
          <w:lang w:val="hy-AM"/>
        </w:rPr>
        <w:t xml:space="preserve">2025թ. ընթացքում դատական վարույթների շրջանակներում հայցվորներին վճարված ընդհանուր գումարը 2024թ.-ի համեմատ նվազել է 17.8%-ով, իսկ 2026թ. առաջին եռամսյակի ընթացքում կազմել է շուրջ </w:t>
      </w:r>
      <w:r w:rsidR="00BB7EC0">
        <w:rPr>
          <w:color w:val="auto"/>
          <w:lang w:val="hy-AM"/>
        </w:rPr>
        <w:t>0.0</w:t>
      </w:r>
      <w:r w:rsidRPr="00BB7EC0">
        <w:rPr>
          <w:color w:val="auto"/>
          <w:lang w:val="hy-AM"/>
        </w:rPr>
        <w:t>17</w:t>
      </w:r>
      <w:r w:rsidR="00BB7EC0">
        <w:rPr>
          <w:color w:val="auto"/>
          <w:lang w:val="hy-AM"/>
        </w:rPr>
        <w:t>3</w:t>
      </w:r>
      <w:r w:rsidRPr="00BB7EC0">
        <w:rPr>
          <w:color w:val="auto"/>
          <w:lang w:val="hy-AM"/>
        </w:rPr>
        <w:t xml:space="preserve"> մլ</w:t>
      </w:r>
      <w:r w:rsidR="00BB7EC0">
        <w:rPr>
          <w:color w:val="auto"/>
          <w:lang w:val="hy-AM"/>
        </w:rPr>
        <w:t>րդ</w:t>
      </w:r>
      <w:r w:rsidRPr="00BB7EC0">
        <w:rPr>
          <w:color w:val="auto"/>
          <w:lang w:val="hy-AM"/>
        </w:rPr>
        <w:t xml:space="preserve"> ՀՀ դրամ (Գծապատկեր 20):</w:t>
      </w:r>
      <w:r w:rsidRPr="000232DD">
        <w:rPr>
          <w:color w:val="auto"/>
          <w:lang w:val="hy-AM"/>
        </w:rPr>
        <w:t xml:space="preserve"> </w:t>
      </w:r>
    </w:p>
    <w:p w14:paraId="0C8F7603" w14:textId="2447835A" w:rsidR="00802FF2" w:rsidRPr="00A52417" w:rsidRDefault="00802FF2" w:rsidP="00BB7EC0">
      <w:pPr>
        <w:pStyle w:val="Charts"/>
        <w:ind w:right="-22"/>
        <w:rPr>
          <w:b w:val="0"/>
          <w:bCs/>
          <w:color w:val="auto"/>
          <w:sz w:val="20"/>
          <w:szCs w:val="18"/>
        </w:rPr>
      </w:pPr>
      <w:bookmarkStart w:id="516" w:name="_Toc241608104"/>
      <w:r w:rsidRPr="00A52417">
        <w:rPr>
          <w:b w:val="0"/>
          <w:bCs/>
          <w:color w:val="auto"/>
          <w:sz w:val="20"/>
          <w:szCs w:val="18"/>
        </w:rPr>
        <w:t>Գծապատկեր 20. 2021-202</w:t>
      </w:r>
      <w:r w:rsidR="00A171EA" w:rsidRPr="00A52417">
        <w:rPr>
          <w:b w:val="0"/>
          <w:bCs/>
          <w:color w:val="auto"/>
          <w:sz w:val="20"/>
          <w:szCs w:val="18"/>
        </w:rPr>
        <w:fldChar w:fldCharType="begin"/>
      </w:r>
      <w:r w:rsidR="00A171EA" w:rsidRPr="00A52417">
        <w:rPr>
          <w:b w:val="0"/>
          <w:bCs/>
          <w:color w:val="auto"/>
          <w:sz w:val="20"/>
          <w:szCs w:val="18"/>
        </w:rPr>
        <w:instrText xml:space="preserve"> SEQ Գծապատկեր \* ARABIC </w:instrText>
      </w:r>
      <w:r w:rsidR="00A171EA" w:rsidRPr="00A52417">
        <w:rPr>
          <w:b w:val="0"/>
          <w:bCs/>
          <w:color w:val="auto"/>
          <w:sz w:val="20"/>
          <w:szCs w:val="18"/>
        </w:rPr>
        <w:fldChar w:fldCharType="separate"/>
      </w:r>
      <w:r w:rsidR="00E46048">
        <w:rPr>
          <w:b w:val="0"/>
          <w:bCs/>
          <w:noProof/>
          <w:color w:val="auto"/>
          <w:sz w:val="20"/>
          <w:szCs w:val="18"/>
        </w:rPr>
        <w:t>9</w:t>
      </w:r>
      <w:r w:rsidR="00A171EA" w:rsidRPr="00A52417">
        <w:rPr>
          <w:b w:val="0"/>
          <w:bCs/>
          <w:color w:val="auto"/>
          <w:sz w:val="20"/>
          <w:szCs w:val="18"/>
        </w:rPr>
        <w:fldChar w:fldCharType="end"/>
      </w:r>
      <w:r w:rsidRPr="00A52417">
        <w:rPr>
          <w:b w:val="0"/>
          <w:bCs/>
          <w:color w:val="auto"/>
          <w:sz w:val="20"/>
          <w:szCs w:val="18"/>
        </w:rPr>
        <w:t>թթ. հայցվորներին վճարված գումարները (մլ</w:t>
      </w:r>
      <w:r w:rsidR="00BA761E" w:rsidRPr="00A52417">
        <w:rPr>
          <w:b w:val="0"/>
          <w:bCs/>
          <w:color w:val="auto"/>
          <w:sz w:val="20"/>
          <w:szCs w:val="18"/>
        </w:rPr>
        <w:t>րդ</w:t>
      </w:r>
      <w:r w:rsidRPr="00A52417">
        <w:rPr>
          <w:b w:val="0"/>
          <w:bCs/>
          <w:color w:val="auto"/>
          <w:sz w:val="20"/>
          <w:szCs w:val="18"/>
        </w:rPr>
        <w:t xml:space="preserve"> ՀՀ դրամ)</w:t>
      </w:r>
      <w:bookmarkEnd w:id="516"/>
    </w:p>
    <w:p w14:paraId="76AF0709" w14:textId="47D11DCB" w:rsidR="00802FF2" w:rsidRPr="000232DD" w:rsidRDefault="006C6FF6" w:rsidP="00BA761E">
      <w:pPr>
        <w:spacing w:before="0" w:after="160" w:line="259" w:lineRule="auto"/>
        <w:ind w:right="-22"/>
        <w:jc w:val="center"/>
        <w:rPr>
          <w:rFonts w:ascii="GHEA Grapalat" w:eastAsia="Times New Roman" w:hAnsi="GHEA Grapalat" w:cs="Times New Roman"/>
          <w:color w:val="auto"/>
        </w:rPr>
      </w:pPr>
      <w:r>
        <w:rPr>
          <w:noProof/>
          <w14:ligatures w14:val="standardContextual"/>
        </w:rPr>
        <w:drawing>
          <wp:inline distT="0" distB="0" distL="0" distR="0" wp14:anchorId="73FBCC3B" wp14:editId="3EDD60AE">
            <wp:extent cx="3971925" cy="1619250"/>
            <wp:effectExtent l="0" t="0" r="9525"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p>
    <w:p w14:paraId="33ADDC15" w14:textId="77777777" w:rsidR="00802FF2" w:rsidRPr="000232DD" w:rsidRDefault="00802FF2" w:rsidP="00082769">
      <w:pPr>
        <w:pStyle w:val="BodyText1"/>
        <w:ind w:left="0" w:right="-22"/>
        <w:rPr>
          <w:color w:val="auto"/>
          <w:lang w:val="hy-AM"/>
        </w:rPr>
      </w:pPr>
    </w:p>
    <w:p w14:paraId="3D60A1C9" w14:textId="159FC887" w:rsidR="005D4274" w:rsidRPr="000232DD" w:rsidRDefault="00802FF2" w:rsidP="00BA761E">
      <w:pPr>
        <w:pStyle w:val="BodyText1"/>
        <w:ind w:left="0" w:right="-22"/>
        <w:rPr>
          <w:color w:val="auto"/>
          <w:lang w:val="hy-AM"/>
        </w:rPr>
      </w:pPr>
      <w:r w:rsidRPr="000232DD">
        <w:rPr>
          <w:color w:val="auto"/>
          <w:lang w:val="hy-AM"/>
        </w:rPr>
        <w:t>Նկատենք, որ պետության դեմ իրականացվող դատական վարույթներից բխող հարկաբյուջետային ռիսկերը փաստացի հանդիսանում են պայմանական պարտավորություններ:</w:t>
      </w:r>
      <w:bookmarkStart w:id="517" w:name="_Toc178356619"/>
      <w:bookmarkEnd w:id="517"/>
    </w:p>
    <w:p w14:paraId="0278271E" w14:textId="77777777" w:rsidR="005D4274" w:rsidRPr="000232DD" w:rsidRDefault="005D4274" w:rsidP="00082769">
      <w:pPr>
        <w:pStyle w:val="TOC2"/>
        <w:ind w:right="-22"/>
        <w:rPr>
          <w:color w:val="auto"/>
          <w:lang w:val="hy-AM"/>
        </w:rPr>
      </w:pPr>
    </w:p>
    <w:p w14:paraId="5AE3351E" w14:textId="447B86E0" w:rsidR="003C4696" w:rsidRPr="000232DD" w:rsidRDefault="005A4602" w:rsidP="00082769">
      <w:pPr>
        <w:pStyle w:val="Heading2"/>
        <w:spacing w:before="120" w:after="120"/>
        <w:ind w:right="-22"/>
        <w:jc w:val="both"/>
        <w:rPr>
          <w:rFonts w:ascii="GHEA Grapalat" w:hAnsi="GHEA Grapalat"/>
          <w:color w:val="auto"/>
          <w:sz w:val="28"/>
          <w:szCs w:val="20"/>
          <w:lang w:val="hy-AM"/>
        </w:rPr>
      </w:pPr>
      <w:bookmarkStart w:id="518" w:name="_Toc241687689"/>
      <w:r w:rsidRPr="000232DD">
        <w:rPr>
          <w:rFonts w:ascii="GHEA Grapalat" w:hAnsi="GHEA Grapalat"/>
          <w:color w:val="auto"/>
          <w:sz w:val="28"/>
          <w:szCs w:val="20"/>
          <w:lang w:val="hy-AM"/>
        </w:rPr>
        <w:t>4.</w:t>
      </w:r>
      <w:r w:rsidR="003C4696" w:rsidRPr="000232DD">
        <w:rPr>
          <w:rFonts w:ascii="GHEA Grapalat" w:hAnsi="GHEA Grapalat"/>
          <w:color w:val="auto"/>
          <w:sz w:val="28"/>
          <w:szCs w:val="20"/>
          <w:lang w:val="hy-AM"/>
        </w:rPr>
        <w:t>202</w:t>
      </w:r>
      <w:r w:rsidR="002D118D">
        <w:rPr>
          <w:rFonts w:ascii="GHEA Grapalat" w:hAnsi="GHEA Grapalat"/>
          <w:color w:val="auto"/>
          <w:sz w:val="28"/>
          <w:szCs w:val="20"/>
          <w:lang w:val="hy-AM"/>
        </w:rPr>
        <w:t>7</w:t>
      </w:r>
      <w:r w:rsidR="003C4696" w:rsidRPr="000232DD">
        <w:rPr>
          <w:rFonts w:ascii="GHEA Grapalat" w:hAnsi="GHEA Grapalat"/>
          <w:color w:val="auto"/>
          <w:sz w:val="28"/>
          <w:szCs w:val="20"/>
          <w:lang w:val="hy-AM"/>
        </w:rPr>
        <w:t xml:space="preserve"> ԹՎԱԿԱՆԻ ՀԱՐԿԱՅԻՆ ԾԱԽՍԵՐԻ ԳՆԱՀԱՏԱԿԱՆԻ ՎԵՐԼՈՒԾՈՒԹՅՈՒՆ</w:t>
      </w:r>
      <w:bookmarkEnd w:id="518"/>
    </w:p>
    <w:p w14:paraId="7A3E6AB0" w14:textId="1D86D367" w:rsidR="003C4696" w:rsidRPr="000232DD" w:rsidRDefault="003C4696" w:rsidP="00082769">
      <w:pPr>
        <w:pStyle w:val="TOC4"/>
        <w:ind w:right="-22"/>
        <w:rPr>
          <w:color w:val="auto"/>
          <w:lang w:val="hy-AM"/>
        </w:rPr>
      </w:pPr>
      <w:r w:rsidRPr="000232DD">
        <w:rPr>
          <w:color w:val="auto"/>
          <w:lang w:val="hy-AM"/>
        </w:rPr>
        <w:t>ՆԱԽԱԲԱՆ.</w:t>
      </w:r>
    </w:p>
    <w:p w14:paraId="478FCBF6" w14:textId="77777777" w:rsidR="003C4696" w:rsidRPr="000232DD" w:rsidRDefault="003C4696" w:rsidP="00082769">
      <w:pPr>
        <w:pStyle w:val="BodyText1"/>
        <w:ind w:left="0" w:right="-22"/>
        <w:rPr>
          <w:color w:val="auto"/>
          <w:lang w:val="hy-AM"/>
        </w:rPr>
      </w:pPr>
      <w:r w:rsidRPr="000232DD">
        <w:rPr>
          <w:color w:val="auto"/>
          <w:lang w:val="hy-AM"/>
        </w:rPr>
        <w:t>Արդյունավետ հարկա</w:t>
      </w:r>
      <w:r w:rsidRPr="000232DD">
        <w:rPr>
          <w:color w:val="auto"/>
          <w:lang w:val="hy-AM"/>
        </w:rPr>
        <w:softHyphen/>
        <w:t>բյու</w:t>
      </w:r>
      <w:r w:rsidRPr="000232DD">
        <w:rPr>
          <w:color w:val="auto"/>
          <w:lang w:val="hy-AM"/>
        </w:rPr>
        <w:softHyphen/>
        <w:t>ջետային քաղաքականություն մշա</w:t>
      </w:r>
      <w:r w:rsidRPr="000232DD">
        <w:rPr>
          <w:color w:val="auto"/>
          <w:lang w:val="hy-AM"/>
        </w:rPr>
        <w:softHyphen/>
        <w:t>կելու և իրականացնելու տես</w:t>
      </w:r>
      <w:r w:rsidRPr="000232DD">
        <w:rPr>
          <w:color w:val="auto"/>
          <w:lang w:val="hy-AM"/>
        </w:rPr>
        <w:softHyphen/>
        <w:t>անկյունից հարկային ծախսերի գնահատականը խիստ կարևոր է, քանի որ հար</w:t>
      </w:r>
      <w:r w:rsidRPr="000232DD">
        <w:rPr>
          <w:color w:val="auto"/>
          <w:lang w:val="hy-AM"/>
        </w:rPr>
        <w:softHyphen/>
        <w:t>կա</w:t>
      </w:r>
      <w:r w:rsidRPr="000232DD">
        <w:rPr>
          <w:color w:val="auto"/>
          <w:lang w:val="hy-AM"/>
        </w:rPr>
        <w:softHyphen/>
        <w:t>յին ծախ</w:t>
      </w:r>
      <w:r w:rsidRPr="000232DD">
        <w:rPr>
          <w:color w:val="auto"/>
          <w:lang w:val="hy-AM"/>
        </w:rPr>
        <w:softHyphen/>
        <w:t>սերի գնահատմամբ ամբողջականացվում է պետության կողմից իրա</w:t>
      </w:r>
      <w:r w:rsidRPr="000232DD">
        <w:rPr>
          <w:color w:val="auto"/>
          <w:lang w:val="hy-AM"/>
        </w:rPr>
        <w:softHyphen/>
        <w:t>կա</w:t>
      </w:r>
      <w:r w:rsidRPr="000232DD">
        <w:rPr>
          <w:color w:val="auto"/>
          <w:lang w:val="hy-AM"/>
        </w:rPr>
        <w:softHyphen/>
        <w:t>նացվող` եկա</w:t>
      </w:r>
      <w:r w:rsidRPr="000232DD">
        <w:rPr>
          <w:color w:val="auto"/>
          <w:lang w:val="hy-AM"/>
        </w:rPr>
        <w:softHyphen/>
        <w:t>մուտ</w:t>
      </w:r>
      <w:r w:rsidRPr="000232DD">
        <w:rPr>
          <w:color w:val="auto"/>
          <w:lang w:val="hy-AM"/>
        </w:rPr>
        <w:softHyphen/>
        <w:t>ների վերա</w:t>
      </w:r>
      <w:r w:rsidRPr="000232DD">
        <w:rPr>
          <w:color w:val="auto"/>
          <w:lang w:val="hy-AM"/>
        </w:rPr>
        <w:softHyphen/>
        <w:t>բաշխման գործառույթի շրջանակներն ու արդյունավե</w:t>
      </w:r>
      <w:r w:rsidRPr="000232DD">
        <w:rPr>
          <w:color w:val="auto"/>
          <w:lang w:val="hy-AM"/>
        </w:rPr>
        <w:softHyphen/>
        <w:t>տու</w:t>
      </w:r>
      <w:r w:rsidRPr="000232DD">
        <w:rPr>
          <w:color w:val="auto"/>
          <w:lang w:val="hy-AM"/>
        </w:rPr>
        <w:softHyphen/>
        <w:t>թյունը:</w:t>
      </w:r>
    </w:p>
    <w:p w14:paraId="7290771A" w14:textId="77777777" w:rsidR="003C4696" w:rsidRPr="000232DD" w:rsidRDefault="003C4696" w:rsidP="00082769">
      <w:pPr>
        <w:pStyle w:val="BodyText1"/>
        <w:ind w:left="0" w:right="-22"/>
        <w:rPr>
          <w:color w:val="auto"/>
          <w:lang w:val="hy-AM"/>
        </w:rPr>
      </w:pPr>
      <w:r w:rsidRPr="000232DD">
        <w:rPr>
          <w:color w:val="auto"/>
          <w:lang w:val="hy-AM"/>
        </w:rPr>
        <w:t>Հարկային ծախսերի գնահատականի վերաբերյալ տեղեկատվությունը թափանցիկ և շահա</w:t>
      </w:r>
      <w:r w:rsidRPr="000232DD">
        <w:rPr>
          <w:color w:val="auto"/>
          <w:lang w:val="hy-AM"/>
        </w:rPr>
        <w:softHyphen/>
        <w:t>ռուների տարբեր խմբերի համար հասանելի դարձնելու նպատակով, որոշ երկրներ այդ տեղեկատվությունը ներառում են առաջիկա տարվա համար մշակվող բյուջեի բացատ</w:t>
      </w:r>
      <w:r w:rsidRPr="000232DD">
        <w:rPr>
          <w:color w:val="auto"/>
          <w:lang w:val="hy-AM"/>
        </w:rPr>
        <w:softHyphen/>
        <w:t>րա</w:t>
      </w:r>
      <w:r w:rsidRPr="000232DD">
        <w:rPr>
          <w:color w:val="auto"/>
          <w:lang w:val="hy-AM"/>
        </w:rPr>
        <w:softHyphen/>
        <w:t>գրում:</w:t>
      </w:r>
    </w:p>
    <w:p w14:paraId="2B361F60" w14:textId="77777777" w:rsidR="003C4696" w:rsidRPr="000232DD" w:rsidRDefault="003C4696" w:rsidP="00082769">
      <w:pPr>
        <w:pStyle w:val="BodyText1"/>
        <w:ind w:left="0" w:right="-22"/>
        <w:rPr>
          <w:color w:val="auto"/>
          <w:lang w:val="hy-AM"/>
        </w:rPr>
      </w:pPr>
      <w:r w:rsidRPr="000232DD">
        <w:rPr>
          <w:color w:val="auto"/>
          <w:lang w:val="hy-AM"/>
        </w:rPr>
        <w:t>Հայաստանի Հանրա</w:t>
      </w:r>
      <w:r w:rsidRPr="000232DD">
        <w:rPr>
          <w:color w:val="auto"/>
          <w:lang w:val="hy-AM"/>
        </w:rPr>
        <w:softHyphen/>
        <w:t>պե</w:t>
      </w:r>
      <w:r w:rsidRPr="000232DD">
        <w:rPr>
          <w:color w:val="auto"/>
          <w:lang w:val="hy-AM"/>
        </w:rPr>
        <w:softHyphen/>
        <w:t>տու</w:t>
      </w:r>
      <w:r w:rsidRPr="000232DD">
        <w:rPr>
          <w:color w:val="auto"/>
          <w:lang w:val="hy-AM"/>
        </w:rPr>
        <w:softHyphen/>
        <w:t>թյունում առաջին անգամ հարկային ծախսերի մեծությունը գնահատվել է 2015թ. համար, որը ներառ</w:t>
      </w:r>
      <w:r w:rsidRPr="000232DD">
        <w:rPr>
          <w:color w:val="auto"/>
          <w:lang w:val="hy-AM"/>
        </w:rPr>
        <w:softHyphen/>
        <w:t xml:space="preserve">վել է 2015 թվականի պետական բյուջեի մասին ՀՀ օրենքի բացատրագրում` որպես առանձին հավելված: </w:t>
      </w:r>
    </w:p>
    <w:p w14:paraId="00A174D0" w14:textId="2094C689" w:rsidR="003C4696" w:rsidRPr="000232DD" w:rsidRDefault="003C4696" w:rsidP="00082769">
      <w:pPr>
        <w:pStyle w:val="TOC4"/>
        <w:ind w:right="-22"/>
        <w:rPr>
          <w:color w:val="auto"/>
          <w:lang w:val="hy-AM"/>
        </w:rPr>
      </w:pPr>
      <w:r w:rsidRPr="000232DD">
        <w:rPr>
          <w:color w:val="auto"/>
          <w:lang w:val="hy-AM"/>
        </w:rPr>
        <w:t>ՀԱՐԿԱՅԻՆ ԾԱԽՍԵՐԸ.</w:t>
      </w:r>
    </w:p>
    <w:p w14:paraId="4D0B0F2D" w14:textId="77777777" w:rsidR="003C4696" w:rsidRPr="000232DD" w:rsidRDefault="003C4696" w:rsidP="00082769">
      <w:pPr>
        <w:pStyle w:val="BodyText1"/>
        <w:ind w:left="0" w:right="-22"/>
        <w:rPr>
          <w:color w:val="auto"/>
          <w:lang w:val="hy-AM"/>
        </w:rPr>
      </w:pPr>
      <w:r w:rsidRPr="000232DD">
        <w:rPr>
          <w:color w:val="auto"/>
          <w:lang w:val="hy-AM"/>
        </w:rPr>
        <w:t>Հայաստանի Հանրապետության գործող օրենսդրությամբ Հարկային ծախս հասկա</w:t>
      </w:r>
      <w:r w:rsidRPr="000232DD">
        <w:rPr>
          <w:color w:val="auto"/>
          <w:lang w:val="hy-AM"/>
        </w:rPr>
        <w:softHyphen/>
        <w:t>ցու</w:t>
      </w:r>
      <w:r w:rsidRPr="000232DD">
        <w:rPr>
          <w:color w:val="auto"/>
          <w:lang w:val="hy-AM"/>
        </w:rPr>
        <w:softHyphen/>
        <w:t>թյունը սահմանված չէ: Բովան</w:t>
      </w:r>
      <w:r w:rsidRPr="000232DD">
        <w:rPr>
          <w:color w:val="auto"/>
          <w:lang w:val="hy-AM"/>
        </w:rPr>
        <w:softHyphen/>
        <w:t>դակային առումով, հարկային ծախսերը գործող հարկային արտոնությունների հետևան</w:t>
      </w:r>
      <w:r w:rsidRPr="000232DD">
        <w:rPr>
          <w:color w:val="auto"/>
          <w:lang w:val="hy-AM"/>
        </w:rPr>
        <w:softHyphen/>
        <w:t>քով պետական բյուջե չգանձվող (պակաս գանձվող) հարկային եկամուտներն են կամ այդ եկամուտների չափով պետության կրած այլընտրանքային ծախ</w:t>
      </w:r>
      <w:r w:rsidRPr="000232DD">
        <w:rPr>
          <w:color w:val="auto"/>
          <w:lang w:val="hy-AM"/>
        </w:rPr>
        <w:softHyphen/>
        <w:t>սերն են, քանի որ հարկային ծախսերը հանգեցնում են համապատասխան գումարի չափով բյու</w:t>
      </w:r>
      <w:r w:rsidRPr="000232DD">
        <w:rPr>
          <w:color w:val="auto"/>
          <w:lang w:val="hy-AM"/>
        </w:rPr>
        <w:softHyphen/>
        <w:t>ջետային ծախսերի կրճատման: Ընդ որում, ի տարբերություն պետական բյուջեի ծախ</w:t>
      </w:r>
      <w:r w:rsidRPr="000232DD">
        <w:rPr>
          <w:color w:val="auto"/>
          <w:lang w:val="hy-AM"/>
        </w:rPr>
        <w:softHyphen/>
        <w:t>սե</w:t>
      </w:r>
      <w:r w:rsidRPr="000232DD">
        <w:rPr>
          <w:color w:val="auto"/>
          <w:lang w:val="hy-AM"/>
        </w:rPr>
        <w:softHyphen/>
        <w:t>րի, որոնք ենթակա են խորքային վերլուծության, մոնիտորինգի ու հսկողության, հարկային ծախսերը հաճախ պատշաճ ձևով չեն վերահսկվում: Արդյունքում, նվազում է հանրային ֆինանս</w:t>
      </w:r>
      <w:r w:rsidRPr="000232DD">
        <w:rPr>
          <w:color w:val="auto"/>
          <w:lang w:val="hy-AM"/>
        </w:rPr>
        <w:softHyphen/>
        <w:t>ների կառավարման արդյունավետությունն ու թափանցիկությունը, սահմանափակ</w:t>
      </w:r>
      <w:r w:rsidRPr="000232DD">
        <w:rPr>
          <w:color w:val="auto"/>
          <w:lang w:val="hy-AM"/>
        </w:rPr>
        <w:softHyphen/>
        <w:t>վում են պետության վերաբաշխիչ գործառույթի շրջանակները: Այդ իսկ պատճառով հար</w:t>
      </w:r>
      <w:r w:rsidRPr="000232DD">
        <w:rPr>
          <w:color w:val="auto"/>
          <w:lang w:val="hy-AM"/>
        </w:rPr>
        <w:softHyphen/>
        <w:t>կա</w:t>
      </w:r>
      <w:r w:rsidRPr="000232DD">
        <w:rPr>
          <w:color w:val="auto"/>
          <w:lang w:val="hy-AM"/>
        </w:rPr>
        <w:softHyphen/>
        <w:t>յին ծախսերի պարբերաբար գնահատումը հանգուցային նշանակություն ունի պետության հար</w:t>
      </w:r>
      <w:r w:rsidRPr="000232DD">
        <w:rPr>
          <w:color w:val="auto"/>
          <w:lang w:val="hy-AM"/>
        </w:rPr>
        <w:softHyphen/>
        <w:t>կաբյուջետային քաղաքականության տեսանկյունից:</w:t>
      </w:r>
    </w:p>
    <w:p w14:paraId="33BD5F7A" w14:textId="7B711ED3" w:rsidR="003C4696" w:rsidRPr="000232DD" w:rsidRDefault="003C4696" w:rsidP="00082769">
      <w:pPr>
        <w:pStyle w:val="TOC4"/>
        <w:ind w:right="-22"/>
        <w:rPr>
          <w:color w:val="auto"/>
          <w:lang w:val="hy-AM"/>
        </w:rPr>
      </w:pPr>
      <w:r w:rsidRPr="000232DD">
        <w:rPr>
          <w:color w:val="auto"/>
          <w:lang w:val="hy-AM"/>
        </w:rPr>
        <w:t>ՀԱՇՎԵՏՎՈՒԹՅԱՄԲ ԸՆԴԳՐԿՎՈՂ ԺԱՄԱՆԱԿԱՀԱՏՎԱԾԸ, ՀԱՐԿԱՅԻՆ ԾԱԽՍԵՐԻ ԳՆԱՀԱՏՄԱՆ ՀԱՄԱՐ ՕԳՏԱԳՈՐԾՎԱԾ ՏԵՂԵԿԱՏՎՈՒԹՅՈՒՆԸ և ԸՆՏՐՎԱԾ ՄԵԹՈԴԱԲԱՆՈՒԹՅՈՒՆԸ.</w:t>
      </w:r>
    </w:p>
    <w:p w14:paraId="0304A7DC" w14:textId="77777777" w:rsidR="003C4696" w:rsidRPr="000232DD" w:rsidRDefault="003C4696" w:rsidP="00082769">
      <w:pPr>
        <w:pStyle w:val="BodyText1"/>
        <w:ind w:left="0" w:right="-22"/>
        <w:rPr>
          <w:color w:val="auto"/>
          <w:lang w:val="hy-AM"/>
        </w:rPr>
      </w:pPr>
      <w:r w:rsidRPr="000232DD">
        <w:rPr>
          <w:color w:val="auto"/>
          <w:lang w:val="hy-AM"/>
        </w:rPr>
        <w:t>Սույն հաշվետվությամբ գնահատված են 2027 թվականի հաշվետու տարվա հարկային ծախսերը:</w:t>
      </w:r>
    </w:p>
    <w:p w14:paraId="64A862E9" w14:textId="77777777" w:rsidR="003C4696" w:rsidRPr="000232DD" w:rsidRDefault="003C4696" w:rsidP="00082769">
      <w:pPr>
        <w:pStyle w:val="BodyText1"/>
        <w:ind w:left="0" w:right="-22"/>
        <w:rPr>
          <w:color w:val="auto"/>
          <w:lang w:val="hy-AM"/>
        </w:rPr>
      </w:pPr>
      <w:r w:rsidRPr="000232DD">
        <w:rPr>
          <w:color w:val="auto"/>
          <w:lang w:val="hy-AM"/>
        </w:rPr>
        <w:t>Գնահատման համար տեղեկատվական հիմք են հանդիսացել 2025 թվականի հաշ</w:t>
      </w:r>
      <w:r w:rsidRPr="000232DD">
        <w:rPr>
          <w:color w:val="auto"/>
          <w:lang w:val="hy-AM"/>
        </w:rPr>
        <w:softHyphen/>
        <w:t>վետու տարվա համար ՀՀ վիճակագրական կոմիտեի կողմից հրապարակված հիմ</w:t>
      </w:r>
      <w:r w:rsidRPr="000232DD">
        <w:rPr>
          <w:color w:val="auto"/>
          <w:lang w:val="hy-AM"/>
        </w:rPr>
        <w:softHyphen/>
        <w:t>նա</w:t>
      </w:r>
      <w:r w:rsidRPr="000232DD">
        <w:rPr>
          <w:color w:val="auto"/>
          <w:lang w:val="hy-AM"/>
        </w:rPr>
        <w:softHyphen/>
        <w:t>կան մակրոտնտեսական տվյալները, ինչ</w:t>
      </w:r>
      <w:r w:rsidRPr="000232DD">
        <w:rPr>
          <w:color w:val="auto"/>
          <w:lang w:val="hy-AM"/>
        </w:rPr>
        <w:softHyphen/>
        <w:t>պես նաև ՀՀ  ՊԵԿ  տեղեկատվական բազայում առկա` տնտեսա</w:t>
      </w:r>
      <w:r w:rsidRPr="000232DD">
        <w:rPr>
          <w:color w:val="auto"/>
          <w:lang w:val="hy-AM"/>
        </w:rPr>
        <w:softHyphen/>
        <w:t>վա</w:t>
      </w:r>
      <w:r w:rsidRPr="000232DD">
        <w:rPr>
          <w:color w:val="auto"/>
          <w:lang w:val="hy-AM"/>
        </w:rPr>
        <w:softHyphen/>
        <w:t>րող սուբյեկտների կողմից ներկայացված հաշվետվությունների տվյալները, որոնք ենթարկվել են որոշակի ճշգրտումների` կապ</w:t>
      </w:r>
      <w:r w:rsidRPr="000232DD">
        <w:rPr>
          <w:color w:val="auto"/>
          <w:lang w:val="hy-AM"/>
        </w:rPr>
        <w:softHyphen/>
        <w:t>ված 2027 թվականի համար կանխատեսվող համապատասխան տվյալների հետ:</w:t>
      </w:r>
    </w:p>
    <w:p w14:paraId="2AE76322" w14:textId="77777777" w:rsidR="003C4696" w:rsidRPr="000232DD" w:rsidRDefault="003C4696" w:rsidP="00082769">
      <w:pPr>
        <w:pStyle w:val="BodyText1"/>
        <w:ind w:left="0" w:right="-22"/>
        <w:rPr>
          <w:color w:val="auto"/>
          <w:lang w:val="hy-AM"/>
        </w:rPr>
      </w:pPr>
      <w:r w:rsidRPr="000232DD">
        <w:rPr>
          <w:color w:val="auto"/>
          <w:lang w:val="hy-AM"/>
        </w:rPr>
        <w:t>Հաշվետվության մեթոդաբանության հիմքում դրված են ՀՆԱ-ի ճյուղային կառուց</w:t>
      </w:r>
      <w:r w:rsidRPr="000232DD">
        <w:rPr>
          <w:color w:val="auto"/>
          <w:lang w:val="hy-AM"/>
        </w:rPr>
        <w:softHyphen/>
        <w:t>վածքի (հարկունակ և ոչ հարկունակ մասերի) ուսումնասիրության մակրոտնտեսական մոտե</w:t>
      </w:r>
      <w:r w:rsidRPr="000232DD">
        <w:rPr>
          <w:color w:val="auto"/>
          <w:lang w:val="hy-AM"/>
        </w:rPr>
        <w:softHyphen/>
      </w:r>
      <w:r w:rsidRPr="000232DD">
        <w:rPr>
          <w:color w:val="auto"/>
          <w:lang w:val="hy-AM"/>
        </w:rPr>
        <w:softHyphen/>
      </w:r>
      <w:r w:rsidRPr="000232DD">
        <w:rPr>
          <w:color w:val="auto"/>
          <w:lang w:val="hy-AM"/>
        </w:rPr>
        <w:softHyphen/>
        <w:t>ցումները, 2025 թվականին վերաբերող ԱԱՀ-ի, շահութահարկի, շրջանառության հարկի և շրջանառության հարկի հաշվարկներով՝ ԱԱՀ-ի, շահութահարկի և եկամտային հարկի արտոնությունների, ինչպես նաև ԱԱՀ-ով հարկվող շեմի ուսումնասիրության արդյունքները:</w:t>
      </w:r>
    </w:p>
    <w:p w14:paraId="09D2DBB5" w14:textId="77777777" w:rsidR="003C4696" w:rsidRPr="000232DD" w:rsidRDefault="003C4696" w:rsidP="00082769">
      <w:pPr>
        <w:pStyle w:val="BodyText1"/>
        <w:ind w:left="0" w:right="-22"/>
        <w:rPr>
          <w:color w:val="auto"/>
          <w:lang w:val="hy-AM"/>
        </w:rPr>
      </w:pPr>
      <w:r w:rsidRPr="000232DD">
        <w:rPr>
          <w:color w:val="auto"/>
          <w:lang w:val="hy-AM"/>
        </w:rPr>
        <w:t>Հաշվետվության կազմման համար ընտրվող մեթոդաբանության տեսանկյունից շատ կարևոր է նաև Հարկային ծախս հասկացության հստակ սահմանումը և հարկային ծախ</w:t>
      </w:r>
      <w:r w:rsidRPr="000232DD">
        <w:rPr>
          <w:color w:val="auto"/>
          <w:lang w:val="hy-AM"/>
        </w:rPr>
        <w:softHyphen/>
        <w:t>սերի շրջանակի ճիշտ որոշումը: Այս առումով, հատ</w:t>
      </w:r>
      <w:r w:rsidRPr="000232DD">
        <w:rPr>
          <w:color w:val="auto"/>
          <w:lang w:val="hy-AM"/>
        </w:rPr>
        <w:softHyphen/>
        <w:t>կա</w:t>
      </w:r>
      <w:r w:rsidRPr="000232DD">
        <w:rPr>
          <w:color w:val="auto"/>
          <w:lang w:val="hy-AM"/>
        </w:rPr>
        <w:softHyphen/>
        <w:t>նշական է այն, որ գործող հարկային օրենս</w:t>
      </w:r>
      <w:r w:rsidRPr="000232DD">
        <w:rPr>
          <w:color w:val="auto"/>
          <w:lang w:val="hy-AM"/>
        </w:rPr>
        <w:softHyphen/>
        <w:t>դրությամբ նախատեսված` հարկման արտոնյալ պայմաններ ենթադրող ոչ բոլոր կար</w:t>
      </w:r>
      <w:r w:rsidRPr="000232DD">
        <w:rPr>
          <w:color w:val="auto"/>
          <w:lang w:val="hy-AM"/>
        </w:rPr>
        <w:softHyphen/>
        <w:t>գա</w:t>
      </w:r>
      <w:r w:rsidRPr="000232DD">
        <w:rPr>
          <w:color w:val="auto"/>
          <w:lang w:val="hy-AM"/>
        </w:rPr>
        <w:softHyphen/>
        <w:t>վորումները կարելի է դիտարկել որպես հարկային ծախսեր (օրինակ` եկամտային հար</w:t>
      </w:r>
      <w:r w:rsidRPr="000232DD">
        <w:rPr>
          <w:color w:val="auto"/>
          <w:lang w:val="hy-AM"/>
        </w:rPr>
        <w:softHyphen/>
        <w:t>կով հարկման նպատակով համախառն եկամտից նվազեցվող եկամուտները)` անգամ եթե դրանց կիրառության արդյունքում կրճատվում են տնտեսավարող սուբյեկտների կողմից վճար</w:t>
      </w:r>
      <w:r w:rsidRPr="000232DD">
        <w:rPr>
          <w:color w:val="auto"/>
          <w:lang w:val="hy-AM"/>
        </w:rPr>
        <w:softHyphen/>
        <w:t>վող հարկերը: Հարկային ծախսերի շրջանակի որոշման համար հաշվի է առնվել Հենա</w:t>
      </w:r>
      <w:r w:rsidRPr="000232DD">
        <w:rPr>
          <w:color w:val="auto"/>
          <w:lang w:val="hy-AM"/>
        </w:rPr>
        <w:softHyphen/>
        <w:t>նի</w:t>
      </w:r>
      <w:r w:rsidRPr="000232DD">
        <w:rPr>
          <w:color w:val="auto"/>
          <w:lang w:val="hy-AM"/>
        </w:rPr>
        <w:softHyphen/>
        <w:t>շա</w:t>
      </w:r>
      <w:r w:rsidRPr="000232DD">
        <w:rPr>
          <w:color w:val="auto"/>
          <w:lang w:val="hy-AM"/>
        </w:rPr>
        <w:softHyphen/>
        <w:t>յին հարկ հասկացությունը, որն իրենից ներկայացնում է հարկերի այն հան</w:t>
      </w:r>
      <w:r w:rsidRPr="000232DD">
        <w:rPr>
          <w:color w:val="auto"/>
          <w:lang w:val="hy-AM"/>
        </w:rPr>
        <w:softHyphen/>
        <w:t>րա</w:t>
      </w:r>
      <w:r w:rsidRPr="000232DD">
        <w:rPr>
          <w:color w:val="auto"/>
          <w:lang w:val="hy-AM"/>
        </w:rPr>
        <w:softHyphen/>
        <w:t>գու</w:t>
      </w:r>
      <w:r w:rsidRPr="000232DD">
        <w:rPr>
          <w:color w:val="auto"/>
          <w:lang w:val="hy-AM"/>
        </w:rPr>
        <w:softHyphen/>
        <w:t>մարը, որը կվճար</w:t>
      </w:r>
      <w:r w:rsidRPr="000232DD">
        <w:rPr>
          <w:color w:val="auto"/>
          <w:lang w:val="hy-AM"/>
        </w:rPr>
        <w:softHyphen/>
        <w:t>վեր պետական բյուջե տնտեսության մեջ ձևավորվող ողջ հարկման բազան հար</w:t>
      </w:r>
      <w:r w:rsidRPr="000232DD">
        <w:rPr>
          <w:color w:val="auto"/>
          <w:lang w:val="hy-AM"/>
        </w:rPr>
        <w:softHyphen/>
        <w:t>կելու պարա</w:t>
      </w:r>
      <w:r w:rsidRPr="000232DD">
        <w:rPr>
          <w:color w:val="auto"/>
          <w:lang w:val="hy-AM"/>
        </w:rPr>
        <w:softHyphen/>
        <w:t>գայում: Այս համատեքստում հարկային ծախսերը որոշվել են որպես հենանի</w:t>
      </w:r>
      <w:r w:rsidRPr="000232DD">
        <w:rPr>
          <w:color w:val="auto"/>
          <w:lang w:val="hy-AM"/>
        </w:rPr>
        <w:softHyphen/>
        <w:t>շա</w:t>
      </w:r>
      <w:r w:rsidRPr="000232DD">
        <w:rPr>
          <w:color w:val="auto"/>
          <w:lang w:val="hy-AM"/>
        </w:rPr>
        <w:softHyphen/>
        <w:t>յին հարկերի և փաստացի պետական բյուջե վճարվող հարկերի տարբերություն: Հար</w:t>
      </w:r>
      <w:r w:rsidRPr="000232DD">
        <w:rPr>
          <w:color w:val="auto"/>
          <w:lang w:val="hy-AM"/>
        </w:rPr>
        <w:softHyphen/>
        <w:t>կային ծախսերի գնահատումը` որպես հենանիշային հարկերի ու պետական բյուջե փաս</w:t>
      </w:r>
      <w:r w:rsidRPr="000232DD">
        <w:rPr>
          <w:color w:val="auto"/>
          <w:lang w:val="hy-AM"/>
        </w:rPr>
        <w:softHyphen/>
        <w:t>տացի գանձվող հարկերի տարբերություն, ընդունված մոտեցում է նաև միջազգային պրակ</w:t>
      </w:r>
      <w:r w:rsidRPr="000232DD">
        <w:rPr>
          <w:color w:val="auto"/>
          <w:lang w:val="hy-AM"/>
        </w:rPr>
        <w:softHyphen/>
        <w:t>տի</w:t>
      </w:r>
      <w:r w:rsidRPr="000232DD">
        <w:rPr>
          <w:color w:val="auto"/>
          <w:lang w:val="hy-AM"/>
        </w:rPr>
        <w:softHyphen/>
        <w:t>կա</w:t>
      </w:r>
      <w:r w:rsidRPr="000232DD">
        <w:rPr>
          <w:color w:val="auto"/>
          <w:lang w:val="hy-AM"/>
        </w:rPr>
        <w:softHyphen/>
        <w:t>յում: Ընդ որում, հատկանշական է այն, որ միջազգային պրակտիկայում հենա</w:t>
      </w:r>
      <w:r w:rsidRPr="000232DD">
        <w:rPr>
          <w:color w:val="auto"/>
          <w:lang w:val="hy-AM"/>
        </w:rPr>
        <w:softHyphen/>
        <w:t>նի</w:t>
      </w:r>
      <w:r w:rsidRPr="000232DD">
        <w:rPr>
          <w:color w:val="auto"/>
          <w:lang w:val="hy-AM"/>
        </w:rPr>
        <w:softHyphen/>
        <w:t>շային հար</w:t>
      </w:r>
      <w:r w:rsidRPr="000232DD">
        <w:rPr>
          <w:color w:val="auto"/>
          <w:lang w:val="hy-AM"/>
        </w:rPr>
        <w:softHyphen/>
        <w:t>կերի կամ այլ կերպ ասած` հարկային նշաձողի միասնական կամ սպառիչ սահ</w:t>
      </w:r>
      <w:r w:rsidRPr="000232DD">
        <w:rPr>
          <w:color w:val="auto"/>
          <w:lang w:val="hy-AM"/>
        </w:rPr>
        <w:softHyphen/>
        <w:t>մա</w:t>
      </w:r>
      <w:r w:rsidRPr="000232DD">
        <w:rPr>
          <w:color w:val="auto"/>
          <w:lang w:val="hy-AM"/>
        </w:rPr>
        <w:softHyphen/>
        <w:t>նում չկա: Երկրների մի մասում, օրինակ, հարկային ծախսերը սահմանվում են որպես օրենս</w:t>
      </w:r>
      <w:r w:rsidRPr="000232DD">
        <w:rPr>
          <w:color w:val="auto"/>
          <w:lang w:val="hy-AM"/>
        </w:rPr>
        <w:softHyphen/>
      </w:r>
      <w:r w:rsidRPr="000232DD">
        <w:rPr>
          <w:color w:val="auto"/>
          <w:lang w:val="hy-AM"/>
        </w:rPr>
        <w:softHyphen/>
        <w:t>դրու</w:t>
      </w:r>
      <w:r w:rsidRPr="000232DD">
        <w:rPr>
          <w:color w:val="auto"/>
          <w:lang w:val="hy-AM"/>
        </w:rPr>
        <w:softHyphen/>
      </w:r>
      <w:r w:rsidRPr="000232DD">
        <w:rPr>
          <w:color w:val="auto"/>
          <w:lang w:val="hy-AM"/>
        </w:rPr>
        <w:softHyphen/>
        <w:t>թյամբ նախատեսված դրույթներ, որոնց կիրառությունը հանգեցնում է պետական եկա</w:t>
      </w:r>
      <w:r w:rsidRPr="000232DD">
        <w:rPr>
          <w:color w:val="auto"/>
          <w:lang w:val="hy-AM"/>
        </w:rPr>
        <w:softHyphen/>
        <w:t>մուտ</w:t>
      </w:r>
      <w:r w:rsidRPr="000232DD">
        <w:rPr>
          <w:color w:val="auto"/>
          <w:lang w:val="hy-AM"/>
        </w:rPr>
        <w:softHyphen/>
        <w:t>ների կրճատման հարկային նշաձողի կամ նորմի (այսինքն` հարկի հաշվարկման հիմ</w:t>
      </w:r>
      <w:r w:rsidRPr="000232DD">
        <w:rPr>
          <w:color w:val="auto"/>
          <w:lang w:val="hy-AM"/>
        </w:rPr>
        <w:softHyphen/>
        <w:t>նա</w:t>
      </w:r>
      <w:r w:rsidRPr="000232DD">
        <w:rPr>
          <w:color w:val="auto"/>
          <w:lang w:val="hy-AM"/>
        </w:rPr>
        <w:softHyphen/>
        <w:t>կան սկզբունքի) կիրառության համեմատությամբ: Հարկային ծախսերի սահմանման ընդ</w:t>
      </w:r>
      <w:r w:rsidRPr="000232DD">
        <w:rPr>
          <w:color w:val="auto"/>
          <w:lang w:val="hy-AM"/>
        </w:rPr>
        <w:softHyphen/>
        <w:t>հա</w:t>
      </w:r>
      <w:r w:rsidRPr="000232DD">
        <w:rPr>
          <w:color w:val="auto"/>
          <w:lang w:val="hy-AM"/>
        </w:rPr>
        <w:softHyphen/>
        <w:t>նուր սկզբունքն այն է, որ դրանք ունեն սահմանափակ կիրառության շրջանակ: Օրենս</w:t>
      </w:r>
      <w:r w:rsidRPr="000232DD">
        <w:rPr>
          <w:color w:val="auto"/>
          <w:lang w:val="hy-AM"/>
        </w:rPr>
        <w:softHyphen/>
        <w:t>դրու</w:t>
      </w:r>
      <w:r w:rsidRPr="000232DD">
        <w:rPr>
          <w:color w:val="auto"/>
          <w:lang w:val="hy-AM"/>
        </w:rPr>
        <w:softHyphen/>
        <w:t>թյան այնպիսի դրույթներ, որոնցից կարող է օգտվել հարկ վճարողների մեծա</w:t>
      </w:r>
      <w:r w:rsidRPr="000232DD">
        <w:rPr>
          <w:color w:val="auto"/>
          <w:lang w:val="hy-AM"/>
        </w:rPr>
        <w:softHyphen/>
        <w:t>մաս</w:t>
      </w:r>
      <w:r w:rsidRPr="000232DD">
        <w:rPr>
          <w:color w:val="auto"/>
          <w:lang w:val="hy-AM"/>
        </w:rPr>
        <w:softHyphen/>
        <w:t>նու</w:t>
      </w:r>
      <w:r w:rsidRPr="000232DD">
        <w:rPr>
          <w:color w:val="auto"/>
          <w:lang w:val="hy-AM"/>
        </w:rPr>
        <w:softHyphen/>
        <w:t>թյունը, դիտվում են որպես ընդհանուր կանոնի` հարկային նորմի մաս և չեն որակվում որպես հարկային ծախսեր: Կան երկրներ, որտեղ ընդհանրապես հարկային ծախ</w:t>
      </w:r>
      <w:r w:rsidRPr="000232DD">
        <w:rPr>
          <w:color w:val="auto"/>
          <w:lang w:val="hy-AM"/>
        </w:rPr>
        <w:softHyphen/>
        <w:t>սերի կամ հենա</w:t>
      </w:r>
      <w:r w:rsidRPr="000232DD">
        <w:rPr>
          <w:color w:val="auto"/>
          <w:lang w:val="hy-AM"/>
        </w:rPr>
        <w:softHyphen/>
        <w:t>նի</w:t>
      </w:r>
      <w:r w:rsidRPr="000232DD">
        <w:rPr>
          <w:color w:val="auto"/>
          <w:lang w:val="hy-AM"/>
        </w:rPr>
        <w:softHyphen/>
      </w:r>
      <w:r w:rsidRPr="000232DD">
        <w:rPr>
          <w:color w:val="auto"/>
          <w:lang w:val="hy-AM"/>
        </w:rPr>
        <w:softHyphen/>
        <w:t>շային հարկի կամ հարկային նշաձողի սահմանումներ չկան: Այս երկրնե</w:t>
      </w:r>
      <w:r w:rsidRPr="000232DD">
        <w:rPr>
          <w:color w:val="auto"/>
          <w:lang w:val="hy-AM"/>
        </w:rPr>
        <w:softHyphen/>
        <w:t>րում, օրենս</w:t>
      </w:r>
      <w:r w:rsidRPr="000232DD">
        <w:rPr>
          <w:color w:val="auto"/>
          <w:lang w:val="hy-AM"/>
        </w:rPr>
        <w:softHyphen/>
        <w:t>դրու</w:t>
      </w:r>
      <w:r w:rsidRPr="000232DD">
        <w:rPr>
          <w:color w:val="auto"/>
          <w:lang w:val="hy-AM"/>
        </w:rPr>
        <w:softHyphen/>
        <w:t>թյան առանձնա</w:t>
      </w:r>
      <w:r w:rsidRPr="000232DD">
        <w:rPr>
          <w:color w:val="auto"/>
          <w:lang w:val="hy-AM"/>
        </w:rPr>
        <w:softHyphen/>
        <w:t>հա</w:t>
      </w:r>
      <w:r w:rsidRPr="000232DD">
        <w:rPr>
          <w:color w:val="auto"/>
          <w:lang w:val="hy-AM"/>
        </w:rPr>
        <w:softHyphen/>
        <w:t>տուկ դրույթները (օրինակ, ազատումներ կամ հարկման նվազեցված դրույքաչափեր) դիտ</w:t>
      </w:r>
      <w:r w:rsidRPr="000232DD">
        <w:rPr>
          <w:color w:val="auto"/>
          <w:lang w:val="hy-AM"/>
        </w:rPr>
        <w:softHyphen/>
      </w:r>
      <w:r w:rsidRPr="000232DD">
        <w:rPr>
          <w:color w:val="auto"/>
          <w:lang w:val="hy-AM"/>
        </w:rPr>
        <w:softHyphen/>
        <w:t>վում են որպես բազային հարկային համակարգի մաս, այլ ոչ թե որպես հարկային ծախս: Ընդհանուր առմամբ, ձեռնարկատիրական գործունեության հետ կապված ազատում</w:t>
      </w:r>
      <w:r w:rsidRPr="000232DD">
        <w:rPr>
          <w:color w:val="auto"/>
          <w:lang w:val="hy-AM"/>
        </w:rPr>
        <w:softHyphen/>
        <w:t>ները երկրների այս խմբում չեն դիտարկվում որպես հարկային ծախ</w:t>
      </w:r>
      <w:r w:rsidRPr="000232DD">
        <w:rPr>
          <w:color w:val="auto"/>
          <w:lang w:val="hy-AM"/>
        </w:rPr>
        <w:softHyphen/>
        <w:t>սեր: Երրորդ խումբ երկրներում հար</w:t>
      </w:r>
      <w:r w:rsidRPr="000232DD">
        <w:rPr>
          <w:color w:val="auto"/>
          <w:lang w:val="hy-AM"/>
        </w:rPr>
        <w:softHyphen/>
        <w:t>կա</w:t>
      </w:r>
      <w:r w:rsidRPr="000232DD">
        <w:rPr>
          <w:color w:val="auto"/>
          <w:lang w:val="hy-AM"/>
        </w:rPr>
        <w:softHyphen/>
        <w:t>յին ծախսերը սահմանվում են որպես հարկային համակարգի առանձին դրույթներ, որոնք նվա</w:t>
      </w:r>
      <w:r w:rsidRPr="000232DD">
        <w:rPr>
          <w:color w:val="auto"/>
          <w:lang w:val="hy-AM"/>
        </w:rPr>
        <w:softHyphen/>
        <w:t>զեցնում են տնտեսական միավորի հարկային պարտավորությունները` որոշակի քաղա</w:t>
      </w:r>
      <w:r w:rsidRPr="000232DD">
        <w:rPr>
          <w:color w:val="auto"/>
          <w:lang w:val="hy-AM"/>
        </w:rPr>
        <w:softHyphen/>
        <w:t>քա</w:t>
      </w:r>
      <w:r w:rsidRPr="000232DD">
        <w:rPr>
          <w:color w:val="auto"/>
          <w:lang w:val="hy-AM"/>
        </w:rPr>
        <w:softHyphen/>
        <w:t>կանության նպատակներին հասնելու և ոչ թե առավել արդյունավետ և տնտեսապես չեզոք եղանակով եկամուտներ ստանալու նպա</w:t>
      </w:r>
      <w:r w:rsidRPr="000232DD">
        <w:rPr>
          <w:color w:val="auto"/>
          <w:lang w:val="hy-AM"/>
        </w:rPr>
        <w:softHyphen/>
        <w:t>տա</w:t>
      </w:r>
      <w:r w:rsidRPr="000232DD">
        <w:rPr>
          <w:color w:val="auto"/>
          <w:lang w:val="hy-AM"/>
        </w:rPr>
        <w:softHyphen/>
        <w:t>կով:</w:t>
      </w:r>
    </w:p>
    <w:p w14:paraId="794365C0" w14:textId="7EE4FAEF" w:rsidR="003C4696" w:rsidRPr="000232DD" w:rsidRDefault="003C4696" w:rsidP="00082769">
      <w:pPr>
        <w:pStyle w:val="BodyText1"/>
        <w:ind w:left="0" w:right="-22"/>
        <w:rPr>
          <w:color w:val="auto"/>
          <w:lang w:val="hy-AM"/>
        </w:rPr>
      </w:pPr>
      <w:r w:rsidRPr="000232DD">
        <w:rPr>
          <w:color w:val="auto"/>
          <w:lang w:val="hy-AM"/>
        </w:rPr>
        <w:t>Հաշվետվության շրջանակներում գնա</w:t>
      </w:r>
      <w:r w:rsidRPr="000232DD">
        <w:rPr>
          <w:color w:val="auto"/>
          <w:lang w:val="hy-AM"/>
        </w:rPr>
        <w:softHyphen/>
        <w:t>հատ</w:t>
      </w:r>
      <w:r w:rsidRPr="000232DD">
        <w:rPr>
          <w:color w:val="auto"/>
          <w:lang w:val="hy-AM"/>
        </w:rPr>
        <w:softHyphen/>
        <w:t>վել են ավելացված արժեքի հարկին, շահութահարկին, եկա</w:t>
      </w:r>
      <w:r w:rsidRPr="000232DD">
        <w:rPr>
          <w:color w:val="auto"/>
          <w:lang w:val="hy-AM"/>
        </w:rPr>
        <w:softHyphen/>
        <w:t>մտա</w:t>
      </w:r>
      <w:r w:rsidRPr="000232DD">
        <w:rPr>
          <w:color w:val="auto"/>
          <w:lang w:val="hy-AM"/>
        </w:rPr>
        <w:softHyphen/>
        <w:t>յին հարկին և շրջանառության հարկին վերա</w:t>
      </w:r>
      <w:r w:rsidRPr="000232DD">
        <w:rPr>
          <w:color w:val="auto"/>
          <w:lang w:val="hy-AM"/>
        </w:rPr>
        <w:softHyphen/>
        <w:t>բե</w:t>
      </w:r>
      <w:r w:rsidRPr="000232DD">
        <w:rPr>
          <w:color w:val="auto"/>
          <w:lang w:val="hy-AM"/>
        </w:rPr>
        <w:softHyphen/>
      </w:r>
      <w:r w:rsidRPr="000232DD">
        <w:rPr>
          <w:color w:val="auto"/>
          <w:lang w:val="hy-AM"/>
        </w:rPr>
        <w:softHyphen/>
        <w:t>րող հիմնական (ընդգրկուն) հարկային արտոնությունների, ավե</w:t>
      </w:r>
      <w:r w:rsidRPr="000232DD">
        <w:rPr>
          <w:color w:val="auto"/>
          <w:lang w:val="hy-AM"/>
        </w:rPr>
        <w:softHyphen/>
        <w:t>լացված արժեքի հարկի չհարկվող շեմի և միկրոբիզնեսի կիրառության հետևան</w:t>
      </w:r>
      <w:r w:rsidRPr="000232DD">
        <w:rPr>
          <w:color w:val="auto"/>
          <w:lang w:val="hy-AM"/>
        </w:rPr>
        <w:softHyphen/>
        <w:t>քով պետական բյուջե չգանձ</w:t>
      </w:r>
      <w:r w:rsidRPr="000232DD">
        <w:rPr>
          <w:color w:val="auto"/>
          <w:lang w:val="hy-AM"/>
        </w:rPr>
        <w:softHyphen/>
      </w:r>
      <w:r w:rsidRPr="000232DD">
        <w:rPr>
          <w:color w:val="auto"/>
          <w:lang w:val="hy-AM"/>
        </w:rPr>
        <w:softHyphen/>
        <w:t>վող (պակաս գանձ</w:t>
      </w:r>
      <w:r w:rsidRPr="000232DD">
        <w:rPr>
          <w:color w:val="auto"/>
          <w:lang w:val="hy-AM"/>
        </w:rPr>
        <w:softHyphen/>
        <w:t>վող) հար</w:t>
      </w:r>
      <w:r w:rsidRPr="000232DD">
        <w:rPr>
          <w:color w:val="auto"/>
          <w:lang w:val="hy-AM"/>
        </w:rPr>
        <w:softHyphen/>
        <w:t xml:space="preserve">կային եկամուտները: Այսինքն` սույն հաշվետվությամբ տրվել է արդյունավետ </w:t>
      </w:r>
      <w:r w:rsidR="00B6632B">
        <w:rPr>
          <w:color w:val="auto"/>
          <w:lang w:val="hy-AM"/>
        </w:rPr>
        <w:t>հարկաբյու</w:t>
      </w:r>
      <w:r w:rsidRPr="000232DD">
        <w:rPr>
          <w:color w:val="auto"/>
          <w:lang w:val="hy-AM"/>
        </w:rPr>
        <w:t>ջ</w:t>
      </w:r>
      <w:r w:rsidR="00B6632B">
        <w:rPr>
          <w:color w:val="auto"/>
          <w:lang w:val="hy-AM"/>
        </w:rPr>
        <w:t>ե</w:t>
      </w:r>
      <w:r w:rsidRPr="000232DD">
        <w:rPr>
          <w:color w:val="auto"/>
          <w:lang w:val="hy-AM"/>
        </w:rPr>
        <w:t>տային քաղաքականության իրականացման համար անհրաժեշտ հարկային ծախսերի նվազագույն գնահատականը, որի ընդգրկման շրջանակների սահմանափակ լինելը հիմնականում պայմանավորված է հարկային ծախսերի առանձին տեսակների գնահատման համար անհրաժեշտ տվյալների բացակայությամբ:</w:t>
      </w:r>
    </w:p>
    <w:p w14:paraId="2EE2D828" w14:textId="7FD96288" w:rsidR="003C4696" w:rsidRPr="000232DD" w:rsidRDefault="003C4696" w:rsidP="00082769">
      <w:pPr>
        <w:pStyle w:val="TOC4"/>
        <w:ind w:right="-22"/>
        <w:rPr>
          <w:color w:val="auto"/>
          <w:lang w:val="hy-AM"/>
        </w:rPr>
      </w:pPr>
      <w:r w:rsidRPr="000232DD">
        <w:rPr>
          <w:color w:val="auto"/>
          <w:lang w:val="hy-AM"/>
        </w:rPr>
        <w:t xml:space="preserve">ՀԱՐԿԱՅԻՆ ԾԱԽՍԵՐԻ ՄԱՍԻՆ </w:t>
      </w:r>
      <w:r w:rsidR="00B6632B">
        <w:rPr>
          <w:color w:val="auto"/>
          <w:lang w:val="hy-AM"/>
        </w:rPr>
        <w:t>ՀԱՇՎԵՏՎՈՒԹՅՈՒՆՆ</w:t>
      </w:r>
      <w:r w:rsidRPr="000232DD">
        <w:rPr>
          <w:color w:val="auto"/>
          <w:lang w:val="hy-AM"/>
        </w:rPr>
        <w:t>ԵՐԻ ԿԱԶՄՄԱՆ ՈՒ ՆԵՐԿԱՅԱՑՄԱՆ ՄԻՋԱԶԳԱՅԻՆ ՓՈՐՁԸ.</w:t>
      </w:r>
    </w:p>
    <w:p w14:paraId="4F8B3219" w14:textId="77777777" w:rsidR="003C4696" w:rsidRPr="000232DD" w:rsidRDefault="003C4696" w:rsidP="00082769">
      <w:pPr>
        <w:pStyle w:val="BodyText1"/>
        <w:ind w:left="0" w:right="-22"/>
        <w:rPr>
          <w:color w:val="auto"/>
          <w:lang w:val="hy-AM"/>
        </w:rPr>
      </w:pPr>
      <w:r w:rsidRPr="000232DD">
        <w:rPr>
          <w:color w:val="auto"/>
          <w:lang w:val="hy-AM"/>
        </w:rPr>
        <w:t>Հարկային ծախսերի մասին հաշվետվությունների կազմումն ու ներկայացումը ընդուն</w:t>
      </w:r>
      <w:r w:rsidRPr="000232DD">
        <w:rPr>
          <w:color w:val="auto"/>
          <w:lang w:val="hy-AM"/>
        </w:rPr>
        <w:softHyphen/>
        <w:t>ված ու տարածված գործելակերպ է Եվրոպական Միության ու Տնտեսական համագոր</w:t>
      </w:r>
      <w:r w:rsidRPr="000232DD">
        <w:rPr>
          <w:color w:val="auto"/>
          <w:lang w:val="hy-AM"/>
        </w:rPr>
        <w:softHyphen/>
        <w:t>ծակ</w:t>
      </w:r>
      <w:r w:rsidRPr="000232DD">
        <w:rPr>
          <w:color w:val="auto"/>
          <w:lang w:val="hy-AM"/>
        </w:rPr>
        <w:softHyphen/>
        <w:t>ցու</w:t>
      </w:r>
      <w:r w:rsidRPr="000232DD">
        <w:rPr>
          <w:color w:val="auto"/>
          <w:lang w:val="hy-AM"/>
        </w:rPr>
        <w:softHyphen/>
        <w:t>թյան և զարգացման կազմակերպության անդամ երկրների մեծ մասում:</w:t>
      </w:r>
    </w:p>
    <w:p w14:paraId="2A0DD26F" w14:textId="77777777" w:rsidR="003C4696" w:rsidRPr="000232DD" w:rsidRDefault="003C4696" w:rsidP="00082769">
      <w:pPr>
        <w:pStyle w:val="BodyText1"/>
        <w:ind w:left="0" w:right="-22"/>
        <w:rPr>
          <w:color w:val="auto"/>
          <w:lang w:val="hy-AM"/>
        </w:rPr>
      </w:pPr>
      <w:r w:rsidRPr="000232DD">
        <w:rPr>
          <w:color w:val="auto"/>
          <w:lang w:val="hy-AM"/>
        </w:rPr>
        <w:t>Հարկային ծախսերի վերաբերյալ առաջին հաշվետվությունները կազմվել են 1960-ական թվականների վերջերին Գերմանիայում և Ամերիկայի Միացյալ Նահանգներում: 1970-ական թվականների վերջին հարկային ծախսերի մասին հաշվետվություններ սկսեցին կազմ</w:t>
      </w:r>
      <w:r w:rsidRPr="000232DD">
        <w:rPr>
          <w:color w:val="auto"/>
          <w:lang w:val="hy-AM"/>
        </w:rPr>
        <w:softHyphen/>
        <w:t>վել նաև Ավստրիայում, Կանադայում, Իսպանիայում և Միացյալ Թագավորությունում:</w:t>
      </w:r>
    </w:p>
    <w:p w14:paraId="6F4EAEA2" w14:textId="77777777" w:rsidR="003C4696" w:rsidRPr="000232DD" w:rsidRDefault="003C4696" w:rsidP="00082769">
      <w:pPr>
        <w:pStyle w:val="BodyText1"/>
        <w:ind w:left="0" w:right="-22"/>
        <w:rPr>
          <w:color w:val="auto"/>
          <w:lang w:val="hy-AM"/>
        </w:rPr>
      </w:pPr>
      <w:r w:rsidRPr="000232DD">
        <w:rPr>
          <w:color w:val="auto"/>
          <w:lang w:val="hy-AM"/>
        </w:rPr>
        <w:t>Հարկային ծախսերի տարեկան հաշվետվությունները կազմվում և հրապարակվում են հար</w:t>
      </w:r>
      <w:r w:rsidRPr="000232DD">
        <w:rPr>
          <w:color w:val="auto"/>
          <w:lang w:val="hy-AM"/>
        </w:rPr>
        <w:softHyphen/>
      </w:r>
      <w:r w:rsidRPr="000232DD">
        <w:rPr>
          <w:color w:val="auto"/>
          <w:lang w:val="hy-AM"/>
        </w:rPr>
        <w:softHyphen/>
      </w:r>
      <w:r w:rsidRPr="000232DD">
        <w:rPr>
          <w:color w:val="auto"/>
          <w:lang w:val="hy-AM"/>
        </w:rPr>
        <w:softHyphen/>
        <w:t>կային արտոնությունների կիրառության արդյունքում չգանձվող հարկային եկա</w:t>
      </w:r>
      <w:r w:rsidRPr="000232DD">
        <w:rPr>
          <w:color w:val="auto"/>
          <w:lang w:val="hy-AM"/>
        </w:rPr>
        <w:softHyphen/>
        <w:t>մուտ</w:t>
      </w:r>
      <w:r w:rsidRPr="000232DD">
        <w:rPr>
          <w:color w:val="auto"/>
          <w:lang w:val="hy-AM"/>
        </w:rPr>
        <w:softHyphen/>
        <w:t>ների մեծությունը ուշադրության կենտրոնում պահելու, հարկային արտոնությունների շրջա</w:t>
      </w:r>
      <w:r w:rsidRPr="000232DD">
        <w:rPr>
          <w:color w:val="auto"/>
          <w:lang w:val="hy-AM"/>
        </w:rPr>
        <w:softHyphen/>
        <w:t>նակի վերանայման վերաբերյալ քաղաքական որոշումներ կայացնելու, ինչպես նաև հար</w:t>
      </w:r>
      <w:r w:rsidRPr="000232DD">
        <w:rPr>
          <w:color w:val="auto"/>
          <w:lang w:val="hy-AM"/>
        </w:rPr>
        <w:softHyphen/>
        <w:t>կա</w:t>
      </w:r>
      <w:r w:rsidRPr="000232DD">
        <w:rPr>
          <w:color w:val="auto"/>
          <w:lang w:val="hy-AM"/>
        </w:rPr>
        <w:softHyphen/>
        <w:t>բյու</w:t>
      </w:r>
      <w:r w:rsidRPr="000232DD">
        <w:rPr>
          <w:color w:val="auto"/>
          <w:lang w:val="hy-AM"/>
        </w:rPr>
        <w:softHyphen/>
        <w:t>ջետային քաղաքականության թափանցիկությունն ու Կառավարության հաշվետվո</w:t>
      </w:r>
      <w:r w:rsidRPr="000232DD">
        <w:rPr>
          <w:color w:val="auto"/>
          <w:lang w:val="hy-AM"/>
        </w:rPr>
        <w:softHyphen/>
        <w:t>ղա</w:t>
      </w:r>
      <w:r w:rsidRPr="000232DD">
        <w:rPr>
          <w:color w:val="auto"/>
          <w:lang w:val="hy-AM"/>
        </w:rPr>
        <w:softHyphen/>
        <w:t>կա</w:t>
      </w:r>
      <w:r w:rsidRPr="000232DD">
        <w:rPr>
          <w:color w:val="auto"/>
          <w:lang w:val="hy-AM"/>
        </w:rPr>
        <w:softHyphen/>
        <w:t>նու</w:t>
      </w:r>
      <w:r w:rsidRPr="000232DD">
        <w:rPr>
          <w:color w:val="auto"/>
          <w:lang w:val="hy-AM"/>
        </w:rPr>
        <w:softHyphen/>
        <w:t>թյունն ապահովելու նպատակով:</w:t>
      </w:r>
    </w:p>
    <w:p w14:paraId="388E738A" w14:textId="77777777" w:rsidR="003C4696" w:rsidRPr="000232DD" w:rsidRDefault="003C4696" w:rsidP="00082769">
      <w:pPr>
        <w:pStyle w:val="BodyText1"/>
        <w:ind w:left="0" w:right="-22"/>
        <w:rPr>
          <w:color w:val="auto"/>
          <w:lang w:val="hy-AM"/>
        </w:rPr>
      </w:pPr>
      <w:r w:rsidRPr="000232DD">
        <w:rPr>
          <w:color w:val="auto"/>
          <w:lang w:val="hy-AM"/>
        </w:rPr>
        <w:t>Ավստրիայում, Բելգիայում, Ֆրանսիայում, Գերմանիայում, Պորտուգալիայում, Իսպա</w:t>
      </w:r>
      <w:r w:rsidRPr="000232DD">
        <w:rPr>
          <w:color w:val="auto"/>
          <w:lang w:val="hy-AM"/>
        </w:rPr>
        <w:softHyphen/>
        <w:t>նիա</w:t>
      </w:r>
      <w:r w:rsidRPr="000232DD">
        <w:rPr>
          <w:color w:val="auto"/>
          <w:lang w:val="hy-AM"/>
        </w:rPr>
        <w:softHyphen/>
        <w:t>յում և Միացյալ Թագավորությունում հարկային ծախսերի մասին հաշվետվությունների կազ</w:t>
      </w:r>
      <w:r w:rsidRPr="000232DD">
        <w:rPr>
          <w:color w:val="auto"/>
          <w:lang w:val="hy-AM"/>
        </w:rPr>
        <w:softHyphen/>
        <w:t>մումն ու հրապարակումը կարգավորվում է օրենքով: Նշյալ հաշվետվությունները ուղղա</w:t>
      </w:r>
      <w:r w:rsidRPr="000232DD">
        <w:rPr>
          <w:color w:val="auto"/>
          <w:lang w:val="hy-AM"/>
        </w:rPr>
        <w:softHyphen/>
        <w:t>կիո</w:t>
      </w:r>
      <w:r w:rsidRPr="000232DD">
        <w:rPr>
          <w:color w:val="auto"/>
          <w:lang w:val="hy-AM"/>
        </w:rPr>
        <w:softHyphen/>
        <w:t>րեն կապված են պետական բյուջեի հետ, իսկ դրանց կազմումը բյուջետային գործըն</w:t>
      </w:r>
      <w:r w:rsidRPr="000232DD">
        <w:rPr>
          <w:color w:val="auto"/>
          <w:lang w:val="hy-AM"/>
        </w:rPr>
        <w:softHyphen/>
        <w:t>թացի կարևոր բաղկացուցիչներից է:</w:t>
      </w:r>
    </w:p>
    <w:p w14:paraId="4BF3442F" w14:textId="77777777" w:rsidR="003C4696" w:rsidRPr="000232DD" w:rsidRDefault="003C4696" w:rsidP="00082769">
      <w:pPr>
        <w:pStyle w:val="BodyText1"/>
        <w:ind w:left="0" w:right="-22"/>
        <w:rPr>
          <w:color w:val="auto"/>
          <w:lang w:val="hy-AM"/>
        </w:rPr>
      </w:pPr>
      <w:r w:rsidRPr="000232DD">
        <w:rPr>
          <w:color w:val="auto"/>
          <w:lang w:val="hy-AM"/>
        </w:rPr>
        <w:t>Հարկային ծախսերի մասին հաշվետվությունների կազմումն ու ներկայացումը հիմնա</w:t>
      </w:r>
      <w:r w:rsidRPr="000232DD">
        <w:rPr>
          <w:color w:val="auto"/>
          <w:lang w:val="hy-AM"/>
        </w:rPr>
        <w:softHyphen/>
        <w:t>կա</w:t>
      </w:r>
      <w:r w:rsidRPr="000232DD">
        <w:rPr>
          <w:color w:val="auto"/>
          <w:lang w:val="hy-AM"/>
        </w:rPr>
        <w:softHyphen/>
        <w:t>նում կատարվում է տարեկան պարբերականությամբ, թեև կան երկրներ, որոնք այս հաշ</w:t>
      </w:r>
      <w:r w:rsidRPr="000232DD">
        <w:rPr>
          <w:color w:val="auto"/>
          <w:lang w:val="hy-AM"/>
        </w:rPr>
        <w:softHyphen/>
        <w:t>վետ</w:t>
      </w:r>
      <w:r w:rsidRPr="000232DD">
        <w:rPr>
          <w:color w:val="auto"/>
          <w:lang w:val="hy-AM"/>
        </w:rPr>
        <w:softHyphen/>
        <w:t>վությունները կազմում և ներկայացնում են երկու կամ երեք տարին մեկ անգամ:</w:t>
      </w:r>
    </w:p>
    <w:p w14:paraId="4FEE3144" w14:textId="3A3F6169" w:rsidR="003C4696" w:rsidRPr="000232DD" w:rsidRDefault="003C4696" w:rsidP="00082769">
      <w:pPr>
        <w:pStyle w:val="TOC4"/>
        <w:ind w:right="-22"/>
        <w:rPr>
          <w:color w:val="auto"/>
          <w:lang w:val="hy-AM"/>
        </w:rPr>
      </w:pPr>
      <w:r w:rsidRPr="000232DD">
        <w:rPr>
          <w:color w:val="auto"/>
          <w:lang w:val="hy-AM"/>
        </w:rPr>
        <w:t>ՀԱՐԿԱՅԻՆ ԾԱԽՍԵՐԻ ՄԱՍԻՆ ՀԱՇՎԵՏՎՈՒԹՅԱՆ ԿԱԶՄՄԱՆ ՈՒ ՆԵՐԿԱՅԱՑՄԱՆ ԱՆՀՐԱԺԵՇՏՈՒԹՅՈՒՆԸ ՀԱՅԱՍՏԱՆԻ ՀԱՆՐԱՊԵՏՈՒԹՅՈՒՆՈՒՄ.</w:t>
      </w:r>
    </w:p>
    <w:p w14:paraId="7FE4D1D8" w14:textId="77777777" w:rsidR="003C4696" w:rsidRPr="000232DD" w:rsidRDefault="003C4696" w:rsidP="00082769">
      <w:pPr>
        <w:pStyle w:val="BodyText1"/>
        <w:ind w:left="0" w:right="-22"/>
        <w:rPr>
          <w:color w:val="auto"/>
          <w:lang w:val="hy-AM"/>
        </w:rPr>
      </w:pPr>
      <w:r w:rsidRPr="000232DD">
        <w:rPr>
          <w:color w:val="auto"/>
          <w:lang w:val="hy-AM"/>
        </w:rPr>
        <w:t>Թեև մեր երկրի օրենսդրությամբ հարկային ծախսերի մասին հաշվետվություն կազմելու և ներ</w:t>
      </w:r>
      <w:r w:rsidRPr="000232DD">
        <w:rPr>
          <w:color w:val="auto"/>
          <w:lang w:val="hy-AM"/>
        </w:rPr>
        <w:softHyphen/>
        <w:t>կայացնելու պահանջ նախատեսված չէ, այդուհանդերձ կարևորելով այսպիսի փաստա</w:t>
      </w:r>
      <w:r w:rsidRPr="000232DD">
        <w:rPr>
          <w:color w:val="auto"/>
          <w:lang w:val="hy-AM"/>
        </w:rPr>
        <w:softHyphen/>
        <w:t>թղթերի դերը հանրային ֆինանսների կառավարման թափանցիկության անհրաժեշտ մակար</w:t>
      </w:r>
      <w:r w:rsidRPr="000232DD">
        <w:rPr>
          <w:color w:val="auto"/>
          <w:lang w:val="hy-AM"/>
        </w:rPr>
        <w:softHyphen/>
        <w:t>դակի ապահովման գործում՝ Կառավարությունը մտադիր է հարկային ծախսերի մասին ամենամյա հաշվետվությունների կազմումն ու ներկայացումը դարձնել բյուջետային գործ</w:t>
      </w:r>
      <w:r w:rsidRPr="000232DD">
        <w:rPr>
          <w:color w:val="auto"/>
          <w:lang w:val="hy-AM"/>
        </w:rPr>
        <w:softHyphen/>
        <w:t>ընթացի կարևոր բաղկացուցիչ:</w:t>
      </w:r>
    </w:p>
    <w:p w14:paraId="08534B00" w14:textId="77777777" w:rsidR="003C4696" w:rsidRPr="000232DD" w:rsidRDefault="003C4696" w:rsidP="00082769">
      <w:pPr>
        <w:pStyle w:val="BodyText1"/>
        <w:ind w:left="0" w:right="-22"/>
        <w:rPr>
          <w:rFonts w:cs="Sylfaen"/>
          <w:color w:val="auto"/>
          <w:szCs w:val="22"/>
          <w:lang w:val="hy-AM"/>
        </w:rPr>
      </w:pPr>
      <w:r w:rsidRPr="000232DD">
        <w:rPr>
          <w:color w:val="auto"/>
          <w:lang w:val="hy-AM"/>
        </w:rPr>
        <w:t>Մյուս կողմից, հարկային ծախսերի մասին այսպիսի փաստաթղթի կազմումը հնա</w:t>
      </w:r>
      <w:r w:rsidRPr="000232DD">
        <w:rPr>
          <w:color w:val="auto"/>
          <w:lang w:val="hy-AM"/>
        </w:rPr>
        <w:softHyphen/>
        <w:t>րա</w:t>
      </w:r>
      <w:r w:rsidRPr="000232DD">
        <w:rPr>
          <w:color w:val="auto"/>
          <w:lang w:val="hy-AM"/>
        </w:rPr>
        <w:softHyphen/>
        <w:t>վո</w:t>
      </w:r>
      <w:r w:rsidRPr="000232DD">
        <w:rPr>
          <w:color w:val="auto"/>
          <w:lang w:val="hy-AM"/>
        </w:rPr>
        <w:softHyphen/>
        <w:t>րություն կընձեռի առավել</w:t>
      </w:r>
      <w:r w:rsidRPr="000232DD">
        <w:rPr>
          <w:rFonts w:cs="Sylfaen"/>
          <w:color w:val="auto"/>
          <w:szCs w:val="22"/>
          <w:lang w:val="hy-AM"/>
        </w:rPr>
        <w:t xml:space="preserve"> համապարփակ ձևով գնահատել գործող հարկային արտոնու</w:t>
      </w:r>
      <w:r w:rsidRPr="000232DD">
        <w:rPr>
          <w:rFonts w:cs="Sylfaen"/>
          <w:color w:val="auto"/>
          <w:szCs w:val="22"/>
          <w:lang w:val="hy-AM"/>
        </w:rPr>
        <w:softHyphen/>
        <w:t>թյուն</w:t>
      </w:r>
      <w:r w:rsidRPr="000232DD">
        <w:rPr>
          <w:rFonts w:cs="Sylfaen"/>
          <w:color w:val="auto"/>
          <w:szCs w:val="22"/>
          <w:lang w:val="hy-AM"/>
        </w:rPr>
        <w:softHyphen/>
        <w:t>ների արդյունավետությունը, դրանց հետագա կիրառության նպատակահարմա</w:t>
      </w:r>
      <w:r w:rsidRPr="000232DD">
        <w:rPr>
          <w:rFonts w:cs="Sylfaen"/>
          <w:color w:val="auto"/>
          <w:szCs w:val="22"/>
          <w:lang w:val="hy-AM"/>
        </w:rPr>
        <w:softHyphen/>
        <w:t>րու</w:t>
      </w:r>
      <w:r w:rsidRPr="000232DD">
        <w:rPr>
          <w:rFonts w:cs="Sylfaen"/>
          <w:color w:val="auto"/>
          <w:szCs w:val="22"/>
          <w:lang w:val="hy-AM"/>
        </w:rPr>
        <w:softHyphen/>
        <w:t>թյունը կամ հարկային արտոնությունները կրճատելու հնարավորություններն ու սահմանա</w:t>
      </w:r>
      <w:r w:rsidRPr="000232DD">
        <w:rPr>
          <w:rFonts w:cs="Sylfaen"/>
          <w:color w:val="auto"/>
          <w:szCs w:val="22"/>
          <w:lang w:val="hy-AM"/>
        </w:rPr>
        <w:softHyphen/>
        <w:t>փա</w:t>
      </w:r>
      <w:r w:rsidRPr="000232DD">
        <w:rPr>
          <w:rFonts w:cs="Sylfaen"/>
          <w:color w:val="auto"/>
          <w:szCs w:val="22"/>
          <w:lang w:val="hy-AM"/>
        </w:rPr>
        <w:softHyphen/>
        <w:t>կումները:</w:t>
      </w:r>
    </w:p>
    <w:p w14:paraId="7E70F877" w14:textId="77777777" w:rsidR="003C4696" w:rsidRPr="000232DD" w:rsidRDefault="003C4696" w:rsidP="00082769">
      <w:pPr>
        <w:pStyle w:val="BodyText1"/>
        <w:ind w:left="0" w:right="-22"/>
        <w:rPr>
          <w:rFonts w:cs="Sylfaen"/>
          <w:color w:val="auto"/>
          <w:szCs w:val="22"/>
          <w:lang w:val="hy-AM"/>
        </w:rPr>
      </w:pPr>
      <w:r w:rsidRPr="000232DD">
        <w:rPr>
          <w:rFonts w:cs="Sylfaen"/>
          <w:color w:val="auto"/>
          <w:szCs w:val="22"/>
          <w:lang w:val="hy-AM"/>
        </w:rPr>
        <w:t>Բացի այդ, հարկային ծախսերի գնահատմամբ Կառավարությունը ընդհանրացնում է երկրի ռեսուրսային ներուժի վերաբերյալ պատկերացումները, ինչը շատ կարևոր է՝ գնա</w:t>
      </w:r>
      <w:r w:rsidRPr="000232DD">
        <w:rPr>
          <w:rFonts w:cs="Sylfaen"/>
          <w:color w:val="auto"/>
          <w:szCs w:val="22"/>
          <w:lang w:val="hy-AM"/>
        </w:rPr>
        <w:softHyphen/>
        <w:t>հա</w:t>
      </w:r>
      <w:r w:rsidRPr="000232DD">
        <w:rPr>
          <w:rFonts w:cs="Sylfaen"/>
          <w:color w:val="auto"/>
          <w:szCs w:val="22"/>
          <w:lang w:val="hy-AM"/>
        </w:rPr>
        <w:softHyphen/>
        <w:t xml:space="preserve">տելու համար </w:t>
      </w:r>
      <w:r w:rsidRPr="000232DD">
        <w:rPr>
          <w:color w:val="auto"/>
          <w:lang w:val="hy-AM"/>
        </w:rPr>
        <w:t>Կառավարության</w:t>
      </w:r>
      <w:r w:rsidRPr="000232DD">
        <w:rPr>
          <w:rFonts w:cs="Sylfaen"/>
          <w:color w:val="auto"/>
          <w:szCs w:val="22"/>
          <w:lang w:val="hy-AM"/>
        </w:rPr>
        <w:t xml:space="preserve"> առջև դրված համակարգային խնդիրների լուծման եղանակները:</w:t>
      </w:r>
    </w:p>
    <w:p w14:paraId="408E1811" w14:textId="7D744CB5" w:rsidR="003C4696" w:rsidRPr="000232DD" w:rsidRDefault="003C4696" w:rsidP="00082769">
      <w:pPr>
        <w:pStyle w:val="TOC4"/>
        <w:ind w:right="-22"/>
        <w:rPr>
          <w:color w:val="auto"/>
          <w:lang w:val="hy-AM"/>
        </w:rPr>
      </w:pPr>
      <w:r w:rsidRPr="000232DD">
        <w:rPr>
          <w:color w:val="auto"/>
          <w:lang w:val="hy-AM"/>
        </w:rPr>
        <w:t>ՀԱՐԿԱՅԻՆ ԾԱԽՍԵՐԻ ՀԱՇՎԵՏՎՈՒԹՅԱՆ ՆԵՐԿԱՅԱՑՄԱՆ ԿԱՐևՈՐՈՒԹՅՈՒՆԸ ՀԱՐԿԱՅԻՆ ԱՐՏՈՆՈՒԹՅՈՒՆՆԵՐԻ ՇՐՋԱՆԱԿԸ ՎԵՐԱՆԱՅԵԼՈՒ ՏԵՍԱՆԿՅՈՒՆԻՑ.</w:t>
      </w:r>
    </w:p>
    <w:p w14:paraId="263E17F3" w14:textId="77777777" w:rsidR="003C4696" w:rsidRPr="000232DD" w:rsidRDefault="003C4696" w:rsidP="00082769">
      <w:pPr>
        <w:pStyle w:val="BodyText1"/>
        <w:ind w:left="0" w:right="-22"/>
        <w:rPr>
          <w:color w:val="auto"/>
          <w:lang w:val="hy-AM"/>
        </w:rPr>
      </w:pPr>
      <w:r w:rsidRPr="000232DD">
        <w:rPr>
          <w:color w:val="auto"/>
          <w:lang w:val="hy-AM"/>
        </w:rPr>
        <w:t>Հայաստանյան հարկային համակարգի ձևավորման ու զարգացման ողջ ընթացքում հար</w:t>
      </w:r>
      <w:r w:rsidRPr="000232DD">
        <w:rPr>
          <w:color w:val="auto"/>
          <w:lang w:val="hy-AM"/>
        </w:rPr>
        <w:softHyphen/>
        <w:t>կային օրենսդրությամբ նախատեսված են եղել տարբեր հարկային արտոնություններ, որոնց շրջանակը հարկային քաղաքականության իրականացման տարբեր փուլերում, կախ</w:t>
      </w:r>
      <w:r w:rsidRPr="000232DD">
        <w:rPr>
          <w:color w:val="auto"/>
          <w:lang w:val="hy-AM"/>
        </w:rPr>
        <w:softHyphen/>
        <w:t>ված տնտեսության զարգացման տեմպերից, առաջնահերթություններից ու մարտահրավեր</w:t>
      </w:r>
      <w:r w:rsidRPr="000232DD">
        <w:rPr>
          <w:color w:val="auto"/>
          <w:lang w:val="hy-AM"/>
        </w:rPr>
        <w:softHyphen/>
        <w:t>նե</w:t>
      </w:r>
      <w:r w:rsidRPr="000232DD">
        <w:rPr>
          <w:color w:val="auto"/>
          <w:lang w:val="hy-AM"/>
        </w:rPr>
        <w:softHyphen/>
        <w:t>րից, մշտապես վերանայվել է: Որոշ հարկային արտոնություններ ժամանակավոր բնույթ են ունեցել (օրինակ` օտարերկրյա ներդրումներով ռեզիդենտ կազմակերպությունների` շահու</w:t>
      </w:r>
      <w:r w:rsidRPr="000232DD">
        <w:rPr>
          <w:color w:val="auto"/>
          <w:lang w:val="hy-AM"/>
        </w:rPr>
        <w:softHyphen/>
      </w:r>
      <w:r w:rsidRPr="000232DD">
        <w:rPr>
          <w:color w:val="auto"/>
          <w:lang w:val="hy-AM"/>
        </w:rPr>
        <w:softHyphen/>
        <w:t>թահարկի գումարի նվազեցման արտոնությունը) և կողմնորոշված են եղել քաղաքա</w:t>
      </w:r>
      <w:r w:rsidRPr="000232DD">
        <w:rPr>
          <w:color w:val="auto"/>
          <w:lang w:val="hy-AM"/>
        </w:rPr>
        <w:softHyphen/>
        <w:t>կա</w:t>
      </w:r>
      <w:r w:rsidRPr="000232DD">
        <w:rPr>
          <w:color w:val="auto"/>
          <w:lang w:val="hy-AM"/>
        </w:rPr>
        <w:softHyphen/>
        <w:t>նության իրականացման որևէ ժամանակահատվածում կոնկրետ խնդիրների լուծմանը: Որոշ հարկային արտոնություններ, որոնք տրվել են դեռևս հարկային համակարգի ձևա</w:t>
      </w:r>
      <w:r w:rsidRPr="000232DD">
        <w:rPr>
          <w:color w:val="auto"/>
          <w:lang w:val="hy-AM"/>
        </w:rPr>
        <w:softHyphen/>
        <w:t>վոր</w:t>
      </w:r>
      <w:r w:rsidRPr="000232DD">
        <w:rPr>
          <w:color w:val="auto"/>
          <w:lang w:val="hy-AM"/>
        </w:rPr>
        <w:softHyphen/>
        <w:t>ման ամենավաղ փուլերում, շարունակվում են կիրառվել մինչև այժմ, քանի որ դրանց կիրա</w:t>
      </w:r>
      <w:r w:rsidRPr="000232DD">
        <w:rPr>
          <w:color w:val="auto"/>
          <w:lang w:val="hy-AM"/>
        </w:rPr>
        <w:softHyphen/>
        <w:t>ռու</w:t>
      </w:r>
      <w:r w:rsidRPr="000232DD">
        <w:rPr>
          <w:color w:val="auto"/>
          <w:lang w:val="hy-AM"/>
        </w:rPr>
        <w:softHyphen/>
        <w:t>թյան պատճառներն ու հիմնավորումները արդիական են նաև մեր օրերում (օրինակ` գյու</w:t>
      </w:r>
      <w:r w:rsidRPr="000232DD">
        <w:rPr>
          <w:color w:val="auto"/>
          <w:lang w:val="hy-AM"/>
        </w:rPr>
        <w:softHyphen/>
        <w:t>ղա</w:t>
      </w:r>
      <w:r w:rsidRPr="000232DD">
        <w:rPr>
          <w:color w:val="auto"/>
          <w:lang w:val="hy-AM"/>
        </w:rPr>
        <w:softHyphen/>
        <w:t>տնտեսական արտադրանքի իրացումից ստացվող եկամուտների համար նախատեսված` շահութահարկից ու եկամտային հարկից ազատման արտոնությունները):</w:t>
      </w:r>
    </w:p>
    <w:p w14:paraId="37297B9A" w14:textId="77777777" w:rsidR="003C4696" w:rsidRPr="000232DD" w:rsidRDefault="003C4696" w:rsidP="00082769">
      <w:pPr>
        <w:pStyle w:val="BodyText1"/>
        <w:ind w:left="0" w:right="-22"/>
        <w:rPr>
          <w:color w:val="auto"/>
          <w:lang w:val="hy-AM"/>
        </w:rPr>
      </w:pPr>
      <w:r w:rsidRPr="000232DD">
        <w:rPr>
          <w:color w:val="auto"/>
          <w:lang w:val="hy-AM"/>
        </w:rPr>
        <w:t>Ընդհանուր առմամբ, ինչպես նախկինում, այնպես էլ ներկայումս հարկային օրենս</w:t>
      </w:r>
      <w:r w:rsidRPr="000232DD">
        <w:rPr>
          <w:color w:val="auto"/>
          <w:lang w:val="hy-AM"/>
        </w:rPr>
        <w:softHyphen/>
        <w:t>դրու</w:t>
      </w:r>
      <w:r w:rsidRPr="000232DD">
        <w:rPr>
          <w:color w:val="auto"/>
          <w:lang w:val="hy-AM"/>
        </w:rPr>
        <w:softHyphen/>
        <w:t>թյամբ նախատեսված հարկային արտոնությունները կարելի է խմբավորել երեք հիմնական խմբե</w:t>
      </w:r>
      <w:r w:rsidRPr="000232DD">
        <w:rPr>
          <w:color w:val="auto"/>
          <w:lang w:val="hy-AM"/>
        </w:rPr>
        <w:softHyphen/>
        <w:t>րում`</w:t>
      </w:r>
    </w:p>
    <w:p w14:paraId="4D7790DF" w14:textId="77777777" w:rsidR="003C4696" w:rsidRPr="000232DD" w:rsidRDefault="003C4696" w:rsidP="00082769">
      <w:pPr>
        <w:pStyle w:val="BodyText1"/>
        <w:ind w:left="0" w:right="-22"/>
        <w:rPr>
          <w:color w:val="auto"/>
          <w:lang w:val="hy-AM"/>
        </w:rPr>
      </w:pPr>
      <w:r w:rsidRPr="000232DD">
        <w:rPr>
          <w:color w:val="auto"/>
          <w:lang w:val="hy-AM"/>
        </w:rPr>
        <w:t>սոցիալական ուղղվածություն ունեցող հարկային արտոնություններ,</w:t>
      </w:r>
    </w:p>
    <w:p w14:paraId="7EFD9140" w14:textId="77777777" w:rsidR="003C4696" w:rsidRPr="000232DD" w:rsidRDefault="003C4696" w:rsidP="00082769">
      <w:pPr>
        <w:pStyle w:val="BodyText1"/>
        <w:ind w:left="0" w:right="-22"/>
        <w:rPr>
          <w:color w:val="auto"/>
          <w:lang w:val="hy-AM"/>
        </w:rPr>
      </w:pPr>
      <w:r w:rsidRPr="000232DD">
        <w:rPr>
          <w:color w:val="auto"/>
          <w:lang w:val="hy-AM"/>
        </w:rPr>
        <w:t>ոլորտային հարկային արտոնություններ,</w:t>
      </w:r>
    </w:p>
    <w:p w14:paraId="60BA4713" w14:textId="77777777" w:rsidR="003C4696" w:rsidRPr="000232DD" w:rsidRDefault="003C4696" w:rsidP="00082769">
      <w:pPr>
        <w:pStyle w:val="BodyText1"/>
        <w:ind w:left="0" w:right="-22"/>
        <w:rPr>
          <w:color w:val="auto"/>
          <w:lang w:val="hy-AM"/>
        </w:rPr>
      </w:pPr>
      <w:r w:rsidRPr="000232DD">
        <w:rPr>
          <w:color w:val="auto"/>
          <w:lang w:val="hy-AM"/>
        </w:rPr>
        <w:t>գործարար և ներդրումային միջավայրի բարելավմանն ու ակտիվության բարձրաց</w:t>
      </w:r>
      <w:r w:rsidRPr="000232DD">
        <w:rPr>
          <w:color w:val="auto"/>
          <w:lang w:val="hy-AM"/>
        </w:rPr>
        <w:softHyphen/>
        <w:t>մանն ուղղված հարկային արտոնություններ:</w:t>
      </w:r>
    </w:p>
    <w:p w14:paraId="6545836F" w14:textId="77777777" w:rsidR="003C4696" w:rsidRPr="000232DD" w:rsidRDefault="003C4696" w:rsidP="00082769">
      <w:pPr>
        <w:pStyle w:val="BodyText1"/>
        <w:ind w:left="0" w:right="-22"/>
        <w:rPr>
          <w:color w:val="auto"/>
          <w:lang w:val="hy-AM"/>
        </w:rPr>
      </w:pPr>
      <w:r w:rsidRPr="000232DD">
        <w:rPr>
          <w:color w:val="auto"/>
          <w:lang w:val="hy-AM"/>
        </w:rPr>
        <w:t>Սոցիալական ուղղվածություն ունեցող հարկային արտոնությունների կիրառության հիմ</w:t>
      </w:r>
      <w:r w:rsidRPr="000232DD">
        <w:rPr>
          <w:color w:val="auto"/>
          <w:lang w:val="hy-AM"/>
        </w:rPr>
        <w:softHyphen/>
        <w:t>նա</w:t>
      </w:r>
      <w:r w:rsidRPr="000232DD">
        <w:rPr>
          <w:color w:val="auto"/>
          <w:lang w:val="hy-AM"/>
        </w:rPr>
        <w:softHyphen/>
        <w:t>կան նպատակը առողջապահական, կրթական ու գիտական նշանակության որոշ ծառա</w:t>
      </w:r>
      <w:r w:rsidRPr="000232DD">
        <w:rPr>
          <w:color w:val="auto"/>
          <w:lang w:val="hy-AM"/>
        </w:rPr>
        <w:softHyphen/>
      </w:r>
      <w:r w:rsidRPr="000232DD">
        <w:rPr>
          <w:color w:val="auto"/>
          <w:lang w:val="hy-AM"/>
        </w:rPr>
        <w:softHyphen/>
        <w:t>յությունների մատուցումն ու ապրանքների մատակարարումը ավելացված արժեքի հար</w:t>
      </w:r>
      <w:r w:rsidRPr="000232DD">
        <w:rPr>
          <w:color w:val="auto"/>
          <w:lang w:val="hy-AM"/>
        </w:rPr>
        <w:softHyphen/>
        <w:t>կից ազատելն է, ինչը, այլ հավասար պայմաններում հնարավորություն է ընձեռում նշյալ ապրանք</w:t>
      </w:r>
      <w:r w:rsidRPr="000232DD">
        <w:rPr>
          <w:color w:val="auto"/>
          <w:lang w:val="hy-AM"/>
        </w:rPr>
        <w:softHyphen/>
        <w:t>ներն ու ծառայությունները ձեռք բերել համեմատաբար ցածր գներով:</w:t>
      </w:r>
    </w:p>
    <w:p w14:paraId="36D029DE" w14:textId="77777777" w:rsidR="003C4696" w:rsidRPr="000232DD" w:rsidRDefault="003C4696" w:rsidP="00082769">
      <w:pPr>
        <w:pStyle w:val="BodyText1"/>
        <w:ind w:left="0" w:right="-22"/>
        <w:rPr>
          <w:color w:val="auto"/>
          <w:lang w:val="hy-AM"/>
        </w:rPr>
      </w:pPr>
      <w:r w:rsidRPr="000232DD">
        <w:rPr>
          <w:color w:val="auto"/>
          <w:lang w:val="hy-AM"/>
        </w:rPr>
        <w:t>Ոլորտային հարկային արտոնությունների կիրառությունը պայմանավորված է հիմնականում ազգային տնտեսության երկարաժամկետ և կայուն զարգացման տեսանկյունից տնտե</w:t>
      </w:r>
      <w:r w:rsidRPr="000232DD">
        <w:rPr>
          <w:color w:val="auto"/>
          <w:lang w:val="hy-AM"/>
        </w:rPr>
        <w:softHyphen/>
        <w:t>սության որոշ ոլորտների զարգացման գերակայություն համարելը: Դրանք հիմ</w:t>
      </w:r>
      <w:r w:rsidRPr="000232DD">
        <w:rPr>
          <w:color w:val="auto"/>
          <w:lang w:val="hy-AM"/>
        </w:rPr>
        <w:softHyphen/>
        <w:t>նա</w:t>
      </w:r>
      <w:r w:rsidRPr="000232DD">
        <w:rPr>
          <w:color w:val="auto"/>
          <w:lang w:val="hy-AM"/>
        </w:rPr>
        <w:softHyphen/>
        <w:t>կանում այն ոլորտներն են, որոնք ավանդաբար ձևավորել են ազգային տնտեսության նկա</w:t>
      </w:r>
      <w:r w:rsidRPr="000232DD">
        <w:rPr>
          <w:color w:val="auto"/>
          <w:lang w:val="hy-AM"/>
        </w:rPr>
        <w:softHyphen/>
        <w:t>րա</w:t>
      </w:r>
      <w:r w:rsidRPr="000232DD">
        <w:rPr>
          <w:color w:val="auto"/>
          <w:lang w:val="hy-AM"/>
        </w:rPr>
        <w:softHyphen/>
        <w:t>գիրը (ոսկերչություն, զբոսաշրջություն, գորգագործություն և այլն): Այս առումով, Կառա</w:t>
      </w:r>
      <w:r w:rsidRPr="000232DD">
        <w:rPr>
          <w:color w:val="auto"/>
          <w:lang w:val="hy-AM"/>
        </w:rPr>
        <w:softHyphen/>
        <w:t>վա</w:t>
      </w:r>
      <w:r w:rsidRPr="000232DD">
        <w:rPr>
          <w:color w:val="auto"/>
          <w:lang w:val="hy-AM"/>
        </w:rPr>
        <w:softHyphen/>
        <w:t>րությունը տարբեր գործիքներով (այդ թվում` հարկային արտոնությունների կիրա</w:t>
      </w:r>
      <w:r w:rsidRPr="000232DD">
        <w:rPr>
          <w:color w:val="auto"/>
          <w:lang w:val="hy-AM"/>
        </w:rPr>
        <w:softHyphen/>
        <w:t>ռու</w:t>
      </w:r>
      <w:r w:rsidRPr="000232DD">
        <w:rPr>
          <w:color w:val="auto"/>
          <w:lang w:val="hy-AM"/>
        </w:rPr>
        <w:softHyphen/>
        <w:t>թյամբ) օժանդակում է այդ ոլորտներում գործող տնտեսավարող սուբյեկտներին,</w:t>
      </w:r>
    </w:p>
    <w:p w14:paraId="6AE2FCBE" w14:textId="77777777" w:rsidR="003C4696" w:rsidRPr="000232DD" w:rsidRDefault="003C4696" w:rsidP="00082769">
      <w:pPr>
        <w:pStyle w:val="BodyText1"/>
        <w:ind w:left="0" w:right="-22"/>
        <w:rPr>
          <w:color w:val="auto"/>
          <w:lang w:val="hy-AM"/>
        </w:rPr>
      </w:pPr>
      <w:r w:rsidRPr="000232DD">
        <w:rPr>
          <w:color w:val="auto"/>
          <w:lang w:val="hy-AM"/>
        </w:rPr>
        <w:t>Գործարար և ներդրումային միջավայրի բարելավմանն ու ակտիվության բարձրաց</w:t>
      </w:r>
      <w:r w:rsidRPr="000232DD">
        <w:rPr>
          <w:color w:val="auto"/>
          <w:lang w:val="hy-AM"/>
        </w:rPr>
        <w:softHyphen/>
        <w:t>մանն ուղղված հարկային արտոնությունների կիրառության հիմնական նպատակը տնտե</w:t>
      </w:r>
      <w:r w:rsidRPr="000232DD">
        <w:rPr>
          <w:color w:val="auto"/>
          <w:lang w:val="hy-AM"/>
        </w:rPr>
        <w:softHyphen/>
        <w:t>սա</w:t>
      </w:r>
      <w:r w:rsidRPr="000232DD">
        <w:rPr>
          <w:color w:val="auto"/>
          <w:lang w:val="hy-AM"/>
        </w:rPr>
        <w:softHyphen/>
        <w:t>վարող սուբյեկտների համար առավել նպաստավոր հարկային միջավայրի ձևավորումը և ազգա</w:t>
      </w:r>
      <w:r w:rsidRPr="000232DD">
        <w:rPr>
          <w:color w:val="auto"/>
          <w:lang w:val="hy-AM"/>
        </w:rPr>
        <w:softHyphen/>
        <w:t>յին տնտեսության մրցունակության բարձրացումն է:</w:t>
      </w:r>
    </w:p>
    <w:p w14:paraId="2106EFB9" w14:textId="77777777" w:rsidR="003C4696" w:rsidRPr="000232DD" w:rsidRDefault="003C4696" w:rsidP="00082769">
      <w:pPr>
        <w:pStyle w:val="BodyText1"/>
        <w:ind w:left="0" w:right="-22"/>
        <w:rPr>
          <w:color w:val="auto"/>
          <w:lang w:val="hy-AM"/>
        </w:rPr>
      </w:pPr>
      <w:r w:rsidRPr="000232DD">
        <w:rPr>
          <w:color w:val="auto"/>
          <w:lang w:val="hy-AM"/>
        </w:rPr>
        <w:t>Վերոնշյալ հարկային արտոնությունների կիրառության հետևանքով առաջացող` հար</w:t>
      </w:r>
      <w:r w:rsidRPr="000232DD">
        <w:rPr>
          <w:color w:val="auto"/>
          <w:lang w:val="hy-AM"/>
        </w:rPr>
        <w:softHyphen/>
        <w:t>կա</w:t>
      </w:r>
      <w:r w:rsidRPr="000232DD">
        <w:rPr>
          <w:color w:val="auto"/>
          <w:lang w:val="hy-AM"/>
        </w:rPr>
        <w:softHyphen/>
        <w:t>յին եկամուտների կորստի` հարկային ծախսերի գնահատման հաշվետվությունների կազ</w:t>
      </w:r>
      <w:r w:rsidRPr="000232DD">
        <w:rPr>
          <w:color w:val="auto"/>
          <w:lang w:val="hy-AM"/>
        </w:rPr>
        <w:softHyphen/>
        <w:t>մումը, ներկայացումը և գոր</w:t>
      </w:r>
      <w:r w:rsidRPr="000232DD">
        <w:rPr>
          <w:color w:val="auto"/>
          <w:lang w:val="hy-AM"/>
        </w:rPr>
        <w:softHyphen/>
        <w:t>ծադիր ու օրենսդիր իշխանության մարմիններում դրանց քննար</w:t>
      </w:r>
      <w:r w:rsidRPr="000232DD">
        <w:rPr>
          <w:color w:val="auto"/>
          <w:lang w:val="hy-AM"/>
        </w:rPr>
        <w:softHyphen/>
        <w:t>կումը կարևոր քայլ է հար</w:t>
      </w:r>
      <w:r w:rsidRPr="000232DD">
        <w:rPr>
          <w:color w:val="auto"/>
          <w:lang w:val="hy-AM"/>
        </w:rPr>
        <w:softHyphen/>
        <w:t>կային արտոնությունների շրջանակի հնարավոր վերանայման քաղաքականության իրա</w:t>
      </w:r>
      <w:r w:rsidRPr="000232DD">
        <w:rPr>
          <w:color w:val="auto"/>
          <w:lang w:val="hy-AM"/>
        </w:rPr>
        <w:softHyphen/>
        <w:t>կանացման ճանապարհին:</w:t>
      </w:r>
    </w:p>
    <w:p w14:paraId="222758DC" w14:textId="77777777" w:rsidR="003C4696" w:rsidRPr="000232DD" w:rsidRDefault="003C4696" w:rsidP="00082769">
      <w:pPr>
        <w:pStyle w:val="BodyText1"/>
        <w:ind w:left="0" w:right="-22"/>
        <w:rPr>
          <w:color w:val="auto"/>
          <w:lang w:val="hy-AM"/>
        </w:rPr>
      </w:pPr>
      <w:r w:rsidRPr="000232DD">
        <w:rPr>
          <w:color w:val="auto"/>
          <w:lang w:val="hy-AM"/>
        </w:rPr>
        <w:t>Այս իմաստով, առաջիկա տարիներին հարկային ծախսերի նման գնահատականները հիմք են հանդիսանալու հարկային արտոնությունների շրջանակի վերանայման, հարկման բազայի ընդլայնման ու ամրապնդման քաղաքականություն իրականացնելու համար, ինչը հնա</w:t>
      </w:r>
      <w:r w:rsidRPr="000232DD">
        <w:rPr>
          <w:color w:val="auto"/>
          <w:lang w:val="hy-AM"/>
        </w:rPr>
        <w:softHyphen/>
        <w:t>րավորություն կընձեռի աստի</w:t>
      </w:r>
      <w:r w:rsidRPr="000232DD">
        <w:rPr>
          <w:color w:val="auto"/>
          <w:lang w:val="hy-AM"/>
        </w:rPr>
        <w:softHyphen/>
        <w:t>ճանաբար բարե</w:t>
      </w:r>
      <w:r w:rsidRPr="000232DD">
        <w:rPr>
          <w:color w:val="auto"/>
          <w:lang w:val="hy-AM"/>
        </w:rPr>
        <w:softHyphen/>
        <w:t>լավել հարկեր/ՀՆԱ հարաբերակցությունը և ամրապնդել հարկման հորի</w:t>
      </w:r>
      <w:r w:rsidRPr="000232DD">
        <w:rPr>
          <w:color w:val="auto"/>
          <w:lang w:val="hy-AM"/>
        </w:rPr>
        <w:softHyphen/>
        <w:t>զո</w:t>
      </w:r>
      <w:r w:rsidRPr="000232DD">
        <w:rPr>
          <w:color w:val="auto"/>
          <w:lang w:val="hy-AM"/>
        </w:rPr>
        <w:softHyphen/>
        <w:t>նա</w:t>
      </w:r>
      <w:r w:rsidRPr="000232DD">
        <w:rPr>
          <w:color w:val="auto"/>
          <w:lang w:val="hy-AM"/>
        </w:rPr>
        <w:softHyphen/>
        <w:t>կան արդա</w:t>
      </w:r>
      <w:r w:rsidRPr="000232DD">
        <w:rPr>
          <w:color w:val="auto"/>
          <w:lang w:val="hy-AM"/>
        </w:rPr>
        <w:softHyphen/>
        <w:t>րության սկզբունքը: Հարկային քաղաքակա</w:t>
      </w:r>
      <w:r w:rsidRPr="000232DD">
        <w:rPr>
          <w:color w:val="auto"/>
          <w:lang w:val="hy-AM"/>
        </w:rPr>
        <w:softHyphen/>
        <w:t>նու</w:t>
      </w:r>
      <w:r w:rsidRPr="000232DD">
        <w:rPr>
          <w:color w:val="auto"/>
          <w:lang w:val="hy-AM"/>
        </w:rPr>
        <w:softHyphen/>
        <w:t>թյան այս ուղղության նպա</w:t>
      </w:r>
      <w:r w:rsidRPr="000232DD">
        <w:rPr>
          <w:color w:val="auto"/>
          <w:lang w:val="hy-AM"/>
        </w:rPr>
        <w:softHyphen/>
        <w:t>տակը, ըստ էության, հարկման ոլոր</w:t>
      </w:r>
      <w:r w:rsidRPr="000232DD">
        <w:rPr>
          <w:color w:val="auto"/>
          <w:lang w:val="hy-AM"/>
        </w:rPr>
        <w:softHyphen/>
        <w:t>տում խտրա</w:t>
      </w:r>
      <w:r w:rsidRPr="000232DD">
        <w:rPr>
          <w:color w:val="auto"/>
          <w:lang w:val="hy-AM"/>
        </w:rPr>
        <w:softHyphen/>
        <w:t>կանությունը նվա</w:t>
      </w:r>
      <w:r w:rsidRPr="000232DD">
        <w:rPr>
          <w:color w:val="auto"/>
          <w:lang w:val="hy-AM"/>
        </w:rPr>
        <w:softHyphen/>
        <w:t>զագույնի հասցնելը և պետա</w:t>
      </w:r>
      <w:r w:rsidRPr="000232DD">
        <w:rPr>
          <w:color w:val="auto"/>
          <w:lang w:val="hy-AM"/>
        </w:rPr>
        <w:softHyphen/>
      </w:r>
      <w:r w:rsidRPr="000232DD">
        <w:rPr>
          <w:color w:val="auto"/>
          <w:lang w:val="hy-AM"/>
        </w:rPr>
        <w:softHyphen/>
        <w:t>կան բյուջեի հարկային եկա</w:t>
      </w:r>
      <w:r w:rsidRPr="000232DD">
        <w:rPr>
          <w:color w:val="auto"/>
          <w:lang w:val="hy-AM"/>
        </w:rPr>
        <w:softHyphen/>
        <w:t>մուտ</w:t>
      </w:r>
      <w:r w:rsidRPr="000232DD">
        <w:rPr>
          <w:color w:val="auto"/>
          <w:lang w:val="hy-AM"/>
        </w:rPr>
        <w:softHyphen/>
        <w:t>ների արդարացի վերաբաշխում ապա</w:t>
      </w:r>
      <w:r w:rsidRPr="000232DD">
        <w:rPr>
          <w:color w:val="auto"/>
          <w:lang w:val="hy-AM"/>
        </w:rPr>
        <w:softHyphen/>
        <w:t>հովելն է:</w:t>
      </w:r>
    </w:p>
    <w:p w14:paraId="5A88C2CB" w14:textId="0B201BEF" w:rsidR="003C4696" w:rsidRPr="000232DD" w:rsidRDefault="003C4696" w:rsidP="00082769">
      <w:pPr>
        <w:pStyle w:val="BodyText1"/>
        <w:ind w:left="0" w:right="-22"/>
        <w:rPr>
          <w:color w:val="auto"/>
          <w:lang w:val="hy-AM"/>
        </w:rPr>
      </w:pPr>
      <w:r w:rsidRPr="000232DD">
        <w:rPr>
          <w:color w:val="auto"/>
          <w:lang w:val="hy-AM"/>
        </w:rPr>
        <w:t>Միաժամանակ, ակնհայտ է, որ գործող արտո</w:t>
      </w:r>
      <w:r w:rsidRPr="000232DD">
        <w:rPr>
          <w:color w:val="auto"/>
          <w:lang w:val="hy-AM"/>
        </w:rPr>
        <w:softHyphen/>
        <w:t>նությունների շրջանակի վերանայումը կնշա</w:t>
      </w:r>
      <w:r w:rsidRPr="000232DD">
        <w:rPr>
          <w:color w:val="auto"/>
          <w:lang w:val="hy-AM"/>
        </w:rPr>
        <w:softHyphen/>
        <w:t>նակի կտրուկ փոփոխել այդ արտոնություններից օգտ</w:t>
      </w:r>
      <w:r w:rsidRPr="000232DD">
        <w:rPr>
          <w:color w:val="auto"/>
          <w:lang w:val="hy-AM"/>
        </w:rPr>
        <w:softHyphen/>
        <w:t>վող</w:t>
      </w:r>
      <w:r w:rsidRPr="000232DD">
        <w:rPr>
          <w:color w:val="auto"/>
          <w:lang w:val="hy-AM"/>
        </w:rPr>
        <w:softHyphen/>
        <w:t>ների ձեռնարկատիրական ու տնտե</w:t>
      </w:r>
      <w:r w:rsidRPr="000232DD">
        <w:rPr>
          <w:color w:val="auto"/>
          <w:lang w:val="hy-AM"/>
        </w:rPr>
        <w:softHyphen/>
        <w:t>սա</w:t>
      </w:r>
      <w:r w:rsidRPr="000232DD">
        <w:rPr>
          <w:color w:val="auto"/>
          <w:lang w:val="hy-AM"/>
        </w:rPr>
        <w:softHyphen/>
        <w:t>կան գործունեության պայմանները և ազգային տնտեսության ներդրումային միջա</w:t>
      </w:r>
      <w:r w:rsidRPr="000232DD">
        <w:rPr>
          <w:color w:val="auto"/>
          <w:lang w:val="hy-AM"/>
        </w:rPr>
        <w:softHyphen/>
        <w:t>վայրն ընդ</w:t>
      </w:r>
      <w:r w:rsidRPr="000232DD">
        <w:rPr>
          <w:color w:val="auto"/>
          <w:lang w:val="hy-AM"/>
        </w:rPr>
        <w:softHyphen/>
        <w:t>հանրապես: Այս առումով, հարկային արտո</w:t>
      </w:r>
      <w:r w:rsidRPr="000232DD">
        <w:rPr>
          <w:color w:val="auto"/>
          <w:lang w:val="hy-AM"/>
        </w:rPr>
        <w:softHyphen/>
        <w:t>նու</w:t>
      </w:r>
      <w:r w:rsidRPr="000232DD">
        <w:rPr>
          <w:color w:val="auto"/>
          <w:lang w:val="hy-AM"/>
        </w:rPr>
        <w:softHyphen/>
        <w:t>թյուն</w:t>
      </w:r>
      <w:r w:rsidRPr="000232DD">
        <w:rPr>
          <w:color w:val="auto"/>
          <w:lang w:val="hy-AM"/>
        </w:rPr>
        <w:softHyphen/>
        <w:t>ների շրջանակի վերանայումը պետք է իրա</w:t>
      </w:r>
      <w:r w:rsidRPr="000232DD">
        <w:rPr>
          <w:color w:val="auto"/>
          <w:lang w:val="hy-AM"/>
        </w:rPr>
        <w:softHyphen/>
        <w:t>կանացվի բավարար զգուշավորությամբ` խուսա</w:t>
      </w:r>
      <w:r w:rsidRPr="000232DD">
        <w:rPr>
          <w:color w:val="auto"/>
          <w:lang w:val="hy-AM"/>
        </w:rPr>
        <w:softHyphen/>
        <w:t>փելու համար հնարավոր ցնցում</w:t>
      </w:r>
      <w:r w:rsidRPr="000232DD">
        <w:rPr>
          <w:color w:val="auto"/>
          <w:lang w:val="hy-AM"/>
        </w:rPr>
        <w:softHyphen/>
        <w:t>ներից ու տնտեսության վրա բացասական հետևանք</w:t>
      </w:r>
      <w:r w:rsidRPr="000232DD">
        <w:rPr>
          <w:color w:val="auto"/>
          <w:lang w:val="hy-AM"/>
        </w:rPr>
        <w:softHyphen/>
        <w:t>նե</w:t>
      </w:r>
      <w:r w:rsidRPr="000232DD">
        <w:rPr>
          <w:color w:val="auto"/>
          <w:lang w:val="hy-AM"/>
        </w:rPr>
        <w:softHyphen/>
        <w:t>րից, և հետևողականությամբ, քանի որ հարկային արտոնությունների շրջանակի վերանայումը լրացուցիչ ռեսուրսներ կենտ</w:t>
      </w:r>
      <w:r w:rsidRPr="000232DD">
        <w:rPr>
          <w:color w:val="auto"/>
          <w:lang w:val="hy-AM"/>
        </w:rPr>
        <w:softHyphen/>
        <w:t>րոնացնելու և դրանք տնտեսության հետագա զարգացմանն ուղղելու հնարավորություն կընձեռի: Մասնավորապես, նախքան հարկային արտոնությունների կրճատումը պետք է ման</w:t>
      </w:r>
      <w:r w:rsidRPr="000232DD">
        <w:rPr>
          <w:color w:val="auto"/>
          <w:lang w:val="hy-AM"/>
        </w:rPr>
        <w:softHyphen/>
        <w:t>րա</w:t>
      </w:r>
      <w:r w:rsidRPr="000232DD">
        <w:rPr>
          <w:color w:val="auto"/>
          <w:lang w:val="hy-AM"/>
        </w:rPr>
        <w:softHyphen/>
        <w:t>մասն ուսումնասիրվեն գործող հարկային արտո</w:t>
      </w:r>
      <w:r w:rsidRPr="000232DD">
        <w:rPr>
          <w:color w:val="auto"/>
          <w:lang w:val="hy-AM"/>
        </w:rPr>
        <w:softHyphen/>
        <w:t>նությունների կիրառության բոլոր դրա</w:t>
      </w:r>
      <w:r w:rsidRPr="000232DD">
        <w:rPr>
          <w:color w:val="auto"/>
          <w:lang w:val="hy-AM"/>
        </w:rPr>
        <w:softHyphen/>
        <w:t>կան ու բացասական կողմերը, այդ թվում` ինչ</w:t>
      </w:r>
      <w:r w:rsidRPr="000232DD">
        <w:rPr>
          <w:color w:val="auto"/>
          <w:lang w:val="hy-AM"/>
        </w:rPr>
        <w:softHyphen/>
        <w:t>պես պետության, այնպես էլ այդ արտո</w:t>
      </w:r>
      <w:r w:rsidRPr="000232DD">
        <w:rPr>
          <w:color w:val="auto"/>
          <w:lang w:val="hy-AM"/>
        </w:rPr>
        <w:softHyphen/>
        <w:t>նու</w:t>
      </w:r>
      <w:r w:rsidRPr="000232DD">
        <w:rPr>
          <w:color w:val="auto"/>
          <w:lang w:val="hy-AM"/>
        </w:rPr>
        <w:softHyphen/>
        <w:t>թյուն</w:t>
      </w:r>
      <w:r w:rsidRPr="000232DD">
        <w:rPr>
          <w:color w:val="auto"/>
          <w:lang w:val="hy-AM"/>
        </w:rPr>
        <w:softHyphen/>
        <w:t>ներից օգտվողների տեսանկյունից, համադր</w:t>
      </w:r>
      <w:r w:rsidRPr="000232DD">
        <w:rPr>
          <w:color w:val="auto"/>
          <w:lang w:val="hy-AM"/>
        </w:rPr>
        <w:softHyphen/>
        <w:t>վեն արտոնությունների կիրառության օգուտ</w:t>
      </w:r>
      <w:r w:rsidRPr="000232DD">
        <w:rPr>
          <w:color w:val="auto"/>
          <w:lang w:val="hy-AM"/>
        </w:rPr>
        <w:softHyphen/>
        <w:t>ներն ու վնասները, բացահայտվեն արտոնու</w:t>
      </w:r>
      <w:r w:rsidRPr="000232DD">
        <w:rPr>
          <w:color w:val="auto"/>
          <w:lang w:val="hy-AM"/>
        </w:rPr>
        <w:softHyphen/>
        <w:t>թյուն</w:t>
      </w:r>
      <w:r w:rsidRPr="000232DD">
        <w:rPr>
          <w:color w:val="auto"/>
          <w:lang w:val="hy-AM"/>
        </w:rPr>
        <w:softHyphen/>
        <w:t>ների վերանայման հնարավոր ազդե</w:t>
      </w:r>
      <w:r w:rsidRPr="000232DD">
        <w:rPr>
          <w:color w:val="auto"/>
          <w:lang w:val="hy-AM"/>
        </w:rPr>
        <w:softHyphen/>
        <w:t>ցու</w:t>
      </w:r>
      <w:r w:rsidRPr="000232DD">
        <w:rPr>
          <w:color w:val="auto"/>
          <w:lang w:val="hy-AM"/>
        </w:rPr>
        <w:softHyphen/>
        <w:t>թյունները պետական բյուջեի հարկային եկա</w:t>
      </w:r>
      <w:r w:rsidRPr="000232DD">
        <w:rPr>
          <w:color w:val="auto"/>
          <w:lang w:val="hy-AM"/>
        </w:rPr>
        <w:softHyphen/>
        <w:t>մուտ</w:t>
      </w:r>
      <w:r w:rsidRPr="000232DD">
        <w:rPr>
          <w:color w:val="auto"/>
          <w:lang w:val="hy-AM"/>
        </w:rPr>
        <w:softHyphen/>
        <w:t>ների, ազգային տնտեսության տնտե</w:t>
      </w:r>
      <w:r w:rsidRPr="000232DD">
        <w:rPr>
          <w:color w:val="auto"/>
          <w:lang w:val="hy-AM"/>
        </w:rPr>
        <w:softHyphen/>
        <w:t>սա</w:t>
      </w:r>
      <w:r w:rsidRPr="000232DD">
        <w:rPr>
          <w:color w:val="auto"/>
          <w:lang w:val="hy-AM"/>
        </w:rPr>
        <w:softHyphen/>
        <w:t>կան ակտիվության, գործարար ու ներդրու</w:t>
      </w:r>
      <w:r w:rsidRPr="000232DD">
        <w:rPr>
          <w:color w:val="auto"/>
          <w:lang w:val="hy-AM"/>
        </w:rPr>
        <w:softHyphen/>
        <w:t>մա</w:t>
      </w:r>
      <w:r w:rsidRPr="000232DD">
        <w:rPr>
          <w:color w:val="auto"/>
          <w:lang w:val="hy-AM"/>
        </w:rPr>
        <w:softHyphen/>
        <w:t>յին գրավչության, երկրի սոցիալ-տնտե</w:t>
      </w:r>
      <w:r w:rsidRPr="000232DD">
        <w:rPr>
          <w:color w:val="auto"/>
          <w:lang w:val="hy-AM"/>
        </w:rPr>
        <w:softHyphen/>
        <w:t>սա</w:t>
      </w:r>
      <w:r w:rsidRPr="000232DD">
        <w:rPr>
          <w:color w:val="auto"/>
          <w:lang w:val="hy-AM"/>
        </w:rPr>
        <w:softHyphen/>
        <w:t>կան վիճակի, տնտեսական մրցակցության, գնա</w:t>
      </w:r>
      <w:r w:rsidRPr="000232DD">
        <w:rPr>
          <w:color w:val="auto"/>
          <w:lang w:val="hy-AM"/>
        </w:rPr>
        <w:softHyphen/>
        <w:t>ճա</w:t>
      </w:r>
      <w:r w:rsidRPr="000232DD">
        <w:rPr>
          <w:color w:val="auto"/>
          <w:lang w:val="hy-AM"/>
        </w:rPr>
        <w:softHyphen/>
        <w:t>յին ճնշումների և այլ կարևոր ցուցա</w:t>
      </w:r>
      <w:r w:rsidRPr="000232DD">
        <w:rPr>
          <w:color w:val="auto"/>
          <w:lang w:val="hy-AM"/>
        </w:rPr>
        <w:softHyphen/>
        <w:t>նիշ</w:t>
      </w:r>
      <w:r w:rsidRPr="000232DD">
        <w:rPr>
          <w:color w:val="auto"/>
          <w:lang w:val="hy-AM"/>
        </w:rPr>
        <w:softHyphen/>
        <w:t>ների վրա: Վերոնշյալը նաև նշանակում է, որ առա</w:t>
      </w:r>
      <w:r w:rsidRPr="000232DD">
        <w:rPr>
          <w:color w:val="auto"/>
          <w:lang w:val="hy-AM"/>
        </w:rPr>
        <w:softHyphen/>
        <w:t>ջիկա տարիներին հարկային քաղա</w:t>
      </w:r>
      <w:r w:rsidRPr="000232DD">
        <w:rPr>
          <w:color w:val="auto"/>
          <w:lang w:val="hy-AM"/>
        </w:rPr>
        <w:softHyphen/>
        <w:t>քակա</w:t>
      </w:r>
      <w:r w:rsidRPr="000232DD">
        <w:rPr>
          <w:color w:val="auto"/>
          <w:lang w:val="hy-AM"/>
        </w:rPr>
        <w:softHyphen/>
        <w:t>նու</w:t>
      </w:r>
      <w:r w:rsidRPr="000232DD">
        <w:rPr>
          <w:color w:val="auto"/>
          <w:lang w:val="hy-AM"/>
        </w:rPr>
        <w:softHyphen/>
        <w:t>թյան շրջանակներում շեշտադրումը կատար</w:t>
      </w:r>
      <w:r w:rsidRPr="000232DD">
        <w:rPr>
          <w:color w:val="auto"/>
          <w:lang w:val="hy-AM"/>
        </w:rPr>
        <w:softHyphen/>
        <w:t>վելու է հատ</w:t>
      </w:r>
      <w:r w:rsidRPr="000232DD">
        <w:rPr>
          <w:color w:val="auto"/>
          <w:lang w:val="hy-AM"/>
        </w:rPr>
        <w:softHyphen/>
        <w:t>կապես այն արտո</w:t>
      </w:r>
      <w:r w:rsidRPr="000232DD">
        <w:rPr>
          <w:color w:val="auto"/>
          <w:lang w:val="hy-AM"/>
        </w:rPr>
        <w:softHyphen/>
        <w:t>նու</w:t>
      </w:r>
      <w:r w:rsidRPr="000232DD">
        <w:rPr>
          <w:color w:val="auto"/>
          <w:lang w:val="hy-AM"/>
        </w:rPr>
        <w:softHyphen/>
        <w:t>թյունների վերանայման վրա, որոնց ազդեցությունն ազգա</w:t>
      </w:r>
      <w:r w:rsidRPr="000232DD">
        <w:rPr>
          <w:color w:val="auto"/>
          <w:lang w:val="hy-AM"/>
        </w:rPr>
        <w:softHyphen/>
        <w:t>յին տնտե</w:t>
      </w:r>
      <w:r w:rsidRPr="000232DD">
        <w:rPr>
          <w:color w:val="auto"/>
          <w:lang w:val="hy-AM"/>
        </w:rPr>
        <w:softHyphen/>
        <w:t>սության զարգաց</w:t>
      </w:r>
      <w:r w:rsidRPr="000232DD">
        <w:rPr>
          <w:color w:val="auto"/>
          <w:lang w:val="hy-AM"/>
        </w:rPr>
        <w:softHyphen/>
        <w:t>ման տեսանկյունից գնահատվում է ցածր և որոնց կիրա</w:t>
      </w:r>
      <w:r w:rsidRPr="000232DD">
        <w:rPr>
          <w:color w:val="auto"/>
          <w:lang w:val="hy-AM"/>
        </w:rPr>
        <w:softHyphen/>
        <w:t>ռու</w:t>
      </w:r>
      <w:r w:rsidRPr="000232DD">
        <w:rPr>
          <w:color w:val="auto"/>
          <w:lang w:val="hy-AM"/>
        </w:rPr>
        <w:softHyphen/>
        <w:t>թյան նպա</w:t>
      </w:r>
      <w:r w:rsidRPr="000232DD">
        <w:rPr>
          <w:color w:val="auto"/>
          <w:lang w:val="hy-AM"/>
        </w:rPr>
        <w:softHyphen/>
        <w:t>տակահարմարությունը չի հիմնավորվում «ծախսեր-օգուտներ» վերլու</w:t>
      </w:r>
      <w:r w:rsidRPr="000232DD">
        <w:rPr>
          <w:color w:val="auto"/>
          <w:lang w:val="hy-AM"/>
        </w:rPr>
        <w:softHyphen/>
        <w:t>ծու</w:t>
      </w:r>
      <w:r w:rsidRPr="000232DD">
        <w:rPr>
          <w:color w:val="auto"/>
          <w:lang w:val="hy-AM"/>
        </w:rPr>
        <w:softHyphen/>
        <w:t>թյուն</w:t>
      </w:r>
      <w:r w:rsidRPr="000232DD">
        <w:rPr>
          <w:color w:val="auto"/>
          <w:lang w:val="hy-AM"/>
        </w:rPr>
        <w:softHyphen/>
        <w:t>ների արդ</w:t>
      </w:r>
      <w:r w:rsidRPr="000232DD">
        <w:rPr>
          <w:color w:val="auto"/>
          <w:lang w:val="hy-AM"/>
        </w:rPr>
        <w:softHyphen/>
        <w:t>յունքներով: Այսինքն, բոլոր այն հարկային արտոնությունները, որոնց կիրառու</w:t>
      </w:r>
      <w:r w:rsidRPr="000232DD">
        <w:rPr>
          <w:color w:val="auto"/>
          <w:lang w:val="hy-AM"/>
        </w:rPr>
        <w:softHyphen/>
        <w:t>թյան արդ</w:t>
      </w:r>
      <w:r w:rsidRPr="000232DD">
        <w:rPr>
          <w:color w:val="auto"/>
          <w:lang w:val="hy-AM"/>
        </w:rPr>
        <w:softHyphen/>
        <w:t>յունքում սպառողների ու տնտե</w:t>
      </w:r>
      <w:r w:rsidRPr="000232DD">
        <w:rPr>
          <w:color w:val="auto"/>
          <w:lang w:val="hy-AM"/>
        </w:rPr>
        <w:softHyphen/>
        <w:t>սա</w:t>
      </w:r>
      <w:r w:rsidRPr="000232DD">
        <w:rPr>
          <w:color w:val="auto"/>
          <w:lang w:val="hy-AM"/>
        </w:rPr>
        <w:softHyphen/>
        <w:t>վարող սուբյեկտների համար ստեղծվող «օգուտ</w:t>
      </w:r>
      <w:r w:rsidRPr="000232DD">
        <w:rPr>
          <w:color w:val="auto"/>
          <w:lang w:val="hy-AM"/>
        </w:rPr>
        <w:softHyphen/>
        <w:t>ները» համարժեք չեն պետության կրած «ծախ</w:t>
      </w:r>
      <w:r w:rsidRPr="000232DD">
        <w:rPr>
          <w:color w:val="auto"/>
          <w:lang w:val="hy-AM"/>
        </w:rPr>
        <w:softHyphen/>
        <w:t>սերին» (պետության կորցրած հարկային եկա</w:t>
      </w:r>
      <w:r w:rsidRPr="000232DD">
        <w:rPr>
          <w:color w:val="auto"/>
          <w:lang w:val="hy-AM"/>
        </w:rPr>
        <w:softHyphen/>
        <w:t>մուտ</w:t>
      </w:r>
      <w:r w:rsidRPr="000232DD">
        <w:rPr>
          <w:color w:val="auto"/>
          <w:lang w:val="hy-AM"/>
        </w:rPr>
        <w:softHyphen/>
      </w:r>
      <w:r w:rsidRPr="000232DD">
        <w:rPr>
          <w:color w:val="auto"/>
          <w:lang w:val="hy-AM"/>
        </w:rPr>
        <w:softHyphen/>
        <w:t>նե</w:t>
      </w:r>
      <w:r w:rsidRPr="000232DD">
        <w:rPr>
          <w:color w:val="auto"/>
          <w:lang w:val="hy-AM"/>
        </w:rPr>
        <w:softHyphen/>
        <w:t>րին), պետք է աստիճանաբար կրճատ</w:t>
      </w:r>
      <w:r w:rsidRPr="000232DD">
        <w:rPr>
          <w:color w:val="auto"/>
          <w:lang w:val="hy-AM"/>
        </w:rPr>
        <w:softHyphen/>
        <w:t>վեն: Քաղաքականության այսպիսի մոտեցումը հիմ</w:t>
      </w:r>
      <w:r w:rsidRPr="000232DD">
        <w:rPr>
          <w:color w:val="auto"/>
          <w:lang w:val="hy-AM"/>
        </w:rPr>
        <w:softHyphen/>
      </w:r>
      <w:r w:rsidRPr="000232DD">
        <w:rPr>
          <w:color w:val="auto"/>
          <w:lang w:val="hy-AM"/>
        </w:rPr>
        <w:softHyphen/>
        <w:t>նա</w:t>
      </w:r>
      <w:r w:rsidRPr="000232DD">
        <w:rPr>
          <w:color w:val="auto"/>
          <w:lang w:val="hy-AM"/>
        </w:rPr>
        <w:softHyphen/>
        <w:t>վորվում է ֆինանսական ռեսուրս</w:t>
      </w:r>
      <w:r w:rsidRPr="000232DD">
        <w:rPr>
          <w:color w:val="auto"/>
          <w:lang w:val="hy-AM"/>
        </w:rPr>
        <w:softHyphen/>
        <w:t>ներ կենտրոնացնելու՝ պետության սահմանափակ ներուժն առավել արդյունավետ և առա</w:t>
      </w:r>
      <w:r w:rsidRPr="000232DD">
        <w:rPr>
          <w:color w:val="auto"/>
          <w:lang w:val="hy-AM"/>
        </w:rPr>
        <w:softHyphen/>
        <w:t>վել հասցեական ձևով օգտագործելու նպատակա</w:t>
      </w:r>
      <w:r w:rsidRPr="000232DD">
        <w:rPr>
          <w:color w:val="auto"/>
          <w:lang w:val="hy-AM"/>
        </w:rPr>
        <w:softHyphen/>
      </w:r>
      <w:r w:rsidR="00B6632B">
        <w:rPr>
          <w:color w:val="auto"/>
          <w:lang w:val="hy-AM"/>
        </w:rPr>
        <w:t>դրմամբ</w:t>
      </w:r>
      <w:r w:rsidRPr="000232DD">
        <w:rPr>
          <w:color w:val="auto"/>
          <w:lang w:val="hy-AM"/>
        </w:rPr>
        <w:t>, քանի որ հարկային արտո</w:t>
      </w:r>
      <w:r w:rsidRPr="000232DD">
        <w:rPr>
          <w:color w:val="auto"/>
          <w:lang w:val="hy-AM"/>
        </w:rPr>
        <w:softHyphen/>
        <w:t>նու</w:t>
      </w:r>
      <w:r w:rsidRPr="000232DD">
        <w:rPr>
          <w:color w:val="auto"/>
          <w:lang w:val="hy-AM"/>
        </w:rPr>
        <w:softHyphen/>
        <w:t>թյունների տրամադրմամբ, պետությունը, ըստ էութ</w:t>
      </w:r>
      <w:r w:rsidRPr="000232DD">
        <w:rPr>
          <w:color w:val="auto"/>
          <w:lang w:val="hy-AM"/>
        </w:rPr>
        <w:softHyphen/>
        <w:t>յան, զրկվում է լրացուցիչ հարկային եկա</w:t>
      </w:r>
      <w:r w:rsidRPr="000232DD">
        <w:rPr>
          <w:color w:val="auto"/>
          <w:lang w:val="hy-AM"/>
        </w:rPr>
        <w:softHyphen/>
        <w:t>մուտներ հավաքագրելու և զարգացման, սոցիա</w:t>
      </w:r>
      <w:r w:rsidRPr="000232DD">
        <w:rPr>
          <w:color w:val="auto"/>
          <w:lang w:val="hy-AM"/>
        </w:rPr>
        <w:softHyphen/>
        <w:t>լա</w:t>
      </w:r>
      <w:r w:rsidRPr="000232DD">
        <w:rPr>
          <w:color w:val="auto"/>
          <w:lang w:val="hy-AM"/>
        </w:rPr>
        <w:softHyphen/>
        <w:t>կան, բնապահպանական, առողջա</w:t>
      </w:r>
      <w:r w:rsidRPr="000232DD">
        <w:rPr>
          <w:color w:val="auto"/>
          <w:lang w:val="hy-AM"/>
        </w:rPr>
        <w:softHyphen/>
        <w:t>պա</w:t>
      </w:r>
      <w:r w:rsidRPr="000232DD">
        <w:rPr>
          <w:color w:val="auto"/>
          <w:lang w:val="hy-AM"/>
        </w:rPr>
        <w:softHyphen/>
        <w:t>հական կամ այլ հանրօգուտ նպատակներով լրա</w:t>
      </w:r>
      <w:r w:rsidRPr="000232DD">
        <w:rPr>
          <w:color w:val="auto"/>
          <w:lang w:val="hy-AM"/>
        </w:rPr>
        <w:softHyphen/>
        <w:t>ցու</w:t>
      </w:r>
      <w:r w:rsidRPr="000232DD">
        <w:rPr>
          <w:color w:val="auto"/>
          <w:lang w:val="hy-AM"/>
        </w:rPr>
        <w:softHyphen/>
        <w:t>ցիչ ծրագրեր իրականացնելու հնա</w:t>
      </w:r>
      <w:r w:rsidRPr="000232DD">
        <w:rPr>
          <w:color w:val="auto"/>
          <w:lang w:val="hy-AM"/>
        </w:rPr>
        <w:softHyphen/>
        <w:t>րա</w:t>
      </w:r>
      <w:r w:rsidRPr="000232DD">
        <w:rPr>
          <w:color w:val="auto"/>
          <w:lang w:val="hy-AM"/>
        </w:rPr>
        <w:softHyphen/>
        <w:t>վորություններից: Արդ</w:t>
      </w:r>
      <w:r w:rsidRPr="000232DD">
        <w:rPr>
          <w:color w:val="auto"/>
          <w:lang w:val="hy-AM"/>
        </w:rPr>
        <w:softHyphen/>
        <w:t>յուն</w:t>
      </w:r>
      <w:r w:rsidRPr="000232DD">
        <w:rPr>
          <w:color w:val="auto"/>
          <w:lang w:val="hy-AM"/>
        </w:rPr>
        <w:softHyphen/>
        <w:t>քում պետության կարևորա</w:t>
      </w:r>
      <w:r w:rsidRPr="000232DD">
        <w:rPr>
          <w:color w:val="auto"/>
          <w:lang w:val="hy-AM"/>
        </w:rPr>
        <w:softHyphen/>
        <w:t>գույն գործառույթներից մեկը՝ եկա</w:t>
      </w:r>
      <w:r w:rsidRPr="000232DD">
        <w:rPr>
          <w:color w:val="auto"/>
          <w:lang w:val="hy-AM"/>
        </w:rPr>
        <w:softHyphen/>
        <w:t>մուտ</w:t>
      </w:r>
      <w:r w:rsidRPr="000232DD">
        <w:rPr>
          <w:color w:val="auto"/>
          <w:lang w:val="hy-AM"/>
        </w:rPr>
        <w:softHyphen/>
        <w:t>ների վերաբաշխ</w:t>
      </w:r>
      <w:r w:rsidRPr="000232DD">
        <w:rPr>
          <w:color w:val="auto"/>
          <w:lang w:val="hy-AM"/>
        </w:rPr>
        <w:softHyphen/>
        <w:t>ման գոր</w:t>
      </w:r>
      <w:r w:rsidRPr="000232DD">
        <w:rPr>
          <w:color w:val="auto"/>
          <w:lang w:val="hy-AM"/>
        </w:rPr>
        <w:softHyphen/>
        <w:t>ծառույթը, ամբողջությամբ և հասցեական ձևով չի իրակա</w:t>
      </w:r>
      <w:r w:rsidRPr="000232DD">
        <w:rPr>
          <w:color w:val="auto"/>
          <w:lang w:val="hy-AM"/>
        </w:rPr>
        <w:softHyphen/>
        <w:t>նաց</w:t>
      </w:r>
      <w:r w:rsidRPr="000232DD">
        <w:rPr>
          <w:color w:val="auto"/>
          <w:lang w:val="hy-AM"/>
        </w:rPr>
        <w:softHyphen/>
        <w:t>վում:</w:t>
      </w:r>
    </w:p>
    <w:p w14:paraId="3579618D" w14:textId="7FC0939E" w:rsidR="003C4696" w:rsidRPr="000232DD" w:rsidRDefault="003C4696" w:rsidP="00082769">
      <w:pPr>
        <w:pStyle w:val="TOC4"/>
        <w:ind w:right="-22"/>
        <w:rPr>
          <w:color w:val="auto"/>
          <w:lang w:val="hy-AM"/>
        </w:rPr>
      </w:pPr>
      <w:r w:rsidRPr="000232DD">
        <w:rPr>
          <w:color w:val="auto"/>
          <w:lang w:val="hy-AM"/>
        </w:rPr>
        <w:t>ՀԱՐԿԱՅԻՆ ԾԱԽՍԵՐԻ ԳՆԱՀԱՏԱԿԱՆՆԵՐԸ ԸՍՏ ՀԱՐԿԱՏԵՍԱԿՆԵՐԻ ՈՒ ԱՐՏՈՆՈՒԹՅՈՒՆՆԵՐԻ ՀԻՄՆԱԿԱՆ ՏԵՍԱԿՆԵՐԻ.</w:t>
      </w:r>
    </w:p>
    <w:p w14:paraId="0CA03E95" w14:textId="77777777" w:rsidR="003C4696" w:rsidRPr="000232DD" w:rsidRDefault="003C4696" w:rsidP="00082769">
      <w:pPr>
        <w:pStyle w:val="BodyText1"/>
        <w:ind w:left="0" w:right="-22"/>
        <w:rPr>
          <w:color w:val="auto"/>
          <w:lang w:val="hy-AM"/>
        </w:rPr>
      </w:pPr>
      <w:r w:rsidRPr="000232DD">
        <w:rPr>
          <w:color w:val="auto"/>
          <w:lang w:val="hy-AM"/>
        </w:rPr>
        <w:t>Սույն հաշվետվությամբ ներկայացված է հարկային արտոնությունների հետևանքով պետա</w:t>
      </w:r>
      <w:r w:rsidRPr="000232DD">
        <w:rPr>
          <w:color w:val="auto"/>
          <w:lang w:val="hy-AM"/>
        </w:rPr>
        <w:softHyphen/>
        <w:t>կան բյուջե չգանձվող (պակաս գանձվող) հարկային եկամուտների մակրոտնտե</w:t>
      </w:r>
      <w:r w:rsidRPr="000232DD">
        <w:rPr>
          <w:color w:val="auto"/>
          <w:lang w:val="hy-AM"/>
        </w:rPr>
        <w:softHyphen/>
        <w:t>սա</w:t>
      </w:r>
      <w:r w:rsidRPr="000232DD">
        <w:rPr>
          <w:color w:val="auto"/>
          <w:lang w:val="hy-AM"/>
        </w:rPr>
        <w:softHyphen/>
        <w:t>կան գնահատականը՝ տնտեսության այն ոլորտների մասով, որոնք օգտվում են հարկային արտո</w:t>
      </w:r>
      <w:r w:rsidRPr="000232DD">
        <w:rPr>
          <w:color w:val="auto"/>
          <w:lang w:val="hy-AM"/>
        </w:rPr>
        <w:softHyphen/>
        <w:t>նություններից:  Միաժամանակ, գնահատվել են մի քանի այլ հարկային արտո</w:t>
      </w:r>
      <w:r w:rsidRPr="000232DD">
        <w:rPr>
          <w:color w:val="auto"/>
          <w:lang w:val="hy-AM"/>
        </w:rPr>
        <w:softHyphen/>
        <w:t>նու</w:t>
      </w:r>
      <w:r w:rsidRPr="000232DD">
        <w:rPr>
          <w:color w:val="auto"/>
          <w:lang w:val="hy-AM"/>
        </w:rPr>
        <w:softHyphen/>
        <w:t>թյուն</w:t>
      </w:r>
      <w:r w:rsidRPr="000232DD">
        <w:rPr>
          <w:color w:val="auto"/>
          <w:lang w:val="hy-AM"/>
        </w:rPr>
        <w:softHyphen/>
        <w:t>ների (ոչ ոլորտային նշանակության) կիրառության հետևանքով պետական բյուջեի հար</w:t>
      </w:r>
      <w:r w:rsidRPr="000232DD">
        <w:rPr>
          <w:color w:val="auto"/>
          <w:lang w:val="hy-AM"/>
        </w:rPr>
        <w:softHyphen/>
        <w:t>կա</w:t>
      </w:r>
      <w:r w:rsidRPr="000232DD">
        <w:rPr>
          <w:color w:val="auto"/>
          <w:lang w:val="hy-AM"/>
        </w:rPr>
        <w:softHyphen/>
        <w:t xml:space="preserve">յին եկամուտների կորուստները: </w:t>
      </w:r>
    </w:p>
    <w:p w14:paraId="7A8DA43B" w14:textId="77777777" w:rsidR="003C4696" w:rsidRPr="000232DD" w:rsidRDefault="003C4696" w:rsidP="00082769">
      <w:pPr>
        <w:pStyle w:val="BodyText1"/>
        <w:ind w:left="0" w:right="-22"/>
        <w:rPr>
          <w:color w:val="auto"/>
          <w:lang w:val="hy-AM"/>
        </w:rPr>
      </w:pPr>
      <w:r w:rsidRPr="000232DD">
        <w:rPr>
          <w:color w:val="auto"/>
          <w:lang w:val="hy-AM"/>
        </w:rPr>
        <w:t>Գնահատման արդյունքների համաձայն, հարկային ծախսերի տարեկան մեծությունը կազմել է 831,462 մլն. դրամ, ինչը 28,616 մլն. դրամով կամ 3.6 տոկոսով ավելին է, քան նախորդ տարվա գնահատականը: Ավելացված արժեքի հարկի գծով հարկային ծախսերը գնահատվել են 680,897 մլն. դրամ, ինչը 10,195 մլն. դրամով կամ 1.5 տոկոսով ավելին է, քան նախորդ տարվա գնահատականը: Շահութահարկի գծով հարկային ծախսերը գնահատվել են 99,705 մլն. դրամ, ինչը 8,958 մլն. դրամով կամ 9.9 տոկոսով պակաս է, քան նախորդ տարվա գնահատականը: Եկամտային հարկի գծով հարկային ծախսերը գնահատվել են 17,033 մլն. դրամ, ինչը 2,488 մլն. դրամով կամ 17.1 տոկոսով ավել է, քան նախորդ տարվա գնահատականը: Շրջանառության հարկի գծով հարկային ծախսերը գնահատվել են 33,827 մլն. դրամ, ինչը 6,975 մլն. դրամով կամ 26.0 տոկոսով ավել է, քան նախորդ տարվա գնահատականը:</w:t>
      </w:r>
    </w:p>
    <w:p w14:paraId="26E25DED" w14:textId="77777777" w:rsidR="003C4696" w:rsidRPr="000232DD" w:rsidRDefault="003C4696" w:rsidP="00082769">
      <w:pPr>
        <w:pStyle w:val="BodyText1"/>
        <w:ind w:left="0" w:right="-22"/>
        <w:rPr>
          <w:b/>
          <w:color w:val="auto"/>
          <w:lang w:val="hy-AM"/>
        </w:rPr>
      </w:pPr>
      <w:r w:rsidRPr="000232DD">
        <w:rPr>
          <w:b/>
          <w:color w:val="auto"/>
          <w:lang w:val="hy-AM"/>
        </w:rPr>
        <w:t>ԱԱՀ-ի գծով հարկային ծախսերը.</w:t>
      </w:r>
    </w:p>
    <w:p w14:paraId="553A158D" w14:textId="77777777" w:rsidR="003C4696" w:rsidRPr="000232DD" w:rsidRDefault="003C4696" w:rsidP="00082769">
      <w:pPr>
        <w:pStyle w:val="BodyText1"/>
        <w:ind w:left="0" w:right="-22"/>
        <w:rPr>
          <w:color w:val="auto"/>
          <w:lang w:val="hy-AM"/>
        </w:rPr>
      </w:pPr>
      <w:r w:rsidRPr="000232DD">
        <w:rPr>
          <w:color w:val="auto"/>
          <w:lang w:val="hy-AM"/>
        </w:rPr>
        <w:t>Ավելացված արժեքի հարկի գծով հարկային ծախսերի մեծությունը տնտեսության տար</w:t>
      </w:r>
      <w:r w:rsidRPr="000232DD">
        <w:rPr>
          <w:color w:val="auto"/>
          <w:lang w:val="hy-AM"/>
        </w:rPr>
        <w:softHyphen/>
        <w:t>բեր ոլորտների ու առանձին հարկային արտոնությունների միջև բաշխվում է հետևյալ կերպ.</w:t>
      </w:r>
    </w:p>
    <w:p w14:paraId="3059B4DD" w14:textId="77777777" w:rsidR="003C4696" w:rsidRPr="000232DD" w:rsidRDefault="003C4696" w:rsidP="00082769">
      <w:pPr>
        <w:pStyle w:val="BodyText1"/>
        <w:numPr>
          <w:ilvl w:val="0"/>
          <w:numId w:val="8"/>
        </w:numPr>
        <w:ind w:left="0" w:right="-22" w:firstLine="0"/>
        <w:rPr>
          <w:color w:val="auto"/>
          <w:lang w:val="hy-AM"/>
        </w:rPr>
      </w:pPr>
      <w:r w:rsidRPr="000232DD">
        <w:rPr>
          <w:color w:val="auto"/>
          <w:lang w:val="hy-AM"/>
        </w:rPr>
        <w:t>գյուղատնտեսություն` 32,475 մլն. դրամ,</w:t>
      </w:r>
    </w:p>
    <w:p w14:paraId="7C7C58AD" w14:textId="77777777" w:rsidR="003C4696" w:rsidRPr="000232DD" w:rsidRDefault="003C4696" w:rsidP="00082769">
      <w:pPr>
        <w:pStyle w:val="BodyText1"/>
        <w:numPr>
          <w:ilvl w:val="0"/>
          <w:numId w:val="8"/>
        </w:numPr>
        <w:ind w:left="0" w:right="-22" w:firstLine="0"/>
        <w:rPr>
          <w:color w:val="auto"/>
          <w:lang w:val="hy-AM"/>
        </w:rPr>
      </w:pPr>
      <w:r w:rsidRPr="000232DD">
        <w:rPr>
          <w:color w:val="auto"/>
          <w:lang w:val="hy-AM"/>
        </w:rPr>
        <w:t>առողջապահություն` 51,260 մլն. դրամ,</w:t>
      </w:r>
    </w:p>
    <w:p w14:paraId="4962CF3F" w14:textId="77777777" w:rsidR="003C4696" w:rsidRPr="000232DD" w:rsidRDefault="003C4696" w:rsidP="00082769">
      <w:pPr>
        <w:pStyle w:val="BodyText1"/>
        <w:numPr>
          <w:ilvl w:val="0"/>
          <w:numId w:val="8"/>
        </w:numPr>
        <w:ind w:left="0" w:right="-22" w:firstLine="0"/>
        <w:rPr>
          <w:color w:val="auto"/>
          <w:lang w:val="hy-AM"/>
        </w:rPr>
      </w:pPr>
      <w:r w:rsidRPr="000232DD">
        <w:rPr>
          <w:color w:val="auto"/>
          <w:lang w:val="hy-AM"/>
        </w:rPr>
        <w:t>կրթություն` 57,700 մլն. դրամ,</w:t>
      </w:r>
    </w:p>
    <w:p w14:paraId="6EB57B07" w14:textId="77777777" w:rsidR="003C4696" w:rsidRPr="000232DD" w:rsidRDefault="003C4696" w:rsidP="00082769">
      <w:pPr>
        <w:pStyle w:val="BodyText1"/>
        <w:numPr>
          <w:ilvl w:val="0"/>
          <w:numId w:val="8"/>
        </w:numPr>
        <w:ind w:left="0" w:right="-22" w:firstLine="0"/>
        <w:rPr>
          <w:color w:val="auto"/>
          <w:lang w:val="hy-AM"/>
        </w:rPr>
      </w:pPr>
      <w:r w:rsidRPr="000232DD">
        <w:rPr>
          <w:color w:val="auto"/>
          <w:lang w:val="hy-AM"/>
        </w:rPr>
        <w:t>ֆինանսներ և ապահովագրություն` 257,626 մլն. դրամ,</w:t>
      </w:r>
    </w:p>
    <w:p w14:paraId="433D9EE6" w14:textId="77777777" w:rsidR="003C4696" w:rsidRPr="000232DD" w:rsidRDefault="003C4696" w:rsidP="00082769">
      <w:pPr>
        <w:pStyle w:val="BodyText1"/>
        <w:numPr>
          <w:ilvl w:val="0"/>
          <w:numId w:val="8"/>
        </w:numPr>
        <w:ind w:left="0" w:right="-22" w:firstLine="0"/>
        <w:rPr>
          <w:color w:val="auto"/>
          <w:lang w:val="hy-AM"/>
        </w:rPr>
      </w:pPr>
      <w:r w:rsidRPr="000232DD">
        <w:rPr>
          <w:color w:val="auto"/>
          <w:lang w:val="hy-AM"/>
        </w:rPr>
        <w:t>խաղատների գործունեություն, շահումով խաղերի (այդ թվում՝ ինտերնետ շահումով խաղերի), տոտալիզատորի և ինտերնետ տոտալիզատորի կազմակերպում՝ 103,449 մլն. դրամ,</w:t>
      </w:r>
    </w:p>
    <w:p w14:paraId="2E05B200" w14:textId="77777777" w:rsidR="003C4696" w:rsidRPr="000232DD" w:rsidRDefault="003C4696" w:rsidP="00082769">
      <w:pPr>
        <w:pStyle w:val="BodyText1"/>
        <w:numPr>
          <w:ilvl w:val="0"/>
          <w:numId w:val="8"/>
        </w:numPr>
        <w:ind w:left="0" w:right="-22" w:firstLine="0"/>
        <w:rPr>
          <w:color w:val="auto"/>
          <w:lang w:val="hy-AM"/>
        </w:rPr>
      </w:pPr>
      <w:r w:rsidRPr="000232DD">
        <w:rPr>
          <w:color w:val="auto"/>
          <w:lang w:val="hy-AM"/>
        </w:rPr>
        <w:t>ոսկու և թանկարժեք քարերի իրացում՝ 15,754 մլն. դրամ,</w:t>
      </w:r>
    </w:p>
    <w:p w14:paraId="2B8A78AD" w14:textId="77777777" w:rsidR="003C4696" w:rsidRPr="000232DD" w:rsidRDefault="003C4696" w:rsidP="00082769">
      <w:pPr>
        <w:pStyle w:val="BodyText1"/>
        <w:numPr>
          <w:ilvl w:val="0"/>
          <w:numId w:val="8"/>
        </w:numPr>
        <w:ind w:left="0" w:right="-22" w:firstLine="0"/>
        <w:rPr>
          <w:color w:val="auto"/>
          <w:lang w:val="hy-AM"/>
        </w:rPr>
      </w:pPr>
      <w:r w:rsidRPr="000232DD">
        <w:rPr>
          <w:color w:val="auto"/>
          <w:lang w:val="hy-AM"/>
        </w:rPr>
        <w:t>մարդասիրական օգնություն՝ 17,969 մլն. դրամ,</w:t>
      </w:r>
    </w:p>
    <w:p w14:paraId="7A44540B" w14:textId="77777777" w:rsidR="003C4696" w:rsidRPr="000232DD" w:rsidRDefault="003C4696" w:rsidP="00082769">
      <w:pPr>
        <w:pStyle w:val="BodyText1"/>
        <w:numPr>
          <w:ilvl w:val="0"/>
          <w:numId w:val="8"/>
        </w:numPr>
        <w:ind w:left="0" w:right="-22" w:firstLine="0"/>
        <w:rPr>
          <w:color w:val="auto"/>
          <w:lang w:val="hy-AM"/>
        </w:rPr>
      </w:pPr>
      <w:r w:rsidRPr="000232DD">
        <w:rPr>
          <w:color w:val="auto"/>
          <w:lang w:val="hy-AM"/>
        </w:rPr>
        <w:t>պարարտանյութերի իրացում՝ 6,603 մլն. դրամ,</w:t>
      </w:r>
    </w:p>
    <w:p w14:paraId="2A5929FA" w14:textId="77777777" w:rsidR="003C4696" w:rsidRPr="000232DD" w:rsidRDefault="003C4696" w:rsidP="00082769">
      <w:pPr>
        <w:pStyle w:val="BodyText1"/>
        <w:numPr>
          <w:ilvl w:val="0"/>
          <w:numId w:val="8"/>
        </w:numPr>
        <w:ind w:left="0" w:right="-22" w:firstLine="0"/>
        <w:rPr>
          <w:color w:val="auto"/>
          <w:lang w:val="hy-AM"/>
        </w:rPr>
      </w:pPr>
      <w:r w:rsidRPr="000232DD">
        <w:rPr>
          <w:color w:val="auto"/>
          <w:lang w:val="hy-AM"/>
        </w:rPr>
        <w:t>ջրօգտագործողների ընկերությունների կողմից ոռոգման ջրի օտարում՝ 1,785 մլն. դրամ,</w:t>
      </w:r>
    </w:p>
    <w:p w14:paraId="39AC1896" w14:textId="77777777" w:rsidR="003C4696" w:rsidRPr="000232DD" w:rsidRDefault="003C4696" w:rsidP="00082769">
      <w:pPr>
        <w:pStyle w:val="BodyText1"/>
        <w:numPr>
          <w:ilvl w:val="0"/>
          <w:numId w:val="8"/>
        </w:numPr>
        <w:ind w:left="0" w:right="-22" w:firstLine="0"/>
        <w:rPr>
          <w:color w:val="auto"/>
          <w:lang w:val="hy-AM"/>
        </w:rPr>
      </w:pPr>
      <w:r w:rsidRPr="000232DD">
        <w:rPr>
          <w:color w:val="auto"/>
          <w:lang w:val="hy-AM"/>
        </w:rPr>
        <w:t>սուբսիդիաների, սուբվենցիաների և դրամաշնորհային ծրագրերի շրջանակներում իրականացվող` ապրանքի մատակարարում, աշխատանքի կատարում և (կամ) ծառայության մատուցում՝ 1,685 մլն. դրամ,</w:t>
      </w:r>
    </w:p>
    <w:p w14:paraId="1A38183F" w14:textId="77777777" w:rsidR="003C4696" w:rsidRPr="000232DD" w:rsidRDefault="003C4696" w:rsidP="00082769">
      <w:pPr>
        <w:pStyle w:val="BodyText1"/>
        <w:numPr>
          <w:ilvl w:val="0"/>
          <w:numId w:val="8"/>
        </w:numPr>
        <w:ind w:left="0" w:right="-22" w:firstLine="0"/>
        <w:rPr>
          <w:color w:val="auto"/>
          <w:lang w:val="hy-AM"/>
        </w:rPr>
      </w:pPr>
      <w:r w:rsidRPr="000232DD">
        <w:rPr>
          <w:color w:val="auto"/>
          <w:lang w:val="hy-AM"/>
        </w:rPr>
        <w:t>ազատ տնտեսական գոտու կազմակերպչին և ազատ տնտեսական գոտու շահագործողին ծառայությունների մատուցում, ազատ տնտեսական գոտու կազմակերպչի և ազատ տնտեսական գոտու շահագործողի համար աշխատանքների կատարում, ազատ տնտեսական գոտու տարածքում ապրանքների մատակարարում՝ 234 մլն. դրամ,</w:t>
      </w:r>
    </w:p>
    <w:p w14:paraId="7506F5FC" w14:textId="77777777" w:rsidR="003C4696" w:rsidRPr="000232DD" w:rsidRDefault="003C4696" w:rsidP="00082769">
      <w:pPr>
        <w:pStyle w:val="BodyText1"/>
        <w:numPr>
          <w:ilvl w:val="0"/>
          <w:numId w:val="8"/>
        </w:numPr>
        <w:ind w:left="0" w:right="-22" w:firstLine="0"/>
        <w:rPr>
          <w:color w:val="auto"/>
          <w:lang w:val="hy-AM"/>
        </w:rPr>
      </w:pPr>
      <w:r w:rsidRPr="000232DD">
        <w:rPr>
          <w:color w:val="auto"/>
          <w:lang w:val="hy-AM"/>
        </w:rPr>
        <w:t>օրենսգրքով սահմանված վերը չնշված այլ արտոնություններ` 12,377 մլն. դրամ*</w:t>
      </w:r>
    </w:p>
    <w:p w14:paraId="2717C13B" w14:textId="77777777" w:rsidR="003C4696" w:rsidRPr="000232DD" w:rsidRDefault="003C4696" w:rsidP="00082769">
      <w:pPr>
        <w:pStyle w:val="BodyText1"/>
        <w:numPr>
          <w:ilvl w:val="0"/>
          <w:numId w:val="8"/>
        </w:numPr>
        <w:ind w:left="0" w:right="-22" w:firstLine="0"/>
        <w:rPr>
          <w:color w:val="auto"/>
          <w:lang w:val="hy-AM"/>
        </w:rPr>
      </w:pPr>
      <w:r w:rsidRPr="000232DD">
        <w:rPr>
          <w:color w:val="auto"/>
          <w:lang w:val="hy-AM"/>
        </w:rPr>
        <w:t>այլ օրենքներով տրված արտոնություններ՝ 463 մլն. դրամ:</w:t>
      </w:r>
    </w:p>
    <w:p w14:paraId="3E00C208" w14:textId="77777777" w:rsidR="002250B9" w:rsidRPr="000232DD" w:rsidRDefault="002250B9" w:rsidP="00082769">
      <w:pPr>
        <w:ind w:right="-22"/>
        <w:rPr>
          <w:color w:val="auto"/>
          <w:lang w:val="hy-AM"/>
        </w:rPr>
      </w:pPr>
    </w:p>
    <w:p w14:paraId="555CB180" w14:textId="77777777" w:rsidR="003C4696" w:rsidRPr="000232DD" w:rsidRDefault="003C4696" w:rsidP="00082769">
      <w:pPr>
        <w:pStyle w:val="BodyText1"/>
        <w:ind w:left="0" w:right="-22"/>
        <w:rPr>
          <w:i/>
          <w:color w:val="auto"/>
          <w:lang w:val="hy-AM"/>
        </w:rPr>
      </w:pPr>
      <w:r w:rsidRPr="000232DD">
        <w:rPr>
          <w:i/>
          <w:color w:val="auto"/>
          <w:lang w:val="hy-AM"/>
        </w:rPr>
        <w:t>* ավելացված արժեքի հարկի գծով հարկային ծախսերի մեծությունը գնահատելիս՝</w:t>
      </w:r>
    </w:p>
    <w:p w14:paraId="601256C3" w14:textId="77777777" w:rsidR="003C4696" w:rsidRPr="000232DD" w:rsidRDefault="003C4696" w:rsidP="00082769">
      <w:pPr>
        <w:pStyle w:val="BodyText1"/>
        <w:ind w:left="0" w:right="-22"/>
        <w:rPr>
          <w:color w:val="auto"/>
          <w:lang w:val="hy-AM"/>
        </w:rPr>
      </w:pPr>
      <w:r w:rsidRPr="000232DD">
        <w:rPr>
          <w:color w:val="auto"/>
          <w:lang w:val="hy-AM"/>
        </w:rPr>
        <w:t>ավելացված արժեքի հարկի զրոյական դրույքաչափի կիրառությունը չի դիտվել որպես հարկային ծախս, քանի որ այն հիմնականում կիրառվում է արտահանվող ապրանք</w:t>
      </w:r>
      <w:r w:rsidRPr="000232DD">
        <w:rPr>
          <w:color w:val="auto"/>
          <w:lang w:val="hy-AM"/>
        </w:rPr>
        <w:softHyphen/>
        <w:t>ների իրացման գործարքների համար, որոնց մասով ավելացված արժեքի հարկի զրոյական դրույ</w:t>
      </w:r>
      <w:r w:rsidRPr="000232DD">
        <w:rPr>
          <w:color w:val="auto"/>
          <w:lang w:val="hy-AM"/>
        </w:rPr>
        <w:softHyphen/>
        <w:t>քաչափի կիրառությունը միջազգային պրակտիկայում ընդունված մոտեցում է, և հետևա</w:t>
      </w:r>
      <w:r w:rsidRPr="000232DD">
        <w:rPr>
          <w:color w:val="auto"/>
          <w:lang w:val="hy-AM"/>
        </w:rPr>
        <w:softHyphen/>
        <w:t>բար, այդ գործարքներից ավելացված արժեքի հարկի հաշվարկային մեծությունը չի կարող համարվել հենանիշային հարկ,</w:t>
      </w:r>
    </w:p>
    <w:p w14:paraId="3A9759D2" w14:textId="77777777" w:rsidR="003C4696" w:rsidRPr="000232DD" w:rsidRDefault="003C4696" w:rsidP="00082769">
      <w:pPr>
        <w:pStyle w:val="BodyText1"/>
        <w:ind w:left="0" w:right="-22"/>
        <w:rPr>
          <w:color w:val="auto"/>
          <w:lang w:val="hy-AM"/>
        </w:rPr>
      </w:pPr>
      <w:r w:rsidRPr="000232DD">
        <w:rPr>
          <w:color w:val="auto"/>
          <w:lang w:val="hy-AM"/>
        </w:rPr>
        <w:t>հաշվարկներում չեն ներառվել նաև ներդրումային ծրագրերի շրջանակներում ներ</w:t>
      </w:r>
      <w:r w:rsidRPr="000232DD">
        <w:rPr>
          <w:color w:val="auto"/>
          <w:lang w:val="hy-AM"/>
        </w:rPr>
        <w:softHyphen/>
        <w:t>մուծ</w:t>
      </w:r>
      <w:r w:rsidRPr="000232DD">
        <w:rPr>
          <w:color w:val="auto"/>
          <w:lang w:val="hy-AM"/>
        </w:rPr>
        <w:softHyphen/>
        <w:t>վող ապրանքների մասով մաքսային մարմինների կողմից հաշվարկվող ավելացված արժեքի հարկի գումարները, որոնց վճարման ժամկետը հետաձգվում է օրենքով սահ</w:t>
      </w:r>
      <w:r w:rsidRPr="000232DD">
        <w:rPr>
          <w:color w:val="auto"/>
          <w:lang w:val="hy-AM"/>
        </w:rPr>
        <w:softHyphen/>
        <w:t>ման</w:t>
      </w:r>
      <w:r w:rsidRPr="000232DD">
        <w:rPr>
          <w:color w:val="auto"/>
          <w:lang w:val="hy-AM"/>
        </w:rPr>
        <w:softHyphen/>
        <w:t>ված համապատասխան ժամկետներով՝ հաշվի առնելով այն, որ ավելացված արժեքի հարկի գումար</w:t>
      </w:r>
      <w:r w:rsidRPr="000232DD">
        <w:rPr>
          <w:color w:val="auto"/>
          <w:lang w:val="hy-AM"/>
        </w:rPr>
        <w:softHyphen/>
        <w:t>ների վճարման ժամկետի հետաձգումը միայն ժամանակային ազդեցություն է ունե</w:t>
      </w:r>
      <w:r w:rsidRPr="000232DD">
        <w:rPr>
          <w:color w:val="auto"/>
          <w:lang w:val="hy-AM"/>
        </w:rPr>
        <w:softHyphen/>
        <w:t>նում պետական բյուջեի հարկային եկամուտների մեծության վրա,</w:t>
      </w:r>
    </w:p>
    <w:p w14:paraId="5B5DA51B" w14:textId="77777777" w:rsidR="003C4696" w:rsidRPr="000232DD" w:rsidRDefault="003C4696" w:rsidP="00082769">
      <w:pPr>
        <w:pStyle w:val="BodyText1"/>
        <w:ind w:left="0" w:right="-22"/>
        <w:rPr>
          <w:color w:val="auto"/>
          <w:lang w:val="hy-AM"/>
        </w:rPr>
      </w:pPr>
      <w:r w:rsidRPr="000232DD">
        <w:rPr>
          <w:color w:val="auto"/>
          <w:lang w:val="hy-AM"/>
        </w:rPr>
        <w:t>հաշվարկներում չեն ներառվել նաև այն ապրանքների ներմուծման համար ավելաց</w:t>
      </w:r>
      <w:r w:rsidRPr="000232DD">
        <w:rPr>
          <w:color w:val="auto"/>
          <w:lang w:val="hy-AM"/>
        </w:rPr>
        <w:softHyphen/>
        <w:t>ված արժեքի հարկի հաշվարկային գումարները, որոնք ներառված են «Կազմակերպու</w:t>
      </w:r>
      <w:r w:rsidRPr="000232DD">
        <w:rPr>
          <w:color w:val="auto"/>
          <w:lang w:val="hy-AM"/>
        </w:rPr>
        <w:softHyphen/>
        <w:t>թյուն</w:t>
      </w:r>
      <w:r w:rsidRPr="000232DD">
        <w:rPr>
          <w:color w:val="auto"/>
          <w:lang w:val="hy-AM"/>
        </w:rPr>
        <w:softHyphen/>
        <w:t>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հաստատված ցանկում, քանի որ այդ ապրանք</w:t>
      </w:r>
      <w:r w:rsidRPr="000232DD">
        <w:rPr>
          <w:color w:val="auto"/>
          <w:lang w:val="hy-AM"/>
        </w:rPr>
        <w:softHyphen/>
        <w:t>ների մասով, տնտեսական գործունեության հետագա փուլերում կարող են ձևավորվել ավելացված արժեքով հարկման բազաներ, որոնցից ավելացված արժեքի հարկը հաշվարկվում և վճարվում է օրենքով սահմանված կարգով:</w:t>
      </w:r>
    </w:p>
    <w:p w14:paraId="3293D227" w14:textId="77777777" w:rsidR="003C4696" w:rsidRPr="000232DD" w:rsidRDefault="003C4696" w:rsidP="00082769">
      <w:pPr>
        <w:pStyle w:val="BodyText1"/>
        <w:ind w:left="0" w:right="-22"/>
        <w:rPr>
          <w:color w:val="auto"/>
          <w:lang w:val="hy-AM"/>
        </w:rPr>
      </w:pPr>
      <w:r w:rsidRPr="000232DD">
        <w:rPr>
          <w:color w:val="auto"/>
          <w:lang w:val="hy-AM"/>
        </w:rPr>
        <w:t xml:space="preserve">Այսպիսով, 2027 թվականի ԱԱՀ-ի գծով գնահատված հարկային ծախսերը կազմում են 680,897 մլն. դրամ: </w:t>
      </w:r>
    </w:p>
    <w:p w14:paraId="6BF1F7BC" w14:textId="77777777" w:rsidR="003C4696" w:rsidRPr="000232DD" w:rsidRDefault="003C4696" w:rsidP="00082769">
      <w:pPr>
        <w:pStyle w:val="BodyText1"/>
        <w:ind w:left="0" w:right="-22"/>
        <w:rPr>
          <w:color w:val="auto"/>
          <w:lang w:val="hy-AM"/>
        </w:rPr>
      </w:pPr>
      <w:r w:rsidRPr="000232DD">
        <w:rPr>
          <w:color w:val="auto"/>
          <w:lang w:val="hy-AM"/>
        </w:rPr>
        <w:t>Տրված գնահատականում ներառված է նաև ԱԱՀ-ի շեմի կիրառության հետևան</w:t>
      </w:r>
      <w:r w:rsidRPr="000232DD">
        <w:rPr>
          <w:color w:val="auto"/>
          <w:lang w:val="hy-AM"/>
        </w:rPr>
        <w:softHyphen/>
        <w:t>քով ԱԱՀ-ի գծով հարկային եկամուտների հաշվարկային կորուստը, որը սույն հաշվետ</w:t>
      </w:r>
      <w:r w:rsidRPr="000232DD">
        <w:rPr>
          <w:color w:val="auto"/>
          <w:lang w:val="hy-AM"/>
        </w:rPr>
        <w:softHyphen/>
        <w:t>վու</w:t>
      </w:r>
      <w:r w:rsidRPr="000232DD">
        <w:rPr>
          <w:color w:val="auto"/>
          <w:lang w:val="hy-AM"/>
        </w:rPr>
        <w:softHyphen/>
      </w:r>
      <w:r w:rsidRPr="000232DD">
        <w:rPr>
          <w:color w:val="auto"/>
          <w:lang w:val="hy-AM"/>
        </w:rPr>
        <w:softHyphen/>
        <w:t>թյունում ներկայացվում է առանձին գնահատմամբ և կազմում է 110,665 մլն. դրամ, ինչպես նաև միկրոբիզնեսին տրված հարկային արտոնությունների մասով ԱԱՀ-ի գծով հարկային եկամուտների հաշվարկային կորուստը, որը սույն հաշվետ</w:t>
      </w:r>
      <w:r w:rsidRPr="000232DD">
        <w:rPr>
          <w:color w:val="auto"/>
          <w:lang w:val="hy-AM"/>
        </w:rPr>
        <w:softHyphen/>
        <w:t>վու</w:t>
      </w:r>
      <w:r w:rsidRPr="000232DD">
        <w:rPr>
          <w:color w:val="auto"/>
          <w:lang w:val="hy-AM"/>
        </w:rPr>
        <w:softHyphen/>
      </w:r>
      <w:r w:rsidRPr="000232DD">
        <w:rPr>
          <w:color w:val="auto"/>
          <w:lang w:val="hy-AM"/>
        </w:rPr>
        <w:softHyphen/>
        <w:t>թյունում ներկայացվում է առանձին գնահատմամբ և կազմում է 11,316 մլն. դրամ:</w:t>
      </w:r>
    </w:p>
    <w:p w14:paraId="3CB9D1C5" w14:textId="77777777" w:rsidR="003C4696" w:rsidRPr="000232DD" w:rsidRDefault="003C4696" w:rsidP="00082769">
      <w:pPr>
        <w:pStyle w:val="BodyText1"/>
        <w:ind w:left="0" w:right="-22"/>
        <w:rPr>
          <w:b/>
          <w:color w:val="auto"/>
          <w:lang w:val="hy-AM"/>
        </w:rPr>
      </w:pPr>
    </w:p>
    <w:p w14:paraId="3FB150C0" w14:textId="77777777" w:rsidR="003C4696" w:rsidRPr="000232DD" w:rsidRDefault="003C4696" w:rsidP="00082769">
      <w:pPr>
        <w:pStyle w:val="BodyText1"/>
        <w:ind w:left="0" w:right="-22"/>
        <w:rPr>
          <w:b/>
          <w:color w:val="auto"/>
          <w:lang w:val="hy-AM"/>
        </w:rPr>
      </w:pPr>
      <w:r w:rsidRPr="000232DD">
        <w:rPr>
          <w:b/>
          <w:color w:val="auto"/>
          <w:lang w:val="hy-AM"/>
        </w:rPr>
        <w:t>Շահութահարկի գծով հարկային ծախսեր.</w:t>
      </w:r>
    </w:p>
    <w:p w14:paraId="1073BBF5" w14:textId="77777777" w:rsidR="003C4696" w:rsidRPr="000232DD" w:rsidRDefault="003C4696" w:rsidP="00082769">
      <w:pPr>
        <w:pStyle w:val="BodyText1"/>
        <w:ind w:left="0" w:right="-22"/>
        <w:rPr>
          <w:color w:val="auto"/>
          <w:lang w:val="hy-AM"/>
        </w:rPr>
      </w:pPr>
      <w:r w:rsidRPr="000232DD">
        <w:rPr>
          <w:b/>
          <w:color w:val="auto"/>
          <w:lang w:val="hy-AM"/>
        </w:rPr>
        <w:t>Շահութահարկի գծով հարկային ծախսերը գնահատվել են 99,705 մլն. դրամի չափով*:</w:t>
      </w:r>
      <w:r w:rsidRPr="000232DD">
        <w:rPr>
          <w:color w:val="auto"/>
          <w:lang w:val="hy-AM"/>
        </w:rPr>
        <w:t xml:space="preserve"> Շահու</w:t>
      </w:r>
      <w:r w:rsidRPr="000232DD">
        <w:rPr>
          <w:color w:val="auto"/>
          <w:lang w:val="hy-AM"/>
        </w:rPr>
        <w:softHyphen/>
        <w:t>թահարկի գծով հարկային արտոնությունները գնահատվել են հետևյալ հիմնական ուղղու</w:t>
      </w:r>
      <w:r w:rsidRPr="000232DD">
        <w:rPr>
          <w:color w:val="auto"/>
          <w:lang w:val="hy-AM"/>
        </w:rPr>
        <w:softHyphen/>
        <w:t>թյուններով.</w:t>
      </w:r>
    </w:p>
    <w:p w14:paraId="42FE5030" w14:textId="77777777" w:rsidR="003C4696" w:rsidRPr="000232DD" w:rsidRDefault="003C4696" w:rsidP="00082769">
      <w:pPr>
        <w:pStyle w:val="BodyText1"/>
        <w:numPr>
          <w:ilvl w:val="0"/>
          <w:numId w:val="9"/>
        </w:numPr>
        <w:ind w:left="0" w:right="-22" w:firstLine="0"/>
        <w:rPr>
          <w:color w:val="auto"/>
          <w:lang w:val="hy-AM"/>
        </w:rPr>
      </w:pPr>
      <w:r w:rsidRPr="000232DD">
        <w:rPr>
          <w:color w:val="auto"/>
          <w:lang w:val="hy-AM"/>
        </w:rPr>
        <w:t>գյուղատնտեսություն` 44,748 մլն. դրամ, այդ թվում՝ կազմակերպությունների շահույթից՝ 2,687 մլն. դրամ, և ԱՁ-ների (ֆիզիկական անձանց) շահույթից՝ 42,061 մլն. դրամ,</w:t>
      </w:r>
    </w:p>
    <w:p w14:paraId="31572565" w14:textId="77777777" w:rsidR="003C4696" w:rsidRPr="000232DD" w:rsidRDefault="003C4696" w:rsidP="00082769">
      <w:pPr>
        <w:pStyle w:val="BodyText1"/>
        <w:numPr>
          <w:ilvl w:val="0"/>
          <w:numId w:val="9"/>
        </w:numPr>
        <w:ind w:left="0" w:right="-22" w:firstLine="0"/>
        <w:rPr>
          <w:color w:val="auto"/>
          <w:lang w:val="hy-AM"/>
        </w:rPr>
      </w:pPr>
      <w:r w:rsidRPr="000232DD">
        <w:rPr>
          <w:color w:val="auto"/>
          <w:lang w:val="hy-AM"/>
        </w:rPr>
        <w:t>հարկվող շահույթի նվազեցման արտոնություններ, բացառությամբ՝ գյուղատնտեսության՝ 2,193 մլն. դրամ,</w:t>
      </w:r>
    </w:p>
    <w:p w14:paraId="77425301" w14:textId="77777777" w:rsidR="003C4696" w:rsidRPr="000232DD" w:rsidRDefault="003C4696" w:rsidP="00082769">
      <w:pPr>
        <w:pStyle w:val="BodyText1"/>
        <w:numPr>
          <w:ilvl w:val="0"/>
          <w:numId w:val="9"/>
        </w:numPr>
        <w:ind w:left="0" w:right="-22" w:firstLine="0"/>
        <w:rPr>
          <w:color w:val="auto"/>
          <w:lang w:val="hy-AM"/>
        </w:rPr>
      </w:pPr>
      <w:r w:rsidRPr="000232DD">
        <w:rPr>
          <w:color w:val="auto"/>
          <w:lang w:val="hy-AM"/>
        </w:rPr>
        <w:t>շահութահարկի նվազեցման արտոնություններ՝ 142 մլն. դրամ,</w:t>
      </w:r>
    </w:p>
    <w:p w14:paraId="467739DC" w14:textId="77777777" w:rsidR="003C4696" w:rsidRPr="000232DD" w:rsidRDefault="003C4696" w:rsidP="00082769">
      <w:pPr>
        <w:pStyle w:val="BodyText1"/>
        <w:numPr>
          <w:ilvl w:val="0"/>
          <w:numId w:val="9"/>
        </w:numPr>
        <w:ind w:left="0" w:right="-22" w:firstLine="0"/>
        <w:rPr>
          <w:color w:val="auto"/>
          <w:lang w:val="hy-AM"/>
        </w:rPr>
      </w:pPr>
      <w:r w:rsidRPr="000232DD">
        <w:rPr>
          <w:color w:val="auto"/>
          <w:lang w:val="hy-AM"/>
        </w:rPr>
        <w:t>ԱԱՀ-ի շեմ` 39,839 մլն. դրամ,</w:t>
      </w:r>
    </w:p>
    <w:p w14:paraId="66F3875C" w14:textId="77777777" w:rsidR="003C4696" w:rsidRPr="000232DD" w:rsidRDefault="003C4696" w:rsidP="00082769">
      <w:pPr>
        <w:pStyle w:val="BodyText1"/>
        <w:numPr>
          <w:ilvl w:val="0"/>
          <w:numId w:val="9"/>
        </w:numPr>
        <w:ind w:left="0" w:right="-22" w:firstLine="0"/>
        <w:rPr>
          <w:color w:val="auto"/>
          <w:lang w:val="hy-AM"/>
        </w:rPr>
      </w:pPr>
      <w:r w:rsidRPr="000232DD">
        <w:rPr>
          <w:color w:val="auto"/>
          <w:lang w:val="hy-AM"/>
        </w:rPr>
        <w:t>միկրոբիզնես՝ 4,074 մլն. դրամ,</w:t>
      </w:r>
    </w:p>
    <w:p w14:paraId="279CB77B" w14:textId="77777777" w:rsidR="003C4696" w:rsidRPr="000232DD" w:rsidRDefault="003C4696" w:rsidP="00082769">
      <w:pPr>
        <w:pStyle w:val="BodyText1"/>
        <w:numPr>
          <w:ilvl w:val="0"/>
          <w:numId w:val="9"/>
        </w:numPr>
        <w:ind w:left="0" w:right="-22" w:firstLine="0"/>
        <w:rPr>
          <w:color w:val="auto"/>
          <w:lang w:val="hy-AM"/>
        </w:rPr>
      </w:pPr>
      <w:r w:rsidRPr="000232DD">
        <w:rPr>
          <w:color w:val="auto"/>
          <w:lang w:val="hy-AM"/>
        </w:rPr>
        <w:t>ՏՏ ոլորտի արտոնություններ` 8,709 մլն. դրամ:</w:t>
      </w:r>
    </w:p>
    <w:p w14:paraId="4237A21B" w14:textId="77777777" w:rsidR="003C4696" w:rsidRPr="000232DD" w:rsidRDefault="003C4696" w:rsidP="00082769">
      <w:pPr>
        <w:pStyle w:val="BodyText1"/>
        <w:ind w:left="0" w:right="-22"/>
        <w:rPr>
          <w:color w:val="auto"/>
          <w:lang w:val="hy-AM"/>
        </w:rPr>
      </w:pPr>
    </w:p>
    <w:p w14:paraId="5F4483D9" w14:textId="6BE4D1E1" w:rsidR="003C4696" w:rsidRPr="000232DD" w:rsidRDefault="003C4696" w:rsidP="00082769">
      <w:pPr>
        <w:pStyle w:val="BodyText1"/>
        <w:ind w:left="0" w:right="-22"/>
        <w:rPr>
          <w:color w:val="auto"/>
          <w:lang w:val="hy-AM"/>
        </w:rPr>
      </w:pPr>
      <w:r w:rsidRPr="000232DD">
        <w:rPr>
          <w:color w:val="auto"/>
          <w:lang w:val="hy-AM"/>
        </w:rPr>
        <w:t>*Մինչև 2020 թվականը հարկային ծախսերի գնահատականներում ԱՁ-ների (ֆիզիկական անձանց) շահույթի գծով հարկային ծախսերը ներառված էին եկամտային հարկի բաժնում:</w:t>
      </w:r>
    </w:p>
    <w:p w14:paraId="628302DB" w14:textId="77777777" w:rsidR="003C4696" w:rsidRPr="000232DD" w:rsidRDefault="003C4696" w:rsidP="00082769">
      <w:pPr>
        <w:pStyle w:val="BodyText1"/>
        <w:ind w:left="0" w:right="-22"/>
        <w:rPr>
          <w:b/>
          <w:color w:val="auto"/>
          <w:lang w:val="hy-AM"/>
        </w:rPr>
      </w:pPr>
      <w:r w:rsidRPr="000232DD">
        <w:rPr>
          <w:b/>
          <w:color w:val="auto"/>
          <w:lang w:val="hy-AM"/>
        </w:rPr>
        <w:t>Եկամտային հարկի գծով հարկային ծախսեր*.</w:t>
      </w:r>
    </w:p>
    <w:p w14:paraId="57118265" w14:textId="77777777" w:rsidR="003C4696" w:rsidRPr="000232DD" w:rsidRDefault="003C4696" w:rsidP="00082769">
      <w:pPr>
        <w:pStyle w:val="BodyText1"/>
        <w:ind w:left="0" w:right="-22"/>
        <w:rPr>
          <w:color w:val="auto"/>
          <w:lang w:val="hy-AM"/>
        </w:rPr>
      </w:pPr>
      <w:r w:rsidRPr="000232DD">
        <w:rPr>
          <w:b/>
          <w:color w:val="auto"/>
          <w:lang w:val="hy-AM"/>
        </w:rPr>
        <w:t>Եկամտային հարկի գծով հարկային ծախսերը գնահատվել են 17,033 մլն. դրամի չափով:</w:t>
      </w:r>
      <w:r w:rsidRPr="000232DD">
        <w:rPr>
          <w:color w:val="auto"/>
          <w:lang w:val="hy-AM"/>
        </w:rPr>
        <w:t xml:space="preserve"> Եկամտային հարկի գծով հարկային արտոնությունները գնահատվել են հետևյալ հիմնական ուղղու</w:t>
      </w:r>
      <w:r w:rsidRPr="000232DD">
        <w:rPr>
          <w:color w:val="auto"/>
          <w:lang w:val="hy-AM"/>
        </w:rPr>
        <w:softHyphen/>
        <w:t>թյուններով.</w:t>
      </w:r>
    </w:p>
    <w:p w14:paraId="55C439AD" w14:textId="77777777" w:rsidR="003C4696" w:rsidRPr="000232DD" w:rsidRDefault="003C4696" w:rsidP="00082769">
      <w:pPr>
        <w:pStyle w:val="BodyText1"/>
        <w:numPr>
          <w:ilvl w:val="0"/>
          <w:numId w:val="10"/>
        </w:numPr>
        <w:ind w:left="0" w:right="-22" w:firstLine="0"/>
        <w:rPr>
          <w:color w:val="auto"/>
          <w:lang w:val="hy-AM"/>
        </w:rPr>
      </w:pPr>
      <w:r w:rsidRPr="000232DD">
        <w:rPr>
          <w:color w:val="auto"/>
          <w:lang w:val="hy-AM"/>
        </w:rPr>
        <w:t xml:space="preserve">գյուղատնտեսություն` 17,033 մլն. դրամ: </w:t>
      </w:r>
    </w:p>
    <w:p w14:paraId="63E58BA5" w14:textId="77777777" w:rsidR="003C4696" w:rsidRPr="000232DD" w:rsidRDefault="003C4696" w:rsidP="00082769">
      <w:pPr>
        <w:pStyle w:val="BodyText1"/>
        <w:ind w:left="0" w:right="-22"/>
        <w:rPr>
          <w:color w:val="auto"/>
          <w:lang w:val="hy-AM"/>
        </w:rPr>
      </w:pPr>
      <w:r w:rsidRPr="000232DD">
        <w:rPr>
          <w:color w:val="auto"/>
          <w:lang w:val="hy-AM"/>
        </w:rPr>
        <w:t>*2027թ. եկամտային հարկի գծով հարկային ծախսերի մեջ հիպոտեկային վարկերի տոկոսների սպասարկման համար վերադարձված եկամտային հարկը ներառված չէ, հաշվի առնելով, որ բյուջետային կանոնների համաձայն այսուհետ այն հարկային եկամուտներից չի նվազեցվում:</w:t>
      </w:r>
    </w:p>
    <w:p w14:paraId="782B250F" w14:textId="77777777" w:rsidR="003C4696" w:rsidRPr="000232DD" w:rsidRDefault="003C4696" w:rsidP="00082769">
      <w:pPr>
        <w:pStyle w:val="BodyText1"/>
        <w:ind w:left="0" w:right="-22"/>
        <w:rPr>
          <w:b/>
          <w:bCs/>
          <w:color w:val="auto"/>
          <w:lang w:val="hy-AM"/>
        </w:rPr>
      </w:pPr>
      <w:r w:rsidRPr="000232DD">
        <w:rPr>
          <w:b/>
          <w:bCs/>
          <w:color w:val="auto"/>
          <w:lang w:val="hy-AM"/>
        </w:rPr>
        <w:t>ԱԱՀ-ի շեմի գծով հարկային ծախսերը.</w:t>
      </w:r>
    </w:p>
    <w:p w14:paraId="2A39B4C6" w14:textId="77777777" w:rsidR="003C4696" w:rsidRPr="000232DD" w:rsidRDefault="003C4696" w:rsidP="00082769">
      <w:pPr>
        <w:pStyle w:val="BodyText1"/>
        <w:ind w:left="0" w:right="-22"/>
        <w:rPr>
          <w:color w:val="auto"/>
          <w:lang w:val="hy-AM"/>
        </w:rPr>
      </w:pPr>
      <w:r w:rsidRPr="000232DD">
        <w:rPr>
          <w:color w:val="auto"/>
          <w:lang w:val="hy-AM"/>
        </w:rPr>
        <w:t xml:space="preserve">ԱԱՀ-ի շեմի գծով հարկային ծախսերը գնահատվել </w:t>
      </w:r>
      <w:r w:rsidRPr="000232DD">
        <w:rPr>
          <w:b/>
          <w:bCs/>
          <w:color w:val="auto"/>
          <w:lang w:val="hy-AM"/>
        </w:rPr>
        <w:t>են 150,504 մլն. դրամի չափով*,</w:t>
      </w:r>
      <w:r w:rsidRPr="000232DD">
        <w:rPr>
          <w:color w:val="auto"/>
          <w:lang w:val="hy-AM"/>
        </w:rPr>
        <w:t xml:space="preserve"> այդ թվում`</w:t>
      </w:r>
    </w:p>
    <w:p w14:paraId="02D8E161" w14:textId="77777777" w:rsidR="003C4696" w:rsidRPr="000232DD" w:rsidRDefault="003C4696" w:rsidP="00082769">
      <w:pPr>
        <w:pStyle w:val="BodyText1"/>
        <w:numPr>
          <w:ilvl w:val="0"/>
          <w:numId w:val="11"/>
        </w:numPr>
        <w:ind w:left="0" w:right="-22" w:firstLine="0"/>
        <w:rPr>
          <w:color w:val="auto"/>
          <w:lang w:val="hy-AM"/>
        </w:rPr>
      </w:pPr>
      <w:r w:rsidRPr="000232DD">
        <w:rPr>
          <w:color w:val="auto"/>
          <w:lang w:val="hy-AM"/>
        </w:rPr>
        <w:t>ԱԱՀ` 110,665 մլն. դրամ,</w:t>
      </w:r>
    </w:p>
    <w:p w14:paraId="554B0AB9" w14:textId="77777777" w:rsidR="003C4696" w:rsidRPr="000232DD" w:rsidRDefault="003C4696" w:rsidP="00082769">
      <w:pPr>
        <w:pStyle w:val="BodyText1"/>
        <w:numPr>
          <w:ilvl w:val="0"/>
          <w:numId w:val="11"/>
        </w:numPr>
        <w:ind w:left="0" w:right="-22" w:firstLine="0"/>
        <w:rPr>
          <w:color w:val="auto"/>
          <w:lang w:val="hy-AM"/>
        </w:rPr>
      </w:pPr>
      <w:r w:rsidRPr="000232DD">
        <w:rPr>
          <w:color w:val="auto"/>
          <w:lang w:val="hy-AM"/>
        </w:rPr>
        <w:t>Շահութահարկ` 39,839 մլն. դրամ:</w:t>
      </w:r>
    </w:p>
    <w:p w14:paraId="3AE735CC" w14:textId="77777777" w:rsidR="003C4696" w:rsidRPr="000232DD" w:rsidRDefault="003C4696" w:rsidP="00082769">
      <w:pPr>
        <w:pStyle w:val="BodyText1"/>
        <w:ind w:left="0" w:right="-22"/>
        <w:rPr>
          <w:color w:val="auto"/>
          <w:lang w:val="hy-AM"/>
        </w:rPr>
      </w:pPr>
      <w:r w:rsidRPr="000232DD">
        <w:rPr>
          <w:color w:val="auto"/>
          <w:lang w:val="hy-AM"/>
        </w:rPr>
        <w:t>*ԱԱՀ-ի շեմի գծով հարկային ծախսերի գնահատման համար ԱԱՀ-ի շեմն ընդունվել է 115.0 մլն. դրամ:</w:t>
      </w:r>
    </w:p>
    <w:p w14:paraId="5307B4BD" w14:textId="77777777" w:rsidR="003C4696" w:rsidRPr="000232DD" w:rsidRDefault="003C4696" w:rsidP="00082769">
      <w:pPr>
        <w:pStyle w:val="BodyText1"/>
        <w:ind w:left="0" w:right="-22"/>
        <w:rPr>
          <w:b/>
          <w:bCs/>
          <w:color w:val="auto"/>
          <w:lang w:val="hy-AM"/>
        </w:rPr>
      </w:pPr>
      <w:r w:rsidRPr="000232DD">
        <w:rPr>
          <w:b/>
          <w:bCs/>
          <w:color w:val="auto"/>
          <w:lang w:val="hy-AM"/>
        </w:rPr>
        <w:t>Միկրոբիզնեսի գծով հարկային ծախսերը.</w:t>
      </w:r>
    </w:p>
    <w:p w14:paraId="69ADAA7F" w14:textId="77777777" w:rsidR="003C4696" w:rsidRPr="000232DD" w:rsidRDefault="003C4696" w:rsidP="00082769">
      <w:pPr>
        <w:pStyle w:val="BodyText1"/>
        <w:ind w:left="0" w:right="-22"/>
        <w:rPr>
          <w:color w:val="auto"/>
          <w:lang w:val="hy-AM"/>
        </w:rPr>
      </w:pPr>
      <w:r w:rsidRPr="000232DD">
        <w:rPr>
          <w:color w:val="auto"/>
          <w:lang w:val="hy-AM"/>
        </w:rPr>
        <w:t>Միկրոբիզնեսի գծով հարկային ծախսերը գնահատվել են 15,390 մլն. դրամի չափով, այդ թվում`</w:t>
      </w:r>
    </w:p>
    <w:p w14:paraId="4672C34C" w14:textId="77777777" w:rsidR="003C4696" w:rsidRPr="000232DD" w:rsidRDefault="003C4696" w:rsidP="00082769">
      <w:pPr>
        <w:pStyle w:val="BodyText1"/>
        <w:numPr>
          <w:ilvl w:val="0"/>
          <w:numId w:val="12"/>
        </w:numPr>
        <w:ind w:left="0" w:right="-22" w:firstLine="0"/>
        <w:rPr>
          <w:color w:val="auto"/>
          <w:lang w:val="hy-AM"/>
        </w:rPr>
      </w:pPr>
      <w:r w:rsidRPr="000232DD">
        <w:rPr>
          <w:color w:val="auto"/>
          <w:lang w:val="hy-AM"/>
        </w:rPr>
        <w:t>ԱԱՀ` 11,316 մլն. դրամ,</w:t>
      </w:r>
    </w:p>
    <w:p w14:paraId="3BBB096F" w14:textId="77777777" w:rsidR="003C4696" w:rsidRPr="000232DD" w:rsidRDefault="003C4696" w:rsidP="00082769">
      <w:pPr>
        <w:pStyle w:val="BodyText1"/>
        <w:numPr>
          <w:ilvl w:val="0"/>
          <w:numId w:val="12"/>
        </w:numPr>
        <w:ind w:left="0" w:right="-22" w:firstLine="0"/>
        <w:rPr>
          <w:color w:val="auto"/>
          <w:lang w:val="hy-AM"/>
        </w:rPr>
      </w:pPr>
      <w:r w:rsidRPr="000232DD">
        <w:rPr>
          <w:color w:val="auto"/>
          <w:lang w:val="hy-AM"/>
        </w:rPr>
        <w:t>Շահութահարկ` 4,074 մլն. դրամ:</w:t>
      </w:r>
    </w:p>
    <w:p w14:paraId="1165C477" w14:textId="77777777" w:rsidR="003C4696" w:rsidRPr="000232DD" w:rsidRDefault="003C4696" w:rsidP="00082769">
      <w:pPr>
        <w:pStyle w:val="BodyText1"/>
        <w:ind w:left="0" w:right="-22"/>
        <w:rPr>
          <w:b/>
          <w:bCs/>
          <w:color w:val="auto"/>
          <w:lang w:val="hy-AM"/>
        </w:rPr>
      </w:pPr>
      <w:r w:rsidRPr="000232DD">
        <w:rPr>
          <w:b/>
          <w:bCs/>
          <w:color w:val="auto"/>
          <w:lang w:val="hy-AM"/>
        </w:rPr>
        <w:t>Շրջանառության հարկի գծով հարկային ծախսերը.</w:t>
      </w:r>
    </w:p>
    <w:p w14:paraId="082EB43E" w14:textId="77777777" w:rsidR="003C4696" w:rsidRPr="000232DD" w:rsidRDefault="003C4696" w:rsidP="00082769">
      <w:pPr>
        <w:pStyle w:val="BodyText1"/>
        <w:ind w:left="0" w:right="-22"/>
        <w:rPr>
          <w:color w:val="auto"/>
          <w:lang w:val="hy-AM"/>
        </w:rPr>
      </w:pPr>
      <w:r w:rsidRPr="000232DD">
        <w:rPr>
          <w:color w:val="auto"/>
          <w:lang w:val="hy-AM"/>
        </w:rPr>
        <w:t>Շրջանառության հարկի գծով հարկային ծախսերը գնահատվել են 33,827 մլն. դրամի չափով: Շրջանառության հարկի գծով հարկային արտոնությունները գնահատվել են հետևյալ ուղղու</w:t>
      </w:r>
      <w:r w:rsidRPr="000232DD">
        <w:rPr>
          <w:color w:val="auto"/>
          <w:lang w:val="hy-AM"/>
        </w:rPr>
        <w:softHyphen/>
        <w:t>թյամբ.</w:t>
      </w:r>
    </w:p>
    <w:p w14:paraId="02C56C0B" w14:textId="77777777" w:rsidR="003C4696" w:rsidRPr="000232DD" w:rsidRDefault="003C4696" w:rsidP="00082769">
      <w:pPr>
        <w:pStyle w:val="BodyText1"/>
        <w:numPr>
          <w:ilvl w:val="0"/>
          <w:numId w:val="13"/>
        </w:numPr>
        <w:ind w:left="0" w:right="-22" w:firstLine="0"/>
        <w:rPr>
          <w:color w:val="auto"/>
          <w:lang w:val="hy-AM"/>
        </w:rPr>
      </w:pPr>
      <w:r w:rsidRPr="000232DD">
        <w:rPr>
          <w:color w:val="auto"/>
          <w:lang w:val="hy-AM"/>
        </w:rPr>
        <w:t xml:space="preserve">ՏՏ ոլորտի արտոնություններ` 33,827 մլն. դրամ: </w:t>
      </w:r>
    </w:p>
    <w:p w14:paraId="1303EC3A" w14:textId="11BD0FB7" w:rsidR="003C4696" w:rsidRPr="000232DD" w:rsidRDefault="003C4696" w:rsidP="00082769">
      <w:pPr>
        <w:pStyle w:val="BodyText1"/>
        <w:ind w:left="0" w:right="-22"/>
        <w:rPr>
          <w:color w:val="auto"/>
          <w:lang w:val="hy-AM"/>
        </w:rPr>
      </w:pPr>
      <w:r w:rsidRPr="000232DD">
        <w:rPr>
          <w:color w:val="auto"/>
          <w:lang w:val="hy-AM"/>
        </w:rPr>
        <w:t>Ընդհանուր հարկային ծախսը գնահատվել է 831,462 մլն. դրամի չափով, ինչը 2027-2029 թվականների ՄԺԾԾ-ով 2027 թվականի համար կանխատեսված հարկային եկամուտների և ՀՆԱ-ի նկատմամբ կազմում է համապատասխանաբար` 24.82 և 6.20 տոկոս:</w:t>
      </w:r>
    </w:p>
    <w:p w14:paraId="22BCB1D4" w14:textId="77777777" w:rsidR="002250B9" w:rsidRPr="000232DD" w:rsidRDefault="002250B9" w:rsidP="00082769">
      <w:pPr>
        <w:pStyle w:val="TOC2"/>
        <w:ind w:right="-22"/>
        <w:rPr>
          <w:color w:val="auto"/>
          <w:sz w:val="22"/>
          <w:szCs w:val="22"/>
          <w:lang w:val="hy-AM"/>
        </w:rPr>
      </w:pPr>
    </w:p>
    <w:p w14:paraId="0BD42B3A" w14:textId="1E9DDA11" w:rsidR="003C4696" w:rsidRPr="00A52417" w:rsidRDefault="003C4696" w:rsidP="00082769">
      <w:pPr>
        <w:pStyle w:val="TOC2"/>
        <w:ind w:right="-22"/>
        <w:rPr>
          <w:b w:val="0"/>
          <w:bCs/>
          <w:color w:val="auto"/>
          <w:sz w:val="20"/>
          <w:szCs w:val="18"/>
          <w:lang w:val="hy-AM"/>
        </w:rPr>
      </w:pPr>
      <w:r w:rsidRPr="00A52417">
        <w:rPr>
          <w:b w:val="0"/>
          <w:bCs/>
          <w:color w:val="auto"/>
          <w:sz w:val="20"/>
          <w:szCs w:val="18"/>
          <w:lang w:val="hy-AM"/>
        </w:rPr>
        <w:t>Վերլուծության ամփոփ արդյունքները ներ</w:t>
      </w:r>
      <w:r w:rsidRPr="00A52417">
        <w:rPr>
          <w:b w:val="0"/>
          <w:bCs/>
          <w:color w:val="auto"/>
          <w:sz w:val="20"/>
          <w:szCs w:val="18"/>
          <w:lang w:val="hy-AM"/>
        </w:rPr>
        <w:softHyphen/>
        <w:t>կա</w:t>
      </w:r>
      <w:r w:rsidRPr="00A52417">
        <w:rPr>
          <w:b w:val="0"/>
          <w:bCs/>
          <w:color w:val="auto"/>
          <w:sz w:val="20"/>
          <w:szCs w:val="18"/>
          <w:lang w:val="hy-AM"/>
        </w:rPr>
        <w:softHyphen/>
        <w:t>յաց</w:t>
      </w:r>
      <w:r w:rsidRPr="00A52417">
        <w:rPr>
          <w:b w:val="0"/>
          <w:bCs/>
          <w:color w:val="auto"/>
          <w:sz w:val="20"/>
          <w:szCs w:val="18"/>
          <w:lang w:val="hy-AM"/>
        </w:rPr>
        <w:softHyphen/>
        <w:t>ված են ստորև</w:t>
      </w:r>
      <w:r w:rsidR="00C5326C" w:rsidRPr="00A52417">
        <w:rPr>
          <w:b w:val="0"/>
          <w:bCs/>
          <w:color w:val="auto"/>
          <w:sz w:val="20"/>
          <w:szCs w:val="18"/>
          <w:lang w:val="hy-AM"/>
        </w:rPr>
        <w:t>.</w:t>
      </w:r>
    </w:p>
    <w:tbl>
      <w:tblPr>
        <w:tblW w:w="9781" w:type="dxa"/>
        <w:tblInd w:w="-5" w:type="dxa"/>
        <w:tblBorders>
          <w:top w:val="single" w:sz="4" w:space="0" w:color="E1E1E3"/>
          <w:left w:val="single" w:sz="4" w:space="0" w:color="E1E1E3"/>
          <w:bottom w:val="single" w:sz="4" w:space="0" w:color="E1E1E3"/>
          <w:right w:val="single" w:sz="4" w:space="0" w:color="E1E1E3"/>
          <w:insideH w:val="single" w:sz="4" w:space="0" w:color="E1E1E3"/>
          <w:insideV w:val="single" w:sz="4" w:space="0" w:color="E1E1E3"/>
        </w:tblBorders>
        <w:tblLook w:val="04A0" w:firstRow="1" w:lastRow="0" w:firstColumn="1" w:lastColumn="0" w:noHBand="0" w:noVBand="1"/>
      </w:tblPr>
      <w:tblGrid>
        <w:gridCol w:w="644"/>
        <w:gridCol w:w="4743"/>
        <w:gridCol w:w="1417"/>
        <w:gridCol w:w="1701"/>
        <w:gridCol w:w="1276"/>
      </w:tblGrid>
      <w:tr w:rsidR="004C0C21" w:rsidRPr="000232DD" w14:paraId="1A3FFB94" w14:textId="77777777" w:rsidTr="005A4602">
        <w:trPr>
          <w:trHeight w:val="245"/>
        </w:trPr>
        <w:tc>
          <w:tcPr>
            <w:tcW w:w="644" w:type="dxa"/>
            <w:shd w:val="clear" w:color="auto" w:fill="D5DCE4"/>
            <w:vAlign w:val="center"/>
            <w:hideMark/>
          </w:tcPr>
          <w:p w14:paraId="13C10C18" w14:textId="77777777" w:rsidR="00626259" w:rsidRPr="000232DD" w:rsidRDefault="00626259" w:rsidP="00082769">
            <w:pPr>
              <w:spacing w:before="0" w:after="0" w:line="240" w:lineRule="auto"/>
              <w:ind w:right="-22"/>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Հ/Հ</w:t>
            </w:r>
          </w:p>
        </w:tc>
        <w:tc>
          <w:tcPr>
            <w:tcW w:w="4743" w:type="dxa"/>
            <w:shd w:val="clear" w:color="auto" w:fill="D5DCE4"/>
            <w:vAlign w:val="center"/>
            <w:hideMark/>
          </w:tcPr>
          <w:p w14:paraId="6FF9BD52" w14:textId="77777777" w:rsidR="00626259" w:rsidRPr="000232DD" w:rsidRDefault="00626259" w:rsidP="00082769">
            <w:pPr>
              <w:spacing w:before="0" w:after="0" w:line="240" w:lineRule="auto"/>
              <w:ind w:right="-22"/>
              <w:rPr>
                <w:rFonts w:ascii="GHEA Grapalat" w:eastAsia="Times New Roman" w:hAnsi="GHEA Grapalat" w:cs="Times New Roman"/>
                <w:b/>
                <w:color w:val="auto"/>
                <w:sz w:val="16"/>
                <w:szCs w:val="16"/>
                <w:lang w:val="hy-AM"/>
              </w:rPr>
            </w:pPr>
            <w:r w:rsidRPr="000232DD">
              <w:rPr>
                <w:rFonts w:ascii="GHEA Grapalat" w:eastAsia="Times New Roman" w:hAnsi="GHEA Grapalat" w:cs="Times New Roman"/>
                <w:b/>
                <w:color w:val="auto"/>
                <w:sz w:val="16"/>
                <w:szCs w:val="16"/>
              </w:rPr>
              <w:t>Հարկային ծախսերի տեսակը</w:t>
            </w:r>
            <w:r w:rsidRPr="000232DD">
              <w:rPr>
                <w:rFonts w:ascii="GHEA Grapalat" w:eastAsia="Times New Roman" w:hAnsi="GHEA Grapalat" w:cs="Times New Roman"/>
                <w:b/>
                <w:color w:val="auto"/>
                <w:sz w:val="16"/>
                <w:szCs w:val="16"/>
                <w:lang w:val="hy-AM"/>
              </w:rPr>
              <w:t>, մլրդ դրամ</w:t>
            </w:r>
          </w:p>
        </w:tc>
        <w:tc>
          <w:tcPr>
            <w:tcW w:w="1417" w:type="dxa"/>
            <w:shd w:val="clear" w:color="auto" w:fill="D5DCE4"/>
            <w:vAlign w:val="center"/>
            <w:hideMark/>
          </w:tcPr>
          <w:p w14:paraId="5AE0F35D" w14:textId="77777777" w:rsidR="00626259" w:rsidRPr="000232DD" w:rsidRDefault="00626259" w:rsidP="00082769">
            <w:pPr>
              <w:spacing w:before="0" w:after="0" w:line="240" w:lineRule="auto"/>
              <w:ind w:right="-22"/>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Հարկային ծախսերի չափը</w:t>
            </w:r>
          </w:p>
        </w:tc>
        <w:tc>
          <w:tcPr>
            <w:tcW w:w="1701" w:type="dxa"/>
            <w:shd w:val="clear" w:color="auto" w:fill="D5DCE4"/>
            <w:vAlign w:val="center"/>
            <w:hideMark/>
          </w:tcPr>
          <w:p w14:paraId="02E52B4D" w14:textId="77777777" w:rsidR="00626259" w:rsidRPr="000232DD" w:rsidRDefault="00626259" w:rsidP="00082769">
            <w:pPr>
              <w:spacing w:before="0" w:after="0" w:line="240" w:lineRule="auto"/>
              <w:ind w:right="-22"/>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Կշիռը հարկային եկամուտների մեջ</w:t>
            </w:r>
          </w:p>
        </w:tc>
        <w:tc>
          <w:tcPr>
            <w:tcW w:w="1276" w:type="dxa"/>
            <w:shd w:val="clear" w:color="auto" w:fill="D5DCE4"/>
            <w:vAlign w:val="center"/>
            <w:hideMark/>
          </w:tcPr>
          <w:p w14:paraId="2CBAEDC2" w14:textId="77777777" w:rsidR="00626259" w:rsidRPr="000232DD" w:rsidRDefault="00626259" w:rsidP="00082769">
            <w:pPr>
              <w:spacing w:before="0" w:after="0" w:line="240" w:lineRule="auto"/>
              <w:ind w:right="-22"/>
              <w:rPr>
                <w:rFonts w:ascii="GHEA Grapalat" w:eastAsia="Times New Roman" w:hAnsi="GHEA Grapalat" w:cs="Times New Roman"/>
                <w:b/>
                <w:color w:val="auto"/>
                <w:sz w:val="16"/>
                <w:szCs w:val="16"/>
              </w:rPr>
            </w:pPr>
            <w:r w:rsidRPr="000232DD">
              <w:rPr>
                <w:rFonts w:ascii="GHEA Grapalat" w:eastAsia="Times New Roman" w:hAnsi="GHEA Grapalat" w:cs="Times New Roman"/>
                <w:b/>
                <w:color w:val="auto"/>
                <w:sz w:val="16"/>
                <w:szCs w:val="16"/>
              </w:rPr>
              <w:t>Կշիռը ՀՆԱ-ի մեջ</w:t>
            </w:r>
          </w:p>
        </w:tc>
      </w:tr>
      <w:tr w:rsidR="003956E9" w:rsidRPr="000232DD" w14:paraId="6193055A" w14:textId="77777777" w:rsidTr="005A4602">
        <w:trPr>
          <w:trHeight w:val="245"/>
        </w:trPr>
        <w:tc>
          <w:tcPr>
            <w:tcW w:w="644" w:type="dxa"/>
            <w:shd w:val="clear" w:color="auto" w:fill="D5DCE4"/>
            <w:vAlign w:val="center"/>
            <w:hideMark/>
          </w:tcPr>
          <w:p w14:paraId="23A32DEA" w14:textId="77777777" w:rsidR="003956E9" w:rsidRPr="000232DD" w:rsidRDefault="003956E9" w:rsidP="003956E9">
            <w:pPr>
              <w:spacing w:before="0" w:after="0" w:line="240" w:lineRule="auto"/>
              <w:ind w:right="-22"/>
              <w:jc w:val="both"/>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1</w:t>
            </w:r>
          </w:p>
        </w:tc>
        <w:tc>
          <w:tcPr>
            <w:tcW w:w="4743" w:type="dxa"/>
            <w:shd w:val="clear" w:color="auto" w:fill="D5DCE4"/>
            <w:vAlign w:val="center"/>
            <w:hideMark/>
          </w:tcPr>
          <w:p w14:paraId="462538FB" w14:textId="77777777" w:rsidR="003956E9" w:rsidRPr="000232DD" w:rsidRDefault="003956E9" w:rsidP="003956E9">
            <w:pPr>
              <w:spacing w:before="0" w:after="0" w:line="240" w:lineRule="auto"/>
              <w:ind w:right="-22"/>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ԱԱՀ-ի գծով, այդ թվում`</w:t>
            </w:r>
          </w:p>
        </w:tc>
        <w:tc>
          <w:tcPr>
            <w:tcW w:w="1417" w:type="dxa"/>
            <w:shd w:val="clear" w:color="auto" w:fill="D5DCE4"/>
            <w:vAlign w:val="center"/>
            <w:hideMark/>
          </w:tcPr>
          <w:p w14:paraId="1D07E042" w14:textId="32D92AF1" w:rsidR="003956E9" w:rsidRPr="000232DD" w:rsidRDefault="003956E9" w:rsidP="003956E9">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sz w:val="18"/>
                <w:szCs w:val="18"/>
              </w:rPr>
              <w:t>680,897</w:t>
            </w:r>
          </w:p>
        </w:tc>
        <w:tc>
          <w:tcPr>
            <w:tcW w:w="1701" w:type="dxa"/>
            <w:shd w:val="clear" w:color="auto" w:fill="D5DCE4"/>
            <w:vAlign w:val="center"/>
            <w:hideMark/>
          </w:tcPr>
          <w:p w14:paraId="52330D1B" w14:textId="52A41615" w:rsidR="003956E9" w:rsidRPr="000232DD" w:rsidRDefault="003956E9" w:rsidP="003956E9">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i/>
                <w:iCs/>
                <w:sz w:val="18"/>
                <w:szCs w:val="18"/>
              </w:rPr>
              <w:t>19.66%</w:t>
            </w:r>
          </w:p>
        </w:tc>
        <w:tc>
          <w:tcPr>
            <w:tcW w:w="1276" w:type="dxa"/>
            <w:shd w:val="clear" w:color="auto" w:fill="D5DCE4"/>
            <w:vAlign w:val="center"/>
            <w:hideMark/>
          </w:tcPr>
          <w:p w14:paraId="0B8AA971" w14:textId="4345BA76" w:rsidR="003956E9" w:rsidRPr="000232DD" w:rsidRDefault="003956E9" w:rsidP="003956E9">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i/>
                <w:iCs/>
                <w:sz w:val="18"/>
                <w:szCs w:val="18"/>
              </w:rPr>
              <w:t>5.00%</w:t>
            </w:r>
          </w:p>
        </w:tc>
      </w:tr>
      <w:tr w:rsidR="002D118D" w:rsidRPr="000232DD" w14:paraId="3515AFF3" w14:textId="77777777" w:rsidTr="005A4602">
        <w:trPr>
          <w:trHeight w:val="245"/>
        </w:trPr>
        <w:tc>
          <w:tcPr>
            <w:tcW w:w="644" w:type="dxa"/>
            <w:shd w:val="clear" w:color="auto" w:fill="auto"/>
            <w:vAlign w:val="center"/>
            <w:hideMark/>
          </w:tcPr>
          <w:p w14:paraId="60413B77"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1.1.</w:t>
            </w:r>
          </w:p>
        </w:tc>
        <w:tc>
          <w:tcPr>
            <w:tcW w:w="4743" w:type="dxa"/>
            <w:shd w:val="clear" w:color="auto" w:fill="auto"/>
            <w:vAlign w:val="center"/>
            <w:hideMark/>
          </w:tcPr>
          <w:p w14:paraId="4193220A"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գյուղատնտեսություն</w:t>
            </w:r>
          </w:p>
        </w:tc>
        <w:tc>
          <w:tcPr>
            <w:tcW w:w="1417" w:type="dxa"/>
            <w:shd w:val="clear" w:color="auto" w:fill="auto"/>
            <w:vAlign w:val="center"/>
            <w:hideMark/>
          </w:tcPr>
          <w:p w14:paraId="448DC35B" w14:textId="211DC805"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32,475</w:t>
            </w:r>
          </w:p>
        </w:tc>
        <w:tc>
          <w:tcPr>
            <w:tcW w:w="1701" w:type="dxa"/>
            <w:shd w:val="clear" w:color="auto" w:fill="auto"/>
            <w:vAlign w:val="center"/>
            <w:hideMark/>
          </w:tcPr>
          <w:p w14:paraId="0D8C5F37" w14:textId="2386F8E0"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0.94%</w:t>
            </w:r>
          </w:p>
        </w:tc>
        <w:tc>
          <w:tcPr>
            <w:tcW w:w="1276" w:type="dxa"/>
            <w:shd w:val="clear" w:color="auto" w:fill="auto"/>
            <w:vAlign w:val="center"/>
            <w:hideMark/>
          </w:tcPr>
          <w:p w14:paraId="5D2D7CB2" w14:textId="6FBC93F8"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0.24%</w:t>
            </w:r>
          </w:p>
        </w:tc>
      </w:tr>
      <w:tr w:rsidR="002D118D" w:rsidRPr="000232DD" w14:paraId="3DD7239F" w14:textId="77777777" w:rsidTr="005A4602">
        <w:trPr>
          <w:trHeight w:val="245"/>
        </w:trPr>
        <w:tc>
          <w:tcPr>
            <w:tcW w:w="644" w:type="dxa"/>
            <w:shd w:val="clear" w:color="auto" w:fill="auto"/>
            <w:vAlign w:val="center"/>
            <w:hideMark/>
          </w:tcPr>
          <w:p w14:paraId="1C0BDDB6"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1.2.</w:t>
            </w:r>
          </w:p>
        </w:tc>
        <w:tc>
          <w:tcPr>
            <w:tcW w:w="4743" w:type="dxa"/>
            <w:shd w:val="clear" w:color="auto" w:fill="auto"/>
            <w:vAlign w:val="center"/>
            <w:hideMark/>
          </w:tcPr>
          <w:p w14:paraId="0E456031"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առողջապահություն</w:t>
            </w:r>
          </w:p>
        </w:tc>
        <w:tc>
          <w:tcPr>
            <w:tcW w:w="1417" w:type="dxa"/>
            <w:shd w:val="clear" w:color="auto" w:fill="auto"/>
            <w:vAlign w:val="center"/>
            <w:hideMark/>
          </w:tcPr>
          <w:p w14:paraId="1687FFCF" w14:textId="0F717EF1"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51,260</w:t>
            </w:r>
          </w:p>
        </w:tc>
        <w:tc>
          <w:tcPr>
            <w:tcW w:w="1701" w:type="dxa"/>
            <w:shd w:val="clear" w:color="auto" w:fill="auto"/>
            <w:vAlign w:val="center"/>
            <w:hideMark/>
          </w:tcPr>
          <w:p w14:paraId="7A6D7107" w14:textId="2989BB58"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1.48%</w:t>
            </w:r>
          </w:p>
        </w:tc>
        <w:tc>
          <w:tcPr>
            <w:tcW w:w="1276" w:type="dxa"/>
            <w:shd w:val="clear" w:color="auto" w:fill="auto"/>
            <w:vAlign w:val="center"/>
            <w:hideMark/>
          </w:tcPr>
          <w:p w14:paraId="539608A9" w14:textId="1D6A0594"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0.38%</w:t>
            </w:r>
          </w:p>
        </w:tc>
      </w:tr>
      <w:tr w:rsidR="002D118D" w:rsidRPr="000232DD" w14:paraId="06E64209" w14:textId="77777777" w:rsidTr="005A4602">
        <w:trPr>
          <w:trHeight w:val="245"/>
        </w:trPr>
        <w:tc>
          <w:tcPr>
            <w:tcW w:w="644" w:type="dxa"/>
            <w:shd w:val="clear" w:color="auto" w:fill="auto"/>
            <w:vAlign w:val="center"/>
            <w:hideMark/>
          </w:tcPr>
          <w:p w14:paraId="017E57A4"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1.3.</w:t>
            </w:r>
          </w:p>
        </w:tc>
        <w:tc>
          <w:tcPr>
            <w:tcW w:w="4743" w:type="dxa"/>
            <w:shd w:val="clear" w:color="auto" w:fill="auto"/>
            <w:vAlign w:val="center"/>
            <w:hideMark/>
          </w:tcPr>
          <w:p w14:paraId="66F4EFFD"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կրթություն</w:t>
            </w:r>
          </w:p>
        </w:tc>
        <w:tc>
          <w:tcPr>
            <w:tcW w:w="1417" w:type="dxa"/>
            <w:shd w:val="clear" w:color="auto" w:fill="auto"/>
            <w:vAlign w:val="center"/>
            <w:hideMark/>
          </w:tcPr>
          <w:p w14:paraId="5DA7ACB4" w14:textId="3F8C49E0"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57,700</w:t>
            </w:r>
          </w:p>
        </w:tc>
        <w:tc>
          <w:tcPr>
            <w:tcW w:w="1701" w:type="dxa"/>
            <w:shd w:val="clear" w:color="auto" w:fill="auto"/>
            <w:vAlign w:val="center"/>
            <w:hideMark/>
          </w:tcPr>
          <w:p w14:paraId="04995AFF" w14:textId="49C7C337"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1.67%</w:t>
            </w:r>
          </w:p>
        </w:tc>
        <w:tc>
          <w:tcPr>
            <w:tcW w:w="1276" w:type="dxa"/>
            <w:shd w:val="clear" w:color="auto" w:fill="auto"/>
            <w:vAlign w:val="center"/>
            <w:hideMark/>
          </w:tcPr>
          <w:p w14:paraId="0A44A7CE" w14:textId="7C19BCE9"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0.42%</w:t>
            </w:r>
          </w:p>
        </w:tc>
      </w:tr>
      <w:tr w:rsidR="002D118D" w:rsidRPr="000232DD" w14:paraId="4ED10E88" w14:textId="77777777" w:rsidTr="005A4602">
        <w:trPr>
          <w:trHeight w:val="245"/>
        </w:trPr>
        <w:tc>
          <w:tcPr>
            <w:tcW w:w="644" w:type="dxa"/>
            <w:shd w:val="clear" w:color="auto" w:fill="auto"/>
            <w:vAlign w:val="center"/>
            <w:hideMark/>
          </w:tcPr>
          <w:p w14:paraId="4A800F96"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1.4.</w:t>
            </w:r>
          </w:p>
        </w:tc>
        <w:tc>
          <w:tcPr>
            <w:tcW w:w="4743" w:type="dxa"/>
            <w:shd w:val="clear" w:color="auto" w:fill="auto"/>
            <w:vAlign w:val="center"/>
            <w:hideMark/>
          </w:tcPr>
          <w:p w14:paraId="2DE2CFCD"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ֆինանսներ և ապահովագրություն</w:t>
            </w:r>
          </w:p>
        </w:tc>
        <w:tc>
          <w:tcPr>
            <w:tcW w:w="1417" w:type="dxa"/>
            <w:shd w:val="clear" w:color="auto" w:fill="auto"/>
            <w:vAlign w:val="center"/>
            <w:hideMark/>
          </w:tcPr>
          <w:p w14:paraId="714AAAEF" w14:textId="4B9CDCA7"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257,626</w:t>
            </w:r>
          </w:p>
        </w:tc>
        <w:tc>
          <w:tcPr>
            <w:tcW w:w="1701" w:type="dxa"/>
            <w:shd w:val="clear" w:color="auto" w:fill="auto"/>
            <w:vAlign w:val="center"/>
            <w:hideMark/>
          </w:tcPr>
          <w:p w14:paraId="588C8D42" w14:textId="66503011"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7.44%</w:t>
            </w:r>
          </w:p>
        </w:tc>
        <w:tc>
          <w:tcPr>
            <w:tcW w:w="1276" w:type="dxa"/>
            <w:shd w:val="clear" w:color="auto" w:fill="auto"/>
            <w:vAlign w:val="center"/>
            <w:hideMark/>
          </w:tcPr>
          <w:p w14:paraId="2313EF53" w14:textId="12379D3B"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1.89%</w:t>
            </w:r>
          </w:p>
        </w:tc>
      </w:tr>
      <w:tr w:rsidR="002D118D" w:rsidRPr="000232DD" w14:paraId="731E5F3D" w14:textId="77777777" w:rsidTr="005A4602">
        <w:trPr>
          <w:trHeight w:val="245"/>
        </w:trPr>
        <w:tc>
          <w:tcPr>
            <w:tcW w:w="644" w:type="dxa"/>
            <w:shd w:val="clear" w:color="auto" w:fill="auto"/>
            <w:vAlign w:val="center"/>
            <w:hideMark/>
          </w:tcPr>
          <w:p w14:paraId="452746E8"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1.5.</w:t>
            </w:r>
          </w:p>
        </w:tc>
        <w:tc>
          <w:tcPr>
            <w:tcW w:w="4743" w:type="dxa"/>
            <w:shd w:val="clear" w:color="auto" w:fill="auto"/>
            <w:vAlign w:val="center"/>
            <w:hideMark/>
          </w:tcPr>
          <w:p w14:paraId="0ED80169"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ԱԱՀ-ի շեմ</w:t>
            </w:r>
          </w:p>
        </w:tc>
        <w:tc>
          <w:tcPr>
            <w:tcW w:w="1417" w:type="dxa"/>
            <w:shd w:val="clear" w:color="auto" w:fill="auto"/>
            <w:vAlign w:val="center"/>
            <w:hideMark/>
          </w:tcPr>
          <w:p w14:paraId="0FBAC56E" w14:textId="24AD5C56"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110,665</w:t>
            </w:r>
          </w:p>
        </w:tc>
        <w:tc>
          <w:tcPr>
            <w:tcW w:w="1701" w:type="dxa"/>
            <w:shd w:val="clear" w:color="auto" w:fill="auto"/>
            <w:vAlign w:val="center"/>
            <w:hideMark/>
          </w:tcPr>
          <w:p w14:paraId="0B34CDDA" w14:textId="2DD5121A"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3.20%</w:t>
            </w:r>
          </w:p>
        </w:tc>
        <w:tc>
          <w:tcPr>
            <w:tcW w:w="1276" w:type="dxa"/>
            <w:shd w:val="clear" w:color="auto" w:fill="auto"/>
            <w:vAlign w:val="center"/>
            <w:hideMark/>
          </w:tcPr>
          <w:p w14:paraId="03C9E337" w14:textId="233F1CA9"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0.81%</w:t>
            </w:r>
          </w:p>
        </w:tc>
      </w:tr>
      <w:tr w:rsidR="002D118D" w:rsidRPr="000232DD" w14:paraId="06682040" w14:textId="77777777" w:rsidTr="005A4602">
        <w:trPr>
          <w:trHeight w:val="245"/>
        </w:trPr>
        <w:tc>
          <w:tcPr>
            <w:tcW w:w="644" w:type="dxa"/>
            <w:shd w:val="clear" w:color="auto" w:fill="auto"/>
            <w:vAlign w:val="center"/>
            <w:hideMark/>
          </w:tcPr>
          <w:p w14:paraId="6F389215"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1.6.</w:t>
            </w:r>
          </w:p>
        </w:tc>
        <w:tc>
          <w:tcPr>
            <w:tcW w:w="4743" w:type="dxa"/>
            <w:shd w:val="clear" w:color="auto" w:fill="auto"/>
            <w:vAlign w:val="center"/>
            <w:hideMark/>
          </w:tcPr>
          <w:p w14:paraId="68491142" w14:textId="77777777" w:rsidR="002D118D" w:rsidRPr="000232DD" w:rsidRDefault="002D118D" w:rsidP="002D118D">
            <w:pPr>
              <w:spacing w:before="60" w:after="6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խաղատների գործունեություն, շահումով խաղերի (այդ թվում՝ ինտերնետ շահումով խաղերի), տոտալիզատորի և ինտերնետ տոտալիզատորի կազմակերպում</w:t>
            </w:r>
          </w:p>
        </w:tc>
        <w:tc>
          <w:tcPr>
            <w:tcW w:w="1417" w:type="dxa"/>
            <w:shd w:val="clear" w:color="auto" w:fill="auto"/>
            <w:vAlign w:val="center"/>
            <w:hideMark/>
          </w:tcPr>
          <w:p w14:paraId="562804E4" w14:textId="49D2B05E"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103,449</w:t>
            </w:r>
          </w:p>
        </w:tc>
        <w:tc>
          <w:tcPr>
            <w:tcW w:w="1701" w:type="dxa"/>
            <w:shd w:val="clear" w:color="auto" w:fill="auto"/>
            <w:vAlign w:val="center"/>
            <w:hideMark/>
          </w:tcPr>
          <w:p w14:paraId="58507897" w14:textId="4514071E"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2.99%</w:t>
            </w:r>
          </w:p>
        </w:tc>
        <w:tc>
          <w:tcPr>
            <w:tcW w:w="1276" w:type="dxa"/>
            <w:shd w:val="clear" w:color="auto" w:fill="auto"/>
            <w:vAlign w:val="center"/>
            <w:hideMark/>
          </w:tcPr>
          <w:p w14:paraId="222F29ED" w14:textId="42DD9629"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0.76%</w:t>
            </w:r>
          </w:p>
        </w:tc>
      </w:tr>
      <w:tr w:rsidR="002D118D" w:rsidRPr="000232DD" w14:paraId="6E8D0A2B" w14:textId="77777777" w:rsidTr="005A4602">
        <w:trPr>
          <w:trHeight w:val="245"/>
        </w:trPr>
        <w:tc>
          <w:tcPr>
            <w:tcW w:w="644" w:type="dxa"/>
            <w:shd w:val="clear" w:color="auto" w:fill="auto"/>
            <w:vAlign w:val="center"/>
            <w:hideMark/>
          </w:tcPr>
          <w:p w14:paraId="63A9DEBC"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1.7.</w:t>
            </w:r>
          </w:p>
        </w:tc>
        <w:tc>
          <w:tcPr>
            <w:tcW w:w="4743" w:type="dxa"/>
            <w:shd w:val="clear" w:color="auto" w:fill="auto"/>
            <w:vAlign w:val="center"/>
            <w:hideMark/>
          </w:tcPr>
          <w:p w14:paraId="06D2C7F0"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ոսկու և թանկարժեք քարերի իրացում</w:t>
            </w:r>
          </w:p>
        </w:tc>
        <w:tc>
          <w:tcPr>
            <w:tcW w:w="1417" w:type="dxa"/>
            <w:shd w:val="clear" w:color="auto" w:fill="auto"/>
            <w:vAlign w:val="center"/>
            <w:hideMark/>
          </w:tcPr>
          <w:p w14:paraId="5F4CFC68" w14:textId="42B5DE67"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15,754</w:t>
            </w:r>
          </w:p>
        </w:tc>
        <w:tc>
          <w:tcPr>
            <w:tcW w:w="1701" w:type="dxa"/>
            <w:shd w:val="clear" w:color="auto" w:fill="auto"/>
            <w:vAlign w:val="center"/>
            <w:hideMark/>
          </w:tcPr>
          <w:p w14:paraId="277C00CB" w14:textId="6EAB0B3B"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0.45%</w:t>
            </w:r>
          </w:p>
        </w:tc>
        <w:tc>
          <w:tcPr>
            <w:tcW w:w="1276" w:type="dxa"/>
            <w:shd w:val="clear" w:color="auto" w:fill="auto"/>
            <w:vAlign w:val="center"/>
            <w:hideMark/>
          </w:tcPr>
          <w:p w14:paraId="5B372B82" w14:textId="113233E9"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0.12%</w:t>
            </w:r>
          </w:p>
        </w:tc>
      </w:tr>
      <w:tr w:rsidR="002D118D" w:rsidRPr="000232DD" w14:paraId="3243F2D7" w14:textId="77777777" w:rsidTr="005A4602">
        <w:trPr>
          <w:trHeight w:val="245"/>
        </w:trPr>
        <w:tc>
          <w:tcPr>
            <w:tcW w:w="644" w:type="dxa"/>
            <w:shd w:val="clear" w:color="auto" w:fill="auto"/>
            <w:vAlign w:val="center"/>
            <w:hideMark/>
          </w:tcPr>
          <w:p w14:paraId="33CBFBB3"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1.8.</w:t>
            </w:r>
          </w:p>
        </w:tc>
        <w:tc>
          <w:tcPr>
            <w:tcW w:w="4743" w:type="dxa"/>
            <w:shd w:val="clear" w:color="auto" w:fill="auto"/>
            <w:vAlign w:val="center"/>
            <w:hideMark/>
          </w:tcPr>
          <w:p w14:paraId="3383C10B"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մարդասիրական օգնություն</w:t>
            </w:r>
          </w:p>
        </w:tc>
        <w:tc>
          <w:tcPr>
            <w:tcW w:w="1417" w:type="dxa"/>
            <w:shd w:val="clear" w:color="auto" w:fill="auto"/>
            <w:vAlign w:val="center"/>
            <w:hideMark/>
          </w:tcPr>
          <w:p w14:paraId="6091939E" w14:textId="2DA01CDF"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17,969</w:t>
            </w:r>
          </w:p>
        </w:tc>
        <w:tc>
          <w:tcPr>
            <w:tcW w:w="1701" w:type="dxa"/>
            <w:shd w:val="clear" w:color="auto" w:fill="auto"/>
            <w:vAlign w:val="center"/>
            <w:hideMark/>
          </w:tcPr>
          <w:p w14:paraId="4BD8FF52" w14:textId="3FF580BA"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0.52%</w:t>
            </w:r>
          </w:p>
        </w:tc>
        <w:tc>
          <w:tcPr>
            <w:tcW w:w="1276" w:type="dxa"/>
            <w:shd w:val="clear" w:color="auto" w:fill="auto"/>
            <w:vAlign w:val="center"/>
            <w:hideMark/>
          </w:tcPr>
          <w:p w14:paraId="5EC7CE58" w14:textId="7C00FE6A"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0.13%</w:t>
            </w:r>
          </w:p>
        </w:tc>
      </w:tr>
      <w:tr w:rsidR="002D118D" w:rsidRPr="000232DD" w14:paraId="16BA0AE6" w14:textId="77777777" w:rsidTr="005A4602">
        <w:trPr>
          <w:trHeight w:val="245"/>
        </w:trPr>
        <w:tc>
          <w:tcPr>
            <w:tcW w:w="644" w:type="dxa"/>
            <w:shd w:val="clear" w:color="auto" w:fill="auto"/>
            <w:vAlign w:val="center"/>
            <w:hideMark/>
          </w:tcPr>
          <w:p w14:paraId="73C7F905"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1.9.</w:t>
            </w:r>
          </w:p>
        </w:tc>
        <w:tc>
          <w:tcPr>
            <w:tcW w:w="4743" w:type="dxa"/>
            <w:shd w:val="clear" w:color="auto" w:fill="auto"/>
            <w:vAlign w:val="center"/>
            <w:hideMark/>
          </w:tcPr>
          <w:p w14:paraId="59A929A1"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պարարտանյութերի իրացում</w:t>
            </w:r>
          </w:p>
        </w:tc>
        <w:tc>
          <w:tcPr>
            <w:tcW w:w="1417" w:type="dxa"/>
            <w:shd w:val="clear" w:color="auto" w:fill="auto"/>
            <w:vAlign w:val="center"/>
            <w:hideMark/>
          </w:tcPr>
          <w:p w14:paraId="49AEE638" w14:textId="5A6E099E"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6,603</w:t>
            </w:r>
          </w:p>
        </w:tc>
        <w:tc>
          <w:tcPr>
            <w:tcW w:w="1701" w:type="dxa"/>
            <w:shd w:val="clear" w:color="auto" w:fill="auto"/>
            <w:vAlign w:val="center"/>
            <w:hideMark/>
          </w:tcPr>
          <w:p w14:paraId="55C2DF4A" w14:textId="5B6B83EC"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0.19%</w:t>
            </w:r>
          </w:p>
        </w:tc>
        <w:tc>
          <w:tcPr>
            <w:tcW w:w="1276" w:type="dxa"/>
            <w:shd w:val="clear" w:color="auto" w:fill="auto"/>
            <w:vAlign w:val="center"/>
            <w:hideMark/>
          </w:tcPr>
          <w:p w14:paraId="2FFCF7C5" w14:textId="071A18C7"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0.05%</w:t>
            </w:r>
          </w:p>
        </w:tc>
      </w:tr>
      <w:tr w:rsidR="002D118D" w:rsidRPr="000232DD" w14:paraId="324D5CE9" w14:textId="77777777" w:rsidTr="005A4602">
        <w:trPr>
          <w:trHeight w:val="245"/>
        </w:trPr>
        <w:tc>
          <w:tcPr>
            <w:tcW w:w="644" w:type="dxa"/>
            <w:shd w:val="clear" w:color="auto" w:fill="auto"/>
            <w:vAlign w:val="center"/>
            <w:hideMark/>
          </w:tcPr>
          <w:p w14:paraId="7A40D438"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1.10.</w:t>
            </w:r>
          </w:p>
        </w:tc>
        <w:tc>
          <w:tcPr>
            <w:tcW w:w="4743" w:type="dxa"/>
            <w:shd w:val="clear" w:color="auto" w:fill="auto"/>
            <w:vAlign w:val="center"/>
            <w:hideMark/>
          </w:tcPr>
          <w:p w14:paraId="241A712A" w14:textId="77777777" w:rsidR="002D118D" w:rsidRPr="000232DD" w:rsidRDefault="002D118D" w:rsidP="002D118D">
            <w:pPr>
              <w:spacing w:before="60" w:after="6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ջրօգտագործողների ընկերությունների կողմից ոռոգման ջրի օտարում</w:t>
            </w:r>
          </w:p>
        </w:tc>
        <w:tc>
          <w:tcPr>
            <w:tcW w:w="1417" w:type="dxa"/>
            <w:shd w:val="clear" w:color="auto" w:fill="auto"/>
            <w:vAlign w:val="center"/>
            <w:hideMark/>
          </w:tcPr>
          <w:p w14:paraId="257425CF" w14:textId="08D19D44"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1,685</w:t>
            </w:r>
          </w:p>
        </w:tc>
        <w:tc>
          <w:tcPr>
            <w:tcW w:w="1701" w:type="dxa"/>
            <w:shd w:val="clear" w:color="auto" w:fill="auto"/>
            <w:vAlign w:val="center"/>
            <w:hideMark/>
          </w:tcPr>
          <w:p w14:paraId="73DB4FF6" w14:textId="2BB38D1D"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0.05%</w:t>
            </w:r>
          </w:p>
        </w:tc>
        <w:tc>
          <w:tcPr>
            <w:tcW w:w="1276" w:type="dxa"/>
            <w:shd w:val="clear" w:color="auto" w:fill="auto"/>
            <w:vAlign w:val="center"/>
            <w:hideMark/>
          </w:tcPr>
          <w:p w14:paraId="3F97816F" w14:textId="0D1BB31B"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0.01%</w:t>
            </w:r>
          </w:p>
        </w:tc>
      </w:tr>
      <w:tr w:rsidR="002D118D" w:rsidRPr="000232DD" w14:paraId="42B26512" w14:textId="77777777" w:rsidTr="005A4602">
        <w:trPr>
          <w:trHeight w:val="245"/>
        </w:trPr>
        <w:tc>
          <w:tcPr>
            <w:tcW w:w="644" w:type="dxa"/>
            <w:shd w:val="clear" w:color="auto" w:fill="auto"/>
            <w:vAlign w:val="center"/>
            <w:hideMark/>
          </w:tcPr>
          <w:p w14:paraId="5CF22B76"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1.11.</w:t>
            </w:r>
          </w:p>
        </w:tc>
        <w:tc>
          <w:tcPr>
            <w:tcW w:w="4743" w:type="dxa"/>
            <w:shd w:val="clear" w:color="auto" w:fill="auto"/>
            <w:vAlign w:val="center"/>
            <w:hideMark/>
          </w:tcPr>
          <w:p w14:paraId="517A3F62" w14:textId="77777777" w:rsidR="002D118D" w:rsidRPr="000232DD" w:rsidRDefault="002D118D" w:rsidP="002D118D">
            <w:pPr>
              <w:spacing w:before="60" w:after="6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սուբսիդիաների, սուբվենցիաների և դրամաշնորհային ծրագրերի շրջանակներում իրականացվող` ապրանքի մատակարարում, աշխատանքի կատարում և (կամ) ծառայության մատուցում</w:t>
            </w:r>
          </w:p>
        </w:tc>
        <w:tc>
          <w:tcPr>
            <w:tcW w:w="1417" w:type="dxa"/>
            <w:shd w:val="clear" w:color="auto" w:fill="auto"/>
            <w:vAlign w:val="center"/>
            <w:hideMark/>
          </w:tcPr>
          <w:p w14:paraId="59DE738F" w14:textId="3892E300"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1,321</w:t>
            </w:r>
          </w:p>
        </w:tc>
        <w:tc>
          <w:tcPr>
            <w:tcW w:w="1701" w:type="dxa"/>
            <w:shd w:val="clear" w:color="auto" w:fill="auto"/>
            <w:vAlign w:val="center"/>
            <w:hideMark/>
          </w:tcPr>
          <w:p w14:paraId="46041070" w14:textId="112717B6"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0.04%</w:t>
            </w:r>
          </w:p>
        </w:tc>
        <w:tc>
          <w:tcPr>
            <w:tcW w:w="1276" w:type="dxa"/>
            <w:shd w:val="clear" w:color="auto" w:fill="auto"/>
            <w:vAlign w:val="center"/>
            <w:hideMark/>
          </w:tcPr>
          <w:p w14:paraId="24F76A36" w14:textId="65DD8AC8"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0.01%</w:t>
            </w:r>
          </w:p>
        </w:tc>
      </w:tr>
      <w:tr w:rsidR="002D118D" w:rsidRPr="000232DD" w14:paraId="15484105" w14:textId="77777777" w:rsidTr="005A4602">
        <w:trPr>
          <w:trHeight w:val="245"/>
        </w:trPr>
        <w:tc>
          <w:tcPr>
            <w:tcW w:w="644" w:type="dxa"/>
            <w:shd w:val="clear" w:color="auto" w:fill="auto"/>
            <w:vAlign w:val="center"/>
            <w:hideMark/>
          </w:tcPr>
          <w:p w14:paraId="50DC3A01"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1.12.</w:t>
            </w:r>
          </w:p>
        </w:tc>
        <w:tc>
          <w:tcPr>
            <w:tcW w:w="4743" w:type="dxa"/>
            <w:shd w:val="clear" w:color="auto" w:fill="auto"/>
            <w:vAlign w:val="center"/>
            <w:hideMark/>
          </w:tcPr>
          <w:p w14:paraId="2BAA29BB" w14:textId="77777777" w:rsidR="002D118D" w:rsidRPr="000232DD" w:rsidRDefault="002D118D" w:rsidP="002D118D">
            <w:pPr>
              <w:spacing w:before="60" w:after="6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ազատ տնտեսական գոտու կազմակերպչին և ազատ տնտեսական գոտու շահագործողին ծառայությունների մատուցումը, ազատ տնտեսական գոտու կազմակերպչի և ազատ տնտեսական գոտու շահագործողի համար աշխատանքների կատարումը, ազատ տնտեսական գոտու տարածքում ապրանքների մատակարարում</w:t>
            </w:r>
          </w:p>
        </w:tc>
        <w:tc>
          <w:tcPr>
            <w:tcW w:w="1417" w:type="dxa"/>
            <w:shd w:val="clear" w:color="auto" w:fill="auto"/>
            <w:vAlign w:val="center"/>
            <w:hideMark/>
          </w:tcPr>
          <w:p w14:paraId="3A0FBDF4" w14:textId="5A227EF4"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234</w:t>
            </w:r>
          </w:p>
        </w:tc>
        <w:tc>
          <w:tcPr>
            <w:tcW w:w="1701" w:type="dxa"/>
            <w:shd w:val="clear" w:color="auto" w:fill="auto"/>
            <w:vAlign w:val="center"/>
            <w:hideMark/>
          </w:tcPr>
          <w:p w14:paraId="08F71D60" w14:textId="14677CA1"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0.01%</w:t>
            </w:r>
          </w:p>
        </w:tc>
        <w:tc>
          <w:tcPr>
            <w:tcW w:w="1276" w:type="dxa"/>
            <w:shd w:val="clear" w:color="auto" w:fill="auto"/>
            <w:vAlign w:val="center"/>
            <w:hideMark/>
          </w:tcPr>
          <w:p w14:paraId="0B2E964A" w14:textId="5ED356D9"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0.00%</w:t>
            </w:r>
          </w:p>
        </w:tc>
      </w:tr>
      <w:tr w:rsidR="002D118D" w:rsidRPr="000232DD" w14:paraId="21141DE0" w14:textId="77777777" w:rsidTr="005A4602">
        <w:trPr>
          <w:trHeight w:val="245"/>
        </w:trPr>
        <w:tc>
          <w:tcPr>
            <w:tcW w:w="644" w:type="dxa"/>
            <w:shd w:val="clear" w:color="auto" w:fill="auto"/>
            <w:vAlign w:val="center"/>
            <w:hideMark/>
          </w:tcPr>
          <w:p w14:paraId="0FF30FC5"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1.13.</w:t>
            </w:r>
          </w:p>
        </w:tc>
        <w:tc>
          <w:tcPr>
            <w:tcW w:w="4743" w:type="dxa"/>
            <w:shd w:val="clear" w:color="auto" w:fill="auto"/>
            <w:vAlign w:val="center"/>
            <w:hideMark/>
          </w:tcPr>
          <w:p w14:paraId="7AB0BFD2"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Օրենսգրքով սահմանված վերը չնշված այլ արտոնություններ</w:t>
            </w:r>
          </w:p>
        </w:tc>
        <w:tc>
          <w:tcPr>
            <w:tcW w:w="1417" w:type="dxa"/>
            <w:shd w:val="clear" w:color="auto" w:fill="auto"/>
            <w:vAlign w:val="center"/>
            <w:hideMark/>
          </w:tcPr>
          <w:p w14:paraId="69BBD186" w14:textId="5F0755DB"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12,377</w:t>
            </w:r>
          </w:p>
        </w:tc>
        <w:tc>
          <w:tcPr>
            <w:tcW w:w="1701" w:type="dxa"/>
            <w:shd w:val="clear" w:color="auto" w:fill="auto"/>
            <w:vAlign w:val="center"/>
            <w:hideMark/>
          </w:tcPr>
          <w:p w14:paraId="6561F3CB" w14:textId="36A5D38D"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0.36%</w:t>
            </w:r>
          </w:p>
        </w:tc>
        <w:tc>
          <w:tcPr>
            <w:tcW w:w="1276" w:type="dxa"/>
            <w:shd w:val="clear" w:color="auto" w:fill="auto"/>
            <w:vAlign w:val="center"/>
            <w:hideMark/>
          </w:tcPr>
          <w:p w14:paraId="79D2A515" w14:textId="424FE0BF"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0.09%</w:t>
            </w:r>
          </w:p>
        </w:tc>
      </w:tr>
      <w:tr w:rsidR="002D118D" w:rsidRPr="000232DD" w14:paraId="4C042479" w14:textId="77777777" w:rsidTr="005A4602">
        <w:trPr>
          <w:trHeight w:val="245"/>
        </w:trPr>
        <w:tc>
          <w:tcPr>
            <w:tcW w:w="644" w:type="dxa"/>
            <w:shd w:val="clear" w:color="auto" w:fill="auto"/>
            <w:vAlign w:val="center"/>
            <w:hideMark/>
          </w:tcPr>
          <w:p w14:paraId="1BCAEEF9"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1.14.</w:t>
            </w:r>
          </w:p>
        </w:tc>
        <w:tc>
          <w:tcPr>
            <w:tcW w:w="4743" w:type="dxa"/>
            <w:shd w:val="clear" w:color="auto" w:fill="auto"/>
            <w:vAlign w:val="center"/>
            <w:hideMark/>
          </w:tcPr>
          <w:p w14:paraId="533E7CB4" w14:textId="52F8AE21" w:rsidR="002D118D" w:rsidRPr="000232DD" w:rsidRDefault="00B6632B" w:rsidP="002D118D">
            <w:pPr>
              <w:spacing w:before="0" w:after="0" w:line="240" w:lineRule="auto"/>
              <w:ind w:right="-22"/>
              <w:rPr>
                <w:rFonts w:ascii="GHEA Grapalat" w:eastAsia="Times New Roman" w:hAnsi="GHEA Grapalat" w:cs="Times New Roman"/>
                <w:color w:val="auto"/>
                <w:sz w:val="18"/>
                <w:szCs w:val="18"/>
              </w:rPr>
            </w:pPr>
            <w:r>
              <w:rPr>
                <w:rFonts w:ascii="GHEA Grapalat" w:eastAsia="Times New Roman" w:hAnsi="GHEA Grapalat" w:cs="Times New Roman"/>
                <w:color w:val="auto"/>
                <w:sz w:val="18"/>
                <w:szCs w:val="18"/>
              </w:rPr>
              <w:t>այլ օրենքներով տրված արտո</w:t>
            </w:r>
            <w:r w:rsidR="002D118D" w:rsidRPr="000232DD">
              <w:rPr>
                <w:rFonts w:ascii="GHEA Grapalat" w:eastAsia="Times New Roman" w:hAnsi="GHEA Grapalat" w:cs="Times New Roman"/>
                <w:color w:val="auto"/>
                <w:sz w:val="18"/>
                <w:szCs w:val="18"/>
              </w:rPr>
              <w:t>նություններ</w:t>
            </w:r>
          </w:p>
        </w:tc>
        <w:tc>
          <w:tcPr>
            <w:tcW w:w="1417" w:type="dxa"/>
            <w:shd w:val="clear" w:color="auto" w:fill="auto"/>
            <w:vAlign w:val="center"/>
            <w:hideMark/>
          </w:tcPr>
          <w:p w14:paraId="1F42F2B7" w14:textId="4844EDFC"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463</w:t>
            </w:r>
          </w:p>
        </w:tc>
        <w:tc>
          <w:tcPr>
            <w:tcW w:w="1701" w:type="dxa"/>
            <w:shd w:val="clear" w:color="auto" w:fill="auto"/>
            <w:vAlign w:val="center"/>
            <w:hideMark/>
          </w:tcPr>
          <w:p w14:paraId="66660A7B" w14:textId="768FE6DB"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0.01%</w:t>
            </w:r>
          </w:p>
        </w:tc>
        <w:tc>
          <w:tcPr>
            <w:tcW w:w="1276" w:type="dxa"/>
            <w:shd w:val="clear" w:color="auto" w:fill="auto"/>
            <w:vAlign w:val="center"/>
            <w:hideMark/>
          </w:tcPr>
          <w:p w14:paraId="73ACECC5" w14:textId="324BB3DE"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0.00%</w:t>
            </w:r>
          </w:p>
        </w:tc>
      </w:tr>
      <w:tr w:rsidR="002D118D" w:rsidRPr="000232DD" w14:paraId="38550818" w14:textId="77777777" w:rsidTr="005A4602">
        <w:trPr>
          <w:trHeight w:val="245"/>
        </w:trPr>
        <w:tc>
          <w:tcPr>
            <w:tcW w:w="644" w:type="dxa"/>
            <w:shd w:val="clear" w:color="auto" w:fill="auto"/>
            <w:vAlign w:val="center"/>
            <w:hideMark/>
          </w:tcPr>
          <w:p w14:paraId="55F806CE"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1.15.</w:t>
            </w:r>
          </w:p>
        </w:tc>
        <w:tc>
          <w:tcPr>
            <w:tcW w:w="4743" w:type="dxa"/>
            <w:shd w:val="clear" w:color="auto" w:fill="auto"/>
            <w:vAlign w:val="center"/>
            <w:hideMark/>
          </w:tcPr>
          <w:p w14:paraId="2729E64D"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Միկրոբիզնես</w:t>
            </w:r>
          </w:p>
        </w:tc>
        <w:tc>
          <w:tcPr>
            <w:tcW w:w="1417" w:type="dxa"/>
            <w:shd w:val="clear" w:color="auto" w:fill="auto"/>
            <w:vAlign w:val="center"/>
            <w:hideMark/>
          </w:tcPr>
          <w:p w14:paraId="0D74ED2B" w14:textId="40BA2048"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11,316</w:t>
            </w:r>
          </w:p>
        </w:tc>
        <w:tc>
          <w:tcPr>
            <w:tcW w:w="1701" w:type="dxa"/>
            <w:shd w:val="clear" w:color="auto" w:fill="auto"/>
            <w:vAlign w:val="center"/>
            <w:hideMark/>
          </w:tcPr>
          <w:p w14:paraId="59BB5240" w14:textId="0FAD4B99"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0.33%</w:t>
            </w:r>
          </w:p>
        </w:tc>
        <w:tc>
          <w:tcPr>
            <w:tcW w:w="1276" w:type="dxa"/>
            <w:shd w:val="clear" w:color="auto" w:fill="auto"/>
            <w:vAlign w:val="center"/>
            <w:hideMark/>
          </w:tcPr>
          <w:p w14:paraId="024F53F8" w14:textId="76720451"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0.08%</w:t>
            </w:r>
          </w:p>
        </w:tc>
      </w:tr>
      <w:tr w:rsidR="002D118D" w:rsidRPr="000232DD" w14:paraId="0362A80C" w14:textId="77777777" w:rsidTr="005A4602">
        <w:trPr>
          <w:trHeight w:val="245"/>
        </w:trPr>
        <w:tc>
          <w:tcPr>
            <w:tcW w:w="644" w:type="dxa"/>
            <w:shd w:val="clear" w:color="auto" w:fill="D5DCE4"/>
            <w:vAlign w:val="center"/>
            <w:hideMark/>
          </w:tcPr>
          <w:p w14:paraId="312440A3" w14:textId="77777777" w:rsidR="002D118D" w:rsidRPr="000232DD" w:rsidRDefault="002D118D" w:rsidP="002D118D">
            <w:pPr>
              <w:spacing w:before="0" w:after="0" w:line="240" w:lineRule="auto"/>
              <w:ind w:right="-22"/>
              <w:jc w:val="both"/>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2</w:t>
            </w:r>
          </w:p>
        </w:tc>
        <w:tc>
          <w:tcPr>
            <w:tcW w:w="4743" w:type="dxa"/>
            <w:shd w:val="clear" w:color="auto" w:fill="D5DCE4"/>
            <w:vAlign w:val="center"/>
            <w:hideMark/>
          </w:tcPr>
          <w:p w14:paraId="56D0755F" w14:textId="77777777" w:rsidR="002D118D" w:rsidRPr="000232DD" w:rsidRDefault="002D118D" w:rsidP="002D118D">
            <w:pPr>
              <w:spacing w:before="0" w:after="0" w:line="240" w:lineRule="auto"/>
              <w:ind w:right="-22"/>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Շահութահարկի գծով, այդ թվում`</w:t>
            </w:r>
          </w:p>
        </w:tc>
        <w:tc>
          <w:tcPr>
            <w:tcW w:w="1417" w:type="dxa"/>
            <w:shd w:val="clear" w:color="auto" w:fill="D5DCE4"/>
            <w:vAlign w:val="center"/>
            <w:hideMark/>
          </w:tcPr>
          <w:p w14:paraId="16339448" w14:textId="4C5710CE" w:rsidR="002D118D" w:rsidRPr="000232DD" w:rsidRDefault="002D118D" w:rsidP="002D118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sz w:val="18"/>
                <w:szCs w:val="18"/>
              </w:rPr>
              <w:t>99,705</w:t>
            </w:r>
          </w:p>
        </w:tc>
        <w:tc>
          <w:tcPr>
            <w:tcW w:w="1701" w:type="dxa"/>
            <w:shd w:val="clear" w:color="auto" w:fill="D5DCE4"/>
            <w:vAlign w:val="center"/>
            <w:hideMark/>
          </w:tcPr>
          <w:p w14:paraId="53CC4EAB" w14:textId="1CEED8C2" w:rsidR="002D118D" w:rsidRPr="000232DD" w:rsidRDefault="002D118D" w:rsidP="002D118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i/>
                <w:iCs/>
                <w:sz w:val="18"/>
                <w:szCs w:val="18"/>
              </w:rPr>
              <w:t>2.88%</w:t>
            </w:r>
          </w:p>
        </w:tc>
        <w:tc>
          <w:tcPr>
            <w:tcW w:w="1276" w:type="dxa"/>
            <w:shd w:val="clear" w:color="auto" w:fill="D5DCE4"/>
            <w:vAlign w:val="center"/>
            <w:hideMark/>
          </w:tcPr>
          <w:p w14:paraId="5FF2DF05" w14:textId="6261E263" w:rsidR="002D118D" w:rsidRPr="000232DD" w:rsidRDefault="002D118D" w:rsidP="002D118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i/>
                <w:iCs/>
                <w:sz w:val="18"/>
                <w:szCs w:val="18"/>
              </w:rPr>
              <w:t>0.73%</w:t>
            </w:r>
          </w:p>
        </w:tc>
      </w:tr>
      <w:tr w:rsidR="002D118D" w:rsidRPr="000232DD" w14:paraId="68E9A638" w14:textId="77777777" w:rsidTr="005A4602">
        <w:trPr>
          <w:trHeight w:val="245"/>
        </w:trPr>
        <w:tc>
          <w:tcPr>
            <w:tcW w:w="644" w:type="dxa"/>
            <w:shd w:val="clear" w:color="auto" w:fill="auto"/>
            <w:vAlign w:val="center"/>
            <w:hideMark/>
          </w:tcPr>
          <w:p w14:paraId="7AD5970B"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2.1.</w:t>
            </w:r>
          </w:p>
        </w:tc>
        <w:tc>
          <w:tcPr>
            <w:tcW w:w="4743" w:type="dxa"/>
            <w:shd w:val="clear" w:color="auto" w:fill="auto"/>
            <w:vAlign w:val="center"/>
            <w:hideMark/>
          </w:tcPr>
          <w:p w14:paraId="6F107429"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գյուղատնտեսություն, այդ թվում՝</w:t>
            </w:r>
          </w:p>
        </w:tc>
        <w:tc>
          <w:tcPr>
            <w:tcW w:w="1417" w:type="dxa"/>
            <w:shd w:val="clear" w:color="auto" w:fill="auto"/>
            <w:vAlign w:val="center"/>
            <w:hideMark/>
          </w:tcPr>
          <w:p w14:paraId="654529C6" w14:textId="72F4EB45"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44,748</w:t>
            </w:r>
          </w:p>
        </w:tc>
        <w:tc>
          <w:tcPr>
            <w:tcW w:w="1701" w:type="dxa"/>
            <w:shd w:val="clear" w:color="auto" w:fill="auto"/>
            <w:vAlign w:val="center"/>
            <w:hideMark/>
          </w:tcPr>
          <w:p w14:paraId="29608BE4" w14:textId="4ED7AE63"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1.29%</w:t>
            </w:r>
          </w:p>
        </w:tc>
        <w:tc>
          <w:tcPr>
            <w:tcW w:w="1276" w:type="dxa"/>
            <w:shd w:val="clear" w:color="auto" w:fill="auto"/>
            <w:vAlign w:val="center"/>
            <w:hideMark/>
          </w:tcPr>
          <w:p w14:paraId="77E36013" w14:textId="053E3ECC"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0.33%</w:t>
            </w:r>
          </w:p>
        </w:tc>
      </w:tr>
      <w:tr w:rsidR="002D118D" w:rsidRPr="000232DD" w14:paraId="200C27DE" w14:textId="77777777" w:rsidTr="005A4602">
        <w:trPr>
          <w:trHeight w:val="245"/>
        </w:trPr>
        <w:tc>
          <w:tcPr>
            <w:tcW w:w="644" w:type="dxa"/>
            <w:shd w:val="clear" w:color="auto" w:fill="auto"/>
            <w:vAlign w:val="center"/>
            <w:hideMark/>
          </w:tcPr>
          <w:p w14:paraId="669AB325"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2.1.1.</w:t>
            </w:r>
          </w:p>
        </w:tc>
        <w:tc>
          <w:tcPr>
            <w:tcW w:w="4743" w:type="dxa"/>
            <w:shd w:val="clear" w:color="auto" w:fill="auto"/>
            <w:vAlign w:val="center"/>
            <w:hideMark/>
          </w:tcPr>
          <w:p w14:paraId="57D7757F"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կազմակերպությունների շահույթից</w:t>
            </w:r>
          </w:p>
        </w:tc>
        <w:tc>
          <w:tcPr>
            <w:tcW w:w="1417" w:type="dxa"/>
            <w:shd w:val="clear" w:color="auto" w:fill="auto"/>
            <w:vAlign w:val="center"/>
            <w:hideMark/>
          </w:tcPr>
          <w:p w14:paraId="7FC367EB" w14:textId="38343CE2"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2,687</w:t>
            </w:r>
          </w:p>
        </w:tc>
        <w:tc>
          <w:tcPr>
            <w:tcW w:w="1701" w:type="dxa"/>
            <w:shd w:val="clear" w:color="auto" w:fill="auto"/>
            <w:vAlign w:val="center"/>
            <w:hideMark/>
          </w:tcPr>
          <w:p w14:paraId="067699F6" w14:textId="5DF079C0"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0.08%</w:t>
            </w:r>
          </w:p>
        </w:tc>
        <w:tc>
          <w:tcPr>
            <w:tcW w:w="1276" w:type="dxa"/>
            <w:shd w:val="clear" w:color="auto" w:fill="auto"/>
            <w:vAlign w:val="center"/>
            <w:hideMark/>
          </w:tcPr>
          <w:p w14:paraId="0EFD21F3" w14:textId="3A33C8B1"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0.02%</w:t>
            </w:r>
          </w:p>
        </w:tc>
      </w:tr>
      <w:tr w:rsidR="002D118D" w:rsidRPr="000232DD" w14:paraId="7832D01F" w14:textId="77777777" w:rsidTr="005A4602">
        <w:trPr>
          <w:trHeight w:val="245"/>
        </w:trPr>
        <w:tc>
          <w:tcPr>
            <w:tcW w:w="644" w:type="dxa"/>
            <w:shd w:val="clear" w:color="auto" w:fill="auto"/>
            <w:vAlign w:val="center"/>
            <w:hideMark/>
          </w:tcPr>
          <w:p w14:paraId="0D623928"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2.1.2.</w:t>
            </w:r>
          </w:p>
        </w:tc>
        <w:tc>
          <w:tcPr>
            <w:tcW w:w="4743" w:type="dxa"/>
            <w:shd w:val="clear" w:color="auto" w:fill="auto"/>
            <w:vAlign w:val="center"/>
            <w:hideMark/>
          </w:tcPr>
          <w:p w14:paraId="0C376E47"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ֆիզիկական անձանց (Ա/Ձ-ների) շահույթից</w:t>
            </w:r>
          </w:p>
        </w:tc>
        <w:tc>
          <w:tcPr>
            <w:tcW w:w="1417" w:type="dxa"/>
            <w:shd w:val="clear" w:color="auto" w:fill="auto"/>
            <w:vAlign w:val="center"/>
            <w:hideMark/>
          </w:tcPr>
          <w:p w14:paraId="458E5CDB" w14:textId="730A801D"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42,061</w:t>
            </w:r>
          </w:p>
        </w:tc>
        <w:tc>
          <w:tcPr>
            <w:tcW w:w="1701" w:type="dxa"/>
            <w:shd w:val="clear" w:color="auto" w:fill="auto"/>
            <w:vAlign w:val="center"/>
            <w:hideMark/>
          </w:tcPr>
          <w:p w14:paraId="018D06D8" w14:textId="158FB011"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1.21%</w:t>
            </w:r>
          </w:p>
        </w:tc>
        <w:tc>
          <w:tcPr>
            <w:tcW w:w="1276" w:type="dxa"/>
            <w:shd w:val="clear" w:color="auto" w:fill="auto"/>
            <w:vAlign w:val="center"/>
            <w:hideMark/>
          </w:tcPr>
          <w:p w14:paraId="1A4C324F" w14:textId="08AACA3C"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0.31%</w:t>
            </w:r>
          </w:p>
        </w:tc>
      </w:tr>
      <w:tr w:rsidR="002D118D" w:rsidRPr="000232DD" w14:paraId="5B0A8B72" w14:textId="77777777" w:rsidTr="005A4602">
        <w:trPr>
          <w:trHeight w:val="245"/>
        </w:trPr>
        <w:tc>
          <w:tcPr>
            <w:tcW w:w="644" w:type="dxa"/>
            <w:shd w:val="clear" w:color="auto" w:fill="auto"/>
            <w:vAlign w:val="center"/>
            <w:hideMark/>
          </w:tcPr>
          <w:p w14:paraId="50672F48"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2.2.</w:t>
            </w:r>
          </w:p>
        </w:tc>
        <w:tc>
          <w:tcPr>
            <w:tcW w:w="4743" w:type="dxa"/>
            <w:shd w:val="clear" w:color="auto" w:fill="auto"/>
            <w:vAlign w:val="center"/>
            <w:hideMark/>
          </w:tcPr>
          <w:p w14:paraId="218DC2B0"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հարկվող շահույթի նվազեցման արտոնություններ, բացառությամբ՝ գյուղատնտեսության</w:t>
            </w:r>
          </w:p>
        </w:tc>
        <w:tc>
          <w:tcPr>
            <w:tcW w:w="1417" w:type="dxa"/>
            <w:shd w:val="clear" w:color="auto" w:fill="auto"/>
            <w:vAlign w:val="center"/>
            <w:hideMark/>
          </w:tcPr>
          <w:p w14:paraId="56729222" w14:textId="4847D5C5"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2,193</w:t>
            </w:r>
          </w:p>
        </w:tc>
        <w:tc>
          <w:tcPr>
            <w:tcW w:w="1701" w:type="dxa"/>
            <w:shd w:val="clear" w:color="auto" w:fill="auto"/>
            <w:vAlign w:val="center"/>
            <w:hideMark/>
          </w:tcPr>
          <w:p w14:paraId="045D0509" w14:textId="78059EA8"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0.06%</w:t>
            </w:r>
          </w:p>
        </w:tc>
        <w:tc>
          <w:tcPr>
            <w:tcW w:w="1276" w:type="dxa"/>
            <w:shd w:val="clear" w:color="auto" w:fill="auto"/>
            <w:vAlign w:val="center"/>
            <w:hideMark/>
          </w:tcPr>
          <w:p w14:paraId="7F96E635" w14:textId="64DF8B7E"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0.02%</w:t>
            </w:r>
          </w:p>
        </w:tc>
      </w:tr>
      <w:tr w:rsidR="002D118D" w:rsidRPr="000232DD" w14:paraId="408FE65E" w14:textId="77777777" w:rsidTr="005A4602">
        <w:trPr>
          <w:trHeight w:val="245"/>
        </w:trPr>
        <w:tc>
          <w:tcPr>
            <w:tcW w:w="644" w:type="dxa"/>
            <w:shd w:val="clear" w:color="auto" w:fill="auto"/>
            <w:vAlign w:val="center"/>
            <w:hideMark/>
          </w:tcPr>
          <w:p w14:paraId="3E94688F"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2.3.</w:t>
            </w:r>
          </w:p>
        </w:tc>
        <w:tc>
          <w:tcPr>
            <w:tcW w:w="4743" w:type="dxa"/>
            <w:shd w:val="clear" w:color="auto" w:fill="auto"/>
            <w:vAlign w:val="center"/>
            <w:hideMark/>
          </w:tcPr>
          <w:p w14:paraId="5E7C0F1D"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շահութահարկի նվազեցման արտոնություններ</w:t>
            </w:r>
          </w:p>
        </w:tc>
        <w:tc>
          <w:tcPr>
            <w:tcW w:w="1417" w:type="dxa"/>
            <w:shd w:val="clear" w:color="auto" w:fill="auto"/>
            <w:vAlign w:val="center"/>
            <w:hideMark/>
          </w:tcPr>
          <w:p w14:paraId="585CAB38" w14:textId="20DAA4D1"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142</w:t>
            </w:r>
          </w:p>
        </w:tc>
        <w:tc>
          <w:tcPr>
            <w:tcW w:w="1701" w:type="dxa"/>
            <w:shd w:val="clear" w:color="auto" w:fill="auto"/>
            <w:vAlign w:val="center"/>
            <w:hideMark/>
          </w:tcPr>
          <w:p w14:paraId="76215B75" w14:textId="188DB3F3"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0.00%</w:t>
            </w:r>
          </w:p>
        </w:tc>
        <w:tc>
          <w:tcPr>
            <w:tcW w:w="1276" w:type="dxa"/>
            <w:shd w:val="clear" w:color="auto" w:fill="auto"/>
            <w:vAlign w:val="center"/>
            <w:hideMark/>
          </w:tcPr>
          <w:p w14:paraId="78BE88B8" w14:textId="3B5B27E2"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0.00%</w:t>
            </w:r>
          </w:p>
        </w:tc>
      </w:tr>
      <w:tr w:rsidR="002D118D" w:rsidRPr="000232DD" w14:paraId="7E014EDB" w14:textId="77777777" w:rsidTr="005A4602">
        <w:trPr>
          <w:trHeight w:val="245"/>
        </w:trPr>
        <w:tc>
          <w:tcPr>
            <w:tcW w:w="644" w:type="dxa"/>
            <w:shd w:val="clear" w:color="auto" w:fill="auto"/>
            <w:vAlign w:val="center"/>
            <w:hideMark/>
          </w:tcPr>
          <w:p w14:paraId="6B8570CC"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2.4.</w:t>
            </w:r>
          </w:p>
        </w:tc>
        <w:tc>
          <w:tcPr>
            <w:tcW w:w="4743" w:type="dxa"/>
            <w:shd w:val="clear" w:color="auto" w:fill="auto"/>
            <w:vAlign w:val="center"/>
            <w:hideMark/>
          </w:tcPr>
          <w:p w14:paraId="79453B57"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ԱԱՀ-ի շեմ</w:t>
            </w:r>
          </w:p>
        </w:tc>
        <w:tc>
          <w:tcPr>
            <w:tcW w:w="1417" w:type="dxa"/>
            <w:shd w:val="clear" w:color="auto" w:fill="auto"/>
            <w:vAlign w:val="center"/>
            <w:hideMark/>
          </w:tcPr>
          <w:p w14:paraId="700274E9" w14:textId="6ABE3D10"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39,839</w:t>
            </w:r>
          </w:p>
        </w:tc>
        <w:tc>
          <w:tcPr>
            <w:tcW w:w="1701" w:type="dxa"/>
            <w:shd w:val="clear" w:color="auto" w:fill="auto"/>
            <w:vAlign w:val="center"/>
            <w:hideMark/>
          </w:tcPr>
          <w:p w14:paraId="294BF5AC" w14:textId="7D8F655D"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1.15%</w:t>
            </w:r>
          </w:p>
        </w:tc>
        <w:tc>
          <w:tcPr>
            <w:tcW w:w="1276" w:type="dxa"/>
            <w:shd w:val="clear" w:color="auto" w:fill="auto"/>
            <w:vAlign w:val="center"/>
            <w:hideMark/>
          </w:tcPr>
          <w:p w14:paraId="621C9808" w14:textId="41A29B66"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0.29%</w:t>
            </w:r>
          </w:p>
        </w:tc>
      </w:tr>
      <w:tr w:rsidR="002D118D" w:rsidRPr="000232DD" w14:paraId="5B9B1B1E" w14:textId="77777777" w:rsidTr="005A4602">
        <w:trPr>
          <w:trHeight w:val="245"/>
        </w:trPr>
        <w:tc>
          <w:tcPr>
            <w:tcW w:w="644" w:type="dxa"/>
            <w:shd w:val="clear" w:color="auto" w:fill="auto"/>
            <w:vAlign w:val="center"/>
            <w:hideMark/>
          </w:tcPr>
          <w:p w14:paraId="133B339A"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2.5.</w:t>
            </w:r>
          </w:p>
        </w:tc>
        <w:tc>
          <w:tcPr>
            <w:tcW w:w="4743" w:type="dxa"/>
            <w:shd w:val="clear" w:color="auto" w:fill="auto"/>
            <w:vAlign w:val="center"/>
            <w:hideMark/>
          </w:tcPr>
          <w:p w14:paraId="61376127"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միկրոբիզնես</w:t>
            </w:r>
          </w:p>
        </w:tc>
        <w:tc>
          <w:tcPr>
            <w:tcW w:w="1417" w:type="dxa"/>
            <w:shd w:val="clear" w:color="auto" w:fill="auto"/>
            <w:vAlign w:val="center"/>
            <w:hideMark/>
          </w:tcPr>
          <w:p w14:paraId="2496F694" w14:textId="5B4C1E4D"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4,074</w:t>
            </w:r>
          </w:p>
        </w:tc>
        <w:tc>
          <w:tcPr>
            <w:tcW w:w="1701" w:type="dxa"/>
            <w:shd w:val="clear" w:color="auto" w:fill="auto"/>
            <w:vAlign w:val="center"/>
            <w:hideMark/>
          </w:tcPr>
          <w:p w14:paraId="4E7E4456" w14:textId="561371AE"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0.12%</w:t>
            </w:r>
          </w:p>
        </w:tc>
        <w:tc>
          <w:tcPr>
            <w:tcW w:w="1276" w:type="dxa"/>
            <w:shd w:val="clear" w:color="auto" w:fill="auto"/>
            <w:vAlign w:val="center"/>
            <w:hideMark/>
          </w:tcPr>
          <w:p w14:paraId="5D107666" w14:textId="7F70469D"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0.03%</w:t>
            </w:r>
          </w:p>
        </w:tc>
      </w:tr>
      <w:tr w:rsidR="002D118D" w:rsidRPr="000232DD" w14:paraId="4807E4AB" w14:textId="77777777" w:rsidTr="005A4602">
        <w:trPr>
          <w:trHeight w:val="245"/>
        </w:trPr>
        <w:tc>
          <w:tcPr>
            <w:tcW w:w="644" w:type="dxa"/>
            <w:shd w:val="clear" w:color="auto" w:fill="auto"/>
            <w:vAlign w:val="center"/>
          </w:tcPr>
          <w:p w14:paraId="686C3599"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2.6.</w:t>
            </w:r>
          </w:p>
        </w:tc>
        <w:tc>
          <w:tcPr>
            <w:tcW w:w="4743" w:type="dxa"/>
            <w:shd w:val="clear" w:color="auto" w:fill="auto"/>
            <w:vAlign w:val="center"/>
          </w:tcPr>
          <w:p w14:paraId="1A511769"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ՏՏ ոլորտի արտոնություններ</w:t>
            </w:r>
          </w:p>
        </w:tc>
        <w:tc>
          <w:tcPr>
            <w:tcW w:w="1417" w:type="dxa"/>
            <w:shd w:val="clear" w:color="auto" w:fill="auto"/>
            <w:vAlign w:val="center"/>
          </w:tcPr>
          <w:p w14:paraId="33FBCF0B" w14:textId="0F8D7EAB"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8,709</w:t>
            </w:r>
          </w:p>
        </w:tc>
        <w:tc>
          <w:tcPr>
            <w:tcW w:w="1701" w:type="dxa"/>
            <w:shd w:val="clear" w:color="auto" w:fill="auto"/>
            <w:vAlign w:val="center"/>
          </w:tcPr>
          <w:p w14:paraId="5E429FCD" w14:textId="5A094B84"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0.25%</w:t>
            </w:r>
          </w:p>
        </w:tc>
        <w:tc>
          <w:tcPr>
            <w:tcW w:w="1276" w:type="dxa"/>
            <w:shd w:val="clear" w:color="auto" w:fill="auto"/>
            <w:vAlign w:val="center"/>
          </w:tcPr>
          <w:p w14:paraId="3CF96E43" w14:textId="5173F376"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0.06%</w:t>
            </w:r>
          </w:p>
        </w:tc>
      </w:tr>
      <w:tr w:rsidR="002D118D" w:rsidRPr="000232DD" w14:paraId="6A681C90" w14:textId="77777777" w:rsidTr="005A4602">
        <w:trPr>
          <w:trHeight w:val="245"/>
        </w:trPr>
        <w:tc>
          <w:tcPr>
            <w:tcW w:w="644" w:type="dxa"/>
            <w:shd w:val="clear" w:color="auto" w:fill="D5DCE4"/>
            <w:vAlign w:val="center"/>
            <w:hideMark/>
          </w:tcPr>
          <w:p w14:paraId="71DC5646" w14:textId="77777777" w:rsidR="002D118D" w:rsidRPr="000232DD" w:rsidRDefault="002D118D" w:rsidP="002D118D">
            <w:pPr>
              <w:spacing w:before="0" w:after="0" w:line="240" w:lineRule="auto"/>
              <w:ind w:right="-22"/>
              <w:jc w:val="both"/>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3</w:t>
            </w:r>
          </w:p>
        </w:tc>
        <w:tc>
          <w:tcPr>
            <w:tcW w:w="4743" w:type="dxa"/>
            <w:shd w:val="clear" w:color="auto" w:fill="D5DCE4"/>
            <w:vAlign w:val="center"/>
            <w:hideMark/>
          </w:tcPr>
          <w:p w14:paraId="2CE6B9AF" w14:textId="77777777" w:rsidR="002D118D" w:rsidRPr="000232DD" w:rsidRDefault="002D118D" w:rsidP="002D118D">
            <w:pPr>
              <w:spacing w:before="0" w:after="0" w:line="240" w:lineRule="auto"/>
              <w:ind w:right="-22"/>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Եկամտային հարկի գծով, այդ թվում`</w:t>
            </w:r>
          </w:p>
        </w:tc>
        <w:tc>
          <w:tcPr>
            <w:tcW w:w="1417" w:type="dxa"/>
            <w:shd w:val="clear" w:color="auto" w:fill="D5DCE4"/>
            <w:vAlign w:val="center"/>
          </w:tcPr>
          <w:p w14:paraId="2A6E4AF6" w14:textId="23C079B0" w:rsidR="002D118D" w:rsidRPr="000232DD" w:rsidRDefault="002D118D" w:rsidP="002D118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sz w:val="18"/>
                <w:szCs w:val="18"/>
              </w:rPr>
              <w:t>17,033</w:t>
            </w:r>
          </w:p>
        </w:tc>
        <w:tc>
          <w:tcPr>
            <w:tcW w:w="1701" w:type="dxa"/>
            <w:shd w:val="clear" w:color="auto" w:fill="D5DCE4"/>
            <w:vAlign w:val="center"/>
          </w:tcPr>
          <w:p w14:paraId="643E97C8" w14:textId="38079702" w:rsidR="002D118D" w:rsidRPr="000232DD" w:rsidRDefault="002D118D" w:rsidP="002D118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i/>
                <w:iCs/>
                <w:sz w:val="18"/>
                <w:szCs w:val="18"/>
              </w:rPr>
              <w:t>0.49%</w:t>
            </w:r>
          </w:p>
        </w:tc>
        <w:tc>
          <w:tcPr>
            <w:tcW w:w="1276" w:type="dxa"/>
            <w:shd w:val="clear" w:color="auto" w:fill="D5DCE4"/>
            <w:vAlign w:val="center"/>
          </w:tcPr>
          <w:p w14:paraId="5051BA62" w14:textId="2237BDC9" w:rsidR="002D118D" w:rsidRPr="000232DD" w:rsidRDefault="002D118D" w:rsidP="002D118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i/>
                <w:iCs/>
                <w:sz w:val="18"/>
                <w:szCs w:val="18"/>
              </w:rPr>
              <w:t>0.13%</w:t>
            </w:r>
          </w:p>
        </w:tc>
      </w:tr>
      <w:tr w:rsidR="002D118D" w:rsidRPr="000232DD" w14:paraId="2A35C899" w14:textId="77777777" w:rsidTr="005A4602">
        <w:trPr>
          <w:trHeight w:val="245"/>
        </w:trPr>
        <w:tc>
          <w:tcPr>
            <w:tcW w:w="644" w:type="dxa"/>
            <w:shd w:val="clear" w:color="auto" w:fill="auto"/>
            <w:vAlign w:val="center"/>
            <w:hideMark/>
          </w:tcPr>
          <w:p w14:paraId="371CADC9" w14:textId="77777777" w:rsidR="002D118D" w:rsidRPr="000232DD" w:rsidRDefault="002D118D" w:rsidP="002D118D">
            <w:pPr>
              <w:spacing w:before="0" w:after="0" w:line="240" w:lineRule="auto"/>
              <w:ind w:right="-22"/>
              <w:jc w:val="both"/>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3.1.</w:t>
            </w:r>
          </w:p>
        </w:tc>
        <w:tc>
          <w:tcPr>
            <w:tcW w:w="4743" w:type="dxa"/>
            <w:shd w:val="clear" w:color="auto" w:fill="auto"/>
            <w:vAlign w:val="center"/>
            <w:hideMark/>
          </w:tcPr>
          <w:p w14:paraId="6243B9F4" w14:textId="77777777" w:rsidR="002D118D" w:rsidRPr="000232DD" w:rsidRDefault="002D118D" w:rsidP="002D118D">
            <w:pPr>
              <w:spacing w:before="0" w:after="0" w:line="240" w:lineRule="auto"/>
              <w:ind w:right="-22"/>
              <w:rPr>
                <w:rFonts w:ascii="GHEA Grapalat" w:eastAsia="Times New Roman" w:hAnsi="GHEA Grapalat" w:cs="Times New Roman"/>
                <w:color w:val="auto"/>
                <w:sz w:val="18"/>
                <w:szCs w:val="18"/>
              </w:rPr>
            </w:pPr>
            <w:r w:rsidRPr="000232DD">
              <w:rPr>
                <w:rFonts w:ascii="GHEA Grapalat" w:eastAsia="Times New Roman" w:hAnsi="GHEA Grapalat" w:cs="Times New Roman"/>
                <w:color w:val="auto"/>
                <w:sz w:val="18"/>
                <w:szCs w:val="18"/>
              </w:rPr>
              <w:t>գյուղատնտեսության ոլորտի աշխատողների աշխատավարձ</w:t>
            </w:r>
          </w:p>
        </w:tc>
        <w:tc>
          <w:tcPr>
            <w:tcW w:w="1417" w:type="dxa"/>
            <w:shd w:val="clear" w:color="auto" w:fill="auto"/>
            <w:vAlign w:val="center"/>
          </w:tcPr>
          <w:p w14:paraId="5B41BFD9" w14:textId="69018F77"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17,033</w:t>
            </w:r>
          </w:p>
        </w:tc>
        <w:tc>
          <w:tcPr>
            <w:tcW w:w="1701" w:type="dxa"/>
            <w:shd w:val="clear" w:color="auto" w:fill="auto"/>
            <w:vAlign w:val="center"/>
          </w:tcPr>
          <w:p w14:paraId="0469CB7E" w14:textId="50A4740D"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0.49%</w:t>
            </w:r>
          </w:p>
        </w:tc>
        <w:tc>
          <w:tcPr>
            <w:tcW w:w="1276" w:type="dxa"/>
            <w:shd w:val="clear" w:color="auto" w:fill="auto"/>
            <w:vAlign w:val="center"/>
          </w:tcPr>
          <w:p w14:paraId="69B04436" w14:textId="685F980D"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0.13%</w:t>
            </w:r>
          </w:p>
        </w:tc>
      </w:tr>
      <w:tr w:rsidR="002D118D" w:rsidRPr="000232DD" w14:paraId="16EAA943" w14:textId="77777777" w:rsidTr="005A4602">
        <w:trPr>
          <w:trHeight w:val="245"/>
        </w:trPr>
        <w:tc>
          <w:tcPr>
            <w:tcW w:w="644" w:type="dxa"/>
            <w:shd w:val="clear" w:color="auto" w:fill="D5DCE4"/>
            <w:vAlign w:val="center"/>
          </w:tcPr>
          <w:p w14:paraId="6C5D6E85" w14:textId="77777777" w:rsidR="002D118D" w:rsidRPr="000232DD" w:rsidRDefault="002D118D" w:rsidP="002D118D">
            <w:pPr>
              <w:spacing w:before="0" w:after="0" w:line="240" w:lineRule="auto"/>
              <w:ind w:right="-22"/>
              <w:jc w:val="both"/>
              <w:rPr>
                <w:rFonts w:ascii="GHEA Grapalat" w:eastAsia="Times New Roman" w:hAnsi="GHEA Grapalat" w:cs="Times New Roman"/>
                <w:b/>
                <w:color w:val="auto"/>
                <w:sz w:val="18"/>
                <w:szCs w:val="18"/>
              </w:rPr>
            </w:pPr>
            <w:r w:rsidRPr="000232DD">
              <w:rPr>
                <w:rFonts w:ascii="GHEA Grapalat" w:eastAsia="Times New Roman" w:hAnsi="GHEA Grapalat" w:cs="Calibri"/>
                <w:b/>
                <w:bCs/>
                <w:color w:val="auto"/>
              </w:rPr>
              <w:t>4</w:t>
            </w:r>
          </w:p>
        </w:tc>
        <w:tc>
          <w:tcPr>
            <w:tcW w:w="4743" w:type="dxa"/>
            <w:shd w:val="clear" w:color="auto" w:fill="D5DCE4"/>
            <w:vAlign w:val="center"/>
          </w:tcPr>
          <w:p w14:paraId="5765D575" w14:textId="77777777" w:rsidR="002D118D" w:rsidRPr="000232DD" w:rsidRDefault="002D118D" w:rsidP="002D118D">
            <w:pPr>
              <w:spacing w:before="0" w:after="0" w:line="240" w:lineRule="auto"/>
              <w:ind w:right="-22"/>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Շրջանառության հարկի գծով, այդ թվում`</w:t>
            </w:r>
          </w:p>
        </w:tc>
        <w:tc>
          <w:tcPr>
            <w:tcW w:w="1417" w:type="dxa"/>
            <w:shd w:val="clear" w:color="auto" w:fill="D5DCE4"/>
            <w:vAlign w:val="center"/>
          </w:tcPr>
          <w:p w14:paraId="78BACE21" w14:textId="7DD4FBCE" w:rsidR="002D118D" w:rsidRPr="000232DD" w:rsidRDefault="002D118D" w:rsidP="002D118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sz w:val="18"/>
                <w:szCs w:val="18"/>
              </w:rPr>
              <w:t>33,827</w:t>
            </w:r>
          </w:p>
        </w:tc>
        <w:tc>
          <w:tcPr>
            <w:tcW w:w="1701" w:type="dxa"/>
            <w:shd w:val="clear" w:color="auto" w:fill="D5DCE4"/>
            <w:vAlign w:val="center"/>
          </w:tcPr>
          <w:p w14:paraId="3182C605" w14:textId="4D863173" w:rsidR="002D118D" w:rsidRPr="000232DD" w:rsidRDefault="002D118D" w:rsidP="002D118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i/>
                <w:iCs/>
                <w:sz w:val="18"/>
                <w:szCs w:val="18"/>
              </w:rPr>
              <w:t>0.98%</w:t>
            </w:r>
          </w:p>
        </w:tc>
        <w:tc>
          <w:tcPr>
            <w:tcW w:w="1276" w:type="dxa"/>
            <w:shd w:val="clear" w:color="auto" w:fill="D5DCE4"/>
            <w:vAlign w:val="center"/>
          </w:tcPr>
          <w:p w14:paraId="00F37561" w14:textId="6AC823EE" w:rsidR="002D118D" w:rsidRPr="000232DD" w:rsidRDefault="002D118D" w:rsidP="002D118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i/>
                <w:iCs/>
                <w:sz w:val="18"/>
                <w:szCs w:val="18"/>
              </w:rPr>
              <w:t>0.25%</w:t>
            </w:r>
          </w:p>
        </w:tc>
      </w:tr>
      <w:tr w:rsidR="002D118D" w:rsidRPr="000232DD" w14:paraId="7DA14FFC" w14:textId="77777777" w:rsidTr="005A4602">
        <w:trPr>
          <w:trHeight w:val="245"/>
        </w:trPr>
        <w:tc>
          <w:tcPr>
            <w:tcW w:w="644" w:type="dxa"/>
            <w:shd w:val="clear" w:color="auto" w:fill="auto"/>
            <w:vAlign w:val="center"/>
          </w:tcPr>
          <w:p w14:paraId="436C2A76" w14:textId="77777777" w:rsidR="002D118D" w:rsidRPr="000232DD" w:rsidRDefault="002D118D" w:rsidP="002D118D">
            <w:pPr>
              <w:spacing w:before="0" w:after="0" w:line="240" w:lineRule="auto"/>
              <w:ind w:right="-22"/>
              <w:jc w:val="both"/>
              <w:rPr>
                <w:rFonts w:ascii="GHEA Grapalat" w:eastAsia="Times New Roman" w:hAnsi="GHEA Grapalat" w:cs="Times New Roman"/>
                <w:b/>
                <w:color w:val="auto"/>
                <w:sz w:val="18"/>
                <w:szCs w:val="18"/>
              </w:rPr>
            </w:pPr>
            <w:r w:rsidRPr="000232DD">
              <w:rPr>
                <w:rFonts w:ascii="GHEA Grapalat" w:eastAsia="Times New Roman" w:hAnsi="GHEA Grapalat" w:cs="Times New Roman"/>
                <w:color w:val="auto"/>
                <w:sz w:val="18"/>
                <w:szCs w:val="18"/>
              </w:rPr>
              <w:t>4.1.</w:t>
            </w:r>
          </w:p>
        </w:tc>
        <w:tc>
          <w:tcPr>
            <w:tcW w:w="4743" w:type="dxa"/>
            <w:shd w:val="clear" w:color="auto" w:fill="auto"/>
            <w:vAlign w:val="center"/>
          </w:tcPr>
          <w:p w14:paraId="27A5BBE9" w14:textId="77777777" w:rsidR="002D118D" w:rsidRPr="000232DD" w:rsidRDefault="002D118D" w:rsidP="002D118D">
            <w:pPr>
              <w:spacing w:before="0" w:after="0" w:line="240" w:lineRule="auto"/>
              <w:ind w:right="-22"/>
              <w:rPr>
                <w:rFonts w:ascii="GHEA Grapalat" w:eastAsia="Times New Roman" w:hAnsi="GHEA Grapalat" w:cs="Times New Roman"/>
                <w:b/>
                <w:color w:val="auto"/>
                <w:sz w:val="18"/>
                <w:szCs w:val="18"/>
              </w:rPr>
            </w:pPr>
            <w:r w:rsidRPr="000232DD">
              <w:rPr>
                <w:rFonts w:ascii="GHEA Grapalat" w:eastAsia="Times New Roman" w:hAnsi="GHEA Grapalat" w:cs="Times New Roman"/>
                <w:color w:val="auto"/>
                <w:sz w:val="18"/>
                <w:szCs w:val="18"/>
              </w:rPr>
              <w:t>ՏՏ ոլորտի արտոնություններ</w:t>
            </w:r>
          </w:p>
        </w:tc>
        <w:tc>
          <w:tcPr>
            <w:tcW w:w="1417" w:type="dxa"/>
            <w:shd w:val="clear" w:color="auto" w:fill="auto"/>
            <w:vAlign w:val="center"/>
          </w:tcPr>
          <w:p w14:paraId="1C269CEF" w14:textId="32C8C26D"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33,827</w:t>
            </w:r>
          </w:p>
        </w:tc>
        <w:tc>
          <w:tcPr>
            <w:tcW w:w="1701" w:type="dxa"/>
            <w:shd w:val="clear" w:color="auto" w:fill="auto"/>
            <w:vAlign w:val="center"/>
          </w:tcPr>
          <w:p w14:paraId="105F34A6" w14:textId="1F6395AA"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0.98%</w:t>
            </w:r>
          </w:p>
        </w:tc>
        <w:tc>
          <w:tcPr>
            <w:tcW w:w="1276" w:type="dxa"/>
            <w:shd w:val="clear" w:color="auto" w:fill="auto"/>
            <w:vAlign w:val="center"/>
          </w:tcPr>
          <w:p w14:paraId="2F738425" w14:textId="776E89FE" w:rsidR="002D118D" w:rsidRPr="000232DD" w:rsidRDefault="002D118D" w:rsidP="002D118D">
            <w:pPr>
              <w:spacing w:before="0" w:after="0" w:line="240" w:lineRule="auto"/>
              <w:ind w:right="-22"/>
              <w:jc w:val="center"/>
              <w:rPr>
                <w:rFonts w:ascii="GHEA Grapalat" w:eastAsia="Times New Roman" w:hAnsi="GHEA Grapalat" w:cs="Times New Roman"/>
                <w:color w:val="auto"/>
                <w:sz w:val="18"/>
                <w:szCs w:val="18"/>
              </w:rPr>
            </w:pPr>
            <w:r>
              <w:rPr>
                <w:rFonts w:ascii="GHEA Grapalat" w:hAnsi="GHEA Grapalat" w:cs="Calibri"/>
                <w:sz w:val="18"/>
                <w:szCs w:val="18"/>
              </w:rPr>
              <w:t>0.25%</w:t>
            </w:r>
          </w:p>
        </w:tc>
      </w:tr>
      <w:tr w:rsidR="002D118D" w:rsidRPr="000232DD" w14:paraId="154CB4AC" w14:textId="77777777" w:rsidTr="005A4602">
        <w:trPr>
          <w:trHeight w:val="245"/>
        </w:trPr>
        <w:tc>
          <w:tcPr>
            <w:tcW w:w="5387" w:type="dxa"/>
            <w:gridSpan w:val="2"/>
            <w:shd w:val="clear" w:color="auto" w:fill="D5DCE4"/>
            <w:vAlign w:val="center"/>
            <w:hideMark/>
          </w:tcPr>
          <w:p w14:paraId="308680DE" w14:textId="77777777" w:rsidR="002D118D" w:rsidRPr="000232DD" w:rsidRDefault="002D118D" w:rsidP="002D118D">
            <w:pPr>
              <w:spacing w:before="0" w:after="0" w:line="240" w:lineRule="auto"/>
              <w:ind w:right="-22"/>
              <w:rPr>
                <w:rFonts w:ascii="GHEA Grapalat" w:eastAsia="Times New Roman" w:hAnsi="GHEA Grapalat" w:cs="Times New Roman"/>
                <w:b/>
                <w:color w:val="auto"/>
                <w:sz w:val="18"/>
                <w:szCs w:val="18"/>
              </w:rPr>
            </w:pPr>
            <w:r w:rsidRPr="000232DD">
              <w:rPr>
                <w:rFonts w:ascii="GHEA Grapalat" w:eastAsia="Times New Roman" w:hAnsi="GHEA Grapalat" w:cs="Times New Roman"/>
                <w:b/>
                <w:color w:val="auto"/>
                <w:sz w:val="18"/>
                <w:szCs w:val="18"/>
              </w:rPr>
              <w:t>Ընդամենը</w:t>
            </w:r>
          </w:p>
        </w:tc>
        <w:tc>
          <w:tcPr>
            <w:tcW w:w="1417" w:type="dxa"/>
            <w:shd w:val="clear" w:color="auto" w:fill="D5DCE4"/>
            <w:vAlign w:val="center"/>
            <w:hideMark/>
          </w:tcPr>
          <w:p w14:paraId="330A841D" w14:textId="5BFC9794" w:rsidR="002D118D" w:rsidRPr="000232DD" w:rsidRDefault="002D118D" w:rsidP="002D118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sz w:val="18"/>
                <w:szCs w:val="18"/>
              </w:rPr>
              <w:t>831,462</w:t>
            </w:r>
          </w:p>
        </w:tc>
        <w:tc>
          <w:tcPr>
            <w:tcW w:w="1701" w:type="dxa"/>
            <w:shd w:val="clear" w:color="auto" w:fill="D5DCE4"/>
            <w:vAlign w:val="center"/>
            <w:hideMark/>
          </w:tcPr>
          <w:p w14:paraId="357B209B" w14:textId="07A9A680" w:rsidR="002D118D" w:rsidRPr="000232DD" w:rsidRDefault="002D118D" w:rsidP="002D118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i/>
                <w:iCs/>
                <w:sz w:val="18"/>
                <w:szCs w:val="18"/>
              </w:rPr>
              <w:t>24.01%</w:t>
            </w:r>
          </w:p>
        </w:tc>
        <w:tc>
          <w:tcPr>
            <w:tcW w:w="1276" w:type="dxa"/>
            <w:shd w:val="clear" w:color="auto" w:fill="D5DCE4"/>
            <w:vAlign w:val="center"/>
            <w:hideMark/>
          </w:tcPr>
          <w:p w14:paraId="4F9EAC81" w14:textId="51557FD1" w:rsidR="002D118D" w:rsidRPr="000232DD" w:rsidRDefault="002D118D" w:rsidP="002D118D">
            <w:pPr>
              <w:spacing w:before="0" w:after="0" w:line="240" w:lineRule="auto"/>
              <w:ind w:right="-22"/>
              <w:jc w:val="center"/>
              <w:rPr>
                <w:rFonts w:ascii="GHEA Grapalat" w:eastAsia="Times New Roman" w:hAnsi="GHEA Grapalat" w:cs="Times New Roman"/>
                <w:b/>
                <w:color w:val="auto"/>
                <w:sz w:val="18"/>
                <w:szCs w:val="18"/>
              </w:rPr>
            </w:pPr>
            <w:r>
              <w:rPr>
                <w:rFonts w:ascii="GHEA Grapalat" w:hAnsi="GHEA Grapalat" w:cs="Calibri"/>
                <w:b/>
                <w:bCs/>
                <w:i/>
                <w:iCs/>
                <w:sz w:val="18"/>
                <w:szCs w:val="18"/>
              </w:rPr>
              <w:t>6.11%</w:t>
            </w:r>
          </w:p>
        </w:tc>
      </w:tr>
    </w:tbl>
    <w:p w14:paraId="6ACCE9C8" w14:textId="1787CCD3" w:rsidR="00262E30" w:rsidRPr="00262E30" w:rsidRDefault="00262E30" w:rsidP="00262E30">
      <w:pPr>
        <w:ind w:right="-22"/>
        <w:jc w:val="both"/>
        <w:rPr>
          <w:rFonts w:ascii="GHEA Grapalat" w:eastAsia="Times New Roman" w:hAnsi="GHEA Grapalat" w:cs="Times New Roman"/>
          <w:b/>
          <w:bCs/>
          <w:i/>
          <w:iCs/>
          <w:color w:val="auto"/>
          <w:sz w:val="16"/>
          <w:szCs w:val="16"/>
          <w:lang w:val="hy-AM"/>
        </w:rPr>
      </w:pPr>
      <w:r w:rsidRPr="00262E30">
        <w:rPr>
          <w:rFonts w:ascii="GHEA Grapalat" w:eastAsia="Times New Roman" w:hAnsi="GHEA Grapalat" w:cs="Times New Roman"/>
          <w:b/>
          <w:bCs/>
          <w:i/>
          <w:iCs/>
          <w:color w:val="auto"/>
          <w:sz w:val="16"/>
          <w:szCs w:val="16"/>
          <w:lang w:val="hy-AM"/>
        </w:rPr>
        <w:t>*2026թ. գնահատված հարկային ծախսերը կազմել են 802,847 մլն. դրամ, ինչը 2027 թվականի համար 2026 թվականի համար սպասվող հարկային եկամուտների և ՀՆԱ-ի նկատմամբ կազմում է համապատասխանաբար` 24.0 և 6.1 տոկոս: Վերոգրյալը նշանակում է, որ նախորդ տարվա գնահատականի համեմատ հարկային եկամուտների մեջ 2027թ. հարկային ծախսերի կշիռը նվազել է 3.35 տոկոսային կետով, իսկ անվանական ՀՆԱ-ի մեջ հարկային ծախսերի կշիռը նվազել է 0.64 տոկոսային կետով:</w:t>
      </w:r>
    </w:p>
    <w:p w14:paraId="1CD07491" w14:textId="77777777" w:rsidR="00626259" w:rsidRPr="000232DD" w:rsidRDefault="00626259" w:rsidP="00082769">
      <w:pPr>
        <w:pStyle w:val="TOC1"/>
        <w:ind w:right="-22"/>
        <w:jc w:val="both"/>
        <w:rPr>
          <w:i/>
          <w:color w:val="auto"/>
          <w:sz w:val="16"/>
          <w:szCs w:val="16"/>
        </w:rPr>
      </w:pPr>
    </w:p>
    <w:p w14:paraId="25D8AB65" w14:textId="41F411EB" w:rsidR="00626259" w:rsidRPr="000232DD" w:rsidRDefault="00626259" w:rsidP="00082769">
      <w:pPr>
        <w:pStyle w:val="Heading2"/>
        <w:spacing w:before="120" w:after="120"/>
        <w:ind w:right="-22"/>
        <w:jc w:val="both"/>
        <w:rPr>
          <w:rFonts w:ascii="GHEA Grapalat" w:hAnsi="GHEA Grapalat"/>
          <w:color w:val="auto"/>
          <w:sz w:val="28"/>
          <w:szCs w:val="20"/>
          <w:lang w:val="hy-AM"/>
        </w:rPr>
      </w:pPr>
      <w:bookmarkStart w:id="519" w:name="_Toc209625779"/>
      <w:bookmarkStart w:id="520" w:name="_Toc241687690"/>
      <w:r w:rsidRPr="000232DD">
        <w:rPr>
          <w:rFonts w:ascii="GHEA Grapalat" w:hAnsi="GHEA Grapalat"/>
          <w:color w:val="auto"/>
          <w:sz w:val="28"/>
          <w:szCs w:val="20"/>
          <w:lang w:val="hy-AM"/>
        </w:rPr>
        <w:t>202</w:t>
      </w:r>
      <w:r w:rsidR="00C73C9D">
        <w:rPr>
          <w:rFonts w:ascii="GHEA Grapalat" w:hAnsi="GHEA Grapalat"/>
          <w:color w:val="auto"/>
          <w:sz w:val="28"/>
          <w:szCs w:val="20"/>
          <w:lang w:val="hy-AM"/>
        </w:rPr>
        <w:t>7</w:t>
      </w:r>
      <w:r w:rsidRPr="000232DD">
        <w:rPr>
          <w:rFonts w:ascii="GHEA Grapalat" w:hAnsi="GHEA Grapalat"/>
          <w:color w:val="auto"/>
          <w:sz w:val="28"/>
          <w:szCs w:val="20"/>
          <w:lang w:val="hy-AM"/>
        </w:rPr>
        <w:t xml:space="preserve"> ԹՎԱԿԱՆԻ ՀԱՐԿԱՅԻՆ ԾԱԽՍԵՐԻ ԳՆԱՀԱՏՄԱՆ ՄԵԹՈԴԱԲԱՆՈՒԹՅՈՒՆ</w:t>
      </w:r>
      <w:bookmarkEnd w:id="519"/>
      <w:bookmarkEnd w:id="520"/>
    </w:p>
    <w:p w14:paraId="19085231" w14:textId="18B69965" w:rsidR="00626259" w:rsidRPr="000232DD" w:rsidRDefault="00626259" w:rsidP="00082769">
      <w:pPr>
        <w:pStyle w:val="TOC4"/>
        <w:ind w:right="-22"/>
        <w:rPr>
          <w:color w:val="auto"/>
        </w:rPr>
      </w:pPr>
      <w:r w:rsidRPr="000232DD">
        <w:rPr>
          <w:color w:val="auto"/>
        </w:rPr>
        <w:t>ԱԱՀ-Ի ԳԾՈՎ ՀԱՐԿԱՅԻՆ ԾԱԽՍԵՐԸ.</w:t>
      </w:r>
    </w:p>
    <w:p w14:paraId="6F45D8B8" w14:textId="77777777" w:rsidR="00626259" w:rsidRPr="000232DD" w:rsidRDefault="00626259" w:rsidP="00A72039">
      <w:pPr>
        <w:spacing w:line="360" w:lineRule="auto"/>
        <w:ind w:right="-22"/>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ԱԱՀ-ի գծով հարկային ծախսերը գնահատվել են հետևյալ հիմնական ուղղություն</w:t>
      </w:r>
      <w:r w:rsidRPr="000232DD">
        <w:rPr>
          <w:rFonts w:ascii="GHEA Grapalat" w:eastAsia="Times New Roman" w:hAnsi="GHEA Grapalat" w:cs="Times New Roman"/>
          <w:color w:val="auto"/>
        </w:rPr>
        <w:softHyphen/>
        <w:t>նե</w:t>
      </w:r>
      <w:r w:rsidRPr="000232DD">
        <w:rPr>
          <w:rFonts w:ascii="GHEA Grapalat" w:eastAsia="Times New Roman" w:hAnsi="GHEA Grapalat" w:cs="Times New Roman"/>
          <w:color w:val="auto"/>
        </w:rPr>
        <w:softHyphen/>
        <w:t>րով.</w:t>
      </w:r>
    </w:p>
    <w:p w14:paraId="65981084" w14:textId="77777777" w:rsidR="00626259" w:rsidRPr="000232DD" w:rsidRDefault="00626259" w:rsidP="00A72039">
      <w:pPr>
        <w:numPr>
          <w:ilvl w:val="0"/>
          <w:numId w:val="7"/>
        </w:numPr>
        <w:ind w:left="0"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գյու</w:t>
      </w:r>
      <w:r w:rsidRPr="000232DD">
        <w:rPr>
          <w:rFonts w:ascii="GHEA Grapalat" w:eastAsia="Times New Roman" w:hAnsi="GHEA Grapalat" w:cs="Times New Roman"/>
          <w:color w:val="auto"/>
        </w:rPr>
        <w:softHyphen/>
        <w:t>ղա</w:t>
      </w:r>
      <w:r w:rsidRPr="000232DD">
        <w:rPr>
          <w:rFonts w:ascii="GHEA Grapalat" w:eastAsia="Times New Roman" w:hAnsi="GHEA Grapalat" w:cs="Times New Roman"/>
          <w:color w:val="auto"/>
        </w:rPr>
        <w:softHyphen/>
        <w:t>տնտեսություն,</w:t>
      </w:r>
    </w:p>
    <w:p w14:paraId="15BE7398" w14:textId="77777777" w:rsidR="00626259" w:rsidRPr="000232DD" w:rsidRDefault="00626259" w:rsidP="00A72039">
      <w:pPr>
        <w:numPr>
          <w:ilvl w:val="0"/>
          <w:numId w:val="7"/>
        </w:numPr>
        <w:ind w:left="0"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առողջապահություն,</w:t>
      </w:r>
    </w:p>
    <w:p w14:paraId="46654750" w14:textId="77777777" w:rsidR="00626259" w:rsidRPr="000232DD" w:rsidRDefault="00626259" w:rsidP="00A72039">
      <w:pPr>
        <w:numPr>
          <w:ilvl w:val="0"/>
          <w:numId w:val="7"/>
        </w:numPr>
        <w:ind w:left="0"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կրթություն,</w:t>
      </w:r>
    </w:p>
    <w:p w14:paraId="366DB1A3" w14:textId="77777777" w:rsidR="00626259" w:rsidRPr="000232DD" w:rsidRDefault="00626259" w:rsidP="00A72039">
      <w:pPr>
        <w:numPr>
          <w:ilvl w:val="0"/>
          <w:numId w:val="7"/>
        </w:numPr>
        <w:ind w:left="0"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ֆինանսներ և ապահովագրություն,</w:t>
      </w:r>
    </w:p>
    <w:p w14:paraId="2944916F" w14:textId="77777777" w:rsidR="00626259" w:rsidRPr="000232DD" w:rsidRDefault="00626259" w:rsidP="00A72039">
      <w:pPr>
        <w:numPr>
          <w:ilvl w:val="0"/>
          <w:numId w:val="7"/>
        </w:numPr>
        <w:tabs>
          <w:tab w:val="left" w:pos="851"/>
        </w:tabs>
        <w:ind w:left="0"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խաղատների գործունեություն, շահումով խաղերի (այդ թվում՝ ինտերնետ շահումով խաղերի), տոտալիզատորի և ինտերնետ տոտալիզատորի կազմակերպում,</w:t>
      </w:r>
    </w:p>
    <w:p w14:paraId="468C1349" w14:textId="77777777" w:rsidR="00626259" w:rsidRPr="000232DD" w:rsidRDefault="00626259" w:rsidP="00A72039">
      <w:pPr>
        <w:numPr>
          <w:ilvl w:val="0"/>
          <w:numId w:val="7"/>
        </w:numPr>
        <w:tabs>
          <w:tab w:val="left" w:pos="851"/>
        </w:tabs>
        <w:ind w:left="0"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ոսկու և թանկարժեք քարերի իրացում,</w:t>
      </w:r>
    </w:p>
    <w:p w14:paraId="06CCA7B2" w14:textId="77777777" w:rsidR="00626259" w:rsidRPr="000232DD" w:rsidRDefault="00626259" w:rsidP="00A72039">
      <w:pPr>
        <w:numPr>
          <w:ilvl w:val="0"/>
          <w:numId w:val="7"/>
        </w:numPr>
        <w:tabs>
          <w:tab w:val="left" w:pos="851"/>
        </w:tabs>
        <w:ind w:left="0"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մարդասիրական օգնություն,</w:t>
      </w:r>
    </w:p>
    <w:p w14:paraId="744A18C6" w14:textId="77777777" w:rsidR="00626259" w:rsidRPr="000232DD" w:rsidRDefault="00626259" w:rsidP="00A72039">
      <w:pPr>
        <w:numPr>
          <w:ilvl w:val="0"/>
          <w:numId w:val="7"/>
        </w:numPr>
        <w:tabs>
          <w:tab w:val="left" w:pos="851"/>
        </w:tabs>
        <w:ind w:left="0"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պարարտանյութերի իրացում,</w:t>
      </w:r>
    </w:p>
    <w:p w14:paraId="59A55E36" w14:textId="77777777" w:rsidR="00626259" w:rsidRPr="000232DD" w:rsidRDefault="00626259" w:rsidP="00A72039">
      <w:pPr>
        <w:numPr>
          <w:ilvl w:val="0"/>
          <w:numId w:val="7"/>
        </w:numPr>
        <w:tabs>
          <w:tab w:val="left" w:pos="851"/>
        </w:tabs>
        <w:ind w:left="0"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ջրօգտագործողների ընկերությունների կողմից ոռոգման ջրի օտարում,</w:t>
      </w:r>
    </w:p>
    <w:p w14:paraId="381C283E" w14:textId="77777777" w:rsidR="00626259" w:rsidRPr="000232DD" w:rsidRDefault="00626259" w:rsidP="00A72039">
      <w:pPr>
        <w:numPr>
          <w:ilvl w:val="0"/>
          <w:numId w:val="7"/>
        </w:numPr>
        <w:tabs>
          <w:tab w:val="left" w:pos="851"/>
        </w:tabs>
        <w:ind w:left="0"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սուբսիդիաների, սուբվենցիաների և դրամաշնորհային ծրագրերի շրջանակներում իրականացվող` ապրանքի մատակարարում, աշխատանքի կատարում և (կամ) ծառայության մատուցում,</w:t>
      </w:r>
    </w:p>
    <w:p w14:paraId="2B409835" w14:textId="77777777" w:rsidR="00626259" w:rsidRPr="000232DD" w:rsidRDefault="00626259" w:rsidP="00A72039">
      <w:pPr>
        <w:numPr>
          <w:ilvl w:val="0"/>
          <w:numId w:val="7"/>
        </w:numPr>
        <w:tabs>
          <w:tab w:val="left" w:pos="851"/>
        </w:tabs>
        <w:ind w:left="0"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ազատ տնտեսական գոտու կազմակերպչին և ազատ տնտեսական գոտու շահագործողին ծառայությունների մատուցում, ազատ տնտեսական գոտու կազմակերպչի և ազատ տնտեսական գոտու շահագործողի համար աշխատանքների կատարում, ազատ տնտեսական գոտու տարածքում ապրանքների մատակարարում,</w:t>
      </w:r>
    </w:p>
    <w:p w14:paraId="681C003E" w14:textId="77777777" w:rsidR="00626259" w:rsidRPr="000232DD" w:rsidRDefault="00626259" w:rsidP="00A72039">
      <w:pPr>
        <w:numPr>
          <w:ilvl w:val="0"/>
          <w:numId w:val="7"/>
        </w:numPr>
        <w:tabs>
          <w:tab w:val="left" w:pos="851"/>
        </w:tabs>
        <w:ind w:left="0"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lang w:val="hy-AM"/>
        </w:rPr>
        <w:t xml:space="preserve">օրենսգրքով սահմանված </w:t>
      </w:r>
      <w:r w:rsidRPr="000232DD">
        <w:rPr>
          <w:rFonts w:ascii="GHEA Grapalat" w:eastAsia="Times New Roman" w:hAnsi="GHEA Grapalat" w:cs="Times New Roman"/>
          <w:color w:val="auto"/>
        </w:rPr>
        <w:t>վերը չնշված այլ արտոնություններ</w:t>
      </w:r>
      <w:r w:rsidRPr="000232DD">
        <w:rPr>
          <w:rFonts w:ascii="GHEA Grapalat" w:eastAsia="Times New Roman" w:hAnsi="GHEA Grapalat" w:cs="Times New Roman"/>
          <w:color w:val="auto"/>
          <w:lang w:val="hy-AM"/>
        </w:rPr>
        <w:t>,</w:t>
      </w:r>
    </w:p>
    <w:p w14:paraId="1542464F" w14:textId="77777777" w:rsidR="00626259" w:rsidRPr="000232DD" w:rsidRDefault="00626259" w:rsidP="00A72039">
      <w:pPr>
        <w:numPr>
          <w:ilvl w:val="0"/>
          <w:numId w:val="7"/>
        </w:numPr>
        <w:tabs>
          <w:tab w:val="left" w:pos="851"/>
        </w:tabs>
        <w:ind w:left="0" w:firstLine="0"/>
        <w:contextualSpacing/>
        <w:jc w:val="both"/>
        <w:rPr>
          <w:rFonts w:ascii="GHEA Grapalat" w:eastAsia="Times New Roman" w:hAnsi="GHEA Grapalat" w:cs="Times New Roman"/>
          <w:color w:val="auto"/>
        </w:rPr>
      </w:pPr>
      <w:r w:rsidRPr="000232DD">
        <w:rPr>
          <w:rFonts w:ascii="GHEA Grapalat" w:eastAsia="Times New Roman" w:hAnsi="GHEA Grapalat" w:cs="Times New Roman"/>
          <w:color w:val="auto"/>
        </w:rPr>
        <w:t>այլ օրենքներով տրված արտոնություններ</w:t>
      </w:r>
      <w:r w:rsidRPr="000232DD">
        <w:rPr>
          <w:rFonts w:ascii="GHEA Grapalat" w:eastAsia="Times New Roman" w:hAnsi="GHEA Grapalat" w:cs="Times New Roman"/>
          <w:color w:val="auto"/>
          <w:lang w:val="hy-AM"/>
        </w:rPr>
        <w:t>:</w:t>
      </w:r>
    </w:p>
    <w:p w14:paraId="2A8FFAE0" w14:textId="77777777" w:rsidR="00626259" w:rsidRPr="000232DD" w:rsidRDefault="00626259" w:rsidP="00A72039">
      <w:pPr>
        <w:pStyle w:val="BodyText1"/>
        <w:ind w:left="0"/>
        <w:rPr>
          <w:color w:val="auto"/>
          <w:lang w:val="hy-AM"/>
        </w:rPr>
      </w:pPr>
      <w:r w:rsidRPr="000232DD">
        <w:rPr>
          <w:color w:val="auto"/>
          <w:lang w:val="hy-AM"/>
        </w:rPr>
        <w:t>ՀՀ ՎԿ տվյալների բազայից որոշվել են 2025 թվականի համար տնտեսության յուրա</w:t>
      </w:r>
      <w:r w:rsidRPr="000232DD">
        <w:rPr>
          <w:color w:val="auto"/>
          <w:lang w:val="hy-AM"/>
        </w:rPr>
        <w:softHyphen/>
        <w:t>քանչյուր ոլորտի ավելացված արժեքները, որոնք նախապես ճշգրտվել են ֆինան</w:t>
      </w:r>
      <w:r w:rsidRPr="000232DD">
        <w:rPr>
          <w:color w:val="auto"/>
          <w:lang w:val="hy-AM"/>
        </w:rPr>
        <w:softHyphen/>
        <w:t>սա</w:t>
      </w:r>
      <w:r w:rsidRPr="000232DD">
        <w:rPr>
          <w:color w:val="auto"/>
          <w:lang w:val="hy-AM"/>
        </w:rPr>
        <w:softHyphen/>
        <w:t>կան միջնորդությունների անուղղակի չափվող ծառայությունների արժեքի չափով:</w:t>
      </w:r>
    </w:p>
    <w:p w14:paraId="7098235C" w14:textId="77777777" w:rsidR="00626259" w:rsidRPr="000232DD" w:rsidRDefault="00626259" w:rsidP="00A72039">
      <w:pPr>
        <w:pStyle w:val="BodyText1"/>
        <w:ind w:left="0"/>
        <w:rPr>
          <w:color w:val="auto"/>
          <w:lang w:val="hy-AM"/>
        </w:rPr>
      </w:pPr>
      <w:r w:rsidRPr="000232DD">
        <w:rPr>
          <w:color w:val="auto"/>
          <w:lang w:val="hy-AM"/>
        </w:rPr>
        <w:t>Տնտեսության յուրաքանչյուր ոլորտի ավելացված արժեքները նվազեցվել են չդի</w:t>
      </w:r>
      <w:r w:rsidRPr="000232DD">
        <w:rPr>
          <w:color w:val="auto"/>
          <w:lang w:val="hy-AM"/>
        </w:rPr>
        <w:softHyphen/>
        <w:t>տարկ</w:t>
      </w:r>
      <w:r w:rsidRPr="000232DD">
        <w:rPr>
          <w:color w:val="auto"/>
          <w:lang w:val="hy-AM"/>
        </w:rPr>
        <w:softHyphen/>
        <w:t>վող (չհաշվառվող) տնտեսության ավելացված արժեքների մասնաբաժնի չափով:</w:t>
      </w:r>
    </w:p>
    <w:p w14:paraId="17918546" w14:textId="77777777" w:rsidR="00626259" w:rsidRPr="000232DD" w:rsidRDefault="00626259" w:rsidP="00A72039">
      <w:pPr>
        <w:pStyle w:val="BodyText1"/>
        <w:ind w:left="0"/>
        <w:rPr>
          <w:color w:val="auto"/>
          <w:lang w:val="hy-AM"/>
        </w:rPr>
      </w:pPr>
      <w:r w:rsidRPr="000232DD">
        <w:rPr>
          <w:color w:val="auto"/>
          <w:lang w:val="hy-AM"/>
        </w:rPr>
        <w:t>Տնտեսության արտահանելի ճյուղերի ավելացված արժեքները նվազեցվել են արտա</w:t>
      </w:r>
      <w:r w:rsidRPr="000232DD">
        <w:rPr>
          <w:color w:val="auto"/>
          <w:lang w:val="hy-AM"/>
        </w:rPr>
        <w:softHyphen/>
      </w:r>
      <w:r w:rsidRPr="000232DD">
        <w:rPr>
          <w:color w:val="auto"/>
          <w:lang w:val="hy-AM"/>
        </w:rPr>
        <w:softHyphen/>
      </w:r>
      <w:r w:rsidRPr="000232DD">
        <w:rPr>
          <w:color w:val="auto"/>
          <w:lang w:val="hy-AM"/>
        </w:rPr>
        <w:softHyphen/>
        <w:t>հան</w:t>
      </w:r>
      <w:r w:rsidRPr="000232DD">
        <w:rPr>
          <w:color w:val="auto"/>
          <w:lang w:val="hy-AM"/>
        </w:rPr>
        <w:softHyphen/>
        <w:t>ման արժեքների չափով` արտահանմանն ուղղված ճյուղերի (գյուղատնտե</w:t>
      </w:r>
      <w:r w:rsidRPr="000232DD">
        <w:rPr>
          <w:color w:val="auto"/>
          <w:lang w:val="hy-AM"/>
        </w:rPr>
        <w:softHyphen/>
        <w:t>սու</w:t>
      </w:r>
      <w:r w:rsidRPr="000232DD">
        <w:rPr>
          <w:color w:val="auto"/>
          <w:lang w:val="hy-AM"/>
        </w:rPr>
        <w:softHyphen/>
        <w:t>թյուն, հան</w:t>
      </w:r>
      <w:r w:rsidRPr="000232DD">
        <w:rPr>
          <w:color w:val="auto"/>
          <w:lang w:val="hy-AM"/>
        </w:rPr>
        <w:softHyphen/>
        <w:t>ք</w:t>
      </w:r>
      <w:r w:rsidRPr="000232DD">
        <w:rPr>
          <w:color w:val="auto"/>
          <w:lang w:val="hy-AM"/>
        </w:rPr>
        <w:softHyphen/>
        <w:t>արդյունաբերություն, մշակող արդյունաբերություն, էլեկտրաէներգետիկա, առևտուր, փոխա</w:t>
      </w:r>
      <w:r w:rsidRPr="000232DD">
        <w:rPr>
          <w:color w:val="auto"/>
          <w:lang w:val="hy-AM"/>
        </w:rPr>
        <w:softHyphen/>
      </w:r>
      <w:r w:rsidRPr="000232DD">
        <w:rPr>
          <w:color w:val="auto"/>
          <w:lang w:val="hy-AM"/>
        </w:rPr>
        <w:softHyphen/>
      </w:r>
      <w:r w:rsidRPr="000232DD">
        <w:rPr>
          <w:color w:val="auto"/>
          <w:lang w:val="hy-AM"/>
        </w:rPr>
        <w:softHyphen/>
        <w:t>դրում</w:t>
      </w:r>
      <w:r w:rsidRPr="000232DD">
        <w:rPr>
          <w:color w:val="auto"/>
          <w:lang w:val="hy-AM"/>
        </w:rPr>
        <w:softHyphen/>
      </w:r>
      <w:r w:rsidRPr="000232DD">
        <w:rPr>
          <w:color w:val="auto"/>
          <w:lang w:val="hy-AM"/>
        </w:rPr>
        <w:softHyphen/>
        <w:t>ներ և պահեստային տնտեսություն, տեղեկատվություն և կապ)` ընդհանուր ավե</w:t>
      </w:r>
      <w:r w:rsidRPr="000232DD">
        <w:rPr>
          <w:color w:val="auto"/>
          <w:lang w:val="hy-AM"/>
        </w:rPr>
        <w:softHyphen/>
      </w:r>
      <w:r w:rsidRPr="000232DD">
        <w:rPr>
          <w:color w:val="auto"/>
          <w:lang w:val="hy-AM"/>
        </w:rPr>
        <w:softHyphen/>
      </w:r>
      <w:r w:rsidRPr="000232DD">
        <w:rPr>
          <w:color w:val="auto"/>
          <w:lang w:val="hy-AM"/>
        </w:rPr>
        <w:softHyphen/>
        <w:t>լաց</w:t>
      </w:r>
      <w:r w:rsidRPr="000232DD">
        <w:rPr>
          <w:color w:val="auto"/>
          <w:lang w:val="hy-AM"/>
        </w:rPr>
        <w:softHyphen/>
        <w:t>ված արժեքի մեջ ունեցած տեսակարար կշիռներին համապատասխան:</w:t>
      </w:r>
    </w:p>
    <w:p w14:paraId="44B283DB" w14:textId="77777777" w:rsidR="00626259" w:rsidRPr="000232DD" w:rsidRDefault="00626259" w:rsidP="00082769">
      <w:pPr>
        <w:pStyle w:val="BodyText1"/>
        <w:ind w:left="0" w:right="-22"/>
        <w:rPr>
          <w:color w:val="auto"/>
          <w:lang w:val="hy-AM"/>
        </w:rPr>
      </w:pPr>
      <w:r w:rsidRPr="000232DD">
        <w:rPr>
          <w:color w:val="auto"/>
          <w:lang w:val="hy-AM"/>
        </w:rPr>
        <w:t>Գյուղատնտեսության ոլորտի ստացված արդյունքը ճշգրտվել է գյուղատնտեսության մասնաբաժնում ապրան</w:t>
      </w:r>
      <w:r w:rsidRPr="000232DD">
        <w:rPr>
          <w:color w:val="auto"/>
          <w:lang w:val="hy-AM"/>
        </w:rPr>
        <w:softHyphen/>
      </w:r>
      <w:r w:rsidRPr="000232DD">
        <w:rPr>
          <w:color w:val="auto"/>
          <w:lang w:val="hy-AM"/>
        </w:rPr>
        <w:softHyphen/>
      </w:r>
      <w:r w:rsidRPr="000232DD">
        <w:rPr>
          <w:color w:val="auto"/>
          <w:lang w:val="hy-AM"/>
        </w:rPr>
        <w:softHyphen/>
        <w:t>քայ</w:t>
      </w:r>
      <w:r w:rsidRPr="000232DD">
        <w:rPr>
          <w:color w:val="auto"/>
          <w:lang w:val="hy-AM"/>
        </w:rPr>
        <w:softHyphen/>
        <w:t>նու</w:t>
      </w:r>
      <w:r w:rsidRPr="000232DD">
        <w:rPr>
          <w:color w:val="auto"/>
          <w:lang w:val="hy-AM"/>
        </w:rPr>
        <w:softHyphen/>
        <w:t>թյան մակարդակով (ապրան</w:t>
      </w:r>
      <w:r w:rsidRPr="000232DD">
        <w:rPr>
          <w:color w:val="auto"/>
          <w:lang w:val="hy-AM"/>
        </w:rPr>
        <w:softHyphen/>
        <w:t>քայ</w:t>
      </w:r>
      <w:r w:rsidRPr="000232DD">
        <w:rPr>
          <w:color w:val="auto"/>
          <w:lang w:val="hy-AM"/>
        </w:rPr>
        <w:softHyphen/>
      </w:r>
      <w:r w:rsidRPr="000232DD">
        <w:rPr>
          <w:color w:val="auto"/>
          <w:lang w:val="hy-AM"/>
        </w:rPr>
        <w:softHyphen/>
        <w:t>նության մակարդակը ցույց է տալիս գյու</w:t>
      </w:r>
      <w:r w:rsidRPr="000232DD">
        <w:rPr>
          <w:color w:val="auto"/>
          <w:lang w:val="hy-AM"/>
        </w:rPr>
        <w:softHyphen/>
        <w:t>ղա</w:t>
      </w:r>
      <w:r w:rsidRPr="000232DD">
        <w:rPr>
          <w:color w:val="auto"/>
          <w:lang w:val="hy-AM"/>
        </w:rPr>
        <w:softHyphen/>
        <w:t>տնտե</w:t>
      </w:r>
      <w:r w:rsidRPr="000232DD">
        <w:rPr>
          <w:color w:val="auto"/>
          <w:lang w:val="hy-AM"/>
        </w:rPr>
        <w:softHyphen/>
        <w:t>սական արտադ</w:t>
      </w:r>
      <w:r w:rsidRPr="000232DD">
        <w:rPr>
          <w:color w:val="auto"/>
          <w:lang w:val="hy-AM"/>
        </w:rPr>
        <w:softHyphen/>
        <w:t>րանքի այն մասը, որը գնա</w:t>
      </w:r>
      <w:r w:rsidRPr="000232DD">
        <w:rPr>
          <w:color w:val="auto"/>
          <w:lang w:val="hy-AM"/>
        </w:rPr>
        <w:softHyphen/>
        <w:t>ցել է իրացման կամ այլ ձևով օտարման կամ ապրան</w:t>
      </w:r>
      <w:r w:rsidRPr="000232DD">
        <w:rPr>
          <w:color w:val="auto"/>
          <w:lang w:val="hy-AM"/>
        </w:rPr>
        <w:softHyphen/>
        <w:t>քա</w:t>
      </w:r>
      <w:r w:rsidRPr="000232DD">
        <w:rPr>
          <w:color w:val="auto"/>
          <w:lang w:val="hy-AM"/>
        </w:rPr>
        <w:softHyphen/>
        <w:t>փո</w:t>
      </w:r>
      <w:r w:rsidRPr="000232DD">
        <w:rPr>
          <w:color w:val="auto"/>
          <w:lang w:val="hy-AM"/>
        </w:rPr>
        <w:softHyphen/>
        <w:t>խանակման):</w:t>
      </w:r>
    </w:p>
    <w:p w14:paraId="0F792F98" w14:textId="77777777" w:rsidR="00626259" w:rsidRPr="000232DD" w:rsidRDefault="00626259" w:rsidP="00082769">
      <w:pPr>
        <w:pStyle w:val="BodyText1"/>
        <w:ind w:left="0" w:right="-22"/>
        <w:rPr>
          <w:color w:val="auto"/>
          <w:lang w:val="hy-AM"/>
        </w:rPr>
      </w:pPr>
      <w:r w:rsidRPr="000232DD">
        <w:rPr>
          <w:color w:val="auto"/>
          <w:lang w:val="hy-AM"/>
        </w:rPr>
        <w:t>Այնուհետև ստացված բազայի նկատմամբ կիրառվել է ԱԱՀ-ի 20% դրույքաչափը և հաշ</w:t>
      </w:r>
      <w:r w:rsidRPr="000232DD">
        <w:rPr>
          <w:color w:val="auto"/>
          <w:lang w:val="hy-AM"/>
        </w:rPr>
        <w:softHyphen/>
      </w:r>
      <w:r w:rsidRPr="000232DD">
        <w:rPr>
          <w:color w:val="auto"/>
          <w:lang w:val="hy-AM"/>
        </w:rPr>
        <w:softHyphen/>
      </w:r>
      <w:r w:rsidRPr="000232DD">
        <w:rPr>
          <w:color w:val="auto"/>
          <w:lang w:val="hy-AM"/>
        </w:rPr>
        <w:softHyphen/>
        <w:t>վարկ</w:t>
      </w:r>
      <w:r w:rsidRPr="000232DD">
        <w:rPr>
          <w:color w:val="auto"/>
          <w:lang w:val="hy-AM"/>
        </w:rPr>
        <w:softHyphen/>
        <w:t>վել է ԱԱՀ-ի գծով եկամտային ներուժը: Ստացված արդյունքը ճշգրտվել է 2027 թվականի տնտեսության ճյուղերի կանխատեսվող ծավալների աճով:</w:t>
      </w:r>
    </w:p>
    <w:p w14:paraId="37239530" w14:textId="77777777" w:rsidR="00626259" w:rsidRPr="000232DD" w:rsidRDefault="00626259" w:rsidP="00082769">
      <w:pPr>
        <w:pStyle w:val="BodyText1"/>
        <w:ind w:left="0" w:right="-22"/>
        <w:rPr>
          <w:color w:val="auto"/>
          <w:lang w:val="hy-AM"/>
        </w:rPr>
      </w:pPr>
      <w:r w:rsidRPr="000232DD">
        <w:rPr>
          <w:color w:val="auto"/>
          <w:lang w:val="hy-AM"/>
        </w:rPr>
        <w:t>Ստացված արդյունքների հիման վրա առանձնացվել են գյուղատնտեսության, կրթու</w:t>
      </w:r>
      <w:r w:rsidRPr="000232DD">
        <w:rPr>
          <w:color w:val="auto"/>
          <w:lang w:val="hy-AM"/>
        </w:rPr>
        <w:softHyphen/>
        <w:t>թյան, առողջապահության, ֆինանսական և ապահովագրության ոլորտների համապատասխան ԱԱՀ-ի մասնաբաժինները, որոնք իրենցից ներ</w:t>
      </w:r>
      <w:r w:rsidRPr="000232DD">
        <w:rPr>
          <w:color w:val="auto"/>
          <w:lang w:val="hy-AM"/>
        </w:rPr>
        <w:softHyphen/>
        <w:t xml:space="preserve">կայացնում են այդ ոլորտների համար ԱԱՀ-ի գծով հարկային ծախսերը: </w:t>
      </w:r>
    </w:p>
    <w:p w14:paraId="6B1F2A67" w14:textId="05495EE2" w:rsidR="00626259" w:rsidRPr="000232DD" w:rsidRDefault="00626259" w:rsidP="00082769">
      <w:pPr>
        <w:pStyle w:val="BodyText1"/>
        <w:ind w:left="0" w:right="-22"/>
        <w:rPr>
          <w:color w:val="auto"/>
          <w:lang w:val="hy-AM"/>
        </w:rPr>
      </w:pPr>
      <w:r w:rsidRPr="000232DD">
        <w:rPr>
          <w:color w:val="auto"/>
          <w:lang w:val="hy-AM"/>
        </w:rPr>
        <w:t xml:space="preserve">Միաժամանակ, ԱԱՀ-ի հաշվարկներից արտածվել են խաղատների, շահումով խաղերի (այդ թվում՝ ինտերնետ շահումով խաղերի), տոտալիզատորի և ինտերնետ տոտալիզատորի կազմակերպման, ոսկու և թանկարժեք քարերի իրացման, մարդասիրական օգնության, պարարտանյութերի իրացման, ջրօգտագործողների ընկերությունների կողմից ոռոգման ջրի օտարում, սուբսիդիաների, սուբվենցիաների և դրամաշնորհային ծրագրերի շրջանակներում իրականացվող` ապրանքի մատակարարում, աշխատանքի կատարում և (կամ) ծառայության մատուցում, ազատ տնտեսական գոտու կազմակերպչին և ազատ տնտեսական գոտու շահագործողին ծառայությունների մատուցում, ազատ տնտեսական գոտու կազմակերպչի և ազատ տնտեսական գոտու շահագործողի համար աշխատանքների կատարում, ազատ տնտեսական գոտու տարածքում ապրանքների մատակարարում և այլ օրենքներով տրված ԱԱՀ-ից ազատման արտոնությունների մասով շրջանառությունները, որոնց նկատմամբ </w:t>
      </w:r>
      <w:r w:rsidR="00B6632B">
        <w:rPr>
          <w:color w:val="auto"/>
          <w:lang w:val="hy-AM"/>
        </w:rPr>
        <w:t>կի</w:t>
      </w:r>
      <w:r w:rsidRPr="000232DD">
        <w:rPr>
          <w:color w:val="auto"/>
          <w:lang w:val="hy-AM"/>
        </w:rPr>
        <w:t>րառելով համապատասխան գործունեության տեսակների ավելացված արժեք/թողարկում հարաբերակցության ցուցանիշը, այնուհետև՝ ԱԱՀ-ի 20% դրույքաչափը, հաշ</w:t>
      </w:r>
      <w:r w:rsidRPr="000232DD">
        <w:rPr>
          <w:color w:val="auto"/>
          <w:lang w:val="hy-AM"/>
        </w:rPr>
        <w:softHyphen/>
      </w:r>
      <w:r w:rsidRPr="000232DD">
        <w:rPr>
          <w:color w:val="auto"/>
          <w:lang w:val="hy-AM"/>
        </w:rPr>
        <w:softHyphen/>
      </w:r>
      <w:r w:rsidRPr="000232DD">
        <w:rPr>
          <w:color w:val="auto"/>
          <w:lang w:val="hy-AM"/>
        </w:rPr>
        <w:softHyphen/>
        <w:t>վարկ</w:t>
      </w:r>
      <w:r w:rsidRPr="000232DD">
        <w:rPr>
          <w:color w:val="auto"/>
          <w:lang w:val="hy-AM"/>
        </w:rPr>
        <w:softHyphen/>
        <w:t xml:space="preserve">վել է նշված գործունեության տեսակների համար ԱԱՀ-ի գծով եկամտային ներուժը: Ստացված արդյունքը ճշգրտվել է 2027 թվականի նշված գործունեության տեսակների կանխատեսվող ծավալների աճով: </w:t>
      </w:r>
    </w:p>
    <w:p w14:paraId="25AA94B3" w14:textId="77777777" w:rsidR="00626259" w:rsidRPr="000232DD" w:rsidRDefault="00626259" w:rsidP="00082769">
      <w:pPr>
        <w:pStyle w:val="BodyText1"/>
        <w:ind w:left="0" w:right="-22"/>
        <w:rPr>
          <w:rFonts w:eastAsia="Times New Roman" w:cs="Times New Roman"/>
          <w:color w:val="auto"/>
          <w:lang w:val="hy-AM"/>
        </w:rPr>
      </w:pPr>
      <w:r w:rsidRPr="000232DD">
        <w:rPr>
          <w:color w:val="auto"/>
          <w:lang w:val="hy-AM"/>
        </w:rPr>
        <w:t>Բացի այդ, որոշվել են ԱԱՀ-ի գծով վերը չնշված այլ հարկային ծախսերը` որպես ԱԱՀ-ի գծով եկա</w:t>
      </w:r>
      <w:r w:rsidRPr="000232DD">
        <w:rPr>
          <w:color w:val="auto"/>
          <w:lang w:val="hy-AM"/>
        </w:rPr>
        <w:softHyphen/>
        <w:t>մտա</w:t>
      </w:r>
      <w:r w:rsidRPr="000232DD">
        <w:rPr>
          <w:color w:val="auto"/>
          <w:lang w:val="hy-AM"/>
        </w:rPr>
        <w:softHyphen/>
        <w:t>յին ներուժի և ներքին տնտեսությունից փաստացի հավաքագրված ԱԱՀ-ի, վերոնշյալ ոլորտ</w:t>
      </w:r>
      <w:r w:rsidRPr="000232DD">
        <w:rPr>
          <w:color w:val="auto"/>
          <w:lang w:val="hy-AM"/>
        </w:rPr>
        <w:softHyphen/>
        <w:t>ների, գործունեության տեսակների, ԱԱՀ-ի շեմի ու միկրոբիզնեսի գծով գնա</w:t>
      </w:r>
      <w:r w:rsidRPr="000232DD">
        <w:rPr>
          <w:color w:val="auto"/>
          <w:lang w:val="hy-AM"/>
        </w:rPr>
        <w:softHyphen/>
        <w:t>հատված` ԱԱՀ-ի հար</w:t>
      </w:r>
      <w:r w:rsidRPr="000232DD">
        <w:rPr>
          <w:color w:val="auto"/>
          <w:lang w:val="hy-AM"/>
        </w:rPr>
        <w:softHyphen/>
        <w:t>կային ծախսերի հանրագումարի տարբերություն:</w:t>
      </w:r>
      <w:r w:rsidRPr="000232DD">
        <w:rPr>
          <w:rFonts w:eastAsia="Times New Roman" w:cs="Times New Roman"/>
          <w:color w:val="auto"/>
          <w:lang w:val="hy-AM"/>
        </w:rPr>
        <w:t xml:space="preserve"> </w:t>
      </w:r>
    </w:p>
    <w:p w14:paraId="48749BCA" w14:textId="6881FCA4" w:rsidR="00626259" w:rsidRPr="000232DD" w:rsidRDefault="00626259" w:rsidP="00082769">
      <w:pPr>
        <w:pStyle w:val="TOC4"/>
        <w:ind w:right="-22"/>
        <w:rPr>
          <w:color w:val="auto"/>
          <w:lang w:val="hy-AM"/>
        </w:rPr>
      </w:pPr>
      <w:r w:rsidRPr="000232DD">
        <w:rPr>
          <w:color w:val="auto"/>
          <w:lang w:val="hy-AM"/>
        </w:rPr>
        <w:t>ՇԱՀՈՒԹԱՀԱՐԿԻ ԳԾՈՎ ՀԱՐԿԱՅԻՆ ԾԱԽՍԵՐ.</w:t>
      </w:r>
    </w:p>
    <w:p w14:paraId="3C896754" w14:textId="77777777" w:rsidR="00626259" w:rsidRPr="000232DD" w:rsidRDefault="00626259" w:rsidP="00082769">
      <w:pPr>
        <w:pStyle w:val="BodyText1"/>
        <w:ind w:left="0" w:right="-22"/>
        <w:rPr>
          <w:color w:val="auto"/>
          <w:lang w:val="hy-AM"/>
        </w:rPr>
      </w:pPr>
      <w:r w:rsidRPr="000232DD">
        <w:rPr>
          <w:color w:val="auto"/>
          <w:lang w:val="hy-AM"/>
        </w:rPr>
        <w:t>Շահու</w:t>
      </w:r>
      <w:r w:rsidRPr="000232DD">
        <w:rPr>
          <w:color w:val="auto"/>
          <w:lang w:val="hy-AM"/>
        </w:rPr>
        <w:softHyphen/>
        <w:t>թահարկի գծով հարկային ծախսերի գնահատականը ներառում է գյուղատնտեսության արտոնությունները, շահութահարկի նվազեցման արտոնությունները, ՏՏ ոլորտի արտոնությունները, ինչպես նաև շահութահարկի հաշվարկներով արտացոլված հարկվող շահույթի նվազեցման արտոնությունները, բացառությամբ՝ գյուղատնտեսության արտոնությունների: Միաժամանակ, առանձին գնահատվել են միկրոբիզնեսի և ԱԱՀ-ի շեմի գծով հարկային ծախսերը:</w:t>
      </w:r>
    </w:p>
    <w:p w14:paraId="38871822" w14:textId="77777777" w:rsidR="00626259" w:rsidRPr="000232DD" w:rsidRDefault="00626259" w:rsidP="00082769">
      <w:pPr>
        <w:pStyle w:val="BodyText1"/>
        <w:ind w:left="0" w:right="-22"/>
        <w:rPr>
          <w:b/>
          <w:color w:val="auto"/>
          <w:lang w:val="hy-AM"/>
        </w:rPr>
      </w:pPr>
      <w:r w:rsidRPr="000232DD">
        <w:rPr>
          <w:b/>
          <w:color w:val="auto"/>
          <w:lang w:val="hy-AM"/>
        </w:rPr>
        <w:t>Գյուղատնտեսություն.</w:t>
      </w:r>
    </w:p>
    <w:p w14:paraId="31B5B428" w14:textId="77777777" w:rsidR="00626259" w:rsidRPr="000232DD" w:rsidRDefault="00626259" w:rsidP="00082769">
      <w:pPr>
        <w:pStyle w:val="BodyText1"/>
        <w:ind w:left="0" w:right="-22"/>
        <w:rPr>
          <w:color w:val="auto"/>
          <w:lang w:val="hy-AM"/>
        </w:rPr>
      </w:pPr>
      <w:r w:rsidRPr="000232DD">
        <w:rPr>
          <w:color w:val="auto"/>
          <w:lang w:val="hy-AM"/>
        </w:rPr>
        <w:t>Որոշվել են 2025 թվականի համար գյուղատնտեսության ոլորտի զուտ շահույթը և զուտ խառը եկամուտները` հիմք ընդունելով եկամուտների ձևավորման եղանակով 2024 թվա</w:t>
      </w:r>
      <w:r w:rsidRPr="000232DD">
        <w:rPr>
          <w:color w:val="auto"/>
          <w:lang w:val="hy-AM"/>
        </w:rPr>
        <w:softHyphen/>
        <w:t>կանի համար հաշվարկված գյուղատնտեսության ոլորտի զուտ շահույթը և զուտ խառը եկա</w:t>
      </w:r>
      <w:r w:rsidRPr="000232DD">
        <w:rPr>
          <w:color w:val="auto"/>
          <w:lang w:val="hy-AM"/>
        </w:rPr>
        <w:softHyphen/>
        <w:t>մուտ</w:t>
      </w:r>
      <w:r w:rsidRPr="000232DD">
        <w:rPr>
          <w:color w:val="auto"/>
          <w:lang w:val="hy-AM"/>
        </w:rPr>
        <w:softHyphen/>
        <w:t>ները, որոնց նկատմամբ կիրառվել է գյուղատնտեսության ոլորտի 2025 թվականի` արտադ</w:t>
      </w:r>
      <w:r w:rsidRPr="000232DD">
        <w:rPr>
          <w:color w:val="auto"/>
          <w:lang w:val="hy-AM"/>
        </w:rPr>
        <w:softHyphen/>
      </w:r>
      <w:r w:rsidRPr="000232DD">
        <w:rPr>
          <w:color w:val="auto"/>
          <w:lang w:val="hy-AM"/>
        </w:rPr>
        <w:softHyphen/>
        <w:t>րական եղանակով որոշված ավելացված արժեքների աճի տեմպը:</w:t>
      </w:r>
    </w:p>
    <w:p w14:paraId="22CD3A46" w14:textId="77777777" w:rsidR="00626259" w:rsidRPr="000232DD" w:rsidRDefault="00626259" w:rsidP="00082769">
      <w:pPr>
        <w:pStyle w:val="BodyText1"/>
        <w:ind w:left="0" w:right="-22"/>
        <w:rPr>
          <w:color w:val="auto"/>
          <w:lang w:val="hy-AM"/>
        </w:rPr>
      </w:pPr>
      <w:r w:rsidRPr="000232DD">
        <w:rPr>
          <w:color w:val="auto"/>
          <w:lang w:val="hy-AM"/>
        </w:rPr>
        <w:t>Ստացված արդյունքը ճշգրտվել է գյուղատնտեսության մաս</w:t>
      </w:r>
      <w:r w:rsidRPr="000232DD">
        <w:rPr>
          <w:color w:val="auto"/>
          <w:lang w:val="hy-AM"/>
        </w:rPr>
        <w:softHyphen/>
        <w:t>նա</w:t>
      </w:r>
      <w:r w:rsidRPr="000232DD">
        <w:rPr>
          <w:color w:val="auto"/>
          <w:lang w:val="hy-AM"/>
        </w:rPr>
        <w:softHyphen/>
        <w:t>բաժ</w:t>
      </w:r>
      <w:r w:rsidRPr="000232DD">
        <w:rPr>
          <w:color w:val="auto"/>
          <w:lang w:val="hy-AM"/>
        </w:rPr>
        <w:softHyphen/>
        <w:t>նում չդիտարկվող (չհաշվառվող) տնտեսության և ապրանքայնության մակարդակով:</w:t>
      </w:r>
    </w:p>
    <w:p w14:paraId="36415DCE" w14:textId="77777777" w:rsidR="00626259" w:rsidRPr="000232DD" w:rsidRDefault="00626259" w:rsidP="00082769">
      <w:pPr>
        <w:pStyle w:val="BodyText1"/>
        <w:ind w:left="0" w:right="-22"/>
        <w:rPr>
          <w:color w:val="auto"/>
          <w:lang w:val="hy-AM"/>
        </w:rPr>
      </w:pPr>
      <w:r w:rsidRPr="000232DD">
        <w:rPr>
          <w:color w:val="auto"/>
          <w:lang w:val="hy-AM"/>
        </w:rPr>
        <w:t>Այնուհետև որոշվել է ստացված արդյունքի մեջ առևտրային կազմակեր</w:t>
      </w:r>
      <w:r w:rsidRPr="000232DD">
        <w:rPr>
          <w:color w:val="auto"/>
          <w:lang w:val="hy-AM"/>
        </w:rPr>
        <w:softHyphen/>
        <w:t>պու</w:t>
      </w:r>
      <w:r w:rsidRPr="000232DD">
        <w:rPr>
          <w:color w:val="auto"/>
          <w:lang w:val="hy-AM"/>
        </w:rPr>
        <w:softHyphen/>
        <w:t>թյուն</w:t>
      </w:r>
      <w:r w:rsidRPr="000232DD">
        <w:rPr>
          <w:color w:val="auto"/>
          <w:lang w:val="hy-AM"/>
        </w:rPr>
        <w:softHyphen/>
        <w:t>ների և անհատ ձեռնարկատերերի մասնաբաժինը` համաձայն ՀՀ ՎԿ տվյալների: Այնուհետև կիրառվել է շահութահարկի 18% դրույքաչափը և հաշ</w:t>
      </w:r>
      <w:r w:rsidRPr="000232DD">
        <w:rPr>
          <w:color w:val="auto"/>
          <w:lang w:val="hy-AM"/>
        </w:rPr>
        <w:softHyphen/>
      </w:r>
      <w:r w:rsidRPr="000232DD">
        <w:rPr>
          <w:color w:val="auto"/>
          <w:lang w:val="hy-AM"/>
        </w:rPr>
        <w:softHyphen/>
      </w:r>
      <w:r w:rsidRPr="000232DD">
        <w:rPr>
          <w:color w:val="auto"/>
          <w:lang w:val="hy-AM"/>
        </w:rPr>
        <w:softHyphen/>
        <w:t>վարկ</w:t>
      </w:r>
      <w:r w:rsidRPr="000232DD">
        <w:rPr>
          <w:color w:val="auto"/>
          <w:lang w:val="hy-AM"/>
        </w:rPr>
        <w:softHyphen/>
        <w:t>վել է շահութահարկի գծով եկամտային ներուժը: Ստացված արդյունքը ճշգրտվել է 2027 թվականի գյուղատնտեսության ճյուղի կանխատեսվող ծավալների աճով:</w:t>
      </w:r>
    </w:p>
    <w:p w14:paraId="354DDBC7" w14:textId="77777777" w:rsidR="00626259" w:rsidRPr="000232DD" w:rsidRDefault="00626259" w:rsidP="00082769">
      <w:pPr>
        <w:pStyle w:val="BodyText1"/>
        <w:ind w:left="0" w:right="-22"/>
        <w:rPr>
          <w:b/>
          <w:color w:val="auto"/>
          <w:lang w:val="hy-AM"/>
        </w:rPr>
      </w:pPr>
      <w:r w:rsidRPr="000232DD">
        <w:rPr>
          <w:b/>
          <w:color w:val="auto"/>
          <w:lang w:val="hy-AM"/>
        </w:rPr>
        <w:t>Հարկվող շահույթի նվազեցման արտոնությունները, բացառությամբ՝ գյուղատնտեսության.</w:t>
      </w:r>
    </w:p>
    <w:p w14:paraId="06F542EE" w14:textId="77777777" w:rsidR="00626259" w:rsidRPr="000232DD" w:rsidRDefault="00626259" w:rsidP="00082769">
      <w:pPr>
        <w:pStyle w:val="BodyText1"/>
        <w:ind w:left="0" w:right="-22"/>
        <w:rPr>
          <w:color w:val="auto"/>
          <w:lang w:val="hy-AM"/>
        </w:rPr>
      </w:pPr>
      <w:r w:rsidRPr="000232DD">
        <w:rPr>
          <w:color w:val="auto"/>
          <w:lang w:val="hy-AM"/>
        </w:rPr>
        <w:t>Շահութահարկի հաշվարկներից արտածվել են հարկվող շահույթի նվազեցման արտոնությունները, բացառությամբ՝ գյուղատնտեսության արտոնությունների,  որոնց նկատմամբ կիրառվել է շահութահարկի 18% դրույքաչափը՝ արդյունքում հաշ</w:t>
      </w:r>
      <w:r w:rsidRPr="000232DD">
        <w:rPr>
          <w:color w:val="auto"/>
          <w:lang w:val="hy-AM"/>
        </w:rPr>
        <w:softHyphen/>
      </w:r>
      <w:r w:rsidRPr="000232DD">
        <w:rPr>
          <w:color w:val="auto"/>
          <w:lang w:val="hy-AM"/>
        </w:rPr>
        <w:softHyphen/>
      </w:r>
      <w:r w:rsidRPr="000232DD">
        <w:rPr>
          <w:color w:val="auto"/>
          <w:lang w:val="hy-AM"/>
        </w:rPr>
        <w:softHyphen/>
        <w:t>վարկ</w:t>
      </w:r>
      <w:r w:rsidRPr="000232DD">
        <w:rPr>
          <w:color w:val="auto"/>
          <w:lang w:val="hy-AM"/>
        </w:rPr>
        <w:softHyphen/>
        <w:t>վել է նշված ուղղության համար շահութահարկի գծով եկամտային ներուժը: Ստացված արդյունքը ճշգրտվել է 2027 թվականի նշված ուղղության կանխատեսվող ծավալների աճով:</w:t>
      </w:r>
    </w:p>
    <w:p w14:paraId="6E011932" w14:textId="77777777" w:rsidR="00626259" w:rsidRPr="000232DD" w:rsidRDefault="00626259" w:rsidP="00082769">
      <w:pPr>
        <w:pStyle w:val="BodyText1"/>
        <w:ind w:left="0" w:right="-22"/>
        <w:rPr>
          <w:b/>
          <w:color w:val="auto"/>
          <w:lang w:val="hy-AM"/>
        </w:rPr>
      </w:pPr>
      <w:r w:rsidRPr="000232DD">
        <w:rPr>
          <w:b/>
          <w:color w:val="auto"/>
          <w:lang w:val="hy-AM"/>
        </w:rPr>
        <w:t>Շահութահարկի նվազեցման արտոնությունները.</w:t>
      </w:r>
    </w:p>
    <w:p w14:paraId="3B30885A" w14:textId="77777777" w:rsidR="00626259" w:rsidRPr="000232DD" w:rsidRDefault="00626259" w:rsidP="00082769">
      <w:pPr>
        <w:pStyle w:val="BodyText1"/>
        <w:ind w:left="0" w:right="-22"/>
        <w:rPr>
          <w:color w:val="auto"/>
          <w:lang w:val="hy-AM"/>
        </w:rPr>
      </w:pPr>
      <w:r w:rsidRPr="000232DD">
        <w:rPr>
          <w:color w:val="auto"/>
          <w:lang w:val="hy-AM"/>
        </w:rPr>
        <w:t>Շահութահարկի հաշվարկներից արտածվել են շահութահարկի նվազեցման արտոնությունները, որն իրենից ներկայացնում է նշված ուղղության համար շահութահարկի գծով եկամտային ներուժը: Ստացված արդյունքը ճշգրտվել է 2027 թվականի նշված ուղղության կանխատեսվող ծավալների աճով:</w:t>
      </w:r>
    </w:p>
    <w:p w14:paraId="2277D9C1" w14:textId="77777777" w:rsidR="00626259" w:rsidRPr="000232DD" w:rsidRDefault="00626259" w:rsidP="00082769">
      <w:pPr>
        <w:pStyle w:val="BodyText1"/>
        <w:ind w:left="0" w:right="-22"/>
        <w:rPr>
          <w:b/>
          <w:color w:val="auto"/>
          <w:lang w:val="hy-AM"/>
        </w:rPr>
      </w:pPr>
      <w:r w:rsidRPr="000232DD">
        <w:rPr>
          <w:b/>
          <w:color w:val="auto"/>
          <w:lang w:val="hy-AM"/>
        </w:rPr>
        <w:t>ՏՏ ոլորտի արտոնություններ.</w:t>
      </w:r>
    </w:p>
    <w:p w14:paraId="6AE97EA1" w14:textId="77777777" w:rsidR="00626259" w:rsidRPr="000232DD" w:rsidRDefault="00626259" w:rsidP="00082769">
      <w:pPr>
        <w:pStyle w:val="BodyText1"/>
        <w:ind w:left="0" w:right="-22"/>
        <w:rPr>
          <w:color w:val="auto"/>
          <w:lang w:val="hy-AM"/>
        </w:rPr>
      </w:pPr>
      <w:r w:rsidRPr="000232DD">
        <w:rPr>
          <w:color w:val="auto"/>
          <w:lang w:val="hy-AM"/>
        </w:rPr>
        <w:t>Որոշվել են 2025 թվականի համար ՏՏ ոլորտին տրված արտոնությունների գումարը` որպես 2025 և 2024 թվականի շահութահարկի հաշվարկների այլ նվազեցումներ տողերի  (82-րդ տողերի) տարբերություն: Ստացված արդյունքը ճշգրտվել է 2027 թվականի համար կանխատեսվող ծավալների աճով` հիմք ընդունելով փորձագիտական եղանակով գնահատված նախորդ տարվա նկատմամբ ոլորտի աճի տեմպը: Այնուհետև հաշվարկվել է հարկային ծախսը` ստացված արդյունքի նկատմամբ կիրառելով շահութահարկի դրույքաչափը (18%):</w:t>
      </w:r>
    </w:p>
    <w:p w14:paraId="4AB8FFC8" w14:textId="36726E3B" w:rsidR="00626259" w:rsidRPr="000232DD" w:rsidRDefault="00626259" w:rsidP="00082769">
      <w:pPr>
        <w:pStyle w:val="TOC4"/>
        <w:ind w:right="-22"/>
        <w:rPr>
          <w:color w:val="auto"/>
          <w:lang w:val="hy-AM"/>
        </w:rPr>
      </w:pPr>
      <w:r w:rsidRPr="000232DD">
        <w:rPr>
          <w:color w:val="auto"/>
          <w:lang w:val="hy-AM"/>
        </w:rPr>
        <w:t>ԵԿԱՄՏԱՅԻՆ ՀԱՐԿԻ ԳԾՈՎ ՀԱՐԿԱՅԻՆ ԾԱԽՍԵՐ.</w:t>
      </w:r>
    </w:p>
    <w:p w14:paraId="363975B9" w14:textId="77777777" w:rsidR="00626259" w:rsidRPr="000232DD" w:rsidRDefault="00626259" w:rsidP="00082769">
      <w:pPr>
        <w:pStyle w:val="BodyText1"/>
        <w:ind w:left="0" w:right="-22"/>
        <w:rPr>
          <w:color w:val="auto"/>
          <w:lang w:val="hy-AM"/>
        </w:rPr>
      </w:pPr>
      <w:r w:rsidRPr="000232DD">
        <w:rPr>
          <w:color w:val="auto"/>
          <w:lang w:val="hy-AM"/>
        </w:rPr>
        <w:t>Եկամտային հարկի գծով հարկային ծախսերի մասով գնահատվել է գյուղատնտեսության արտոնությունները:</w:t>
      </w:r>
    </w:p>
    <w:p w14:paraId="5565FA6B" w14:textId="77777777" w:rsidR="00626259" w:rsidRPr="000232DD" w:rsidRDefault="00626259" w:rsidP="00082769">
      <w:pPr>
        <w:pStyle w:val="BodyText1"/>
        <w:ind w:left="0" w:right="-22"/>
        <w:rPr>
          <w:b/>
          <w:color w:val="auto"/>
          <w:lang w:val="hy-AM"/>
        </w:rPr>
      </w:pPr>
      <w:r w:rsidRPr="000232DD">
        <w:rPr>
          <w:b/>
          <w:color w:val="auto"/>
          <w:lang w:val="hy-AM"/>
        </w:rPr>
        <w:t>Գյուղատնտեսություն.</w:t>
      </w:r>
    </w:p>
    <w:p w14:paraId="4444CE43" w14:textId="77777777" w:rsidR="00626259" w:rsidRPr="000232DD" w:rsidRDefault="00626259" w:rsidP="00082769">
      <w:pPr>
        <w:pStyle w:val="BodyText1"/>
        <w:ind w:left="0" w:right="-22"/>
        <w:rPr>
          <w:color w:val="auto"/>
          <w:lang w:val="hy-AM"/>
        </w:rPr>
      </w:pPr>
      <w:r w:rsidRPr="000232DD">
        <w:rPr>
          <w:color w:val="auto"/>
          <w:lang w:val="hy-AM"/>
        </w:rPr>
        <w:t>Որոշվել են 2025 թվականի համար գյուղատնտեսության ոլորտի  վարձու աշխատողների աշխատանքի վարձատրության գծով եկամուտները` հիմք ընդունելով եկամուտների ձևավորման եղանակով 2024 թվա</w:t>
      </w:r>
      <w:r w:rsidRPr="000232DD">
        <w:rPr>
          <w:color w:val="auto"/>
          <w:lang w:val="hy-AM"/>
        </w:rPr>
        <w:softHyphen/>
        <w:t>կանի համար հաշվարկված գյուղատնտեսության ոլորտի վարձու աշխատողների աշխատանքի վարձատրության գծով եկա</w:t>
      </w:r>
      <w:r w:rsidRPr="000232DD">
        <w:rPr>
          <w:color w:val="auto"/>
          <w:lang w:val="hy-AM"/>
        </w:rPr>
        <w:softHyphen/>
        <w:t>մուտ</w:t>
      </w:r>
      <w:r w:rsidRPr="000232DD">
        <w:rPr>
          <w:color w:val="auto"/>
          <w:lang w:val="hy-AM"/>
        </w:rPr>
        <w:softHyphen/>
        <w:t>ները, որոնց նկատմամբ կիրառվել է գյուղատնտեսության ոլորտի 2025 թվականի` արտադ</w:t>
      </w:r>
      <w:r w:rsidRPr="000232DD">
        <w:rPr>
          <w:color w:val="auto"/>
          <w:lang w:val="hy-AM"/>
        </w:rPr>
        <w:softHyphen/>
      </w:r>
      <w:r w:rsidRPr="000232DD">
        <w:rPr>
          <w:color w:val="auto"/>
          <w:lang w:val="hy-AM"/>
        </w:rPr>
        <w:softHyphen/>
        <w:t>րական եղանակով որոշված ավելացված արժեքների աճի տեմպը:</w:t>
      </w:r>
    </w:p>
    <w:p w14:paraId="1EA9AFB1" w14:textId="77777777" w:rsidR="00626259" w:rsidRPr="000232DD" w:rsidRDefault="00626259" w:rsidP="00082769">
      <w:pPr>
        <w:pStyle w:val="BodyText1"/>
        <w:ind w:left="0" w:right="-22"/>
        <w:rPr>
          <w:color w:val="auto"/>
          <w:lang w:val="hy-AM"/>
        </w:rPr>
      </w:pPr>
      <w:r w:rsidRPr="000232DD">
        <w:rPr>
          <w:color w:val="auto"/>
          <w:lang w:val="hy-AM"/>
        </w:rPr>
        <w:t>Ստացված արդյունքը ճշգրտվել է գյուղատնտեսության մասնաբաժ</w:t>
      </w:r>
      <w:r w:rsidRPr="000232DD">
        <w:rPr>
          <w:color w:val="auto"/>
          <w:lang w:val="hy-AM"/>
        </w:rPr>
        <w:softHyphen/>
        <w:t>նում ապրանքայ</w:t>
      </w:r>
      <w:r w:rsidRPr="000232DD">
        <w:rPr>
          <w:color w:val="auto"/>
          <w:lang w:val="hy-AM"/>
        </w:rPr>
        <w:softHyphen/>
        <w:t>նու</w:t>
      </w:r>
      <w:r w:rsidRPr="000232DD">
        <w:rPr>
          <w:color w:val="auto"/>
          <w:lang w:val="hy-AM"/>
        </w:rPr>
        <w:softHyphen/>
        <w:t>թյան մակարդակով:</w:t>
      </w:r>
    </w:p>
    <w:p w14:paraId="6EC5DA7C" w14:textId="77777777" w:rsidR="00626259" w:rsidRPr="000232DD" w:rsidRDefault="00626259" w:rsidP="00082769">
      <w:pPr>
        <w:pStyle w:val="BodyText1"/>
        <w:ind w:left="0" w:right="-22"/>
        <w:rPr>
          <w:color w:val="auto"/>
          <w:lang w:val="hy-AM"/>
        </w:rPr>
      </w:pPr>
      <w:r w:rsidRPr="000232DD">
        <w:rPr>
          <w:color w:val="auto"/>
          <w:lang w:val="hy-AM"/>
        </w:rPr>
        <w:t>Որոշվել է ճշգրտված արդյունքի մեջ անհատ ձեռնարկատեր չհանդիսացող ֆիզիկական անձանց մաս</w:t>
      </w:r>
      <w:r w:rsidRPr="000232DD">
        <w:rPr>
          <w:color w:val="auto"/>
          <w:lang w:val="hy-AM"/>
        </w:rPr>
        <w:softHyphen/>
        <w:t>նա</w:t>
      </w:r>
      <w:r w:rsidRPr="000232DD">
        <w:rPr>
          <w:color w:val="auto"/>
          <w:lang w:val="hy-AM"/>
        </w:rPr>
        <w:softHyphen/>
        <w:t>բա</w:t>
      </w:r>
      <w:r w:rsidRPr="000232DD">
        <w:rPr>
          <w:color w:val="auto"/>
          <w:lang w:val="hy-AM"/>
        </w:rPr>
        <w:softHyphen/>
        <w:t>ժինը` համաձայն ՀՀ ՎԿ տվյալների: Ստացված արդյունքը ճշգրտվել է 2027 թվականի գյուղատնտեսության ճյուղի կանխատեսվող ծավալների աճով:</w:t>
      </w:r>
    </w:p>
    <w:p w14:paraId="375BC84D" w14:textId="77777777" w:rsidR="00626259" w:rsidRPr="000232DD" w:rsidRDefault="00626259" w:rsidP="00082769">
      <w:pPr>
        <w:pStyle w:val="BodyText1"/>
        <w:ind w:left="0" w:right="-22"/>
        <w:rPr>
          <w:color w:val="auto"/>
          <w:lang w:val="hy-AM"/>
        </w:rPr>
      </w:pPr>
      <w:r w:rsidRPr="000232DD">
        <w:rPr>
          <w:color w:val="auto"/>
          <w:lang w:val="hy-AM"/>
        </w:rPr>
        <w:t>Հաշվարկվել է ստացված արդյունքին համապատասխանող եկամտային հարկի գումարը` հաշվի առնելով եկամտային հարկի դրույքաչափի փոփոխության արդյունքները:</w:t>
      </w:r>
    </w:p>
    <w:p w14:paraId="7F9AE876" w14:textId="08EA4F9B" w:rsidR="00626259" w:rsidRPr="000232DD" w:rsidRDefault="00626259" w:rsidP="00082769">
      <w:pPr>
        <w:pStyle w:val="TOC4"/>
        <w:ind w:right="-22"/>
        <w:rPr>
          <w:color w:val="auto"/>
          <w:lang w:val="hy-AM"/>
        </w:rPr>
      </w:pPr>
      <w:r w:rsidRPr="000232DD">
        <w:rPr>
          <w:color w:val="auto"/>
          <w:lang w:val="hy-AM"/>
        </w:rPr>
        <w:t>ԱԱՀ-Ի ՇԵՄԻ ԳԾՈՎ ՀԱՐԿԱՅԻՆ ԾԱԽՍԵՐԸ.</w:t>
      </w:r>
    </w:p>
    <w:p w14:paraId="74D4EC94" w14:textId="77777777" w:rsidR="00626259" w:rsidRPr="000232DD" w:rsidRDefault="00626259" w:rsidP="00082769">
      <w:pPr>
        <w:pStyle w:val="BodyText1"/>
        <w:ind w:left="0" w:right="-22"/>
        <w:rPr>
          <w:color w:val="auto"/>
          <w:lang w:val="hy-AM"/>
        </w:rPr>
      </w:pPr>
      <w:r w:rsidRPr="000232DD">
        <w:rPr>
          <w:color w:val="auto"/>
          <w:lang w:val="hy-AM"/>
        </w:rPr>
        <w:t>Որոշվել է 2025 թվականի շրջանառության հարկ վճարողների շրջանառությունը` համաձայն հարկ վճա</w:t>
      </w:r>
      <w:r w:rsidRPr="000232DD">
        <w:rPr>
          <w:color w:val="auto"/>
          <w:lang w:val="hy-AM"/>
        </w:rPr>
        <w:softHyphen/>
        <w:t>րող</w:t>
      </w:r>
      <w:r w:rsidRPr="000232DD">
        <w:rPr>
          <w:color w:val="auto"/>
          <w:lang w:val="hy-AM"/>
        </w:rPr>
        <w:softHyphen/>
        <w:t>ների կողմից ներկայացված շրջանառության հարկի հաշվարկների:</w:t>
      </w:r>
    </w:p>
    <w:p w14:paraId="2784D165" w14:textId="77777777" w:rsidR="00626259" w:rsidRPr="000232DD" w:rsidRDefault="00626259" w:rsidP="00082769">
      <w:pPr>
        <w:pStyle w:val="BodyText1"/>
        <w:ind w:left="0" w:right="-22"/>
        <w:rPr>
          <w:color w:val="auto"/>
          <w:lang w:val="hy-AM"/>
        </w:rPr>
      </w:pPr>
      <w:r w:rsidRPr="000232DD">
        <w:rPr>
          <w:color w:val="auto"/>
          <w:lang w:val="hy-AM"/>
        </w:rPr>
        <w:t>Հաշվարկվել է շահութահարկի բազան*` հիմք ընդունելով շահութա</w:t>
      </w:r>
      <w:r w:rsidRPr="000232DD">
        <w:rPr>
          <w:color w:val="auto"/>
          <w:lang w:val="hy-AM"/>
        </w:rPr>
        <w:softHyphen/>
        <w:t>բե</w:t>
      </w:r>
      <w:r w:rsidRPr="000232DD">
        <w:rPr>
          <w:color w:val="auto"/>
          <w:lang w:val="hy-AM"/>
        </w:rPr>
        <w:softHyphen/>
        <w:t>րու</w:t>
      </w:r>
      <w:r w:rsidRPr="000232DD">
        <w:rPr>
          <w:color w:val="auto"/>
          <w:lang w:val="hy-AM"/>
        </w:rPr>
        <w:softHyphen/>
        <w:t>թյան միջի</w:t>
      </w:r>
      <w:r w:rsidRPr="000232DD">
        <w:rPr>
          <w:color w:val="auto"/>
          <w:lang w:val="hy-AM"/>
        </w:rPr>
        <w:softHyphen/>
        <w:t>նաց</w:t>
      </w:r>
      <w:r w:rsidRPr="000232DD">
        <w:rPr>
          <w:color w:val="auto"/>
          <w:lang w:val="hy-AM"/>
        </w:rPr>
        <w:softHyphen/>
        <w:t>ված մակարդակները:</w:t>
      </w:r>
    </w:p>
    <w:p w14:paraId="2D61CB43" w14:textId="77777777" w:rsidR="00626259" w:rsidRPr="000232DD" w:rsidRDefault="00626259" w:rsidP="00082769">
      <w:pPr>
        <w:pStyle w:val="BodyText1"/>
        <w:ind w:left="0" w:right="-22"/>
        <w:rPr>
          <w:color w:val="auto"/>
          <w:lang w:val="hy-AM"/>
        </w:rPr>
      </w:pPr>
      <w:r w:rsidRPr="000232DD">
        <w:rPr>
          <w:color w:val="auto"/>
          <w:lang w:val="hy-AM"/>
        </w:rPr>
        <w:t>Ստացված բազայի նկատմամբ կիրառվել է շահութահարկի 18% դրույքաչափ և հաշ</w:t>
      </w:r>
      <w:r w:rsidRPr="000232DD">
        <w:rPr>
          <w:color w:val="auto"/>
          <w:lang w:val="hy-AM"/>
        </w:rPr>
        <w:softHyphen/>
        <w:t>վարկ</w:t>
      </w:r>
      <w:r w:rsidRPr="000232DD">
        <w:rPr>
          <w:color w:val="auto"/>
          <w:lang w:val="hy-AM"/>
        </w:rPr>
        <w:softHyphen/>
        <w:t>վել է շահութահարկի գծով արդյունքը:</w:t>
      </w:r>
    </w:p>
    <w:p w14:paraId="1BBF8C54" w14:textId="77777777" w:rsidR="00626259" w:rsidRPr="000232DD" w:rsidRDefault="00626259" w:rsidP="00082769">
      <w:pPr>
        <w:pStyle w:val="BodyText1"/>
        <w:ind w:left="0" w:right="-22"/>
        <w:rPr>
          <w:color w:val="auto"/>
          <w:lang w:val="hy-AM"/>
        </w:rPr>
      </w:pPr>
      <w:r w:rsidRPr="000232DD">
        <w:rPr>
          <w:color w:val="auto"/>
          <w:lang w:val="hy-AM"/>
        </w:rPr>
        <w:t>Հաշվարկվել է ԱԱՀ-ի բազան*` հիմք ընդունելով շահութաբերության և աշխատավար</w:t>
      </w:r>
      <w:r w:rsidRPr="000232DD">
        <w:rPr>
          <w:color w:val="auto"/>
          <w:lang w:val="hy-AM"/>
        </w:rPr>
        <w:softHyphen/>
        <w:t>ձերի միջինացված մակարդակները:</w:t>
      </w:r>
    </w:p>
    <w:p w14:paraId="1E7734D4" w14:textId="77777777" w:rsidR="00626259" w:rsidRPr="000232DD" w:rsidRDefault="00626259" w:rsidP="00082769">
      <w:pPr>
        <w:pStyle w:val="BodyText1"/>
        <w:ind w:left="0" w:right="-22"/>
        <w:rPr>
          <w:color w:val="auto"/>
          <w:lang w:val="hy-AM"/>
        </w:rPr>
      </w:pPr>
      <w:r w:rsidRPr="000232DD">
        <w:rPr>
          <w:color w:val="auto"/>
          <w:lang w:val="hy-AM"/>
        </w:rPr>
        <w:t xml:space="preserve">Ստացված բազայի նկատմամբ կիրառվել է ԱԱՀ-ի 20% դրույքաչափ և հաշվարկվել է ԱԱՀ-ի գծով արդյունքը: </w:t>
      </w:r>
    </w:p>
    <w:p w14:paraId="5E327956" w14:textId="77777777" w:rsidR="00626259" w:rsidRPr="000232DD" w:rsidRDefault="00626259" w:rsidP="00082769">
      <w:pPr>
        <w:pStyle w:val="BodyText1"/>
        <w:ind w:left="0" w:right="-22"/>
        <w:rPr>
          <w:color w:val="auto"/>
          <w:lang w:val="hy-AM"/>
        </w:rPr>
      </w:pPr>
      <w:r w:rsidRPr="000232DD">
        <w:rPr>
          <w:color w:val="auto"/>
          <w:lang w:val="hy-AM"/>
        </w:rPr>
        <w:t>Շահութահարկի ու ԱԱՀ-ի գծով ստացված եկամտային ներուժի և փաստացի վճարված շրջա</w:t>
      </w:r>
      <w:r w:rsidRPr="000232DD">
        <w:rPr>
          <w:color w:val="auto"/>
          <w:lang w:val="hy-AM"/>
        </w:rPr>
        <w:softHyphen/>
        <w:t>նառության հարկի տարբերությունը` ճշգրտված 2027 թվականի տնտեսության ճյուղերի կանխատեսվող ծավալների աճով, իրենից ներկայացնում է ԱԱՀ-ի շեմի գծով շահութահարկի ու ԱԱՀ-ի հարկա</w:t>
      </w:r>
      <w:r w:rsidRPr="000232DD">
        <w:rPr>
          <w:color w:val="auto"/>
          <w:lang w:val="hy-AM"/>
        </w:rPr>
        <w:softHyphen/>
        <w:t>յին ծախսը:</w:t>
      </w:r>
    </w:p>
    <w:p w14:paraId="5165CDA7" w14:textId="77777777" w:rsidR="00626259" w:rsidRPr="000232DD" w:rsidRDefault="00626259" w:rsidP="00082769">
      <w:pPr>
        <w:pStyle w:val="BodyText1"/>
        <w:ind w:left="0" w:right="-22"/>
        <w:rPr>
          <w:color w:val="auto"/>
          <w:lang w:val="hy-AM"/>
        </w:rPr>
      </w:pPr>
      <w:r w:rsidRPr="000232DD">
        <w:rPr>
          <w:color w:val="auto"/>
          <w:lang w:val="hy-AM"/>
        </w:rPr>
        <w:t>* Կրկնահաշվարկներից խուսափելու նպատակով շահութահարկի և ԱԱՀ-ի բազաները ճշգրտվել են (նվազեցվել են) շրջանառության հարկի արտոնություն ունեցող հարկ վճարողների եկամուտների չափով:</w:t>
      </w:r>
    </w:p>
    <w:p w14:paraId="1F0A1821" w14:textId="5F1CA3D5" w:rsidR="00626259" w:rsidRPr="000232DD" w:rsidRDefault="00626259" w:rsidP="00082769">
      <w:pPr>
        <w:pStyle w:val="TOC4"/>
        <w:ind w:right="-22"/>
        <w:rPr>
          <w:color w:val="auto"/>
          <w:lang w:val="hy-AM"/>
        </w:rPr>
      </w:pPr>
      <w:r w:rsidRPr="000232DD">
        <w:rPr>
          <w:color w:val="auto"/>
          <w:lang w:val="hy-AM"/>
        </w:rPr>
        <w:t>ՄԻԿՐՈԲԻԶՆԵՍԻ ԳԾՈՎ ՀԱՐԿԱՅԻՆ ԾԱԽՍԵՐԸ.</w:t>
      </w:r>
    </w:p>
    <w:p w14:paraId="614C68A0" w14:textId="77777777" w:rsidR="00626259" w:rsidRPr="000232DD" w:rsidRDefault="00626259" w:rsidP="00082769">
      <w:pPr>
        <w:pStyle w:val="BodyText1"/>
        <w:ind w:left="0" w:right="-22"/>
        <w:rPr>
          <w:color w:val="auto"/>
          <w:lang w:val="hy-AM"/>
        </w:rPr>
      </w:pPr>
      <w:r w:rsidRPr="000232DD">
        <w:rPr>
          <w:color w:val="auto"/>
          <w:lang w:val="hy-AM"/>
        </w:rPr>
        <w:t>Որոշվել է 2025 թվականի միկրոբիզնեսի հարկման համակարգում գործող հարկ վճարողների իրացման շրջանառությունը` համաձայն միկրոձեռնարկատիրության սուբյեկտի իրացման շրջանառությունների վերաբերյալ հաշվետվության տվյալների:</w:t>
      </w:r>
    </w:p>
    <w:p w14:paraId="4B56BCA2" w14:textId="77777777" w:rsidR="00626259" w:rsidRPr="000232DD" w:rsidRDefault="00626259" w:rsidP="00082769">
      <w:pPr>
        <w:pStyle w:val="BodyText1"/>
        <w:ind w:left="0" w:right="-22"/>
        <w:rPr>
          <w:color w:val="auto"/>
          <w:lang w:val="hy-AM"/>
        </w:rPr>
      </w:pPr>
      <w:r w:rsidRPr="000232DD">
        <w:rPr>
          <w:color w:val="auto"/>
          <w:lang w:val="hy-AM"/>
        </w:rPr>
        <w:t>Հաշվարկվել է շահութահարկի բազան` հիմք ընդունելով շահութա</w:t>
      </w:r>
      <w:r w:rsidRPr="000232DD">
        <w:rPr>
          <w:color w:val="auto"/>
          <w:lang w:val="hy-AM"/>
        </w:rPr>
        <w:softHyphen/>
        <w:t>բե</w:t>
      </w:r>
      <w:r w:rsidRPr="000232DD">
        <w:rPr>
          <w:color w:val="auto"/>
          <w:lang w:val="hy-AM"/>
        </w:rPr>
        <w:softHyphen/>
        <w:t>րու</w:t>
      </w:r>
      <w:r w:rsidRPr="000232DD">
        <w:rPr>
          <w:color w:val="auto"/>
          <w:lang w:val="hy-AM"/>
        </w:rPr>
        <w:softHyphen/>
        <w:t>թյան միջի</w:t>
      </w:r>
      <w:r w:rsidRPr="000232DD">
        <w:rPr>
          <w:color w:val="auto"/>
          <w:lang w:val="hy-AM"/>
        </w:rPr>
        <w:softHyphen/>
        <w:t>նաց</w:t>
      </w:r>
      <w:r w:rsidRPr="000232DD">
        <w:rPr>
          <w:color w:val="auto"/>
          <w:lang w:val="hy-AM"/>
        </w:rPr>
        <w:softHyphen/>
        <w:t>ված մակարդակները:</w:t>
      </w:r>
    </w:p>
    <w:p w14:paraId="598F6C04" w14:textId="77777777" w:rsidR="00626259" w:rsidRPr="000232DD" w:rsidRDefault="00626259" w:rsidP="00082769">
      <w:pPr>
        <w:pStyle w:val="BodyText1"/>
        <w:ind w:left="0" w:right="-22"/>
        <w:rPr>
          <w:color w:val="auto"/>
          <w:lang w:val="hy-AM"/>
        </w:rPr>
      </w:pPr>
      <w:r w:rsidRPr="000232DD">
        <w:rPr>
          <w:color w:val="auto"/>
          <w:lang w:val="hy-AM"/>
        </w:rPr>
        <w:t>Ստացված բազայի նկատմամբ կիրառվել է շահութահարկի 18% դրույքաչափ և հաշ</w:t>
      </w:r>
      <w:r w:rsidRPr="000232DD">
        <w:rPr>
          <w:color w:val="auto"/>
          <w:lang w:val="hy-AM"/>
        </w:rPr>
        <w:softHyphen/>
        <w:t>վարկ</w:t>
      </w:r>
      <w:r w:rsidRPr="000232DD">
        <w:rPr>
          <w:color w:val="auto"/>
          <w:lang w:val="hy-AM"/>
        </w:rPr>
        <w:softHyphen/>
        <w:t>վել է շահութահարկի գծով արդյունքը:</w:t>
      </w:r>
    </w:p>
    <w:p w14:paraId="6E2FB522" w14:textId="77777777" w:rsidR="00626259" w:rsidRPr="000232DD" w:rsidRDefault="00626259" w:rsidP="00082769">
      <w:pPr>
        <w:pStyle w:val="BodyText1"/>
        <w:ind w:left="0" w:right="-22"/>
        <w:rPr>
          <w:color w:val="auto"/>
          <w:lang w:val="hy-AM"/>
        </w:rPr>
      </w:pPr>
      <w:r w:rsidRPr="000232DD">
        <w:rPr>
          <w:color w:val="auto"/>
          <w:lang w:val="hy-AM"/>
        </w:rPr>
        <w:t>Հաշվարկվել է ԱԱՀ-ի բազան` հիմք ընդունելով շահութաբերության և աշխատավար</w:t>
      </w:r>
      <w:r w:rsidRPr="000232DD">
        <w:rPr>
          <w:color w:val="auto"/>
          <w:lang w:val="hy-AM"/>
        </w:rPr>
        <w:softHyphen/>
        <w:t>ձերի միջինացված մակարդակները:</w:t>
      </w:r>
    </w:p>
    <w:p w14:paraId="3744D7D5" w14:textId="77777777" w:rsidR="00626259" w:rsidRPr="000232DD" w:rsidRDefault="00626259" w:rsidP="00082769">
      <w:pPr>
        <w:pStyle w:val="BodyText1"/>
        <w:ind w:left="0" w:right="-22"/>
        <w:rPr>
          <w:color w:val="auto"/>
          <w:lang w:val="hy-AM"/>
        </w:rPr>
      </w:pPr>
      <w:r w:rsidRPr="000232DD">
        <w:rPr>
          <w:color w:val="auto"/>
          <w:lang w:val="hy-AM"/>
        </w:rPr>
        <w:t xml:space="preserve">Ստացված բազայի նկատմամբ կիրառվել է ԱԱՀ-ի 20% դրույքաչափ և հաշվարկվել է ԱԱՀ-ի գծով արդյունքը: </w:t>
      </w:r>
    </w:p>
    <w:p w14:paraId="6718D13B" w14:textId="77777777" w:rsidR="00626259" w:rsidRPr="000232DD" w:rsidRDefault="00626259" w:rsidP="00082769">
      <w:pPr>
        <w:pStyle w:val="BodyText1"/>
        <w:ind w:left="0" w:right="-22"/>
        <w:rPr>
          <w:color w:val="auto"/>
          <w:lang w:val="hy-AM"/>
        </w:rPr>
      </w:pPr>
      <w:r w:rsidRPr="000232DD">
        <w:rPr>
          <w:color w:val="auto"/>
          <w:lang w:val="hy-AM"/>
        </w:rPr>
        <w:t>Շահութահարկի ու ԱԱՀ-ի գծով ստացված եկամտային ներուժի` ճշգրտված 2027 թվականի տնտեսության ճյուղերի կանխատեսվող ծավալների աճով, իրենից ներկայացնում է միկրոձեռնարկատիրության գծով շահութահարկի ու ԱԱՀ-ի հարկա</w:t>
      </w:r>
      <w:r w:rsidRPr="000232DD">
        <w:rPr>
          <w:color w:val="auto"/>
          <w:lang w:val="hy-AM"/>
        </w:rPr>
        <w:softHyphen/>
        <w:t>յին ծախսը:</w:t>
      </w:r>
    </w:p>
    <w:p w14:paraId="60AB36B5" w14:textId="0B9B0004" w:rsidR="00626259" w:rsidRPr="000232DD" w:rsidRDefault="00626259" w:rsidP="00082769">
      <w:pPr>
        <w:pStyle w:val="TOC4"/>
        <w:spacing w:before="0" w:after="240"/>
        <w:ind w:right="-22"/>
        <w:rPr>
          <w:color w:val="auto"/>
          <w:lang w:val="hy-AM"/>
        </w:rPr>
      </w:pPr>
      <w:r w:rsidRPr="000232DD">
        <w:rPr>
          <w:color w:val="auto"/>
          <w:lang w:val="hy-AM"/>
        </w:rPr>
        <w:t>ՇՐՋԱՆԱՌՈՒԹՅԱՆ ՀԱՐԿԻ ԳԾՈՎ ՀԱՐԿԱՅԻՆ ԾԱԽՍԵՐԸ.</w:t>
      </w:r>
    </w:p>
    <w:p w14:paraId="235EB425" w14:textId="77777777" w:rsidR="00626259" w:rsidRPr="000232DD" w:rsidRDefault="00626259" w:rsidP="00082769">
      <w:pPr>
        <w:pStyle w:val="BodyText1"/>
        <w:ind w:left="0" w:right="-22"/>
        <w:rPr>
          <w:rFonts w:eastAsia="Times New Roman" w:cs="Times New Roman"/>
          <w:color w:val="auto"/>
          <w:lang w:val="hy-AM"/>
        </w:rPr>
      </w:pPr>
      <w:r w:rsidRPr="000232DD">
        <w:rPr>
          <w:rFonts w:eastAsia="Times New Roman" w:cs="Times New Roman"/>
          <w:color w:val="auto"/>
          <w:lang w:val="hy-AM"/>
        </w:rPr>
        <w:t xml:space="preserve">Շրջանառության հարկի գծով հարկային ծախսերի մասով գնահատվել է ՏՏ ոլորտի </w:t>
      </w:r>
      <w:r w:rsidRPr="000232DD">
        <w:rPr>
          <w:color w:val="auto"/>
          <w:lang w:val="hy-AM"/>
        </w:rPr>
        <w:t>արտոնությունները</w:t>
      </w:r>
      <w:r w:rsidRPr="000232DD">
        <w:rPr>
          <w:rFonts w:eastAsia="Times New Roman" w:cs="Times New Roman"/>
          <w:color w:val="auto"/>
          <w:lang w:val="hy-AM"/>
        </w:rPr>
        <w:t>:</w:t>
      </w:r>
    </w:p>
    <w:p w14:paraId="0331A29F" w14:textId="5184233D" w:rsidR="00626259" w:rsidRPr="000232DD" w:rsidRDefault="00626259" w:rsidP="00082769">
      <w:pPr>
        <w:pStyle w:val="TOC4"/>
        <w:spacing w:before="0" w:after="240"/>
        <w:ind w:right="-22"/>
        <w:rPr>
          <w:color w:val="auto"/>
          <w:lang w:val="hy-AM"/>
        </w:rPr>
      </w:pPr>
      <w:r w:rsidRPr="000232DD">
        <w:rPr>
          <w:color w:val="auto"/>
          <w:lang w:val="hy-AM"/>
        </w:rPr>
        <w:t>ՏՏ ՈԼՈՐՏԻ ԱՐՏՈՆՈՒԹՅՈՒՆՆԵՐ.</w:t>
      </w:r>
    </w:p>
    <w:p w14:paraId="22386390" w14:textId="107C4C85" w:rsidR="00626259" w:rsidRPr="000232DD" w:rsidRDefault="00626259" w:rsidP="00082769">
      <w:pPr>
        <w:pStyle w:val="BodyText1"/>
        <w:ind w:left="0" w:right="-22"/>
        <w:rPr>
          <w:rFonts w:eastAsia="Times New Roman" w:cs="Times New Roman"/>
          <w:color w:val="auto"/>
          <w:lang w:val="hy-AM"/>
        </w:rPr>
      </w:pPr>
      <w:r w:rsidRPr="000232DD">
        <w:rPr>
          <w:color w:val="auto"/>
          <w:lang w:val="hy-AM"/>
        </w:rPr>
        <w:t>Որոշվել են 2025 թվականի համար ՏՏ ոլորտին տրված արտոնությունների գումարը` որպես շրջանառության հարկի 10 տոկոս հաշվարկային դրույքաչափի և 1 տոկոս փաստացի կիրառված արտոնյալ դրույքաչափով հաշվարկված շրջանառության հարկի տարբերություն: Ստացված արդյունքը ճշգրտվել է 2026թ. համար սպասվող և 2027 թվականի համար կանխատեսվող ծավալների աճով` հիմք ընդունելով փորձագիտական եղանակով գնահատված նախորդ տարվա նկատմամբ ոլորտի աճի տեմպը:</w:t>
      </w:r>
      <w:r w:rsidRPr="000232DD">
        <w:rPr>
          <w:rFonts w:eastAsia="Times New Roman" w:cs="Times New Roman"/>
          <w:color w:val="auto"/>
          <w:lang w:val="hy-AM"/>
        </w:rPr>
        <w:t xml:space="preserve"> </w:t>
      </w:r>
    </w:p>
    <w:p w14:paraId="68504ED3" w14:textId="77777777" w:rsidR="00626259" w:rsidRPr="000232DD" w:rsidRDefault="00626259" w:rsidP="00082769">
      <w:pPr>
        <w:spacing w:before="0" w:after="0" w:line="360" w:lineRule="auto"/>
        <w:ind w:right="-22"/>
        <w:jc w:val="both"/>
        <w:rPr>
          <w:rFonts w:ascii="GHEA Grapalat" w:eastAsia="Times New Roman" w:hAnsi="GHEA Grapalat" w:cs="Times New Roman"/>
          <w:i/>
          <w:color w:val="auto"/>
          <w:lang w:val="hy-AM"/>
        </w:rPr>
      </w:pPr>
    </w:p>
    <w:p w14:paraId="6D3C61B7" w14:textId="77777777" w:rsidR="00C5326C" w:rsidRPr="000232DD" w:rsidRDefault="00C5326C" w:rsidP="00082769">
      <w:pPr>
        <w:pStyle w:val="TOC2"/>
        <w:ind w:right="-22"/>
        <w:rPr>
          <w:color w:val="auto"/>
          <w:lang w:val="hy-AM"/>
        </w:rPr>
      </w:pPr>
    </w:p>
    <w:p w14:paraId="1E078FE7" w14:textId="77777777" w:rsidR="005A4602" w:rsidRPr="000232DD" w:rsidRDefault="005A4602" w:rsidP="00082769">
      <w:pPr>
        <w:pStyle w:val="TOC2"/>
        <w:ind w:right="-22"/>
        <w:rPr>
          <w:color w:val="auto"/>
          <w:lang w:val="hy-AM"/>
        </w:rPr>
      </w:pPr>
    </w:p>
    <w:p w14:paraId="252A40A0" w14:textId="77777777" w:rsidR="002D118D" w:rsidRDefault="002D118D" w:rsidP="00D370E4">
      <w:pPr>
        <w:pStyle w:val="TableTitleCharCharCharCharCharCharCharCharCharChar11"/>
        <w:ind w:right="-22"/>
        <w:rPr>
          <w:color w:val="auto"/>
          <w:lang w:val="hy-AM"/>
        </w:rPr>
      </w:pPr>
    </w:p>
    <w:p w14:paraId="2C041B86" w14:textId="77777777" w:rsidR="00D370E4" w:rsidRDefault="00D370E4" w:rsidP="00D370E4">
      <w:pPr>
        <w:rPr>
          <w:lang w:val="hy-AM"/>
        </w:rPr>
      </w:pPr>
    </w:p>
    <w:p w14:paraId="15F52498" w14:textId="77777777" w:rsidR="00D370E4" w:rsidRPr="00D370E4" w:rsidRDefault="00D370E4" w:rsidP="00D370E4">
      <w:pPr>
        <w:rPr>
          <w:lang w:val="hy-AM"/>
        </w:rPr>
      </w:pPr>
    </w:p>
    <w:p w14:paraId="48C05F95" w14:textId="77777777" w:rsidR="005A4602" w:rsidRPr="000232DD" w:rsidRDefault="005A4602" w:rsidP="00082769">
      <w:pPr>
        <w:pStyle w:val="TOC2"/>
        <w:ind w:right="-22"/>
        <w:rPr>
          <w:color w:val="auto"/>
          <w:lang w:val="hy-AM"/>
        </w:rPr>
      </w:pPr>
    </w:p>
    <w:p w14:paraId="0A48CAD5" w14:textId="77777777" w:rsidR="002D118D" w:rsidRDefault="002D118D" w:rsidP="00082769">
      <w:pPr>
        <w:pStyle w:val="TOC2"/>
        <w:ind w:right="-22"/>
        <w:rPr>
          <w:color w:val="auto"/>
          <w:lang w:val="hy-AM"/>
        </w:rPr>
      </w:pPr>
    </w:p>
    <w:sectPr w:rsidR="002D118D" w:rsidSect="00082769">
      <w:footerReference w:type="even" r:id="rId100"/>
      <w:footerReference w:type="default" r:id="rId101"/>
      <w:pgSz w:w="12240" w:h="15840"/>
      <w:pgMar w:top="993" w:right="618" w:bottom="1134" w:left="127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98F6E" w14:textId="77777777" w:rsidR="008F7F79" w:rsidRDefault="008F7F79" w:rsidP="00B43595">
      <w:pPr>
        <w:spacing w:before="0" w:after="0" w:line="240" w:lineRule="auto"/>
      </w:pPr>
      <w:r>
        <w:separator/>
      </w:r>
    </w:p>
  </w:endnote>
  <w:endnote w:type="continuationSeparator" w:id="0">
    <w:p w14:paraId="2100DA9C" w14:textId="77777777" w:rsidR="008F7F79" w:rsidRDefault="008F7F79" w:rsidP="00B4359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GHEA Grapalat">
    <w:panose1 w:val="02000506050000020003"/>
    <w:charset w:val="00"/>
    <w:family w:val="auto"/>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TarumianTimes">
    <w:altName w:val="Cambria"/>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65731803"/>
      <w:docPartObj>
        <w:docPartGallery w:val="Page Numbers (Bottom of Page)"/>
        <w:docPartUnique/>
      </w:docPartObj>
    </w:sdtPr>
    <w:sdtEndPr>
      <w:rPr>
        <w:rStyle w:val="PageNumber"/>
      </w:rPr>
    </w:sdtEndPr>
    <w:sdtContent>
      <w:p w14:paraId="4A713DCC" w14:textId="26F136A0" w:rsidR="006C6FF6" w:rsidRDefault="006C6FF6" w:rsidP="00873A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142E617A" w14:textId="77777777" w:rsidR="006C6FF6" w:rsidRDefault="006C6FF6" w:rsidP="00B9377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53911298"/>
      <w:docPartObj>
        <w:docPartGallery w:val="Page Numbers (Bottom of Page)"/>
        <w:docPartUnique/>
      </w:docPartObj>
    </w:sdtPr>
    <w:sdtEndPr>
      <w:rPr>
        <w:rStyle w:val="PageNumber"/>
      </w:rPr>
    </w:sdtEndPr>
    <w:sdtContent>
      <w:p w14:paraId="51ED7678" w14:textId="701D8F0B" w:rsidR="006C6FF6" w:rsidRDefault="006C6FF6" w:rsidP="00873A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612ED">
          <w:rPr>
            <w:rStyle w:val="PageNumber"/>
            <w:noProof/>
          </w:rPr>
          <w:t>24</w:t>
        </w:r>
        <w:r>
          <w:rPr>
            <w:rStyle w:val="PageNumber"/>
          </w:rPr>
          <w:fldChar w:fldCharType="end"/>
        </w:r>
      </w:p>
    </w:sdtContent>
  </w:sdt>
  <w:p w14:paraId="6C45572A" w14:textId="2370E39F" w:rsidR="006C6FF6" w:rsidRDefault="006C6FF6" w:rsidP="00B9377A">
    <w:pPr>
      <w:pStyle w:val="Footer"/>
      <w:ind w:right="360"/>
    </w:pPr>
    <w:r>
      <w:rPr>
        <w:color w:val="A6A6A6" w:themeColor="background1" w:themeShade="A6"/>
        <w:spacing w:val="10"/>
        <w:sz w:val="18"/>
        <w:szCs w:val="18"/>
      </w:rPr>
      <w:t>2027</w:t>
    </w:r>
    <w:r w:rsidRPr="00B65B76">
      <w:rPr>
        <w:color w:val="A6A6A6" w:themeColor="background1" w:themeShade="A6"/>
        <w:spacing w:val="10"/>
        <w:sz w:val="18"/>
        <w:szCs w:val="18"/>
      </w:rPr>
      <w:t xml:space="preserve"> ԹՎԱԿԱՆԻ ԲՅՈՒՋԵՏԱՅԻՆ</w:t>
    </w:r>
    <w:r w:rsidRPr="00B65B76">
      <w:rPr>
        <w:color w:val="A6A6A6" w:themeColor="background1" w:themeShade="A6"/>
        <w:spacing w:val="10"/>
        <w:sz w:val="18"/>
        <w:szCs w:val="18"/>
        <w:lang w:val="hy-AM"/>
      </w:rPr>
      <w:t xml:space="preserve"> </w:t>
    </w:r>
    <w:r w:rsidRPr="00B65B76">
      <w:rPr>
        <w:color w:val="A6A6A6" w:themeColor="background1" w:themeShade="A6"/>
        <w:spacing w:val="10"/>
        <w:sz w:val="18"/>
        <w:szCs w:val="18"/>
      </w:rPr>
      <w:t>ՈՒՂԵՐՁ</w:t>
    </w:r>
    <w:r w:rsidRPr="00B65B76">
      <w:rPr>
        <w:color w:val="A6A6A6" w:themeColor="background1" w:themeShade="A6"/>
        <w:spacing w:val="10"/>
        <w:sz w:val="18"/>
        <w:szCs w:val="18"/>
        <w:lang w:val="ru-RU"/>
      </w:rPr>
      <w:t xml:space="preserve"> </w:t>
    </w:r>
    <w:r w:rsidRPr="00B65B76">
      <w:rPr>
        <w:color w:val="A6A6A6" w:themeColor="background1" w:themeShade="A6"/>
        <w:spacing w:val="10"/>
        <w:sz w:val="18"/>
        <w:szCs w:val="18"/>
      </w:rPr>
      <w:t xml:space="preserve">| </w:t>
    </w:r>
    <w:r w:rsidRPr="00B65B76">
      <w:rPr>
        <w:color w:val="A6A6A6" w:themeColor="background1" w:themeShade="A6"/>
        <w:spacing w:val="10"/>
        <w:sz w:val="18"/>
        <w:szCs w:val="18"/>
        <w:lang w:val="hy-AM"/>
      </w:rPr>
      <w:t>ՀՀ ԿԱՌԱՎԱՐՈՒԹՅՈՒՆ</w:t>
    </w:r>
    <w:r w:rsidRPr="00B65B76">
      <w:rPr>
        <w:color w:val="A6A6A6" w:themeColor="background1" w:themeShade="A6"/>
        <w:sz w:val="18"/>
        <w:szCs w:val="18"/>
      </w:rPr>
      <w:t xml:space="preserve"> </w:t>
    </w:r>
    <w:r w:rsidRPr="00B65B76">
      <w:rPr>
        <w:color w:val="A6A6A6" w:themeColor="background1" w:themeShade="A6"/>
        <w:sz w:val="18"/>
        <w:szCs w:val="18"/>
        <w:lang w:val="hy-AM"/>
      </w:rPr>
      <w:t xml:space="preserve">     </w:t>
    </w:r>
    <w:r w:rsidRPr="00B65B76">
      <w:rPr>
        <w:color w:val="A6A6A6" w:themeColor="background1" w:themeShade="A6"/>
        <w:sz w:val="18"/>
        <w:szCs w:val="18"/>
      </w:rPr>
      <w:t xml:space="preserve">  </w:t>
    </w:r>
    <w:r w:rsidRPr="00B65B76">
      <w:rPr>
        <w:color w:val="A6A6A6" w:themeColor="background1" w:themeShade="A6"/>
        <w:sz w:val="18"/>
        <w:szCs w:val="18"/>
        <w:lang w:val="hy-AM"/>
      </w:rPr>
      <w:t xml:space="preserve">                                      </w:t>
    </w:r>
    <w:r w:rsidRPr="00B65B76">
      <w:rPr>
        <w:color w:val="A6A6A6" w:themeColor="background1" w:themeShade="A6"/>
        <w:sz w:val="18"/>
        <w:szCs w:val="18"/>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C05492" w14:textId="77777777" w:rsidR="008F7F79" w:rsidRDefault="008F7F79" w:rsidP="00B43595">
      <w:pPr>
        <w:spacing w:before="0" w:after="0" w:line="240" w:lineRule="auto"/>
      </w:pPr>
      <w:r>
        <w:separator/>
      </w:r>
    </w:p>
  </w:footnote>
  <w:footnote w:type="continuationSeparator" w:id="0">
    <w:p w14:paraId="1E5255C4" w14:textId="77777777" w:rsidR="008F7F79" w:rsidRDefault="008F7F79" w:rsidP="00B43595">
      <w:pPr>
        <w:spacing w:before="0" w:after="0" w:line="240" w:lineRule="auto"/>
      </w:pPr>
      <w:r>
        <w:continuationSeparator/>
      </w:r>
    </w:p>
  </w:footnote>
  <w:footnote w:id="1">
    <w:p w14:paraId="314F26BD" w14:textId="77777777" w:rsidR="006C6FF6" w:rsidRPr="00D42838" w:rsidRDefault="006C6FF6" w:rsidP="00507805">
      <w:pPr>
        <w:pStyle w:val="Footnote"/>
        <w:ind w:right="1916"/>
        <w:jc w:val="both"/>
      </w:pPr>
      <w:r w:rsidRPr="00D42838">
        <w:rPr>
          <w:vertAlign w:val="superscript"/>
        </w:rPr>
        <w:footnoteRef/>
      </w:r>
      <w:r w:rsidRPr="00D42838">
        <w:rPr>
          <w:vertAlign w:val="superscript"/>
        </w:rPr>
        <w:t xml:space="preserve"> </w:t>
      </w:r>
      <w:r w:rsidRPr="00D42838">
        <w:t>Կապիտալ ներդրումներում ներառված չէ պաշարների փոփոխությունը, ներկայացված են միայն հիմնական միջոցներում կատարված կապիտալ ներդրումները, քանի որ 2019թ.-ից ՀՀ ՎԿ կողմից պաշարների փոփոխությունը հաշվառվում է որպես հաշվեկշռող գործոն կամ այլ կերպ՝ դրա մեջ ներառվում են նաև վիճակագրական սխալները:</w:t>
      </w:r>
    </w:p>
  </w:footnote>
  <w:footnote w:id="2">
    <w:p w14:paraId="448DE3D5" w14:textId="77777777" w:rsidR="006C6FF6" w:rsidRPr="00B532F4" w:rsidRDefault="006C6FF6" w:rsidP="00507805">
      <w:pPr>
        <w:pStyle w:val="FootnoteText"/>
        <w:rPr>
          <w:rStyle w:val="Hyperlink1"/>
          <w:lang w:val="hy-AM"/>
        </w:rPr>
      </w:pPr>
      <w:r w:rsidRPr="001A4125">
        <w:rPr>
          <w:rStyle w:val="FootnoteReference"/>
        </w:rPr>
        <w:footnoteRef/>
      </w:r>
      <w:r w:rsidRPr="00F972DB">
        <w:rPr>
          <w:sz w:val="18"/>
          <w:szCs w:val="18"/>
          <w:lang w:val="hy-AM"/>
        </w:rPr>
        <w:t xml:space="preserve"> Աղբյուրը՝ Տնտեսական վերլուծությունների բյուրո, </w:t>
      </w:r>
      <w:hyperlink r:id="rId1" w:history="1">
        <w:r w:rsidRPr="00B532F4">
          <w:rPr>
            <w:rStyle w:val="Hyperlink1"/>
            <w:sz w:val="18"/>
            <w:szCs w:val="18"/>
            <w:lang w:val="hy-AM"/>
          </w:rPr>
          <w:t>https://www.bea.gov/</w:t>
        </w:r>
      </w:hyperlink>
      <w:r w:rsidRPr="00B532F4">
        <w:rPr>
          <w:rStyle w:val="Hyperlink1"/>
          <w:lang w:val="hy-AM"/>
        </w:rPr>
        <w:t xml:space="preserve"> </w:t>
      </w:r>
    </w:p>
  </w:footnote>
  <w:footnote w:id="3">
    <w:p w14:paraId="126A494C" w14:textId="77777777" w:rsidR="006C6FF6" w:rsidRPr="00A90FBA" w:rsidRDefault="006C6FF6" w:rsidP="00507805">
      <w:pPr>
        <w:pStyle w:val="FootnoteText"/>
        <w:rPr>
          <w:sz w:val="18"/>
          <w:szCs w:val="18"/>
          <w:lang w:val="hy-AM"/>
        </w:rPr>
      </w:pPr>
      <w:r w:rsidRPr="001A4125">
        <w:rPr>
          <w:rStyle w:val="FootnoteReference"/>
        </w:rPr>
        <w:footnoteRef/>
      </w:r>
      <w:r w:rsidRPr="00A90FBA">
        <w:rPr>
          <w:sz w:val="18"/>
          <w:szCs w:val="18"/>
          <w:lang w:val="hy-AM"/>
        </w:rPr>
        <w:t xml:space="preserve"> Աղբյուրը՝ Եվրոստատ, </w:t>
      </w:r>
      <w:hyperlink r:id="rId2" w:history="1">
        <w:r w:rsidRPr="00B532F4">
          <w:rPr>
            <w:rStyle w:val="Hyperlink1"/>
            <w:sz w:val="18"/>
            <w:szCs w:val="18"/>
            <w:lang w:val="hy-AM"/>
          </w:rPr>
          <w:t>https://ec.europa.eu/eurostat/</w:t>
        </w:r>
      </w:hyperlink>
      <w:r w:rsidRPr="00A90FBA">
        <w:rPr>
          <w:sz w:val="18"/>
          <w:szCs w:val="18"/>
          <w:lang w:val="hy-AM"/>
        </w:rPr>
        <w:t xml:space="preserve"> </w:t>
      </w:r>
    </w:p>
  </w:footnote>
  <w:footnote w:id="4">
    <w:p w14:paraId="128A9B6A" w14:textId="77777777" w:rsidR="006C6FF6" w:rsidRPr="004F6CF0" w:rsidRDefault="006C6FF6" w:rsidP="00507805">
      <w:pPr>
        <w:pStyle w:val="FootnoteText"/>
        <w:rPr>
          <w:lang w:val="hy-AM"/>
        </w:rPr>
      </w:pPr>
      <w:r>
        <w:rPr>
          <w:rStyle w:val="FootnoteReference"/>
        </w:rPr>
        <w:footnoteRef/>
      </w:r>
      <w:r w:rsidRPr="00A90FBA">
        <w:rPr>
          <w:lang w:val="hy-AM"/>
        </w:rPr>
        <w:t xml:space="preserve"> </w:t>
      </w:r>
      <w:r w:rsidRPr="00A90FBA">
        <w:rPr>
          <w:sz w:val="18"/>
          <w:szCs w:val="18"/>
          <w:lang w:val="hy-AM"/>
        </w:rPr>
        <w:t xml:space="preserve">Աղբյուրը՝ </w:t>
      </w:r>
      <w:r>
        <w:rPr>
          <w:sz w:val="18"/>
          <w:szCs w:val="18"/>
          <w:lang w:val="hy-AM"/>
        </w:rPr>
        <w:t>Չինաստանի վիճակագրության ազգային բյուրո,</w:t>
      </w:r>
      <w:r w:rsidRPr="00A90FBA">
        <w:rPr>
          <w:rStyle w:val="Hyperlink1"/>
          <w:lang w:val="hy-AM"/>
        </w:rPr>
        <w:t xml:space="preserve"> </w:t>
      </w:r>
      <w:hyperlink r:id="rId3" w:history="1">
        <w:r w:rsidRPr="004F6CF0">
          <w:rPr>
            <w:rStyle w:val="Hyperlink1"/>
            <w:sz w:val="18"/>
            <w:szCs w:val="18"/>
            <w:lang w:val="hy-AM"/>
          </w:rPr>
          <w:t>https://www.stats.gov.cn/english/</w:t>
        </w:r>
      </w:hyperlink>
      <w:r>
        <w:rPr>
          <w:sz w:val="18"/>
          <w:szCs w:val="18"/>
          <w:lang w:val="hy-AM"/>
        </w:rPr>
        <w:t xml:space="preserve"> </w:t>
      </w:r>
    </w:p>
  </w:footnote>
  <w:footnote w:id="5">
    <w:p w14:paraId="6A78EAD3" w14:textId="77777777" w:rsidR="006C6FF6" w:rsidRPr="00F67DAF" w:rsidRDefault="006C6FF6" w:rsidP="00507805">
      <w:pPr>
        <w:pStyle w:val="FootnoteText"/>
        <w:rPr>
          <w:color w:val="0000FF"/>
          <w:sz w:val="18"/>
          <w:szCs w:val="18"/>
          <w:u w:val="single"/>
          <w:lang w:val="hy-AM"/>
        </w:rPr>
      </w:pPr>
      <w:r w:rsidRPr="00217DFF">
        <w:rPr>
          <w:rStyle w:val="FootnoteReference"/>
        </w:rPr>
        <w:footnoteRef/>
      </w:r>
      <w:r w:rsidRPr="004F6CF0">
        <w:rPr>
          <w:sz w:val="18"/>
          <w:szCs w:val="18"/>
          <w:lang w:val="hy-AM"/>
        </w:rPr>
        <w:t xml:space="preserve"> Աղբյուրը՝ ՌԴ </w:t>
      </w:r>
      <w:r>
        <w:rPr>
          <w:sz w:val="18"/>
          <w:szCs w:val="18"/>
          <w:lang w:val="hy-AM"/>
        </w:rPr>
        <w:t>պետական վիճակագրական ծառայություն</w:t>
      </w:r>
      <w:r w:rsidRPr="004F6CF0">
        <w:rPr>
          <w:sz w:val="18"/>
          <w:szCs w:val="18"/>
          <w:lang w:val="hy-AM"/>
        </w:rPr>
        <w:t xml:space="preserve">, </w:t>
      </w:r>
      <w:r w:rsidRPr="004F6CF0">
        <w:rPr>
          <w:rStyle w:val="Hyperlink1"/>
          <w:sz w:val="18"/>
          <w:szCs w:val="18"/>
          <w:lang w:val="hy-AM"/>
        </w:rPr>
        <w:t>https://rosstat.gov.ru/</w:t>
      </w:r>
    </w:p>
  </w:footnote>
  <w:footnote w:id="6">
    <w:p w14:paraId="3BD59F22" w14:textId="77777777" w:rsidR="006C6FF6" w:rsidRPr="00E9629A" w:rsidRDefault="006C6FF6" w:rsidP="00507805">
      <w:pPr>
        <w:pStyle w:val="FootnoteText"/>
        <w:rPr>
          <w:lang w:val="hy-AM"/>
        </w:rPr>
      </w:pPr>
      <w:r w:rsidRPr="00E9629A">
        <w:rPr>
          <w:rStyle w:val="FootnoteReference"/>
        </w:rPr>
        <w:footnoteRef/>
      </w:r>
      <w:r w:rsidRPr="00E9629A">
        <w:rPr>
          <w:sz w:val="18"/>
          <w:lang w:val="hy-AM"/>
        </w:rPr>
        <w:t xml:space="preserve"> ԱՄՆ համար դիտարկվել է դաշնային ֆոնդերի արդյունավետ տոկոսադրույքը, ԵԳ՝ հիմնական վերաֆինանսավորման տոկոսադրույքը, Չինաստան՝ վարկավորման մեկ տարվա տոկոսադրույքը (one-year loan prime rate), ՌԴ՝ հիմնական տոկոսադրույքը:</w:t>
      </w:r>
    </w:p>
  </w:footnote>
  <w:footnote w:id="7">
    <w:p w14:paraId="0D46A635" w14:textId="77777777" w:rsidR="006C6FF6" w:rsidRPr="00F42148" w:rsidRDefault="006C6FF6" w:rsidP="00507805">
      <w:pPr>
        <w:pStyle w:val="FootnoteText"/>
        <w:rPr>
          <w:lang w:val="hy-AM"/>
        </w:rPr>
      </w:pPr>
      <w:r w:rsidRPr="00B532F4">
        <w:rPr>
          <w:rStyle w:val="FootnoteReference"/>
        </w:rPr>
        <w:footnoteRef/>
      </w:r>
      <w:r w:rsidRPr="00F42148">
        <w:rPr>
          <w:lang w:val="hy-AM"/>
        </w:rPr>
        <w:t xml:space="preserve"> </w:t>
      </w:r>
      <w:r w:rsidRPr="00B532F4">
        <w:rPr>
          <w:sz w:val="18"/>
          <w:szCs w:val="18"/>
          <w:lang w:val="hy-AM"/>
        </w:rPr>
        <w:t xml:space="preserve">Աղբյուրը՝ Համաշխարհային բանկ, </w:t>
      </w:r>
      <w:hyperlink r:id="rId4" w:history="1">
        <w:r w:rsidRPr="00B532F4">
          <w:rPr>
            <w:rStyle w:val="Hyperlink1"/>
            <w:sz w:val="18"/>
            <w:szCs w:val="18"/>
            <w:lang w:val="hy-AM"/>
          </w:rPr>
          <w:t>https://www.worldbank.org/en/research/commodity-markets</w:t>
        </w:r>
      </w:hyperlink>
      <w:r w:rsidRPr="00F42148">
        <w:rPr>
          <w:lang w:val="hy-AM"/>
        </w:rPr>
        <w:t xml:space="preserve"> </w:t>
      </w:r>
    </w:p>
  </w:footnote>
  <w:footnote w:id="8">
    <w:p w14:paraId="6A630456" w14:textId="77777777" w:rsidR="006C6FF6" w:rsidRPr="00B532F4" w:rsidRDefault="006C6FF6" w:rsidP="00507805">
      <w:pPr>
        <w:pStyle w:val="FootnoteText"/>
        <w:rPr>
          <w:sz w:val="18"/>
          <w:szCs w:val="18"/>
          <w:lang w:val="hy-AM"/>
        </w:rPr>
      </w:pPr>
      <w:r w:rsidRPr="00B532F4">
        <w:rPr>
          <w:rStyle w:val="FootnoteReference"/>
        </w:rPr>
        <w:footnoteRef/>
      </w:r>
      <w:r w:rsidRPr="00B532F4">
        <w:rPr>
          <w:sz w:val="18"/>
          <w:szCs w:val="18"/>
          <w:lang w:val="hy-AM"/>
        </w:rPr>
        <w:t xml:space="preserve"> Աղբյուրը՝ Համաշխարհային բանկ,</w:t>
      </w:r>
      <w:r w:rsidRPr="00A90FBA">
        <w:rPr>
          <w:rStyle w:val="Hyperlink1"/>
          <w:sz w:val="18"/>
          <w:szCs w:val="18"/>
          <w:lang w:val="hy-AM"/>
        </w:rPr>
        <w:t xml:space="preserve"> </w:t>
      </w:r>
      <w:hyperlink r:id="rId5" w:history="1">
        <w:r w:rsidRPr="00B532F4">
          <w:rPr>
            <w:rStyle w:val="Hyperlink1"/>
            <w:sz w:val="18"/>
            <w:szCs w:val="18"/>
            <w:lang w:val="hy-AM"/>
          </w:rPr>
          <w:t>https://www.worldbank.org/en/research/commodity-markets</w:t>
        </w:r>
      </w:hyperlink>
    </w:p>
  </w:footnote>
  <w:footnote w:id="9">
    <w:p w14:paraId="73AA4336" w14:textId="77777777" w:rsidR="006C6FF6" w:rsidRPr="00F972DB" w:rsidRDefault="006C6FF6" w:rsidP="00507805">
      <w:pPr>
        <w:pStyle w:val="FootnoteText"/>
        <w:rPr>
          <w:color w:val="3B3838"/>
          <w:sz w:val="18"/>
          <w:szCs w:val="18"/>
          <w:lang w:val="hy-AM"/>
        </w:rPr>
      </w:pPr>
      <w:r w:rsidRPr="00F972DB">
        <w:rPr>
          <w:rStyle w:val="FootnoteReference"/>
          <w:color w:val="3B3838"/>
        </w:rPr>
        <w:footnoteRef/>
      </w:r>
      <w:r w:rsidRPr="00F972DB">
        <w:rPr>
          <w:color w:val="3B3838"/>
          <w:sz w:val="18"/>
          <w:szCs w:val="18"/>
          <w:lang w:val="hy-AM"/>
        </w:rPr>
        <w:t xml:space="preserve"> Աղբյուրը՝ ՄԱԿ-ի պարենի և գյուղատնտեսության կազմակերպություն,</w:t>
      </w:r>
    </w:p>
    <w:p w14:paraId="65E16500" w14:textId="77777777" w:rsidR="006C6FF6" w:rsidRPr="00F26876" w:rsidRDefault="003612ED" w:rsidP="00507805">
      <w:pPr>
        <w:pStyle w:val="FootnoteText"/>
        <w:rPr>
          <w:lang w:val="hy-AM"/>
        </w:rPr>
      </w:pPr>
      <w:hyperlink r:id="rId6" w:history="1">
        <w:r w:rsidR="006C6FF6" w:rsidRPr="00B532F4">
          <w:rPr>
            <w:rStyle w:val="Hyperlink1"/>
            <w:sz w:val="18"/>
            <w:szCs w:val="18"/>
            <w:lang w:val="hy-AM"/>
          </w:rPr>
          <w:t>https://www.fao.org/worldfoodsituation/foodpricesindex/en/</w:t>
        </w:r>
      </w:hyperlink>
    </w:p>
  </w:footnote>
  <w:footnote w:id="10">
    <w:p w14:paraId="12ECB0E8" w14:textId="77777777" w:rsidR="006C6FF6" w:rsidRPr="00B532F4" w:rsidRDefault="006C6FF6" w:rsidP="00507805">
      <w:pPr>
        <w:pStyle w:val="FootnoteText"/>
        <w:contextualSpacing/>
        <w:rPr>
          <w:i/>
          <w:iCs/>
          <w:sz w:val="18"/>
          <w:szCs w:val="18"/>
          <w:lang w:val="hy-AM"/>
        </w:rPr>
      </w:pPr>
      <w:r w:rsidRPr="00F972DB">
        <w:rPr>
          <w:rStyle w:val="FootnoteReference"/>
          <w:color w:val="3B3838"/>
        </w:rPr>
        <w:footnoteRef/>
      </w:r>
      <w:r w:rsidRPr="00F972DB">
        <w:rPr>
          <w:color w:val="3B3838"/>
          <w:sz w:val="18"/>
          <w:szCs w:val="18"/>
          <w:lang w:val="hy-AM"/>
        </w:rPr>
        <w:t xml:space="preserve"> Դոլարի ինդեքսը հաշվարկվում է որպես կշռված երկրաչափական միջին՝ հետևյալ արժույթների նկատմամբ. Եվրո, Ճապոնական յեն, Բրիտանական ֆունտ, Կանադական դոլար, Շվեդական կրոն, Շվեյցարական ֆրանկ։</w:t>
      </w:r>
    </w:p>
  </w:footnote>
  <w:footnote w:id="11">
    <w:p w14:paraId="1D4B6A15" w14:textId="77777777" w:rsidR="006C6FF6" w:rsidRPr="00B532F4" w:rsidRDefault="006C6FF6" w:rsidP="00507805">
      <w:pPr>
        <w:pStyle w:val="FootnoteText"/>
        <w:contextualSpacing/>
        <w:rPr>
          <w:sz w:val="18"/>
          <w:szCs w:val="18"/>
          <w:lang w:val="hy-AM"/>
        </w:rPr>
      </w:pPr>
      <w:r w:rsidRPr="00F972DB">
        <w:rPr>
          <w:rStyle w:val="FootnoteReference"/>
          <w:color w:val="3B3838"/>
        </w:rPr>
        <w:footnoteRef/>
      </w:r>
      <w:r w:rsidRPr="00F972DB">
        <w:rPr>
          <w:color w:val="3B3838"/>
          <w:sz w:val="18"/>
          <w:szCs w:val="18"/>
          <w:lang w:val="hy-AM"/>
        </w:rPr>
        <w:t xml:space="preserve"> Երկրի ռիսկի հավելավճարները հաշվարկված են որպես տվյալ երկրի եվրոպարտատոմսերի (դոլարային արժույթով) և ԱՄՆ համապատասխան ժամկետայնությամբ գանձապետական պարտատոմսերի եկամտաբերությունների տարբերություն (պարտատոմսերի մարման ժամկետները նշված են երկրների անվանումների կողքը՝ փակագծերում): </w:t>
      </w:r>
    </w:p>
  </w:footnote>
  <w:footnote w:id="12">
    <w:p w14:paraId="71316B23" w14:textId="77777777" w:rsidR="006C6FF6" w:rsidRPr="00E77731" w:rsidRDefault="006C6FF6" w:rsidP="00507805">
      <w:pPr>
        <w:pStyle w:val="Footnote"/>
        <w:ind w:right="-64"/>
        <w:rPr>
          <w:highlight w:val="yellow"/>
        </w:rPr>
      </w:pPr>
      <w:r w:rsidRPr="00F213C1">
        <w:rPr>
          <w:vertAlign w:val="superscript"/>
        </w:rPr>
        <w:footnoteRef/>
      </w:r>
      <w:r w:rsidRPr="00E77731">
        <w:t xml:space="preserve">ՏԱՑ-ի աճին ճյուղերի նպաստումները ՀՀ ֆինանսների նախարարության գնահատականներն են: Գյուղատնտեսության ցուցանիշը ոչ բոլոր տեղերում է ներառված հաշվարկներում, քանի որ </w:t>
      </w:r>
      <w:r>
        <w:t>հ</w:t>
      </w:r>
      <w:r w:rsidRPr="00E77731">
        <w:t>րապարակվում է եռամսյակային պարբերականությամբ:</w:t>
      </w:r>
    </w:p>
  </w:footnote>
  <w:footnote w:id="13">
    <w:p w14:paraId="0FE810CF" w14:textId="77777777" w:rsidR="006C6FF6" w:rsidRPr="00E77731" w:rsidRDefault="006C6FF6" w:rsidP="00507805">
      <w:pPr>
        <w:pStyle w:val="Footnote"/>
        <w:ind w:right="-64"/>
      </w:pPr>
      <w:r w:rsidRPr="00F05775">
        <w:rPr>
          <w:vertAlign w:val="superscript"/>
        </w:rPr>
        <w:footnoteRef/>
      </w:r>
      <w:r w:rsidRPr="00E77731">
        <w:t>ՏԱՑ-ի նպաստումների «այլ» բաղադրիչի մեջ ներառված են գյուղատնտեսության (բացառությամբ՝ հունվար-մարտի և հունվար-հունիսի) և ոչ շուկայական ծառայությունների նպաստումները:</w:t>
      </w:r>
    </w:p>
  </w:footnote>
  <w:footnote w:id="14">
    <w:p w14:paraId="54D988AD" w14:textId="77777777" w:rsidR="006C6FF6" w:rsidRPr="00E77731" w:rsidRDefault="006C6FF6" w:rsidP="00507805">
      <w:pPr>
        <w:pStyle w:val="Footnote"/>
        <w:ind w:right="-64"/>
      </w:pPr>
      <w:r w:rsidRPr="00F05775">
        <w:rPr>
          <w:vertAlign w:val="superscript"/>
        </w:rPr>
        <w:footnoteRef/>
      </w:r>
      <w:r>
        <w:t xml:space="preserve">«Այլ»-ի մեջ ներառված են </w:t>
      </w:r>
      <w:r w:rsidRPr="00025122">
        <w:t>նաև գյուղատնտեսության նպաստումները</w:t>
      </w:r>
      <w:r>
        <w:t>:</w:t>
      </w:r>
    </w:p>
  </w:footnote>
  <w:footnote w:id="15">
    <w:p w14:paraId="385D2685" w14:textId="77777777" w:rsidR="006C6FF6" w:rsidRPr="007E7232" w:rsidRDefault="006C6FF6" w:rsidP="00507805">
      <w:pPr>
        <w:pStyle w:val="FootnoteText"/>
        <w:rPr>
          <w:rFonts w:eastAsia="GHEA Grapalat" w:cs="GHEA Grapalat"/>
          <w:iCs/>
          <w:color w:val="000000"/>
          <w:szCs w:val="16"/>
          <w:lang w:val="hy-AM"/>
        </w:rPr>
      </w:pPr>
      <w:r>
        <w:rPr>
          <w:rStyle w:val="FootnoteReference"/>
        </w:rPr>
        <w:footnoteRef/>
      </w:r>
      <w:r w:rsidRPr="007E7232">
        <w:rPr>
          <w:lang w:val="hy-AM"/>
        </w:rPr>
        <w:t xml:space="preserve"> </w:t>
      </w:r>
      <w:r w:rsidRPr="00790CDB">
        <w:rPr>
          <w:rFonts w:eastAsia="GHEA Grapalat" w:cs="GHEA Grapalat"/>
          <w:iCs/>
          <w:color w:val="000000"/>
          <w:sz w:val="18"/>
          <w:szCs w:val="18"/>
          <w:lang w:val="hy-AM"/>
        </w:rPr>
        <w:t>Աղբյուրը` ՀՀ  վիճակագրական կոմիտե,  «Հայաստանի Հանրապետության սոցիալ-տնտեսական վիճակը» ամսական զեկույցներ:</w:t>
      </w:r>
    </w:p>
  </w:footnote>
  <w:footnote w:id="16">
    <w:p w14:paraId="689B95B4" w14:textId="77777777" w:rsidR="006C6FF6" w:rsidRPr="00CF2B70" w:rsidRDefault="006C6FF6" w:rsidP="00507805">
      <w:pPr>
        <w:pStyle w:val="FootnoteText"/>
        <w:rPr>
          <w:lang w:val="hy-AM"/>
        </w:rPr>
      </w:pPr>
      <w:r>
        <w:rPr>
          <w:rStyle w:val="FootnoteReference"/>
        </w:rPr>
        <w:footnoteRef/>
      </w:r>
      <w:r w:rsidRPr="00CF2B70">
        <w:rPr>
          <w:lang w:val="hy-AM"/>
        </w:rPr>
        <w:t xml:space="preserve"> </w:t>
      </w:r>
      <w:r w:rsidRPr="00CF2B70">
        <w:rPr>
          <w:sz w:val="16"/>
          <w:szCs w:val="16"/>
          <w:lang w:val="hy-AM"/>
        </w:rPr>
        <w:t>Աղբյուրը՝ ՀՀ Զբոսաշրջության կոմիտե:</w:t>
      </w:r>
    </w:p>
  </w:footnote>
  <w:footnote w:id="17">
    <w:p w14:paraId="33CB0EFB" w14:textId="77777777" w:rsidR="006C6FF6" w:rsidRPr="00E77731" w:rsidRDefault="006C6FF6" w:rsidP="00507805">
      <w:pPr>
        <w:pStyle w:val="Footnote"/>
        <w:ind w:right="1826"/>
      </w:pPr>
      <w:r w:rsidRPr="007F49F0">
        <w:rPr>
          <w:vertAlign w:val="superscript"/>
        </w:rPr>
        <w:footnoteRef/>
      </w:r>
      <w:r w:rsidRPr="00E77731">
        <w:t xml:space="preserve"> </w:t>
      </w:r>
      <w:r w:rsidRPr="00F65146">
        <w:t>https://old.cba.am/AM/pperiodicals/MPR_2026Q3_ARM.pdf</w:t>
      </w:r>
    </w:p>
  </w:footnote>
  <w:footnote w:id="18">
    <w:p w14:paraId="100A7EF0" w14:textId="77777777" w:rsidR="006C6FF6" w:rsidRPr="00E77731" w:rsidRDefault="006C6FF6" w:rsidP="00507805">
      <w:pPr>
        <w:pStyle w:val="Footnote"/>
        <w:ind w:right="26"/>
        <w:jc w:val="both"/>
      </w:pPr>
      <w:r w:rsidRPr="00850F7C">
        <w:rPr>
          <w:vertAlign w:val="superscript"/>
        </w:rPr>
        <w:footnoteRef/>
      </w:r>
      <w:r w:rsidRPr="00850F7C">
        <w:rPr>
          <w:vertAlign w:val="superscript"/>
        </w:rPr>
        <w:t xml:space="preserve"> </w:t>
      </w:r>
      <w:r w:rsidRPr="00E77731">
        <w:t>ՀՀ ֆինանսների նախարարության Արարատ հարկաբյուջետային ռազմավարության դինամիկ ստոխաստիկ ընդհանուր հավասարակշռության մոդելը մշակվել է 2018-2020 թվականների ընթացքում՝ ԱՄՀ կողմից տրամադրված տեխնիկական աջակցության շրջանակներում: Առավել մանրամասն տե՛ս ՀՀ կառավարության 2021 թվականի բյուջետային ուղերձ, Երևան 2020, էջ՝ 84, ներդիր 2: Մոդելը և կիրառությունները նկարագրող ամբողջական աշխատանքային փաստաթուղթը տե՛ս հետևյալ հղմամբ՝ https://www.imf.org/en/Publications/WP/Issues/2022/06/10/The-Ararat-Fiscal-Strategy-Model-A-Structural-Framework-for-Fi</w:t>
      </w:r>
      <w:r>
        <w:t>scal-Policy-Analysis-in-519522:</w:t>
      </w:r>
    </w:p>
  </w:footnote>
  <w:footnote w:id="19">
    <w:p w14:paraId="7DB48929" w14:textId="77777777" w:rsidR="006C6FF6" w:rsidRPr="00412C8B" w:rsidRDefault="006C6FF6" w:rsidP="00507805">
      <w:pPr>
        <w:pStyle w:val="Footnote"/>
        <w:tabs>
          <w:tab w:val="left" w:pos="7920"/>
        </w:tabs>
        <w:ind w:right="1826"/>
        <w:jc w:val="both"/>
      </w:pPr>
      <w:r w:rsidRPr="00FE34F4">
        <w:rPr>
          <w:vertAlign w:val="superscript"/>
        </w:rPr>
        <w:footnoteRef/>
      </w:r>
      <w:r w:rsidRPr="00FE34F4">
        <w:t>Աղյուսակի 1-ին սյունը ներկայացնում է տնտեսական աճի միջա</w:t>
      </w:r>
      <w:r w:rsidRPr="00FE34F4">
        <w:softHyphen/>
        <w:t>կայքերը, իսկ 2-ից 5-րդ սյուները՝ համապատասխան միջակայքերում աճի ձևավորման հավանականությունները։ 2.0–8.0% միջակայքի հավանականությունը 2026–2029 թթ. համապատասխանաբար կազմում է 83.2%, 72.2%, 69.5% և 69.7%։ Մնացած հավանականությունը վերաբերում է աղյուսակում չներկայացված՝ 2.0%-ից ցածր կամ 8.0%-ից բարձր աճի միջակայքերին։</w:t>
      </w:r>
    </w:p>
  </w:footnote>
  <w:footnote w:id="20">
    <w:p w14:paraId="31F1B1DD" w14:textId="77777777" w:rsidR="006C6FF6" w:rsidRPr="008B0AC8" w:rsidRDefault="006C6FF6" w:rsidP="00082769">
      <w:pPr>
        <w:pStyle w:val="Footnote"/>
        <w:ind w:right="1826"/>
        <w:jc w:val="both"/>
      </w:pPr>
      <w:r w:rsidRPr="00B845A5">
        <w:rPr>
          <w:vertAlign w:val="superscript"/>
        </w:rPr>
        <w:footnoteRef/>
      </w:r>
      <w:r w:rsidRPr="008B0AC8">
        <w:t xml:space="preserve">Առանձին հարկատեսակների գծով ներկայացված են ուղենիշային կանխատեսումները (հիմնված մակրոտնտեսական ցուցանիշների կանխատեսումների վրա), որոնք պլանային ցուցանիշներ չեն հանդիսանում: </w:t>
      </w:r>
    </w:p>
    <w:p w14:paraId="20414846" w14:textId="77777777" w:rsidR="006C6FF6" w:rsidRPr="008B0AC8" w:rsidRDefault="006C6FF6" w:rsidP="00082769">
      <w:pPr>
        <w:rPr>
          <w:lang w:val="hy-AM"/>
        </w:rPr>
      </w:pPr>
    </w:p>
  </w:footnote>
  <w:footnote w:id="21">
    <w:p w14:paraId="037E68DF" w14:textId="77777777" w:rsidR="006C6FF6" w:rsidRPr="003E7987" w:rsidRDefault="006C6FF6" w:rsidP="00082769">
      <w:pPr>
        <w:pStyle w:val="Footnote"/>
        <w:ind w:right="1826"/>
      </w:pPr>
      <w:r w:rsidRPr="003E7987">
        <w:rPr>
          <w:vertAlign w:val="superscript"/>
        </w:rPr>
        <w:footnoteRef/>
      </w:r>
      <w:r w:rsidRPr="003E7987">
        <w:t xml:space="preserve"> Հարկաբյուջետային ազդակի հաշվարկներում օգտագործված եկամուտների և ծախսերի ցուցանիշներում կատարվել են անհրաժեշտ ճշգրտումներ՝ արտացոլելու կառավարության կողմից իրականացված այն բոլոր գործառնությունները, որոնք չեն ներառվել ծախսերում, սակայն կարող են ազդեցություն ունեցած լինել ամբողջական պահանջարկի վրա, կամ հակառակը։  </w:t>
      </w:r>
    </w:p>
  </w:footnote>
  <w:footnote w:id="22">
    <w:p w14:paraId="2389D269" w14:textId="77777777" w:rsidR="006C6FF6" w:rsidRPr="003E7987" w:rsidRDefault="006C6FF6" w:rsidP="00082769">
      <w:pPr>
        <w:pStyle w:val="Footnote"/>
        <w:tabs>
          <w:tab w:val="left" w:pos="7920"/>
        </w:tabs>
        <w:ind w:right="1826"/>
        <w:jc w:val="both"/>
      </w:pPr>
      <w:r w:rsidRPr="003E7987">
        <w:rPr>
          <w:vertAlign w:val="superscript"/>
        </w:rPr>
        <w:footnoteRef/>
      </w:r>
      <w:r w:rsidRPr="003E7987">
        <w:t xml:space="preserve"> ՀՀ կառավարության պարտքի բեռի փոփոխության տրոհումը ըստ գործոնների հաշվարկվել է բաց տնտեսությունում «պարտքի շարժման» բանաձևի օգնությամբ, որտեղ պարտքի փոփոխությունը ֆունկցիա է տնտեսական աճից, բյուջեի առաջնային հաշվեկշռից, փոխարժեքից, իրական տոկոսադրույքից և պարտք առաջացնող այլ հոսքերից (ՀՀ համար՝ զուտ վարկավորում պետական բյուջեից)։ Հաշվարկման ընթացքում այս գործոններով չբացատրված պարտքի փոփոխության չափը արտացոլվում է որպես «մնացորդ», և կարող է բնութագրել քրոս (արժույթների միմյանց նկատմամբ) փոխարժեքների փոփոխությամբ պայմանավորված վերագնահատման ազդեցությունները։  </w:t>
      </w:r>
    </w:p>
  </w:footnote>
  <w:footnote w:id="23">
    <w:p w14:paraId="7959BDBD" w14:textId="77777777" w:rsidR="006C6FF6" w:rsidRPr="00C3014C" w:rsidRDefault="006C6FF6" w:rsidP="00082769">
      <w:pPr>
        <w:pStyle w:val="Footnote"/>
        <w:ind w:right="1826"/>
        <w:jc w:val="both"/>
      </w:pPr>
      <w:r w:rsidRPr="003E7987">
        <w:rPr>
          <w:vertAlign w:val="superscript"/>
        </w:rPr>
        <w:footnoteRef/>
      </w:r>
      <w:r w:rsidRPr="003E7987">
        <w:t xml:space="preserve"> Այս հատվածում նկարագրված ռիսկերի առավել մանրամասն վերլուծությունը ներկայացված է այս փաստաթղթի ՄԱՍ IV-ի «Պետական բյուջեի վրա մակրոտնտեսական կանխատեսված ցուցանիշներից շեղման ռիսկերի ազդեցության քանակական գնահատում» և «ՀՀ կառավարության պարտքի կայունության վերլուծություն» բաժիններում։ </w:t>
      </w:r>
    </w:p>
  </w:footnote>
  <w:footnote w:id="24">
    <w:p w14:paraId="777B37DC" w14:textId="4B252CFA" w:rsidR="006C6FF6" w:rsidRPr="00C3014C" w:rsidRDefault="006C6FF6" w:rsidP="00FA08BF">
      <w:pPr>
        <w:pStyle w:val="Footnote"/>
        <w:ind w:right="1826"/>
        <w:jc w:val="both"/>
        <w:rPr>
          <w:lang w:val="af-ZA"/>
        </w:rPr>
      </w:pPr>
      <w:r w:rsidRPr="00C25C64">
        <w:rPr>
          <w:vertAlign w:val="superscript"/>
        </w:rPr>
        <w:footnoteRef/>
      </w:r>
      <w:r w:rsidRPr="00E77731">
        <w:t xml:space="preserve"> </w:t>
      </w:r>
      <w:r w:rsidRPr="004C2207">
        <w:t>Ոչ ֆինանսական ակտիվների գծով 202</w:t>
      </w:r>
      <w:r>
        <w:t>7</w:t>
      </w:r>
      <w:r w:rsidRPr="00A845F4">
        <w:t>-202</w:t>
      </w:r>
      <w:r>
        <w:t>9</w:t>
      </w:r>
      <w:r w:rsidRPr="004C2207">
        <w:t>թ</w:t>
      </w:r>
      <w:r>
        <w:t>թ</w:t>
      </w:r>
      <w:r w:rsidRPr="004C2207">
        <w:t xml:space="preserve"> ծախսերում ներառված են նաև ոչ ֆինանսական ակտիվների օտարումից մուտքեր`  10.0 մլրդ դրամ, իսկ ՀՀ 202</w:t>
      </w:r>
      <w:r>
        <w:t>3</w:t>
      </w:r>
      <w:r w:rsidRPr="004C2207">
        <w:t>-202</w:t>
      </w:r>
      <w:r>
        <w:t>6</w:t>
      </w:r>
      <w:r w:rsidRPr="004C2207">
        <w:t xml:space="preserve">թթ. պետական բյուջեով համապատասխանաբար՝ </w:t>
      </w:r>
      <w:r>
        <w:t>21.7</w:t>
      </w:r>
      <w:r w:rsidRPr="004C2207">
        <w:t xml:space="preserve"> մլրդ դրամ, </w:t>
      </w:r>
      <w:r>
        <w:t>16.1</w:t>
      </w:r>
      <w:r w:rsidRPr="004C2207">
        <w:t xml:space="preserve"> մլրդ դրամ, </w:t>
      </w:r>
      <w:r>
        <w:t>9.8</w:t>
      </w:r>
      <w:r w:rsidRPr="004C2207">
        <w:t xml:space="preserve"> մլրդ դրամ և</w:t>
      </w:r>
      <w:r>
        <w:t>2027-2029</w:t>
      </w:r>
      <w:r>
        <w:rPr>
          <w:rFonts w:ascii="Arial" w:hAnsi="Arial"/>
        </w:rPr>
        <w:t xml:space="preserve">թթ՝ </w:t>
      </w:r>
      <w:r w:rsidRPr="004C2207">
        <w:t xml:space="preserve"> 1</w:t>
      </w:r>
      <w:r>
        <w:t>0</w:t>
      </w:r>
      <w:r w:rsidRPr="004C2207">
        <w:t>.0 մլրդ դրամ:</w:t>
      </w:r>
    </w:p>
    <w:p w14:paraId="4D1AE496" w14:textId="77777777" w:rsidR="006C6FF6" w:rsidRPr="00C3014C" w:rsidRDefault="006C6FF6" w:rsidP="00FA08BF">
      <w:pPr>
        <w:rPr>
          <w:lang w:val="hy-AM"/>
        </w:rPr>
      </w:pPr>
    </w:p>
  </w:footnote>
  <w:footnote w:id="25">
    <w:p w14:paraId="1CCE42BF" w14:textId="77777777" w:rsidR="006C6FF6" w:rsidRPr="009C22CA" w:rsidRDefault="006C6FF6" w:rsidP="009939F6">
      <w:pPr>
        <w:pStyle w:val="Footnote"/>
        <w:ind w:right="1826"/>
      </w:pPr>
      <w:r>
        <w:rPr>
          <w:vertAlign w:val="superscript"/>
        </w:rPr>
        <w:footnoteRef/>
      </w:r>
      <w:r>
        <w:rPr>
          <w:vertAlign w:val="superscript"/>
        </w:rPr>
        <w:t xml:space="preserve"> </w:t>
      </w:r>
      <w:r>
        <w:t xml:space="preserve">Տե՛ս Babajanyan, V., Baksa, D., Fukac, M. M., Hakobyan, E., Harutyunyan, A., Karapetyan, N., ... &amp; Zanna, L. F. (2022). The ararat fiscal strategy model: a structural framework for fiscal policy analysis in Armenia. International Monetary Fund. </w:t>
      </w:r>
      <w:hyperlink r:id="rId7" w:history="1">
        <w:r>
          <w:rPr>
            <w:rStyle w:val="Hyperlink1"/>
          </w:rPr>
          <w:t>https://www.imf.org/en/Publications/WP/Issues/2022/06/10/The-Ararat-Fiscal-Strategy-Model-A-Structural-Framework-for-Fiscal-Policy-Analysis-in-519522</w:t>
        </w:r>
      </w:hyperlink>
      <w:r>
        <w:t xml:space="preserve"> </w:t>
      </w:r>
    </w:p>
  </w:footnote>
  <w:footnote w:id="26">
    <w:p w14:paraId="2FE3515C" w14:textId="77777777" w:rsidR="006C6FF6" w:rsidRDefault="006C6FF6" w:rsidP="009939F6">
      <w:pPr>
        <w:pStyle w:val="Footnote"/>
        <w:ind w:right="1826"/>
        <w:rPr>
          <w:lang w:val="ro-RO"/>
        </w:rPr>
      </w:pPr>
      <w:r>
        <w:rPr>
          <w:vertAlign w:val="superscript"/>
        </w:rPr>
        <w:footnoteRef/>
      </w:r>
      <w:r>
        <w:t>ՀՆԱ, ներմուծման, փոխարժեքի և գների գծով հավանական ռիսկերի քանակային գնահատականը ստացվել է` հիմք ընդունելով այս գործոնների պատմական շարժի բացարձակ միջին սխալը:</w:t>
      </w:r>
    </w:p>
  </w:footnote>
  <w:footnote w:id="27">
    <w:p w14:paraId="3EB50433" w14:textId="77777777" w:rsidR="006C6FF6" w:rsidRDefault="006C6FF6" w:rsidP="009939F6">
      <w:pPr>
        <w:pStyle w:val="Footnote"/>
        <w:ind w:right="1826"/>
        <w:rPr>
          <w:lang w:val="ro-RO"/>
        </w:rPr>
      </w:pPr>
      <w:r>
        <w:rPr>
          <w:vertAlign w:val="superscript"/>
        </w:rPr>
        <w:footnoteRef/>
      </w:r>
      <w:r>
        <w:rPr>
          <w:vertAlign w:val="superscript"/>
          <w:lang w:val="ro-RO"/>
        </w:rPr>
        <w:t xml:space="preserve"> </w:t>
      </w:r>
      <w:r>
        <w:t>Ընդհանուր</w:t>
      </w:r>
      <w:r>
        <w:rPr>
          <w:lang w:val="ro-RO"/>
        </w:rPr>
        <w:t xml:space="preserve"> </w:t>
      </w:r>
      <w:r>
        <w:t>ազդեցության</w:t>
      </w:r>
      <w:r>
        <w:rPr>
          <w:lang w:val="ro-RO"/>
        </w:rPr>
        <w:t xml:space="preserve"> </w:t>
      </w:r>
      <w:r>
        <w:t>գնահատականը</w:t>
      </w:r>
      <w:r>
        <w:rPr>
          <w:lang w:val="ro-RO"/>
        </w:rPr>
        <w:t xml:space="preserve"> </w:t>
      </w:r>
      <w:r>
        <w:t>հիմնված</w:t>
      </w:r>
      <w:r>
        <w:rPr>
          <w:lang w:val="ro-RO"/>
        </w:rPr>
        <w:t xml:space="preserve"> </w:t>
      </w:r>
      <w:r>
        <w:t>է</w:t>
      </w:r>
      <w:r>
        <w:rPr>
          <w:lang w:val="ro-RO"/>
        </w:rPr>
        <w:t xml:space="preserve"> </w:t>
      </w:r>
      <w:r>
        <w:t>մակրոտնտեսական</w:t>
      </w:r>
      <w:r>
        <w:rPr>
          <w:lang w:val="ro-RO"/>
        </w:rPr>
        <w:t xml:space="preserve"> </w:t>
      </w:r>
      <w:r>
        <w:t>ռիսկերի</w:t>
      </w:r>
      <w:r>
        <w:rPr>
          <w:lang w:val="ro-RO"/>
        </w:rPr>
        <w:t xml:space="preserve"> </w:t>
      </w:r>
      <w:r>
        <w:t>առանձին</w:t>
      </w:r>
      <w:r>
        <w:rPr>
          <w:lang w:val="ro-RO"/>
        </w:rPr>
        <w:t xml:space="preserve"> </w:t>
      </w:r>
      <w:r>
        <w:t>հանդես</w:t>
      </w:r>
      <w:r>
        <w:rPr>
          <w:lang w:val="ro-RO"/>
        </w:rPr>
        <w:t xml:space="preserve"> </w:t>
      </w:r>
      <w:r>
        <w:t>գալու</w:t>
      </w:r>
      <w:r>
        <w:rPr>
          <w:lang w:val="ro-RO"/>
        </w:rPr>
        <w:t xml:space="preserve"> </w:t>
      </w:r>
      <w:r>
        <w:t>ենթադրության</w:t>
      </w:r>
      <w:r>
        <w:rPr>
          <w:lang w:val="ro-RO"/>
        </w:rPr>
        <w:t xml:space="preserve"> </w:t>
      </w:r>
      <w:r>
        <w:t>վրա</w:t>
      </w:r>
      <w:r>
        <w:rPr>
          <w:lang w:val="ro-RO"/>
        </w:rPr>
        <w:t>:</w:t>
      </w:r>
    </w:p>
  </w:footnote>
  <w:footnote w:id="28">
    <w:p w14:paraId="4EF717EB" w14:textId="77777777" w:rsidR="006C6FF6" w:rsidRPr="006B49BA" w:rsidRDefault="006C6FF6" w:rsidP="006F75BA">
      <w:pPr>
        <w:pStyle w:val="FootnoteText"/>
        <w:rPr>
          <w:lang w:val="hy-AM"/>
        </w:rPr>
      </w:pPr>
      <w:r>
        <w:rPr>
          <w:rStyle w:val="FootnoteReference"/>
        </w:rPr>
        <w:footnoteRef/>
      </w:r>
      <w:r w:rsidRPr="00FA08BF">
        <w:rPr>
          <w:lang w:val="hy-AM"/>
        </w:rPr>
        <w:t xml:space="preserve"> </w:t>
      </w:r>
      <w:r w:rsidRPr="0052459E">
        <w:rPr>
          <w:rFonts w:ascii="GHEA Grapalat" w:hAnsi="GHEA Grapalat"/>
          <w:sz w:val="18"/>
          <w:szCs w:val="18"/>
          <w:lang w:val="hy-AM"/>
        </w:rPr>
        <w:t>Հաշվարկի մեջ ներառված են նաև այն ընկերությունները, որոնք գտնվում են լուծարման գործընթացում</w:t>
      </w:r>
    </w:p>
  </w:footnote>
  <w:footnote w:id="29">
    <w:p w14:paraId="2FC3BE60" w14:textId="77777777" w:rsidR="006C6FF6" w:rsidRPr="0052459E" w:rsidRDefault="006C6FF6" w:rsidP="005D4274">
      <w:pPr>
        <w:spacing w:before="0" w:after="0" w:line="240" w:lineRule="auto"/>
        <w:jc w:val="both"/>
        <w:rPr>
          <w:rFonts w:ascii="GHEA Grapalat" w:eastAsia="GHEA Grapalat" w:hAnsi="GHEA Grapalat"/>
          <w:color w:val="000000"/>
          <w:sz w:val="18"/>
          <w:szCs w:val="18"/>
          <w:lang w:val="ro-RO"/>
        </w:rPr>
      </w:pPr>
      <w:r w:rsidRPr="0052459E">
        <w:rPr>
          <w:rStyle w:val="FootnoteReference"/>
          <w:rFonts w:ascii="GHEA Grapalat" w:hAnsi="GHEA Grapalat"/>
          <w:sz w:val="18"/>
          <w:szCs w:val="18"/>
        </w:rPr>
        <w:footnoteRef/>
      </w:r>
      <w:r w:rsidRPr="0052459E">
        <w:rPr>
          <w:rFonts w:ascii="GHEA Grapalat" w:eastAsia="GHEA Grapalat" w:hAnsi="GHEA Grapalat"/>
          <w:color w:val="000000"/>
          <w:sz w:val="18"/>
          <w:szCs w:val="18"/>
          <w:lang w:val="ro-RO"/>
        </w:rPr>
        <w:t xml:space="preserve"> </w:t>
      </w:r>
      <w:r w:rsidRPr="0052459E">
        <w:rPr>
          <w:rFonts w:ascii="GHEA Grapalat" w:eastAsia="GHEA Grapalat" w:hAnsi="GHEA Grapalat"/>
          <w:color w:val="000000"/>
          <w:sz w:val="18"/>
          <w:szCs w:val="18"/>
          <w:lang w:val="hy-AM"/>
        </w:rPr>
        <w:t>Ներառված</w:t>
      </w:r>
      <w:r w:rsidRPr="0052459E">
        <w:rPr>
          <w:rFonts w:ascii="GHEA Grapalat" w:eastAsia="GHEA Grapalat" w:hAnsi="GHEA Grapalat"/>
          <w:color w:val="000000"/>
          <w:sz w:val="18"/>
          <w:szCs w:val="18"/>
          <w:lang w:val="ro-RO"/>
        </w:rPr>
        <w:t xml:space="preserve"> </w:t>
      </w:r>
      <w:r w:rsidRPr="0052459E">
        <w:rPr>
          <w:rFonts w:ascii="GHEA Grapalat" w:eastAsia="GHEA Grapalat" w:hAnsi="GHEA Grapalat"/>
          <w:color w:val="000000"/>
          <w:sz w:val="18"/>
          <w:szCs w:val="18"/>
          <w:lang w:val="hy-AM"/>
        </w:rPr>
        <w:t>են</w:t>
      </w:r>
      <w:r w:rsidRPr="0052459E">
        <w:rPr>
          <w:rFonts w:ascii="GHEA Grapalat" w:eastAsia="GHEA Grapalat" w:hAnsi="GHEA Grapalat"/>
          <w:color w:val="000000"/>
          <w:sz w:val="18"/>
          <w:szCs w:val="18"/>
          <w:lang w:val="ro-RO"/>
        </w:rPr>
        <w:t xml:space="preserve"> </w:t>
      </w:r>
      <w:r w:rsidRPr="0052459E">
        <w:rPr>
          <w:rFonts w:ascii="GHEA Grapalat" w:eastAsia="GHEA Grapalat" w:hAnsi="GHEA Grapalat"/>
          <w:color w:val="000000"/>
          <w:sz w:val="18"/>
          <w:szCs w:val="18"/>
          <w:lang w:val="hy-AM"/>
        </w:rPr>
        <w:t>նաև</w:t>
      </w:r>
      <w:r w:rsidRPr="0052459E">
        <w:rPr>
          <w:rFonts w:ascii="GHEA Grapalat" w:eastAsia="GHEA Grapalat" w:hAnsi="GHEA Grapalat"/>
          <w:color w:val="000000"/>
          <w:sz w:val="18"/>
          <w:szCs w:val="18"/>
          <w:lang w:val="ro-RO"/>
        </w:rPr>
        <w:t xml:space="preserve"> </w:t>
      </w:r>
      <w:r w:rsidRPr="0052459E">
        <w:rPr>
          <w:rFonts w:ascii="GHEA Grapalat" w:eastAsia="GHEA Grapalat" w:hAnsi="GHEA Grapalat"/>
          <w:color w:val="000000"/>
          <w:sz w:val="18"/>
          <w:szCs w:val="18"/>
          <w:lang w:val="hy-AM"/>
        </w:rPr>
        <w:t>Երևան</w:t>
      </w:r>
      <w:r w:rsidRPr="0052459E">
        <w:rPr>
          <w:rFonts w:ascii="GHEA Grapalat" w:eastAsia="GHEA Grapalat" w:hAnsi="GHEA Grapalat"/>
          <w:color w:val="000000"/>
          <w:sz w:val="18"/>
          <w:szCs w:val="18"/>
          <w:lang w:val="ro-RO"/>
        </w:rPr>
        <w:t xml:space="preserve"> </w:t>
      </w:r>
      <w:r w:rsidRPr="0052459E">
        <w:rPr>
          <w:rFonts w:ascii="GHEA Grapalat" w:eastAsia="GHEA Grapalat" w:hAnsi="GHEA Grapalat"/>
          <w:color w:val="000000"/>
          <w:sz w:val="18"/>
          <w:szCs w:val="18"/>
          <w:lang w:val="hy-AM"/>
        </w:rPr>
        <w:t>քաղաքապետարանի</w:t>
      </w:r>
      <w:r w:rsidRPr="0052459E">
        <w:rPr>
          <w:rFonts w:ascii="GHEA Grapalat" w:eastAsia="GHEA Grapalat" w:hAnsi="GHEA Grapalat"/>
          <w:color w:val="000000"/>
          <w:sz w:val="18"/>
          <w:szCs w:val="18"/>
          <w:lang w:val="ro-RO"/>
        </w:rPr>
        <w:t xml:space="preserve"> </w:t>
      </w:r>
      <w:r w:rsidRPr="0052459E">
        <w:rPr>
          <w:rFonts w:ascii="GHEA Grapalat" w:eastAsia="GHEA Grapalat" w:hAnsi="GHEA Grapalat"/>
          <w:color w:val="000000"/>
          <w:sz w:val="18"/>
          <w:szCs w:val="18"/>
          <w:lang w:val="hy-AM"/>
        </w:rPr>
        <w:t>ենթակայության</w:t>
      </w:r>
      <w:r w:rsidRPr="0052459E">
        <w:rPr>
          <w:rFonts w:ascii="GHEA Grapalat" w:eastAsia="GHEA Grapalat" w:hAnsi="GHEA Grapalat"/>
          <w:color w:val="000000"/>
          <w:sz w:val="18"/>
          <w:szCs w:val="18"/>
          <w:lang w:val="ro-RO"/>
        </w:rPr>
        <w:t xml:space="preserve"> </w:t>
      </w:r>
      <w:r w:rsidRPr="0052459E">
        <w:rPr>
          <w:rFonts w:ascii="GHEA Grapalat" w:eastAsia="GHEA Grapalat" w:hAnsi="GHEA Grapalat"/>
          <w:color w:val="000000"/>
          <w:sz w:val="18"/>
          <w:szCs w:val="18"/>
          <w:lang w:val="hy-AM"/>
        </w:rPr>
        <w:t>տակ</w:t>
      </w:r>
      <w:r w:rsidRPr="0052459E">
        <w:rPr>
          <w:rFonts w:ascii="GHEA Grapalat" w:eastAsia="GHEA Grapalat" w:hAnsi="GHEA Grapalat"/>
          <w:color w:val="000000"/>
          <w:sz w:val="18"/>
          <w:szCs w:val="18"/>
          <w:lang w:val="ro-RO"/>
        </w:rPr>
        <w:t xml:space="preserve"> </w:t>
      </w:r>
      <w:r w:rsidRPr="0052459E">
        <w:rPr>
          <w:rFonts w:ascii="GHEA Grapalat" w:eastAsia="GHEA Grapalat" w:hAnsi="GHEA Grapalat"/>
          <w:color w:val="000000"/>
          <w:sz w:val="18"/>
          <w:szCs w:val="18"/>
          <w:lang w:val="hy-AM"/>
        </w:rPr>
        <w:t>գտնվող</w:t>
      </w:r>
      <w:r w:rsidRPr="0052459E">
        <w:rPr>
          <w:rFonts w:ascii="GHEA Grapalat" w:eastAsia="GHEA Grapalat" w:hAnsi="GHEA Grapalat"/>
          <w:color w:val="000000"/>
          <w:sz w:val="18"/>
          <w:szCs w:val="18"/>
          <w:lang w:val="ro-RO"/>
        </w:rPr>
        <w:t xml:space="preserve"> </w:t>
      </w:r>
      <w:r w:rsidRPr="0052459E">
        <w:rPr>
          <w:rFonts w:ascii="GHEA Grapalat" w:eastAsia="GHEA Grapalat" w:hAnsi="GHEA Grapalat"/>
          <w:color w:val="000000"/>
          <w:sz w:val="18"/>
          <w:szCs w:val="18"/>
          <w:lang w:val="hy-AM"/>
        </w:rPr>
        <w:t>համայնքային</w:t>
      </w:r>
      <w:r w:rsidRPr="0052459E">
        <w:rPr>
          <w:rFonts w:ascii="GHEA Grapalat" w:eastAsia="GHEA Grapalat" w:hAnsi="GHEA Grapalat"/>
          <w:color w:val="000000"/>
          <w:sz w:val="18"/>
          <w:szCs w:val="18"/>
          <w:lang w:val="ro-RO"/>
        </w:rPr>
        <w:t xml:space="preserve"> </w:t>
      </w:r>
      <w:r w:rsidRPr="0052459E">
        <w:rPr>
          <w:rFonts w:ascii="GHEA Grapalat" w:eastAsia="GHEA Grapalat" w:hAnsi="GHEA Grapalat"/>
          <w:color w:val="000000"/>
          <w:sz w:val="18"/>
          <w:szCs w:val="18"/>
          <w:lang w:val="hy-AM"/>
        </w:rPr>
        <w:t>մասնակցությամբ</w:t>
      </w:r>
      <w:r w:rsidRPr="0052459E">
        <w:rPr>
          <w:rFonts w:ascii="GHEA Grapalat" w:eastAsia="GHEA Grapalat" w:hAnsi="GHEA Grapalat"/>
          <w:color w:val="000000"/>
          <w:sz w:val="18"/>
          <w:szCs w:val="18"/>
          <w:lang w:val="ro-RO"/>
        </w:rPr>
        <w:t xml:space="preserve"> </w:t>
      </w:r>
      <w:r w:rsidRPr="0052459E">
        <w:rPr>
          <w:rFonts w:ascii="GHEA Grapalat" w:eastAsia="GHEA Grapalat" w:hAnsi="GHEA Grapalat"/>
          <w:color w:val="000000"/>
          <w:sz w:val="18"/>
          <w:szCs w:val="18"/>
          <w:lang w:val="hy-AM"/>
        </w:rPr>
        <w:t>ընկերությունների</w:t>
      </w:r>
      <w:r w:rsidRPr="0052459E">
        <w:rPr>
          <w:rFonts w:ascii="GHEA Grapalat" w:eastAsia="GHEA Grapalat" w:hAnsi="GHEA Grapalat"/>
          <w:color w:val="000000"/>
          <w:sz w:val="18"/>
          <w:szCs w:val="18"/>
          <w:lang w:val="ro-RO"/>
        </w:rPr>
        <w:t xml:space="preserve"> </w:t>
      </w:r>
      <w:r w:rsidRPr="0052459E">
        <w:rPr>
          <w:rFonts w:ascii="GHEA Grapalat" w:eastAsia="GHEA Grapalat" w:hAnsi="GHEA Grapalat"/>
          <w:color w:val="000000"/>
          <w:sz w:val="18"/>
          <w:szCs w:val="18"/>
          <w:lang w:val="hy-AM"/>
        </w:rPr>
        <w:t>տվյալները</w:t>
      </w:r>
      <w:r w:rsidRPr="0052459E">
        <w:rPr>
          <w:rFonts w:ascii="GHEA Grapalat" w:eastAsia="GHEA Grapalat" w:hAnsi="GHEA Grapalat"/>
          <w:color w:val="000000"/>
          <w:sz w:val="18"/>
          <w:szCs w:val="18"/>
          <w:lang w:val="ro-RO"/>
        </w:rPr>
        <w:t>:</w:t>
      </w:r>
    </w:p>
  </w:footnote>
  <w:footnote w:id="30">
    <w:p w14:paraId="7CA6AB79" w14:textId="77777777" w:rsidR="006C6FF6" w:rsidRPr="005D4274" w:rsidRDefault="006C6FF6" w:rsidP="005D4274">
      <w:pPr>
        <w:pStyle w:val="FootnoteText"/>
        <w:jc w:val="both"/>
        <w:rPr>
          <w:rFonts w:ascii="GHEA Grapalat" w:hAnsi="GHEA Grapalat"/>
          <w:lang w:val="ro-RO"/>
        </w:rPr>
      </w:pPr>
      <w:r w:rsidRPr="005D4274">
        <w:rPr>
          <w:rStyle w:val="FootnoteReference"/>
          <w:rFonts w:ascii="GHEA Grapalat" w:hAnsi="GHEA Grapalat"/>
        </w:rPr>
        <w:footnoteRef/>
      </w:r>
      <w:r w:rsidRPr="005D4274">
        <w:rPr>
          <w:rFonts w:ascii="GHEA Grapalat" w:hAnsi="GHEA Grapalat"/>
          <w:lang w:val="ro-RO"/>
        </w:rPr>
        <w:t xml:space="preserve"> </w:t>
      </w:r>
      <w:r w:rsidRPr="005D4274">
        <w:rPr>
          <w:rFonts w:ascii="GHEA Grapalat" w:eastAsia="GHEA Grapalat" w:hAnsi="GHEA Grapalat"/>
          <w:color w:val="000000"/>
          <w:sz w:val="16"/>
          <w:szCs w:val="16"/>
        </w:rPr>
        <w:t>Ներառված</w:t>
      </w:r>
      <w:r w:rsidRPr="005D4274">
        <w:rPr>
          <w:rFonts w:ascii="GHEA Grapalat" w:eastAsia="GHEA Grapalat" w:hAnsi="GHEA Grapalat"/>
          <w:color w:val="000000"/>
          <w:sz w:val="16"/>
          <w:szCs w:val="16"/>
          <w:lang w:val="ro-RO"/>
        </w:rPr>
        <w:t xml:space="preserve"> </w:t>
      </w:r>
      <w:r w:rsidRPr="005D4274">
        <w:rPr>
          <w:rFonts w:ascii="GHEA Grapalat" w:eastAsia="GHEA Grapalat" w:hAnsi="GHEA Grapalat"/>
          <w:color w:val="000000"/>
          <w:sz w:val="16"/>
          <w:szCs w:val="16"/>
          <w:lang w:val="hy-AM"/>
        </w:rPr>
        <w:t>չ</w:t>
      </w:r>
      <w:r w:rsidRPr="005D4274">
        <w:rPr>
          <w:rFonts w:ascii="GHEA Grapalat" w:eastAsia="GHEA Grapalat" w:hAnsi="GHEA Grapalat"/>
          <w:color w:val="000000"/>
          <w:sz w:val="16"/>
          <w:szCs w:val="16"/>
        </w:rPr>
        <w:t>են</w:t>
      </w:r>
      <w:r w:rsidRPr="005D4274">
        <w:rPr>
          <w:rFonts w:ascii="GHEA Grapalat" w:eastAsia="GHEA Grapalat" w:hAnsi="GHEA Grapalat"/>
          <w:color w:val="000000"/>
          <w:sz w:val="16"/>
          <w:szCs w:val="16"/>
          <w:lang w:val="ro-RO"/>
        </w:rPr>
        <w:t xml:space="preserve"> </w:t>
      </w:r>
      <w:r w:rsidRPr="005D4274">
        <w:rPr>
          <w:rFonts w:ascii="GHEA Grapalat" w:eastAsia="GHEA Grapalat" w:hAnsi="GHEA Grapalat"/>
          <w:color w:val="000000"/>
          <w:sz w:val="16"/>
          <w:szCs w:val="16"/>
        </w:rPr>
        <w:t>Երևան</w:t>
      </w:r>
      <w:r w:rsidRPr="005D4274">
        <w:rPr>
          <w:rFonts w:ascii="GHEA Grapalat" w:eastAsia="GHEA Grapalat" w:hAnsi="GHEA Grapalat"/>
          <w:color w:val="000000"/>
          <w:sz w:val="16"/>
          <w:szCs w:val="16"/>
          <w:lang w:val="ro-RO"/>
        </w:rPr>
        <w:t xml:space="preserve"> </w:t>
      </w:r>
      <w:r w:rsidRPr="005D4274">
        <w:rPr>
          <w:rFonts w:ascii="GHEA Grapalat" w:eastAsia="GHEA Grapalat" w:hAnsi="GHEA Grapalat"/>
          <w:color w:val="000000"/>
          <w:sz w:val="16"/>
          <w:szCs w:val="16"/>
        </w:rPr>
        <w:t>քաղաքապետարանի</w:t>
      </w:r>
      <w:r w:rsidRPr="005D4274">
        <w:rPr>
          <w:rFonts w:ascii="GHEA Grapalat" w:eastAsia="GHEA Grapalat" w:hAnsi="GHEA Grapalat"/>
          <w:color w:val="000000"/>
          <w:sz w:val="16"/>
          <w:szCs w:val="16"/>
          <w:lang w:val="ro-RO"/>
        </w:rPr>
        <w:t xml:space="preserve"> </w:t>
      </w:r>
      <w:r w:rsidRPr="005D4274">
        <w:rPr>
          <w:rFonts w:ascii="GHEA Grapalat" w:eastAsia="GHEA Grapalat" w:hAnsi="GHEA Grapalat"/>
          <w:color w:val="000000"/>
          <w:sz w:val="16"/>
          <w:szCs w:val="16"/>
        </w:rPr>
        <w:t>ենթակայության</w:t>
      </w:r>
      <w:r w:rsidRPr="005D4274">
        <w:rPr>
          <w:rFonts w:ascii="GHEA Grapalat" w:eastAsia="GHEA Grapalat" w:hAnsi="GHEA Grapalat"/>
          <w:color w:val="000000"/>
          <w:sz w:val="16"/>
          <w:szCs w:val="16"/>
          <w:lang w:val="ro-RO"/>
        </w:rPr>
        <w:t xml:space="preserve"> </w:t>
      </w:r>
      <w:r w:rsidRPr="005D4274">
        <w:rPr>
          <w:rFonts w:ascii="GHEA Grapalat" w:eastAsia="GHEA Grapalat" w:hAnsi="GHEA Grapalat"/>
          <w:color w:val="000000"/>
          <w:sz w:val="16"/>
          <w:szCs w:val="16"/>
        </w:rPr>
        <w:t>տակ</w:t>
      </w:r>
      <w:r w:rsidRPr="005D4274">
        <w:rPr>
          <w:rFonts w:ascii="GHEA Grapalat" w:eastAsia="GHEA Grapalat" w:hAnsi="GHEA Grapalat"/>
          <w:color w:val="000000"/>
          <w:sz w:val="16"/>
          <w:szCs w:val="16"/>
          <w:lang w:val="ro-RO"/>
        </w:rPr>
        <w:t xml:space="preserve"> </w:t>
      </w:r>
      <w:r w:rsidRPr="005D4274">
        <w:rPr>
          <w:rFonts w:ascii="GHEA Grapalat" w:eastAsia="GHEA Grapalat" w:hAnsi="GHEA Grapalat"/>
          <w:color w:val="000000"/>
          <w:sz w:val="16"/>
          <w:szCs w:val="16"/>
        </w:rPr>
        <w:t>գտնվող</w:t>
      </w:r>
      <w:r w:rsidRPr="005D4274">
        <w:rPr>
          <w:rFonts w:ascii="GHEA Grapalat" w:eastAsia="GHEA Grapalat" w:hAnsi="GHEA Grapalat"/>
          <w:color w:val="000000"/>
          <w:sz w:val="16"/>
          <w:szCs w:val="16"/>
          <w:lang w:val="ro-RO"/>
        </w:rPr>
        <w:t xml:space="preserve"> </w:t>
      </w:r>
      <w:r w:rsidRPr="005D4274">
        <w:rPr>
          <w:rFonts w:ascii="GHEA Grapalat" w:eastAsia="GHEA Grapalat" w:hAnsi="GHEA Grapalat"/>
          <w:color w:val="000000"/>
          <w:sz w:val="16"/>
          <w:szCs w:val="16"/>
        </w:rPr>
        <w:t>համայնքային</w:t>
      </w:r>
      <w:r w:rsidRPr="005D4274">
        <w:rPr>
          <w:rFonts w:ascii="GHEA Grapalat" w:eastAsia="GHEA Grapalat" w:hAnsi="GHEA Grapalat"/>
          <w:color w:val="000000"/>
          <w:sz w:val="16"/>
          <w:szCs w:val="16"/>
          <w:lang w:val="ro-RO"/>
        </w:rPr>
        <w:t xml:space="preserve"> </w:t>
      </w:r>
      <w:r w:rsidRPr="005D4274">
        <w:rPr>
          <w:rFonts w:ascii="GHEA Grapalat" w:eastAsia="GHEA Grapalat" w:hAnsi="GHEA Grapalat"/>
          <w:color w:val="000000"/>
          <w:sz w:val="16"/>
          <w:szCs w:val="16"/>
        </w:rPr>
        <w:t>մասնակցությամբ</w:t>
      </w:r>
      <w:r w:rsidRPr="005D4274">
        <w:rPr>
          <w:rFonts w:ascii="GHEA Grapalat" w:eastAsia="GHEA Grapalat" w:hAnsi="GHEA Grapalat"/>
          <w:color w:val="000000"/>
          <w:sz w:val="16"/>
          <w:szCs w:val="16"/>
          <w:lang w:val="ro-RO"/>
        </w:rPr>
        <w:t xml:space="preserve"> </w:t>
      </w:r>
      <w:r w:rsidRPr="005D4274">
        <w:rPr>
          <w:rFonts w:ascii="GHEA Grapalat" w:eastAsia="GHEA Grapalat" w:hAnsi="GHEA Grapalat"/>
          <w:color w:val="000000"/>
          <w:sz w:val="16"/>
          <w:szCs w:val="16"/>
        </w:rPr>
        <w:t>ընկերությունների</w:t>
      </w:r>
      <w:r w:rsidRPr="005D4274">
        <w:rPr>
          <w:rFonts w:ascii="GHEA Grapalat" w:eastAsia="GHEA Grapalat" w:hAnsi="GHEA Grapalat"/>
          <w:color w:val="000000"/>
          <w:sz w:val="16"/>
          <w:szCs w:val="16"/>
          <w:lang w:val="ro-RO"/>
        </w:rPr>
        <w:t xml:space="preserve"> </w:t>
      </w:r>
      <w:r w:rsidRPr="005D4274">
        <w:rPr>
          <w:rFonts w:ascii="GHEA Grapalat" w:eastAsia="GHEA Grapalat" w:hAnsi="GHEA Grapalat"/>
          <w:color w:val="000000"/>
          <w:sz w:val="16"/>
          <w:szCs w:val="16"/>
        </w:rPr>
        <w:t>տվյալները</w:t>
      </w:r>
      <w:r w:rsidRPr="005D4274">
        <w:rPr>
          <w:rFonts w:ascii="GHEA Grapalat" w:eastAsia="GHEA Grapalat" w:hAnsi="GHEA Grapalat"/>
          <w:color w:val="000000"/>
          <w:sz w:val="16"/>
          <w:szCs w:val="16"/>
          <w:lang w:val="ro-RO"/>
        </w:rPr>
        <w:t>:</w:t>
      </w:r>
    </w:p>
  </w:footnote>
  <w:footnote w:id="31">
    <w:p w14:paraId="1CFEC69A" w14:textId="77777777" w:rsidR="006C6FF6" w:rsidRPr="005A4602" w:rsidRDefault="006C6FF6" w:rsidP="005A4602">
      <w:pPr>
        <w:pStyle w:val="FootnoteText"/>
        <w:jc w:val="both"/>
        <w:rPr>
          <w:rFonts w:ascii="GHEA Grapalat" w:eastAsia="GHEA Grapalat" w:hAnsi="GHEA Grapalat"/>
          <w:color w:val="000000"/>
          <w:sz w:val="18"/>
          <w:szCs w:val="18"/>
          <w:lang w:val="hy-AM"/>
        </w:rPr>
      </w:pPr>
      <w:r w:rsidRPr="005A4602">
        <w:rPr>
          <w:rStyle w:val="FootnoteReference"/>
          <w:rFonts w:ascii="GHEA Grapalat" w:hAnsi="GHEA Grapalat"/>
          <w:sz w:val="18"/>
          <w:szCs w:val="18"/>
        </w:rPr>
        <w:footnoteRef/>
      </w:r>
      <w:r w:rsidRPr="005A4602">
        <w:rPr>
          <w:rFonts w:ascii="GHEA Grapalat" w:hAnsi="GHEA Grapalat"/>
          <w:sz w:val="18"/>
          <w:szCs w:val="18"/>
          <w:lang w:val="ro-RO"/>
        </w:rPr>
        <w:t xml:space="preserve"> </w:t>
      </w:r>
      <w:r w:rsidRPr="005A4602">
        <w:rPr>
          <w:rFonts w:ascii="GHEA Grapalat" w:eastAsia="GHEA Grapalat" w:hAnsi="GHEA Grapalat" w:cs="Arial"/>
          <w:color w:val="000000"/>
          <w:sz w:val="18"/>
          <w:szCs w:val="18"/>
          <w:lang w:val="hy-AM"/>
        </w:rPr>
        <w:t>Չափում</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է</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ընկերության</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ֆինանսավորման</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մասնաբաժինը</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ինչը</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բխում</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է</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պարտավորություններից</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Բարձր</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հարաբերակցությունը</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ցույց</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է</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տալիս</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ավելի</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մեծ</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կախվածություն</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պարտքի</w:t>
      </w:r>
      <w:r w:rsidRPr="005A4602">
        <w:rPr>
          <w:rFonts w:ascii="GHEA Grapalat" w:eastAsia="GHEA Grapalat" w:hAnsi="GHEA Grapalat"/>
          <w:color w:val="000000"/>
          <w:sz w:val="18"/>
          <w:szCs w:val="18"/>
          <w:lang w:val="hy-AM"/>
        </w:rPr>
        <w:t xml:space="preserve"> </w:t>
      </w:r>
      <w:r w:rsidRPr="005A4602">
        <w:rPr>
          <w:rFonts w:ascii="GHEA Grapalat" w:eastAsia="GHEA Grapalat" w:hAnsi="GHEA Grapalat" w:cs="Arial"/>
          <w:color w:val="000000"/>
          <w:sz w:val="18"/>
          <w:szCs w:val="18"/>
          <w:lang w:val="hy-AM"/>
        </w:rPr>
        <w:t>ֆինանսավորումից</w:t>
      </w:r>
      <w:r w:rsidRPr="005A4602">
        <w:rPr>
          <w:rFonts w:ascii="GHEA Grapalat" w:eastAsia="GHEA Grapalat" w:hAnsi="GHEA Grapalat"/>
          <w:color w:val="000000"/>
          <w:sz w:val="18"/>
          <w:szCs w:val="18"/>
          <w:lang w:val="hy-AM"/>
        </w:rPr>
        <w:t>:</w:t>
      </w:r>
    </w:p>
  </w:footnote>
  <w:footnote w:id="32">
    <w:p w14:paraId="7515B8B7" w14:textId="77777777" w:rsidR="006C6FF6" w:rsidRPr="006B49BA" w:rsidRDefault="006C6FF6" w:rsidP="005A4602">
      <w:pPr>
        <w:pStyle w:val="FootnoteText"/>
        <w:jc w:val="both"/>
        <w:rPr>
          <w:lang w:val="ro-RO"/>
        </w:rPr>
      </w:pPr>
      <w:r w:rsidRPr="005A4602">
        <w:rPr>
          <w:rFonts w:ascii="GHEA Grapalat" w:eastAsia="GHEA Grapalat" w:hAnsi="GHEA Grapalat"/>
          <w:color w:val="000000"/>
          <w:sz w:val="18"/>
          <w:szCs w:val="18"/>
          <w:lang w:val="hy-AM"/>
        </w:rPr>
        <w:footnoteRef/>
      </w:r>
      <w:r w:rsidRPr="005A4602">
        <w:rPr>
          <w:rFonts w:ascii="GHEA Grapalat" w:eastAsia="GHEA Grapalat" w:hAnsi="GHEA Grapalat"/>
          <w:color w:val="000000"/>
          <w:sz w:val="18"/>
          <w:szCs w:val="18"/>
          <w:lang w:val="hy-AM"/>
        </w:rPr>
        <w:t xml:space="preserve"> Չափում է ընկերության ֆինանսավորման մասնաբաժինը, որը բխում է պարտավորություններից սեփական կապիտալի նկատմամբ: Բարձր հարաբերակցությունը ցույց է տալիս ավելի մեծ կախվածություն պարտքի ֆինանսավորումից և ավելի քիչ ֆինանսական ճկունություն:</w:t>
      </w:r>
    </w:p>
  </w:footnote>
  <w:footnote w:id="33">
    <w:p w14:paraId="7F7994ED" w14:textId="4205C211" w:rsidR="006C6FF6" w:rsidRPr="005A4602" w:rsidRDefault="006C6FF6" w:rsidP="005A4602">
      <w:pPr>
        <w:pStyle w:val="FootnoteText"/>
        <w:jc w:val="both"/>
        <w:rPr>
          <w:rFonts w:ascii="GHEA Grapalat" w:hAnsi="GHEA Grapalat"/>
          <w:sz w:val="18"/>
          <w:szCs w:val="18"/>
          <w:lang w:val="hy-AM"/>
        </w:rPr>
      </w:pPr>
      <w:r w:rsidRPr="005A4602">
        <w:rPr>
          <w:rStyle w:val="FootnoteReference"/>
          <w:rFonts w:ascii="GHEA Grapalat" w:hAnsi="GHEA Grapalat"/>
          <w:sz w:val="18"/>
          <w:szCs w:val="18"/>
        </w:rPr>
        <w:footnoteRef/>
      </w:r>
      <w:r w:rsidRPr="005A4602">
        <w:rPr>
          <w:rFonts w:ascii="GHEA Grapalat" w:hAnsi="GHEA Grapalat"/>
          <w:sz w:val="18"/>
          <w:szCs w:val="18"/>
          <w:lang w:val="ro-RO"/>
        </w:rPr>
        <w:t xml:space="preserve"> </w:t>
      </w:r>
      <w:r w:rsidRPr="005A4602">
        <w:rPr>
          <w:rFonts w:ascii="GHEA Grapalat" w:eastAsia="GHEA Grapalat" w:hAnsi="GHEA Grapalat"/>
          <w:color w:val="000000"/>
          <w:sz w:val="18"/>
          <w:szCs w:val="18"/>
          <w:lang w:val="hy-AM"/>
        </w:rPr>
        <w:t>Գծապատկերը ներառում է նաև այն ընկերությունները, որտեղ պետության մասնաբաժինը 50%-ից ցածր է։</w:t>
      </w:r>
    </w:p>
  </w:footnote>
  <w:footnote w:id="34">
    <w:p w14:paraId="3B42347E" w14:textId="77777777" w:rsidR="006C6FF6" w:rsidRPr="00802FF2" w:rsidRDefault="006C6FF6" w:rsidP="00802FF2">
      <w:pPr>
        <w:pStyle w:val="FootnoteText"/>
        <w:jc w:val="both"/>
        <w:rPr>
          <w:rFonts w:ascii="GHEA Grapalat" w:hAnsi="GHEA Grapalat"/>
          <w:lang w:val="hy-AM"/>
        </w:rPr>
      </w:pPr>
      <w:r w:rsidRPr="005A4602">
        <w:rPr>
          <w:rStyle w:val="FootnoteReference"/>
          <w:rFonts w:ascii="GHEA Grapalat" w:hAnsi="GHEA Grapalat"/>
          <w:sz w:val="18"/>
          <w:szCs w:val="18"/>
        </w:rPr>
        <w:footnoteRef/>
      </w:r>
      <w:r w:rsidRPr="005A4602">
        <w:rPr>
          <w:rFonts w:ascii="GHEA Grapalat" w:hAnsi="GHEA Grapalat"/>
          <w:sz w:val="18"/>
          <w:szCs w:val="18"/>
          <w:lang w:val="hy-AM"/>
        </w:rPr>
        <w:t xml:space="preserve"> </w:t>
      </w:r>
      <w:r w:rsidRPr="005A4602">
        <w:rPr>
          <w:rFonts w:ascii="GHEA Grapalat" w:hAnsi="GHEA Grapalat"/>
          <w:sz w:val="18"/>
          <w:szCs w:val="15"/>
          <w:lang w:val="hy-AM"/>
        </w:rPr>
        <w:t>«Ֆինանսական շուկայի 1 տարուց ավել ժամկետով իրավաբանական անձանց տրամադրված վարկերի միջին տոկոսադրույք (ՀՀ դրամ, ԱՄՆ դոլար)», աղբյուրը՝ ԿԲ տեղեկագրեր</w:t>
      </w:r>
    </w:p>
  </w:footnote>
  <w:footnote w:id="35">
    <w:p w14:paraId="75E4A6F4" w14:textId="77777777" w:rsidR="006C6FF6" w:rsidRPr="00B42579" w:rsidRDefault="006C6FF6" w:rsidP="00802FF2">
      <w:pPr>
        <w:pStyle w:val="FootnoteText"/>
        <w:rPr>
          <w:lang w:val="hy-AM"/>
        </w:rPr>
      </w:pPr>
      <w:r>
        <w:rPr>
          <w:rStyle w:val="FootnoteReference"/>
        </w:rPr>
        <w:footnoteRef/>
      </w:r>
      <w:r w:rsidRPr="00B42579">
        <w:rPr>
          <w:lang w:val="hy-AM"/>
        </w:rPr>
        <w:t xml:space="preserve"> </w:t>
      </w:r>
      <w:r w:rsidRPr="00275E0A">
        <w:rPr>
          <w:rFonts w:ascii="GHEA Grapalat" w:hAnsi="GHEA Grapalat"/>
          <w:lang w:val="hy-AM"/>
        </w:rPr>
        <w:t>Ոչ բացահայտ պարտավորություն՝ ծառայությունների անընդհատությունը ապահովելու նպատակով շարժակազմի ձեռքբերման ծախս։ Հանրագումարում ներառված չէ։</w:t>
      </w:r>
    </w:p>
  </w:footnote>
  <w:footnote w:id="36">
    <w:p w14:paraId="5FE5CF08" w14:textId="77777777" w:rsidR="006C6FF6" w:rsidRPr="005A4602" w:rsidRDefault="006C6FF6" w:rsidP="005A4602">
      <w:pPr>
        <w:pStyle w:val="FootnoteText"/>
        <w:jc w:val="both"/>
        <w:rPr>
          <w:rFonts w:ascii="GHEA Grapalat" w:hAnsi="GHEA Grapalat"/>
          <w:sz w:val="18"/>
          <w:szCs w:val="18"/>
          <w:lang w:val="hy-AM"/>
        </w:rPr>
      </w:pPr>
      <w:r w:rsidRPr="00275E0A">
        <w:rPr>
          <w:rStyle w:val="FootnoteReference"/>
          <w:rFonts w:ascii="GHEA Grapalat" w:hAnsi="GHEA Grapalat"/>
        </w:rPr>
        <w:footnoteRef/>
      </w:r>
      <w:r w:rsidRPr="00275E0A">
        <w:rPr>
          <w:rFonts w:ascii="GHEA Grapalat" w:hAnsi="GHEA Grapalat"/>
          <w:lang w:val="hy-AM"/>
        </w:rPr>
        <w:t xml:space="preserve"> </w:t>
      </w:r>
      <w:hyperlink r:id="rId8" w:history="1">
        <w:r w:rsidRPr="005A4602">
          <w:rPr>
            <w:rStyle w:val="Hyperlink"/>
            <w:rFonts w:ascii="GHEA Grapalat" w:hAnsi="GHEA Grapalat"/>
            <w:sz w:val="18"/>
            <w:szCs w:val="18"/>
            <w:lang w:val="hy-AM"/>
          </w:rPr>
          <w:t>https://www.adb.org/sites/default/files/linked-documents/cps-arm-2014-2018-sd-02.pdf</w:t>
        </w:r>
      </w:hyperlink>
    </w:p>
  </w:footnote>
  <w:footnote w:id="37">
    <w:p w14:paraId="0E44516F" w14:textId="77777777" w:rsidR="006C6FF6" w:rsidRPr="005A4602" w:rsidRDefault="006C6FF6" w:rsidP="005A4602">
      <w:pPr>
        <w:pStyle w:val="FootnoteText"/>
        <w:jc w:val="both"/>
        <w:rPr>
          <w:rFonts w:ascii="GHEA Grapalat" w:hAnsi="GHEA Grapalat"/>
          <w:sz w:val="18"/>
          <w:szCs w:val="18"/>
          <w:lang w:val="hy-AM"/>
        </w:rPr>
      </w:pPr>
      <w:r w:rsidRPr="005A4602">
        <w:rPr>
          <w:rStyle w:val="FootnoteReference"/>
          <w:rFonts w:ascii="GHEA Grapalat" w:hAnsi="GHEA Grapalat"/>
          <w:sz w:val="18"/>
          <w:szCs w:val="18"/>
        </w:rPr>
        <w:footnoteRef/>
      </w:r>
      <w:r w:rsidRPr="005A4602">
        <w:rPr>
          <w:rFonts w:ascii="GHEA Grapalat" w:hAnsi="GHEA Grapalat"/>
          <w:sz w:val="18"/>
          <w:szCs w:val="18"/>
          <w:lang w:val="hy-AM"/>
        </w:rPr>
        <w:t xml:space="preserve"> </w:t>
      </w:r>
      <w:hyperlink r:id="rId9" w:history="1">
        <w:r w:rsidRPr="005A4602">
          <w:rPr>
            <w:rStyle w:val="Hyperlink"/>
            <w:rFonts w:ascii="GHEA Grapalat" w:hAnsi="GHEA Grapalat"/>
            <w:sz w:val="18"/>
            <w:szCs w:val="18"/>
            <w:lang w:val="hy-AM"/>
          </w:rPr>
          <w:t>https://documents1.worldbank.org/curated/zh/316831526641378244/pdf/Armenia-Disaster-Risk-Finance-Country-Note.pdf</w:t>
        </w:r>
      </w:hyperlink>
    </w:p>
  </w:footnote>
  <w:footnote w:id="38">
    <w:p w14:paraId="6DF4B589" w14:textId="77777777" w:rsidR="006C6FF6" w:rsidRPr="005A4602" w:rsidRDefault="006C6FF6" w:rsidP="005A4602">
      <w:pPr>
        <w:pStyle w:val="FootnoteText"/>
        <w:jc w:val="both"/>
        <w:rPr>
          <w:rFonts w:ascii="GHEA Grapalat" w:hAnsi="GHEA Grapalat"/>
          <w:sz w:val="18"/>
          <w:szCs w:val="18"/>
          <w:lang w:val="hy-AM"/>
        </w:rPr>
      </w:pPr>
      <w:r w:rsidRPr="005A4602">
        <w:rPr>
          <w:rStyle w:val="FootnoteReference"/>
          <w:rFonts w:ascii="GHEA Grapalat" w:hAnsi="GHEA Grapalat"/>
          <w:sz w:val="18"/>
          <w:szCs w:val="18"/>
        </w:rPr>
        <w:footnoteRef/>
      </w:r>
      <w:r w:rsidRPr="005A4602">
        <w:rPr>
          <w:rFonts w:ascii="GHEA Grapalat" w:hAnsi="GHEA Grapalat"/>
          <w:sz w:val="18"/>
          <w:szCs w:val="18"/>
          <w:lang w:val="hy-AM"/>
        </w:rPr>
        <w:t xml:space="preserve"> </w:t>
      </w:r>
      <w:hyperlink r:id="rId10" w:history="1">
        <w:r w:rsidRPr="005A4602">
          <w:rPr>
            <w:rStyle w:val="Hyperlink"/>
            <w:rFonts w:ascii="GHEA Grapalat" w:hAnsi="GHEA Grapalat"/>
            <w:sz w:val="18"/>
            <w:szCs w:val="18"/>
            <w:lang w:val="hy-AM"/>
          </w:rPr>
          <w:t>https://www.gfdrr.org/sites/default/files/publication/drp_armenia.pdf</w:t>
        </w:r>
      </w:hyperlink>
    </w:p>
  </w:footnote>
  <w:footnote w:id="39">
    <w:p w14:paraId="5FE53B09" w14:textId="77777777" w:rsidR="006C6FF6" w:rsidRPr="005864B0" w:rsidRDefault="006C6FF6" w:rsidP="005A4602">
      <w:pPr>
        <w:pStyle w:val="FootnoteText"/>
        <w:jc w:val="both"/>
        <w:rPr>
          <w:lang w:val="hy-AM"/>
        </w:rPr>
      </w:pPr>
      <w:r w:rsidRPr="005A4602">
        <w:rPr>
          <w:rStyle w:val="FootnoteReference"/>
          <w:rFonts w:ascii="GHEA Grapalat" w:hAnsi="GHEA Grapalat"/>
          <w:sz w:val="18"/>
          <w:szCs w:val="18"/>
        </w:rPr>
        <w:footnoteRef/>
      </w:r>
      <w:r w:rsidRPr="005A4602">
        <w:rPr>
          <w:rFonts w:ascii="GHEA Grapalat" w:hAnsi="GHEA Grapalat"/>
          <w:sz w:val="18"/>
          <w:szCs w:val="18"/>
          <w:lang w:val="hy-AM"/>
        </w:rPr>
        <w:t xml:space="preserve"> 2021-2025 թվականների Հարմարվողականության ազգային ծրագիր:</w:t>
      </w:r>
    </w:p>
  </w:footnote>
  <w:footnote w:id="40">
    <w:p w14:paraId="7816A241" w14:textId="77777777" w:rsidR="006C6FF6" w:rsidRPr="005A4602" w:rsidRDefault="006C6FF6" w:rsidP="005A4602">
      <w:pPr>
        <w:pStyle w:val="FootnoteText"/>
        <w:jc w:val="both"/>
        <w:rPr>
          <w:rFonts w:ascii="GHEA Grapalat" w:hAnsi="GHEA Grapalat"/>
          <w:lang w:val="hy-AM"/>
        </w:rPr>
      </w:pPr>
      <w:r w:rsidRPr="005A4602">
        <w:rPr>
          <w:rStyle w:val="FootnoteReference"/>
          <w:rFonts w:ascii="GHEA Grapalat" w:hAnsi="GHEA Grapalat"/>
          <w:sz w:val="18"/>
          <w:szCs w:val="18"/>
        </w:rPr>
        <w:footnoteRef/>
      </w:r>
      <w:r w:rsidRPr="005A4602">
        <w:rPr>
          <w:rFonts w:ascii="GHEA Grapalat" w:hAnsi="GHEA Grapalat"/>
          <w:sz w:val="18"/>
          <w:szCs w:val="18"/>
          <w:lang w:val="hy-AM"/>
        </w:rPr>
        <w:t xml:space="preserve"> Տվյալների սկզբնաղբյուր. ՄԱԿ կլիմայի փոփոխության շրջանակային կոնվենցիայի ներքո կլիմայի փոփոխության մասին Հայաստանի 4-րդ ազգային հաղորդագրություն (2020թ.): </w:t>
      </w:r>
      <w:r w:rsidRPr="005A4602">
        <w:rPr>
          <w:rStyle w:val="Hyperlink"/>
          <w:rFonts w:ascii="GHEA Grapalat" w:hAnsi="GHEA Grapalat"/>
          <w:color w:val="auto"/>
          <w:sz w:val="18"/>
          <w:szCs w:val="15"/>
          <w:lang w:val="hy-AM"/>
        </w:rPr>
        <w:t>1991-2010թթ-ի տեղեկատվությունը բացակայում է:</w:t>
      </w:r>
    </w:p>
  </w:footnote>
  <w:footnote w:id="41">
    <w:p w14:paraId="175B9D96" w14:textId="77777777" w:rsidR="006C6FF6" w:rsidRPr="00EE5FAC" w:rsidRDefault="006C6FF6" w:rsidP="00802FF2">
      <w:pPr>
        <w:pStyle w:val="FootnoteText"/>
        <w:rPr>
          <w:lang w:val="hy-AM"/>
        </w:rPr>
      </w:pPr>
      <w:r>
        <w:rPr>
          <w:rStyle w:val="FootnoteReference"/>
        </w:rPr>
        <w:footnoteRef/>
      </w:r>
      <w:r w:rsidRPr="00EE5FAC">
        <w:rPr>
          <w:lang w:val="hy-AM"/>
        </w:rPr>
        <w:t xml:space="preserve"> </w:t>
      </w:r>
      <w:r w:rsidRPr="005779E9">
        <w:rPr>
          <w:lang w:val="hy-AM"/>
        </w:rPr>
        <w:t xml:space="preserve"> </w:t>
      </w:r>
      <w:hyperlink r:id="rId11" w:history="1">
        <w:r w:rsidRPr="00115506">
          <w:rPr>
            <w:rStyle w:val="Hyperlink"/>
            <w:szCs w:val="16"/>
            <w:lang w:val="hy-AM"/>
          </w:rPr>
          <w:t>a</w:t>
        </w:r>
        <w:r w:rsidRPr="00275E0A">
          <w:rPr>
            <w:rStyle w:val="Hyperlink"/>
            <w:rFonts w:ascii="GHEA Grapalat" w:hAnsi="GHEA Grapalat"/>
            <w:szCs w:val="16"/>
            <w:lang w:val="hy-AM"/>
          </w:rPr>
          <w:t>rlis.am/DocumentView.aspx?DocID=72227</w:t>
        </w:r>
      </w:hyperlink>
    </w:p>
  </w:footnote>
  <w:footnote w:id="42">
    <w:p w14:paraId="30B954A4" w14:textId="77777777" w:rsidR="006C6FF6" w:rsidRPr="00275E0A" w:rsidRDefault="006C6FF6" w:rsidP="00802FF2">
      <w:pPr>
        <w:pStyle w:val="FootnoteText"/>
        <w:rPr>
          <w:rFonts w:ascii="GHEA Grapalat" w:hAnsi="GHEA Grapalat"/>
          <w:lang w:val="hy-AM"/>
        </w:rPr>
      </w:pPr>
      <w:r>
        <w:rPr>
          <w:rStyle w:val="FootnoteReference"/>
        </w:rPr>
        <w:footnoteRef/>
      </w:r>
      <w:r w:rsidRPr="00EE5FAC">
        <w:rPr>
          <w:lang w:val="hy-AM"/>
        </w:rPr>
        <w:t xml:space="preserve"> </w:t>
      </w:r>
      <w:hyperlink r:id="rId12" w:history="1">
        <w:r w:rsidRPr="00275E0A">
          <w:rPr>
            <w:rStyle w:val="Hyperlink"/>
            <w:rFonts w:ascii="GHEA Grapalat" w:hAnsi="GHEA Grapalat"/>
            <w:lang w:val="hy-AM"/>
          </w:rPr>
          <w:t>https://arlis.am/hy/acts/216092/latest</w:t>
        </w:r>
      </w:hyperlink>
    </w:p>
  </w:footnote>
  <w:footnote w:id="43">
    <w:p w14:paraId="50F0E68D" w14:textId="77777777" w:rsidR="006C6FF6" w:rsidRPr="00EE5FAC" w:rsidRDefault="006C6FF6" w:rsidP="00802FF2">
      <w:pPr>
        <w:pStyle w:val="FootnoteText"/>
        <w:rPr>
          <w:lang w:val="hy-AM"/>
        </w:rPr>
      </w:pPr>
      <w:r w:rsidRPr="00275E0A">
        <w:rPr>
          <w:rStyle w:val="FootnoteReference"/>
          <w:rFonts w:ascii="GHEA Grapalat" w:hAnsi="GHEA Grapalat"/>
        </w:rPr>
        <w:footnoteRef/>
      </w:r>
      <w:r w:rsidRPr="00275E0A">
        <w:rPr>
          <w:rFonts w:ascii="GHEA Grapalat" w:hAnsi="GHEA Grapalat"/>
          <w:lang w:val="hy-AM"/>
        </w:rPr>
        <w:t xml:space="preserve"> </w:t>
      </w:r>
      <w:hyperlink r:id="rId13" w:history="1">
        <w:r w:rsidRPr="00275E0A">
          <w:rPr>
            <w:rStyle w:val="Hyperlink"/>
            <w:rFonts w:ascii="GHEA Grapalat" w:hAnsi="GHEA Grapalat"/>
            <w:szCs w:val="16"/>
            <w:lang w:val="hy-AM"/>
          </w:rPr>
          <w:t>https://www.arlis.am/DocumentView.aspx?DocID=173538</w:t>
        </w:r>
      </w:hyperlink>
    </w:p>
  </w:footnote>
  <w:footnote w:id="44">
    <w:p w14:paraId="44C99A4C" w14:textId="77777777" w:rsidR="006C6FF6" w:rsidRPr="00275E0A" w:rsidRDefault="006C6FF6" w:rsidP="00802FF2">
      <w:pPr>
        <w:pStyle w:val="FootnoteText"/>
        <w:rPr>
          <w:rFonts w:ascii="GHEA Grapalat" w:hAnsi="GHEA Grapalat"/>
          <w:lang w:val="hy-AM"/>
        </w:rPr>
      </w:pPr>
      <w:r w:rsidRPr="00275E0A">
        <w:rPr>
          <w:rStyle w:val="FootnoteReference"/>
          <w:rFonts w:ascii="GHEA Grapalat" w:hAnsi="GHEA Grapalat"/>
        </w:rPr>
        <w:footnoteRef/>
      </w:r>
      <w:r w:rsidRPr="00275E0A">
        <w:rPr>
          <w:rFonts w:ascii="GHEA Grapalat" w:hAnsi="GHEA Grapalat"/>
          <w:lang w:val="hy-AM"/>
        </w:rPr>
        <w:t xml:space="preserve"> </w:t>
      </w:r>
      <w:r w:rsidRPr="00275E0A">
        <w:rPr>
          <w:rFonts w:ascii="GHEA Grapalat" w:hAnsi="GHEA Grapalat"/>
          <w:szCs w:val="16"/>
          <w:lang w:val="hy-AM"/>
        </w:rPr>
        <w:t>ՀՀ ջերմոցային գազերի ցածր արտանետումներով զարգացման երկարաժամկետ ռազմավարություն (մինչև 2050թ.)</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B6801"/>
    <w:multiLevelType w:val="hybridMultilevel"/>
    <w:tmpl w:val="96024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0119AE"/>
    <w:multiLevelType w:val="hybridMultilevel"/>
    <w:tmpl w:val="45BA6B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9E7A5A"/>
    <w:multiLevelType w:val="singleLevel"/>
    <w:tmpl w:val="4EDA947C"/>
    <w:lvl w:ilvl="0">
      <w:start w:val="1"/>
      <w:numFmt w:val="decimal"/>
      <w:pStyle w:val="a"/>
      <w:lvlText w:val="%1."/>
      <w:lvlJc w:val="left"/>
      <w:pPr>
        <w:tabs>
          <w:tab w:val="num" w:pos="360"/>
        </w:tabs>
        <w:ind w:left="360" w:hanging="360"/>
      </w:pPr>
      <w:rPr>
        <w:rFonts w:hint="default"/>
      </w:rPr>
    </w:lvl>
  </w:abstractNum>
  <w:abstractNum w:abstractNumId="3" w15:restartNumberingAfterBreak="0">
    <w:nsid w:val="2B342129"/>
    <w:multiLevelType w:val="hybridMultilevel"/>
    <w:tmpl w:val="A8068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C9538C"/>
    <w:multiLevelType w:val="hybridMultilevel"/>
    <w:tmpl w:val="B08A17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B70647"/>
    <w:multiLevelType w:val="hybridMultilevel"/>
    <w:tmpl w:val="F044F36C"/>
    <w:lvl w:ilvl="0" w:tplc="79D8E8D2">
      <w:start w:val="1"/>
      <w:numFmt w:val="decimal"/>
      <w:lvlText w:val="%1."/>
      <w:lvlJc w:val="left"/>
      <w:pPr>
        <w:ind w:left="720" w:hanging="360"/>
      </w:pPr>
    </w:lvl>
    <w:lvl w:ilvl="1" w:tplc="04090019">
      <w:start w:val="1"/>
      <w:numFmt w:val="lowerLetter"/>
      <w:pStyle w:val="KLegalHeading2"/>
      <w:lvlText w:val="%2."/>
      <w:lvlJc w:val="left"/>
      <w:pPr>
        <w:ind w:left="1440" w:hanging="360"/>
      </w:pPr>
    </w:lvl>
    <w:lvl w:ilvl="2" w:tplc="0409001B">
      <w:start w:val="1"/>
      <w:numFmt w:val="lowerRoman"/>
      <w:pStyle w:val="KLegalHeading2"/>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B43440B"/>
    <w:multiLevelType w:val="hybridMultilevel"/>
    <w:tmpl w:val="51D61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E50728"/>
    <w:multiLevelType w:val="hybridMultilevel"/>
    <w:tmpl w:val="6890EA0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46B12692"/>
    <w:multiLevelType w:val="hybridMultilevel"/>
    <w:tmpl w:val="B7BAD3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F7344B"/>
    <w:multiLevelType w:val="hybridMultilevel"/>
    <w:tmpl w:val="C91CC4E2"/>
    <w:lvl w:ilvl="0" w:tplc="3500BE6C">
      <w:start w:val="1"/>
      <w:numFmt w:val="bullet"/>
      <w:pStyle w:val="BodytextBullets"/>
      <w:lvlText w:val=""/>
      <w:lvlJc w:val="left"/>
      <w:pPr>
        <w:ind w:left="360" w:hanging="360"/>
      </w:pPr>
      <w:rPr>
        <w:rFonts w:ascii="Symbol" w:hAnsi="Symbol" w:hint="default"/>
        <w:color w:val="0E2841" w:themeColor="text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54268C"/>
    <w:multiLevelType w:val="hybridMultilevel"/>
    <w:tmpl w:val="19402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3D4E9A"/>
    <w:multiLevelType w:val="hybridMultilevel"/>
    <w:tmpl w:val="93AA8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761E34"/>
    <w:multiLevelType w:val="hybridMultilevel"/>
    <w:tmpl w:val="93C8E3BC"/>
    <w:lvl w:ilvl="0" w:tplc="41CA33BC">
      <w:start w:val="1"/>
      <w:numFmt w:val="decimal"/>
      <w:lvlText w:val="%1)"/>
      <w:lvlJc w:val="left"/>
      <w:pPr>
        <w:ind w:left="360" w:hanging="360"/>
      </w:pPr>
      <w:rPr>
        <w:rFonts w:hint="default"/>
        <w:b w:val="0"/>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3FC0C26"/>
    <w:multiLevelType w:val="hybridMultilevel"/>
    <w:tmpl w:val="2E561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9C7E38"/>
    <w:multiLevelType w:val="hybridMultilevel"/>
    <w:tmpl w:val="C05ADA1E"/>
    <w:lvl w:ilvl="0" w:tplc="0F687542">
      <w:start w:val="1"/>
      <w:numFmt w:val="decimal"/>
      <w:lvlText w:val="%1."/>
      <w:lvlJc w:val="left"/>
      <w:pPr>
        <w:ind w:left="330" w:hanging="360"/>
      </w:pPr>
      <w:rPr>
        <w:rFonts w:hint="default"/>
      </w:r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abstractNum w:abstractNumId="15" w15:restartNumberingAfterBreak="0">
    <w:nsid w:val="72946F4C"/>
    <w:multiLevelType w:val="hybridMultilevel"/>
    <w:tmpl w:val="1C1823C4"/>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44E36C4"/>
    <w:multiLevelType w:val="hybridMultilevel"/>
    <w:tmpl w:val="8874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A752B0"/>
    <w:multiLevelType w:val="hybridMultilevel"/>
    <w:tmpl w:val="E92010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7EB3697"/>
    <w:multiLevelType w:val="hybridMultilevel"/>
    <w:tmpl w:val="1AEC2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793708"/>
    <w:multiLevelType w:val="hybridMultilevel"/>
    <w:tmpl w:val="D7AA3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3"/>
  </w:num>
  <w:num w:numId="4">
    <w:abstractNumId w:val="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2"/>
  </w:num>
  <w:num w:numId="8">
    <w:abstractNumId w:val="15"/>
  </w:num>
  <w:num w:numId="9">
    <w:abstractNumId w:val="4"/>
  </w:num>
  <w:num w:numId="10">
    <w:abstractNumId w:val="1"/>
  </w:num>
  <w:num w:numId="11">
    <w:abstractNumId w:val="13"/>
  </w:num>
  <w:num w:numId="12">
    <w:abstractNumId w:val="19"/>
  </w:num>
  <w:num w:numId="13">
    <w:abstractNumId w:val="8"/>
  </w:num>
  <w:num w:numId="14">
    <w:abstractNumId w:val="14"/>
  </w:num>
  <w:num w:numId="15">
    <w:abstractNumId w:val="6"/>
  </w:num>
  <w:num w:numId="16">
    <w:abstractNumId w:val="18"/>
  </w:num>
  <w:num w:numId="17">
    <w:abstractNumId w:val="11"/>
  </w:num>
  <w:num w:numId="18">
    <w:abstractNumId w:val="17"/>
  </w:num>
  <w:num w:numId="19">
    <w:abstractNumId w:val="16"/>
  </w:num>
  <w:num w:numId="20">
    <w:abstractNumId w:val="0"/>
  </w:num>
  <w:num w:numId="21">
    <w:abstractNumId w:val="9"/>
  </w:num>
  <w:num w:numId="22">
    <w:abstractNumId w:val="9"/>
  </w:num>
  <w:num w:numId="23">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D9A"/>
    <w:rsid w:val="00000CBA"/>
    <w:rsid w:val="0000232E"/>
    <w:rsid w:val="0001052C"/>
    <w:rsid w:val="000232DD"/>
    <w:rsid w:val="00062BED"/>
    <w:rsid w:val="0007258B"/>
    <w:rsid w:val="00082769"/>
    <w:rsid w:val="000A7852"/>
    <w:rsid w:val="000C41FD"/>
    <w:rsid w:val="000D065A"/>
    <w:rsid w:val="000D20D1"/>
    <w:rsid w:val="000E6DD9"/>
    <w:rsid w:val="000F3751"/>
    <w:rsid w:val="000F45A7"/>
    <w:rsid w:val="0010028E"/>
    <w:rsid w:val="00103B29"/>
    <w:rsid w:val="0010473D"/>
    <w:rsid w:val="00117359"/>
    <w:rsid w:val="0011775D"/>
    <w:rsid w:val="001226F0"/>
    <w:rsid w:val="0012666F"/>
    <w:rsid w:val="00127719"/>
    <w:rsid w:val="001336C5"/>
    <w:rsid w:val="00165CB1"/>
    <w:rsid w:val="00170CB4"/>
    <w:rsid w:val="001754FD"/>
    <w:rsid w:val="00177C18"/>
    <w:rsid w:val="00181D9A"/>
    <w:rsid w:val="001947E2"/>
    <w:rsid w:val="001A2654"/>
    <w:rsid w:val="001A427C"/>
    <w:rsid w:val="001A4DF7"/>
    <w:rsid w:val="001C366A"/>
    <w:rsid w:val="001C54FB"/>
    <w:rsid w:val="001C55F2"/>
    <w:rsid w:val="001D50BB"/>
    <w:rsid w:val="001D56CB"/>
    <w:rsid w:val="001D7044"/>
    <w:rsid w:val="001E113B"/>
    <w:rsid w:val="00207A8B"/>
    <w:rsid w:val="0021060D"/>
    <w:rsid w:val="0021243C"/>
    <w:rsid w:val="00212B95"/>
    <w:rsid w:val="00220226"/>
    <w:rsid w:val="00222D9B"/>
    <w:rsid w:val="00223757"/>
    <w:rsid w:val="002250B9"/>
    <w:rsid w:val="00231EEA"/>
    <w:rsid w:val="0023597E"/>
    <w:rsid w:val="0023744F"/>
    <w:rsid w:val="00256975"/>
    <w:rsid w:val="00257E36"/>
    <w:rsid w:val="00262E30"/>
    <w:rsid w:val="002668D6"/>
    <w:rsid w:val="00270BDA"/>
    <w:rsid w:val="00275E0A"/>
    <w:rsid w:val="00276714"/>
    <w:rsid w:val="00280C7E"/>
    <w:rsid w:val="00284BB1"/>
    <w:rsid w:val="00286321"/>
    <w:rsid w:val="002A2FE8"/>
    <w:rsid w:val="002A4347"/>
    <w:rsid w:val="002A5C86"/>
    <w:rsid w:val="002D118D"/>
    <w:rsid w:val="002F7FFC"/>
    <w:rsid w:val="00304F43"/>
    <w:rsid w:val="00305291"/>
    <w:rsid w:val="0031057C"/>
    <w:rsid w:val="00316A2D"/>
    <w:rsid w:val="003425D0"/>
    <w:rsid w:val="003612ED"/>
    <w:rsid w:val="00361F59"/>
    <w:rsid w:val="00373E42"/>
    <w:rsid w:val="003753CD"/>
    <w:rsid w:val="003956E9"/>
    <w:rsid w:val="003A3FFA"/>
    <w:rsid w:val="003A7BF5"/>
    <w:rsid w:val="003B636B"/>
    <w:rsid w:val="003C0BE5"/>
    <w:rsid w:val="003C0F62"/>
    <w:rsid w:val="003C4696"/>
    <w:rsid w:val="003F067C"/>
    <w:rsid w:val="003F12C0"/>
    <w:rsid w:val="003F45C5"/>
    <w:rsid w:val="003F46A3"/>
    <w:rsid w:val="00402456"/>
    <w:rsid w:val="0041096A"/>
    <w:rsid w:val="00426F34"/>
    <w:rsid w:val="00431686"/>
    <w:rsid w:val="004468B2"/>
    <w:rsid w:val="004530BD"/>
    <w:rsid w:val="00454153"/>
    <w:rsid w:val="004668EC"/>
    <w:rsid w:val="00472181"/>
    <w:rsid w:val="0047681E"/>
    <w:rsid w:val="004A159C"/>
    <w:rsid w:val="004B63C1"/>
    <w:rsid w:val="004C0C21"/>
    <w:rsid w:val="004D300C"/>
    <w:rsid w:val="004F0F34"/>
    <w:rsid w:val="004F203B"/>
    <w:rsid w:val="00507805"/>
    <w:rsid w:val="005157F3"/>
    <w:rsid w:val="0052459E"/>
    <w:rsid w:val="005A4602"/>
    <w:rsid w:val="005A5DFE"/>
    <w:rsid w:val="005A5E0C"/>
    <w:rsid w:val="005C7003"/>
    <w:rsid w:val="005D4274"/>
    <w:rsid w:val="005E2515"/>
    <w:rsid w:val="005F2D0E"/>
    <w:rsid w:val="00626259"/>
    <w:rsid w:val="006422CA"/>
    <w:rsid w:val="0064450B"/>
    <w:rsid w:val="00646265"/>
    <w:rsid w:val="00675D92"/>
    <w:rsid w:val="00695F67"/>
    <w:rsid w:val="006A092D"/>
    <w:rsid w:val="006A1839"/>
    <w:rsid w:val="006B07B9"/>
    <w:rsid w:val="006B7DD7"/>
    <w:rsid w:val="006C3D21"/>
    <w:rsid w:val="006C6D3D"/>
    <w:rsid w:val="006C6FF6"/>
    <w:rsid w:val="006D29A8"/>
    <w:rsid w:val="006D5C0F"/>
    <w:rsid w:val="006E0D92"/>
    <w:rsid w:val="006E2F82"/>
    <w:rsid w:val="006F75BA"/>
    <w:rsid w:val="007018D1"/>
    <w:rsid w:val="007073DA"/>
    <w:rsid w:val="00713202"/>
    <w:rsid w:val="00725F35"/>
    <w:rsid w:val="0072697B"/>
    <w:rsid w:val="00733703"/>
    <w:rsid w:val="007443B0"/>
    <w:rsid w:val="00746EF2"/>
    <w:rsid w:val="007502B5"/>
    <w:rsid w:val="00760928"/>
    <w:rsid w:val="00763057"/>
    <w:rsid w:val="00775552"/>
    <w:rsid w:val="00787B5A"/>
    <w:rsid w:val="007A0B1B"/>
    <w:rsid w:val="007A667E"/>
    <w:rsid w:val="007F785E"/>
    <w:rsid w:val="0080024B"/>
    <w:rsid w:val="00801F7E"/>
    <w:rsid w:val="00802FF2"/>
    <w:rsid w:val="0081233D"/>
    <w:rsid w:val="00821159"/>
    <w:rsid w:val="00827F99"/>
    <w:rsid w:val="0083046A"/>
    <w:rsid w:val="008333BD"/>
    <w:rsid w:val="0084608A"/>
    <w:rsid w:val="008504CE"/>
    <w:rsid w:val="00873AE6"/>
    <w:rsid w:val="008C079B"/>
    <w:rsid w:val="008C08BA"/>
    <w:rsid w:val="008D6C80"/>
    <w:rsid w:val="008E4E16"/>
    <w:rsid w:val="008F7F79"/>
    <w:rsid w:val="00910273"/>
    <w:rsid w:val="00962296"/>
    <w:rsid w:val="00984771"/>
    <w:rsid w:val="00985F8E"/>
    <w:rsid w:val="009939F6"/>
    <w:rsid w:val="009E2219"/>
    <w:rsid w:val="009F5E76"/>
    <w:rsid w:val="00A04A94"/>
    <w:rsid w:val="00A10888"/>
    <w:rsid w:val="00A10F27"/>
    <w:rsid w:val="00A171EA"/>
    <w:rsid w:val="00A361C5"/>
    <w:rsid w:val="00A5045E"/>
    <w:rsid w:val="00A52091"/>
    <w:rsid w:val="00A52417"/>
    <w:rsid w:val="00A71384"/>
    <w:rsid w:val="00A72039"/>
    <w:rsid w:val="00A778A9"/>
    <w:rsid w:val="00AE0EDB"/>
    <w:rsid w:val="00B26DD8"/>
    <w:rsid w:val="00B31FF3"/>
    <w:rsid w:val="00B33EA9"/>
    <w:rsid w:val="00B43595"/>
    <w:rsid w:val="00B4461E"/>
    <w:rsid w:val="00B6632B"/>
    <w:rsid w:val="00B70E73"/>
    <w:rsid w:val="00B75923"/>
    <w:rsid w:val="00B76ED9"/>
    <w:rsid w:val="00B901C2"/>
    <w:rsid w:val="00B93445"/>
    <w:rsid w:val="00B9377A"/>
    <w:rsid w:val="00B9543F"/>
    <w:rsid w:val="00B97575"/>
    <w:rsid w:val="00BA4D95"/>
    <w:rsid w:val="00BA761E"/>
    <w:rsid w:val="00BB7EC0"/>
    <w:rsid w:val="00BD348F"/>
    <w:rsid w:val="00BD394D"/>
    <w:rsid w:val="00BE2B8F"/>
    <w:rsid w:val="00BF02A2"/>
    <w:rsid w:val="00C0238C"/>
    <w:rsid w:val="00C32E1A"/>
    <w:rsid w:val="00C34178"/>
    <w:rsid w:val="00C36A19"/>
    <w:rsid w:val="00C402B1"/>
    <w:rsid w:val="00C50F60"/>
    <w:rsid w:val="00C5326C"/>
    <w:rsid w:val="00C73C9D"/>
    <w:rsid w:val="00C74BEC"/>
    <w:rsid w:val="00CA22A8"/>
    <w:rsid w:val="00CB300F"/>
    <w:rsid w:val="00CB4CEC"/>
    <w:rsid w:val="00CB4DE1"/>
    <w:rsid w:val="00CC7EC9"/>
    <w:rsid w:val="00CD1829"/>
    <w:rsid w:val="00CD68E3"/>
    <w:rsid w:val="00CE7AA0"/>
    <w:rsid w:val="00CF6CF3"/>
    <w:rsid w:val="00D02CB8"/>
    <w:rsid w:val="00D128F7"/>
    <w:rsid w:val="00D2654C"/>
    <w:rsid w:val="00D338D1"/>
    <w:rsid w:val="00D33D0C"/>
    <w:rsid w:val="00D370E4"/>
    <w:rsid w:val="00D43121"/>
    <w:rsid w:val="00D53644"/>
    <w:rsid w:val="00D75267"/>
    <w:rsid w:val="00D84E40"/>
    <w:rsid w:val="00D945AA"/>
    <w:rsid w:val="00D945CB"/>
    <w:rsid w:val="00D95E8B"/>
    <w:rsid w:val="00DA05D9"/>
    <w:rsid w:val="00DA4702"/>
    <w:rsid w:val="00DB7F52"/>
    <w:rsid w:val="00DC7524"/>
    <w:rsid w:val="00DD59A1"/>
    <w:rsid w:val="00DD5CCA"/>
    <w:rsid w:val="00DE6A4A"/>
    <w:rsid w:val="00DE7B20"/>
    <w:rsid w:val="00E32748"/>
    <w:rsid w:val="00E35C70"/>
    <w:rsid w:val="00E40847"/>
    <w:rsid w:val="00E46048"/>
    <w:rsid w:val="00E50C29"/>
    <w:rsid w:val="00E53132"/>
    <w:rsid w:val="00E643D5"/>
    <w:rsid w:val="00E73303"/>
    <w:rsid w:val="00E73A9A"/>
    <w:rsid w:val="00E80B2F"/>
    <w:rsid w:val="00E8245C"/>
    <w:rsid w:val="00E9568B"/>
    <w:rsid w:val="00EC22C7"/>
    <w:rsid w:val="00EC4679"/>
    <w:rsid w:val="00ED15DB"/>
    <w:rsid w:val="00ED1FDB"/>
    <w:rsid w:val="00EE0308"/>
    <w:rsid w:val="00EF2172"/>
    <w:rsid w:val="00F11820"/>
    <w:rsid w:val="00F17001"/>
    <w:rsid w:val="00F17F92"/>
    <w:rsid w:val="00F42534"/>
    <w:rsid w:val="00F53DDF"/>
    <w:rsid w:val="00F55A3C"/>
    <w:rsid w:val="00F6602E"/>
    <w:rsid w:val="00F745A3"/>
    <w:rsid w:val="00F7470E"/>
    <w:rsid w:val="00F764E4"/>
    <w:rsid w:val="00F92DA1"/>
    <w:rsid w:val="00F979D7"/>
    <w:rsid w:val="00FA08BF"/>
    <w:rsid w:val="00FD5507"/>
    <w:rsid w:val="00FF2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2FE7E"/>
  <w15:chartTrackingRefBased/>
  <w15:docId w15:val="{45336AE9-1BDB-420C-9E59-4FC1E676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w:rsid w:val="00B43595"/>
    <w:pPr>
      <w:spacing w:before="120" w:after="120" w:line="276" w:lineRule="auto"/>
    </w:pPr>
    <w:rPr>
      <w:rFonts w:eastAsiaTheme="minorEastAsia"/>
      <w:color w:val="404040" w:themeColor="text1" w:themeTint="BF"/>
      <w:kern w:val="0"/>
      <w:sz w:val="22"/>
      <w:szCs w:val="22"/>
      <w14:ligatures w14:val="none"/>
    </w:rPr>
  </w:style>
  <w:style w:type="paragraph" w:styleId="Heading1">
    <w:name w:val="heading 1"/>
    <w:aliases w:val="Body | Bullets"/>
    <w:basedOn w:val="Normal"/>
    <w:next w:val="Normal"/>
    <w:link w:val="Heading1Char"/>
    <w:uiPriority w:val="9"/>
    <w:qFormat/>
    <w:rsid w:val="00181D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1D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1D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D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D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D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D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D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D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Body | Bullets Char"/>
    <w:basedOn w:val="DefaultParagraphFont"/>
    <w:link w:val="Heading1"/>
    <w:uiPriority w:val="9"/>
    <w:rsid w:val="00181D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1D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1D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D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D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D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D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D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D9A"/>
    <w:rPr>
      <w:rFonts w:eastAsiaTheme="majorEastAsia" w:cstheme="majorBidi"/>
      <w:color w:val="272727" w:themeColor="text1" w:themeTint="D8"/>
    </w:rPr>
  </w:style>
  <w:style w:type="paragraph" w:styleId="Title">
    <w:name w:val="Title"/>
    <w:basedOn w:val="Normal"/>
    <w:next w:val="Normal"/>
    <w:link w:val="TitleChar"/>
    <w:uiPriority w:val="10"/>
    <w:qFormat/>
    <w:rsid w:val="00181D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D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D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D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D9A"/>
    <w:pPr>
      <w:spacing w:before="160"/>
      <w:jc w:val="center"/>
    </w:pPr>
    <w:rPr>
      <w:i/>
      <w:iCs/>
    </w:rPr>
  </w:style>
  <w:style w:type="character" w:customStyle="1" w:styleId="QuoteChar">
    <w:name w:val="Quote Char"/>
    <w:basedOn w:val="DefaultParagraphFont"/>
    <w:link w:val="Quote"/>
    <w:uiPriority w:val="29"/>
    <w:rsid w:val="00181D9A"/>
    <w:rPr>
      <w:i/>
      <w:iCs/>
      <w:color w:val="404040" w:themeColor="text1" w:themeTint="BF"/>
    </w:rPr>
  </w:style>
  <w:style w:type="paragraph" w:styleId="ListParagraph">
    <w:name w:val="List Paragraph"/>
    <w:aliases w:val="lp1,List Paragraph4,List Paragraph41,List Paragraph5,Paragraphe de liste PBLH,PDP DOCUMENT SUBTITLE,Bullet Points,Table of contents numbered,List Paragraph in table,Liste 1,Варианты ответов,Table no. List Paragraph,List Paragraph111,CPS,3"/>
    <w:basedOn w:val="Normal"/>
    <w:link w:val="ListParagraphChar"/>
    <w:uiPriority w:val="34"/>
    <w:qFormat/>
    <w:rsid w:val="00181D9A"/>
    <w:pPr>
      <w:ind w:left="720"/>
      <w:contextualSpacing/>
    </w:pPr>
  </w:style>
  <w:style w:type="character" w:styleId="IntenseEmphasis">
    <w:name w:val="Intense Emphasis"/>
    <w:basedOn w:val="DefaultParagraphFont"/>
    <w:uiPriority w:val="21"/>
    <w:qFormat/>
    <w:rsid w:val="00181D9A"/>
    <w:rPr>
      <w:i/>
      <w:iCs/>
      <w:color w:val="0F4761" w:themeColor="accent1" w:themeShade="BF"/>
    </w:rPr>
  </w:style>
  <w:style w:type="paragraph" w:styleId="IntenseQuote">
    <w:name w:val="Intense Quote"/>
    <w:basedOn w:val="Normal"/>
    <w:next w:val="Normal"/>
    <w:link w:val="IntenseQuoteChar"/>
    <w:uiPriority w:val="30"/>
    <w:qFormat/>
    <w:rsid w:val="00181D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D9A"/>
    <w:rPr>
      <w:i/>
      <w:iCs/>
      <w:color w:val="0F4761" w:themeColor="accent1" w:themeShade="BF"/>
    </w:rPr>
  </w:style>
  <w:style w:type="character" w:styleId="IntenseReference">
    <w:name w:val="Intense Reference"/>
    <w:basedOn w:val="DefaultParagraphFont"/>
    <w:uiPriority w:val="32"/>
    <w:qFormat/>
    <w:rsid w:val="00181D9A"/>
    <w:rPr>
      <w:b/>
      <w:bCs/>
      <w:smallCaps/>
      <w:color w:val="0F4761" w:themeColor="accent1" w:themeShade="BF"/>
      <w:spacing w:val="5"/>
    </w:rPr>
  </w:style>
  <w:style w:type="paragraph" w:styleId="NoSpacing">
    <w:name w:val="No Spacing"/>
    <w:aliases w:val="Level 0-1 | Մասեր"/>
    <w:next w:val="Normal"/>
    <w:link w:val="NoSpacingChar"/>
    <w:uiPriority w:val="1"/>
    <w:qFormat/>
    <w:rsid w:val="00B43595"/>
    <w:pPr>
      <w:spacing w:before="120" w:after="480" w:line="276" w:lineRule="auto"/>
    </w:pPr>
    <w:rPr>
      <w:rFonts w:ascii="GHEA Grapalat" w:eastAsiaTheme="minorEastAsia" w:hAnsi="GHEA Grapalat"/>
      <w:b/>
      <w:color w:val="0E2841" w:themeColor="text2"/>
      <w:kern w:val="0"/>
      <w:sz w:val="50"/>
      <w:szCs w:val="22"/>
      <w14:ligatures w14:val="none"/>
    </w:rPr>
  </w:style>
  <w:style w:type="character" w:customStyle="1" w:styleId="NoSpacingChar">
    <w:name w:val="No Spacing Char"/>
    <w:aliases w:val="Level 0-1 | Մասեր Char"/>
    <w:basedOn w:val="DefaultParagraphFont"/>
    <w:link w:val="NoSpacing"/>
    <w:uiPriority w:val="1"/>
    <w:locked/>
    <w:rsid w:val="00B43595"/>
    <w:rPr>
      <w:rFonts w:ascii="GHEA Grapalat" w:eastAsiaTheme="minorEastAsia" w:hAnsi="GHEA Grapalat"/>
      <w:b/>
      <w:color w:val="0E2841" w:themeColor="text2"/>
      <w:kern w:val="0"/>
      <w:sz w:val="50"/>
      <w:szCs w:val="22"/>
      <w14:ligatures w14:val="none"/>
    </w:rPr>
  </w:style>
  <w:style w:type="paragraph" w:customStyle="1" w:styleId="TOC1">
    <w:name w:val="TOC 1 | Մասեր"/>
    <w:basedOn w:val="NoSpacing"/>
    <w:link w:val="TOC1Char"/>
    <w:qFormat/>
    <w:rsid w:val="00B43595"/>
    <w:pPr>
      <w:spacing w:after="120"/>
    </w:pPr>
    <w:rPr>
      <w:sz w:val="40"/>
      <w:szCs w:val="20"/>
    </w:rPr>
  </w:style>
  <w:style w:type="character" w:customStyle="1" w:styleId="TOC1Char">
    <w:name w:val="TOC 1 | Մասեր Char"/>
    <w:basedOn w:val="NoSpacingChar"/>
    <w:link w:val="TOC1"/>
    <w:rsid w:val="00B43595"/>
    <w:rPr>
      <w:rFonts w:ascii="GHEA Grapalat" w:eastAsiaTheme="minorEastAsia" w:hAnsi="GHEA Grapalat"/>
      <w:b/>
      <w:color w:val="0E2841" w:themeColor="text2"/>
      <w:kern w:val="0"/>
      <w:sz w:val="40"/>
      <w:szCs w:val="20"/>
      <w14:ligatures w14:val="none"/>
    </w:rPr>
  </w:style>
  <w:style w:type="paragraph" w:customStyle="1" w:styleId="TOC4">
    <w:name w:val="TOC 4 | Վերնագրեր"/>
    <w:next w:val="Normal"/>
    <w:link w:val="TOC4Char"/>
    <w:qFormat/>
    <w:rsid w:val="00B43595"/>
    <w:pPr>
      <w:spacing w:before="360" w:after="0" w:line="276" w:lineRule="auto"/>
    </w:pPr>
    <w:rPr>
      <w:rFonts w:ascii="GHEA Grapalat" w:eastAsiaTheme="minorEastAsia" w:hAnsi="GHEA Grapalat"/>
      <w:color w:val="A6A6A6" w:themeColor="background1" w:themeShade="A6"/>
      <w:kern w:val="0"/>
      <w:sz w:val="22"/>
      <w:szCs w:val="20"/>
      <w14:ligatures w14:val="none"/>
    </w:rPr>
  </w:style>
  <w:style w:type="paragraph" w:customStyle="1" w:styleId="BodyText1">
    <w:name w:val="Body Text1"/>
    <w:next w:val="Normal"/>
    <w:link w:val="BodytextChar"/>
    <w:qFormat/>
    <w:rsid w:val="00B43595"/>
    <w:pPr>
      <w:spacing w:before="120" w:after="120" w:line="276" w:lineRule="auto"/>
      <w:ind w:left="432"/>
      <w:jc w:val="both"/>
    </w:pPr>
    <w:rPr>
      <w:rFonts w:ascii="GHEA Grapalat" w:eastAsiaTheme="minorEastAsia" w:hAnsi="GHEA Grapalat"/>
      <w:color w:val="404040" w:themeColor="text1" w:themeTint="BF"/>
      <w:kern w:val="0"/>
      <w:sz w:val="22"/>
      <w:szCs w:val="20"/>
      <w14:ligatures w14:val="none"/>
    </w:rPr>
  </w:style>
  <w:style w:type="character" w:customStyle="1" w:styleId="TOC4Char">
    <w:name w:val="TOC 4 | Վերնագրեր Char"/>
    <w:basedOn w:val="DefaultParagraphFont"/>
    <w:link w:val="TOC4"/>
    <w:rsid w:val="00B43595"/>
    <w:rPr>
      <w:rFonts w:ascii="GHEA Grapalat" w:eastAsiaTheme="minorEastAsia" w:hAnsi="GHEA Grapalat"/>
      <w:color w:val="A6A6A6" w:themeColor="background1" w:themeShade="A6"/>
      <w:kern w:val="0"/>
      <w:sz w:val="22"/>
      <w:szCs w:val="20"/>
      <w14:ligatures w14:val="none"/>
    </w:rPr>
  </w:style>
  <w:style w:type="paragraph" w:customStyle="1" w:styleId="BodytextBullets">
    <w:name w:val="Body text | Bullets"/>
    <w:basedOn w:val="BodyText1"/>
    <w:link w:val="BodytextBulletsChar"/>
    <w:qFormat/>
    <w:rsid w:val="00B43595"/>
    <w:pPr>
      <w:numPr>
        <w:numId w:val="1"/>
      </w:numPr>
    </w:pPr>
  </w:style>
  <w:style w:type="character" w:customStyle="1" w:styleId="BodytextChar">
    <w:name w:val="Body text Char"/>
    <w:basedOn w:val="TOC4Char"/>
    <w:link w:val="BodyText1"/>
    <w:rsid w:val="00B43595"/>
    <w:rPr>
      <w:rFonts w:ascii="GHEA Grapalat" w:eastAsiaTheme="minorEastAsia" w:hAnsi="GHEA Grapalat"/>
      <w:color w:val="404040" w:themeColor="text1" w:themeTint="BF"/>
      <w:kern w:val="0"/>
      <w:sz w:val="22"/>
      <w:szCs w:val="20"/>
      <w14:ligatures w14:val="none"/>
    </w:rPr>
  </w:style>
  <w:style w:type="character" w:customStyle="1" w:styleId="BodytextBulletsChar">
    <w:name w:val="Body text | Bullets Char"/>
    <w:basedOn w:val="BodytextChar"/>
    <w:link w:val="BodytextBullets"/>
    <w:rsid w:val="00B43595"/>
    <w:rPr>
      <w:rFonts w:ascii="GHEA Grapalat" w:eastAsiaTheme="minorEastAsia" w:hAnsi="GHEA Grapalat"/>
      <w:color w:val="404040" w:themeColor="text1" w:themeTint="BF"/>
      <w:kern w:val="0"/>
      <w:sz w:val="22"/>
      <w:szCs w:val="20"/>
      <w14:ligatures w14:val="none"/>
    </w:rPr>
  </w:style>
  <w:style w:type="paragraph" w:customStyle="1" w:styleId="TableTitleCharCharCharCharCharCharCharCharCharChar1">
    <w:name w:val="(Table Title) Char Char Char Char Char Char Char Char Char Char1"/>
    <w:basedOn w:val="Normal"/>
    <w:next w:val="Normal"/>
    <w:uiPriority w:val="35"/>
    <w:unhideWhenUsed/>
    <w:qFormat/>
    <w:rsid w:val="00B43595"/>
    <w:pPr>
      <w:spacing w:line="240" w:lineRule="auto"/>
    </w:pPr>
    <w:rPr>
      <w:b/>
      <w:bCs/>
      <w:smallCaps/>
      <w:color w:val="44546A"/>
    </w:rPr>
  </w:style>
  <w:style w:type="character" w:styleId="Strong">
    <w:name w:val="Strong"/>
    <w:basedOn w:val="DefaultParagraphFont"/>
    <w:uiPriority w:val="22"/>
    <w:qFormat/>
    <w:rsid w:val="00B43595"/>
    <w:rPr>
      <w:b/>
      <w:bCs/>
    </w:rPr>
  </w:style>
  <w:style w:type="character" w:styleId="Emphasis">
    <w:name w:val="Emphasis"/>
    <w:basedOn w:val="DefaultParagraphFont"/>
    <w:uiPriority w:val="20"/>
    <w:rsid w:val="00B43595"/>
    <w:rPr>
      <w:i/>
      <w:iCs/>
    </w:rPr>
  </w:style>
  <w:style w:type="character" w:customStyle="1" w:styleId="SubtleEmphasis1">
    <w:name w:val="Subtle Emphasis1"/>
    <w:basedOn w:val="DefaultParagraphFont"/>
    <w:uiPriority w:val="19"/>
    <w:qFormat/>
    <w:rsid w:val="00B43595"/>
    <w:rPr>
      <w:i/>
      <w:iCs/>
      <w:color w:val="595959"/>
    </w:rPr>
  </w:style>
  <w:style w:type="character" w:customStyle="1" w:styleId="SubtleReference1">
    <w:name w:val="Subtle Reference1"/>
    <w:basedOn w:val="DefaultParagraphFont"/>
    <w:uiPriority w:val="31"/>
    <w:qFormat/>
    <w:rsid w:val="00B43595"/>
    <w:rPr>
      <w:smallCaps/>
      <w:color w:val="595959"/>
      <w:u w:val="none" w:color="7F7F7F"/>
      <w:bdr w:val="none" w:sz="0" w:space="0" w:color="auto"/>
    </w:rPr>
  </w:style>
  <w:style w:type="character" w:styleId="BookTitle">
    <w:name w:val="Book Title"/>
    <w:basedOn w:val="DefaultParagraphFont"/>
    <w:uiPriority w:val="33"/>
    <w:qFormat/>
    <w:rsid w:val="00B43595"/>
    <w:rPr>
      <w:b/>
      <w:bCs/>
      <w:smallCaps/>
      <w:spacing w:val="10"/>
    </w:rPr>
  </w:style>
  <w:style w:type="paragraph" w:styleId="TOCHeading">
    <w:name w:val="TOC Heading"/>
    <w:basedOn w:val="Heading1"/>
    <w:next w:val="Normal"/>
    <w:uiPriority w:val="39"/>
    <w:unhideWhenUsed/>
    <w:qFormat/>
    <w:rsid w:val="00B43595"/>
    <w:pPr>
      <w:keepNext w:val="0"/>
      <w:keepLines w:val="0"/>
      <w:spacing w:before="120" w:after="120"/>
      <w:outlineLvl w:val="9"/>
    </w:pPr>
    <w:rPr>
      <w:rFonts w:ascii="GHEA Grapalat" w:eastAsia="Times New Roman" w:hAnsi="GHEA Grapalat" w:cs="Times New Roman"/>
      <w:color w:val="404040"/>
      <w:sz w:val="22"/>
      <w:szCs w:val="22"/>
      <w:lang w:val="hy-AM"/>
    </w:rPr>
  </w:style>
  <w:style w:type="character" w:customStyle="1" w:styleId="Hyperlink1">
    <w:name w:val="Hyperlink1"/>
    <w:basedOn w:val="DefaultParagraphFont"/>
    <w:uiPriority w:val="99"/>
    <w:unhideWhenUsed/>
    <w:rsid w:val="00B43595"/>
    <w:rPr>
      <w:color w:val="0563C1"/>
      <w:u w:val="single"/>
    </w:rPr>
  </w:style>
  <w:style w:type="character" w:customStyle="1" w:styleId="ListParagraphChar">
    <w:name w:val="List Paragraph Char"/>
    <w:aliases w:val="lp1 Char,List Paragraph4 Char,List Paragraph41 Char,List Paragraph5 Char,Paragraphe de liste PBLH Char,PDP DOCUMENT SUBTITLE Char,Bullet Points Char,Table of contents numbered Char,List Paragraph in table Char,Liste 1 Char,CPS Char"/>
    <w:link w:val="ListParagraph"/>
    <w:uiPriority w:val="34"/>
    <w:qFormat/>
    <w:locked/>
    <w:rsid w:val="00B43595"/>
    <w:rPr>
      <w:rFonts w:eastAsiaTheme="minorEastAsia"/>
      <w:color w:val="404040" w:themeColor="text1" w:themeTint="BF"/>
      <w:kern w:val="0"/>
      <w:sz w:val="22"/>
      <w:szCs w:val="22"/>
      <w14:ligatures w14:val="none"/>
    </w:rPr>
  </w:style>
  <w:style w:type="paragraph" w:customStyle="1" w:styleId="TOC2">
    <w:name w:val="TOC 2 | Բաժիններ"/>
    <w:basedOn w:val="TOC1"/>
    <w:link w:val="TOC2Char"/>
    <w:qFormat/>
    <w:rsid w:val="00B43595"/>
    <w:rPr>
      <w:sz w:val="30"/>
    </w:rPr>
  </w:style>
  <w:style w:type="paragraph" w:customStyle="1" w:styleId="TOC3">
    <w:name w:val="TOC 3 | Ենթաբաժիններ"/>
    <w:basedOn w:val="TOC2"/>
    <w:link w:val="TOC3Char"/>
    <w:qFormat/>
    <w:rsid w:val="00B43595"/>
    <w:pPr>
      <w:spacing w:before="480" w:after="360"/>
    </w:pPr>
    <w:rPr>
      <w:b w:val="0"/>
      <w:color w:val="A5A6AC"/>
      <w:sz w:val="28"/>
    </w:rPr>
  </w:style>
  <w:style w:type="character" w:customStyle="1" w:styleId="TOC2Char">
    <w:name w:val="TOC 2 | Բաժիններ Char"/>
    <w:basedOn w:val="TOC1Char"/>
    <w:link w:val="TOC2"/>
    <w:rsid w:val="00B43595"/>
    <w:rPr>
      <w:rFonts w:ascii="GHEA Grapalat" w:eastAsiaTheme="minorEastAsia" w:hAnsi="GHEA Grapalat"/>
      <w:b/>
      <w:color w:val="0E2841" w:themeColor="text2"/>
      <w:kern w:val="0"/>
      <w:sz w:val="30"/>
      <w:szCs w:val="20"/>
      <w14:ligatures w14:val="none"/>
    </w:rPr>
  </w:style>
  <w:style w:type="character" w:customStyle="1" w:styleId="TOC3Char">
    <w:name w:val="TOC 3 | Ենթաբաժիններ Char"/>
    <w:basedOn w:val="TOC2Char"/>
    <w:link w:val="TOC3"/>
    <w:rsid w:val="00B43595"/>
    <w:rPr>
      <w:rFonts w:ascii="GHEA Grapalat" w:eastAsiaTheme="minorEastAsia" w:hAnsi="GHEA Grapalat"/>
      <w:b w:val="0"/>
      <w:color w:val="A5A6AC"/>
      <w:kern w:val="0"/>
      <w:sz w:val="28"/>
      <w:szCs w:val="20"/>
      <w14:ligatures w14:val="none"/>
    </w:rPr>
  </w:style>
  <w:style w:type="paragraph" w:customStyle="1" w:styleId="a0">
    <w:name w:val="Աղյուսակ"/>
    <w:basedOn w:val="Normal"/>
    <w:link w:val="Char"/>
    <w:qFormat/>
    <w:rsid w:val="00B43595"/>
    <w:pPr>
      <w:spacing w:before="480" w:line="240" w:lineRule="auto"/>
    </w:pPr>
    <w:rPr>
      <w:b/>
      <w:lang w:val="hy-AM"/>
    </w:rPr>
  </w:style>
  <w:style w:type="paragraph" w:customStyle="1" w:styleId="Footnote">
    <w:name w:val="Footnote"/>
    <w:basedOn w:val="Normal"/>
    <w:link w:val="FootnoteChar"/>
    <w:qFormat/>
    <w:rsid w:val="00B43595"/>
    <w:pPr>
      <w:spacing w:before="0" w:after="0"/>
    </w:pPr>
    <w:rPr>
      <w:i/>
      <w:color w:val="E7E6E6"/>
      <w:sz w:val="16"/>
      <w:szCs w:val="18"/>
      <w:lang w:val="hy-AM"/>
      <w14:textFill>
        <w14:solidFill>
          <w14:srgbClr w14:val="E7E6E6">
            <w14:lumMod w14:val="90000"/>
            <w14:lumMod w14:val="40000"/>
            <w14:lumOff w14:val="60000"/>
            <w14:lumMod w14:val="75000"/>
            <w14:lumMod w14:val="90000"/>
          </w14:srgbClr>
        </w14:solidFill>
      </w14:textFill>
    </w:rPr>
  </w:style>
  <w:style w:type="character" w:customStyle="1" w:styleId="Char">
    <w:name w:val="Աղյուսակ Char"/>
    <w:basedOn w:val="DefaultParagraphFont"/>
    <w:link w:val="a0"/>
    <w:rsid w:val="00B43595"/>
    <w:rPr>
      <w:rFonts w:eastAsiaTheme="minorEastAsia"/>
      <w:b/>
      <w:color w:val="404040" w:themeColor="text1" w:themeTint="BF"/>
      <w:kern w:val="0"/>
      <w:sz w:val="22"/>
      <w:szCs w:val="22"/>
      <w:lang w:val="hy-AM"/>
      <w14:ligatures w14:val="none"/>
    </w:rPr>
  </w:style>
  <w:style w:type="paragraph" w:customStyle="1" w:styleId="a1">
    <w:name w:val="Աղբյուր"/>
    <w:basedOn w:val="Normal"/>
    <w:link w:val="Char0"/>
    <w:qFormat/>
    <w:rsid w:val="00B43595"/>
    <w:pPr>
      <w:spacing w:before="0"/>
      <w:jc w:val="right"/>
    </w:pPr>
    <w:rPr>
      <w:i/>
      <w:color w:val="A6A6A6"/>
      <w:sz w:val="18"/>
    </w:rPr>
  </w:style>
  <w:style w:type="character" w:customStyle="1" w:styleId="FootnoteChar">
    <w:name w:val="Footnote Char"/>
    <w:basedOn w:val="DefaultParagraphFont"/>
    <w:link w:val="Footnote"/>
    <w:rsid w:val="00B43595"/>
    <w:rPr>
      <w:rFonts w:eastAsiaTheme="minorEastAsia"/>
      <w:i/>
      <w:color w:val="E7E6E6"/>
      <w:kern w:val="0"/>
      <w:sz w:val="16"/>
      <w:szCs w:val="18"/>
      <w:lang w:val="hy-AM"/>
      <w14:textFill>
        <w14:solidFill>
          <w14:srgbClr w14:val="E7E6E6">
            <w14:lumMod w14:val="90000"/>
            <w14:lumMod w14:val="40000"/>
            <w14:lumOff w14:val="60000"/>
            <w14:lumMod w14:val="75000"/>
            <w14:lumMod w14:val="90000"/>
          </w14:srgbClr>
        </w14:solidFill>
      </w14:textFill>
      <w14:ligatures w14:val="none"/>
    </w:rPr>
  </w:style>
  <w:style w:type="character" w:customStyle="1" w:styleId="Char0">
    <w:name w:val="Աղբյուր Char"/>
    <w:basedOn w:val="DefaultParagraphFont"/>
    <w:link w:val="a1"/>
    <w:rsid w:val="00B43595"/>
    <w:rPr>
      <w:rFonts w:eastAsiaTheme="minorEastAsia"/>
      <w:i/>
      <w:color w:val="A6A6A6"/>
      <w:kern w:val="0"/>
      <w:sz w:val="18"/>
      <w:szCs w:val="22"/>
      <w14:ligatures w14:val="none"/>
    </w:rPr>
  </w:style>
  <w:style w:type="paragraph" w:customStyle="1" w:styleId="Charts">
    <w:name w:val="Charts"/>
    <w:basedOn w:val="BodyText1"/>
    <w:link w:val="ChartsChar"/>
    <w:qFormat/>
    <w:rsid w:val="00B43595"/>
    <w:pPr>
      <w:spacing w:before="360" w:line="240" w:lineRule="auto"/>
      <w:ind w:left="0"/>
    </w:pPr>
    <w:rPr>
      <w:b/>
      <w:lang w:val="hy-AM"/>
    </w:rPr>
  </w:style>
  <w:style w:type="character" w:customStyle="1" w:styleId="ChartsChar">
    <w:name w:val="Charts Char"/>
    <w:basedOn w:val="BodytextChar"/>
    <w:link w:val="Charts"/>
    <w:rsid w:val="00B43595"/>
    <w:rPr>
      <w:rFonts w:ascii="GHEA Grapalat" w:eastAsiaTheme="minorEastAsia" w:hAnsi="GHEA Grapalat"/>
      <w:b/>
      <w:color w:val="404040" w:themeColor="text1" w:themeTint="BF"/>
      <w:kern w:val="0"/>
      <w:sz w:val="22"/>
      <w:szCs w:val="20"/>
      <w:lang w:val="hy-AM"/>
      <w14:ligatures w14:val="none"/>
    </w:rPr>
  </w:style>
  <w:style w:type="paragraph" w:styleId="Header">
    <w:name w:val="header"/>
    <w:basedOn w:val="Normal"/>
    <w:link w:val="HeaderChar"/>
    <w:uiPriority w:val="99"/>
    <w:unhideWhenUsed/>
    <w:rsid w:val="00B4359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43595"/>
    <w:rPr>
      <w:rFonts w:eastAsiaTheme="minorEastAsia"/>
      <w:color w:val="404040" w:themeColor="text1" w:themeTint="BF"/>
      <w:kern w:val="0"/>
      <w:sz w:val="22"/>
      <w:szCs w:val="22"/>
      <w14:ligatures w14:val="none"/>
    </w:rPr>
  </w:style>
  <w:style w:type="paragraph" w:styleId="Footer">
    <w:name w:val="footer"/>
    <w:basedOn w:val="Normal"/>
    <w:link w:val="FooterChar"/>
    <w:uiPriority w:val="99"/>
    <w:unhideWhenUsed/>
    <w:rsid w:val="00B4359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43595"/>
    <w:rPr>
      <w:rFonts w:eastAsiaTheme="minorEastAsia"/>
      <w:color w:val="404040" w:themeColor="text1" w:themeTint="BF"/>
      <w:kern w:val="0"/>
      <w:sz w:val="22"/>
      <w:szCs w:val="22"/>
      <w14:ligatures w14:val="none"/>
    </w:rPr>
  </w:style>
  <w:style w:type="table" w:styleId="TableGrid">
    <w:name w:val="Table Grid"/>
    <w:basedOn w:val="TableNormal"/>
    <w:uiPriority w:val="39"/>
    <w:qFormat/>
    <w:rsid w:val="00B43595"/>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n,ADB,single space,footnote text Char,fn Char,ADB Char,single space Char Char,footnote text,FOOTNOTES Char,FOOTNOTES Char Char Char,FOOTNOTES,Footnote Text Char2 Char,Footnote Text Char1 Char Char,f,Fußnote,WB-Fußnotentext,ft"/>
    <w:basedOn w:val="Normal"/>
    <w:link w:val="FootnoteTextChar"/>
    <w:uiPriority w:val="99"/>
    <w:unhideWhenUsed/>
    <w:qFormat/>
    <w:rsid w:val="00B43595"/>
    <w:pPr>
      <w:spacing w:before="0" w:after="0" w:line="240" w:lineRule="auto"/>
    </w:pPr>
    <w:rPr>
      <w:sz w:val="20"/>
      <w:szCs w:val="20"/>
    </w:rPr>
  </w:style>
  <w:style w:type="character" w:customStyle="1" w:styleId="FootnoteTextChar">
    <w:name w:val="Footnote Text Char"/>
    <w:aliases w:val="fn Char1,ADB Char1,single space Char,footnote text Char Char,fn Char Char,ADB Char Char,single space Char Char Char,footnote text Char1,FOOTNOTES Char Char,FOOTNOTES Char Char Char Char,FOOTNOTES Char1,Footnote Text Char2 Char Char"/>
    <w:basedOn w:val="DefaultParagraphFont"/>
    <w:link w:val="FootnoteText"/>
    <w:uiPriority w:val="99"/>
    <w:rsid w:val="00B43595"/>
    <w:rPr>
      <w:rFonts w:eastAsiaTheme="minorEastAsia"/>
      <w:color w:val="404040" w:themeColor="text1" w:themeTint="BF"/>
      <w:kern w:val="0"/>
      <w:sz w:val="20"/>
      <w:szCs w:val="20"/>
      <w14:ligatures w14:val="none"/>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BVI fnr Char Char Char"/>
    <w:basedOn w:val="DefaultParagraphFont"/>
    <w:link w:val="BVIfnr1"/>
    <w:uiPriority w:val="99"/>
    <w:unhideWhenUsed/>
    <w:qFormat/>
    <w:rsid w:val="00B43595"/>
    <w:rPr>
      <w:vertAlign w:val="superscript"/>
    </w:rPr>
  </w:style>
  <w:style w:type="paragraph" w:styleId="TOC10">
    <w:name w:val="toc 1"/>
    <w:basedOn w:val="Normal"/>
    <w:next w:val="Normal"/>
    <w:autoRedefine/>
    <w:uiPriority w:val="39"/>
    <w:unhideWhenUsed/>
    <w:rsid w:val="00B43595"/>
    <w:rPr>
      <w:b/>
      <w:bCs/>
      <w:caps/>
      <w:sz w:val="20"/>
      <w:szCs w:val="20"/>
    </w:rPr>
  </w:style>
  <w:style w:type="paragraph" w:styleId="TOC20">
    <w:name w:val="toc 2"/>
    <w:basedOn w:val="Normal"/>
    <w:next w:val="Normal"/>
    <w:autoRedefine/>
    <w:uiPriority w:val="39"/>
    <w:unhideWhenUsed/>
    <w:rsid w:val="00B43595"/>
    <w:pPr>
      <w:spacing w:before="0" w:after="0"/>
      <w:ind w:left="220"/>
    </w:pPr>
    <w:rPr>
      <w:smallCaps/>
      <w:sz w:val="20"/>
      <w:szCs w:val="20"/>
    </w:rPr>
  </w:style>
  <w:style w:type="paragraph" w:styleId="TOC30">
    <w:name w:val="toc 3"/>
    <w:basedOn w:val="Normal"/>
    <w:next w:val="Normal"/>
    <w:autoRedefine/>
    <w:uiPriority w:val="39"/>
    <w:unhideWhenUsed/>
    <w:rsid w:val="00B43595"/>
    <w:pPr>
      <w:spacing w:before="0" w:after="0"/>
      <w:ind w:left="440"/>
    </w:pPr>
    <w:rPr>
      <w:i/>
      <w:iCs/>
      <w:sz w:val="20"/>
      <w:szCs w:val="20"/>
    </w:rPr>
  </w:style>
  <w:style w:type="character" w:customStyle="1" w:styleId="FollowedHyperlink1">
    <w:name w:val="FollowedHyperlink1"/>
    <w:basedOn w:val="DefaultParagraphFont"/>
    <w:uiPriority w:val="99"/>
    <w:semiHidden/>
    <w:unhideWhenUsed/>
    <w:rsid w:val="00B43595"/>
    <w:rPr>
      <w:color w:val="954F72"/>
      <w:u w:val="single"/>
    </w:rPr>
  </w:style>
  <w:style w:type="paragraph" w:styleId="NormalWeb">
    <w:name w:val="Normal (Web)"/>
    <w:basedOn w:val="Normal"/>
    <w:link w:val="NormalWebChar"/>
    <w:uiPriority w:val="99"/>
    <w:unhideWhenUsed/>
    <w:rsid w:val="00B43595"/>
    <w:pPr>
      <w:spacing w:before="100" w:beforeAutospacing="1" w:after="100" w:afterAutospacing="1" w:line="240" w:lineRule="auto"/>
    </w:pPr>
    <w:rPr>
      <w:rFonts w:ascii="Times New Roman" w:eastAsia="Times New Roman" w:hAnsi="Times New Roman" w:cs="Times New Roman"/>
      <w:color w:val="auto"/>
      <w:sz w:val="24"/>
      <w:szCs w:val="24"/>
      <w:lang w:val="ru-RU" w:eastAsia="ru-RU"/>
    </w:rPr>
  </w:style>
  <w:style w:type="character" w:customStyle="1" w:styleId="Heading1Char1">
    <w:name w:val="Heading 1 Char1"/>
    <w:aliases w:val="Body | Bullets Char1"/>
    <w:basedOn w:val="DefaultParagraphFont"/>
    <w:uiPriority w:val="9"/>
    <w:rsid w:val="00B43595"/>
    <w:rPr>
      <w:rFonts w:ascii="GHEA Grapalat" w:eastAsia="Times New Roman" w:hAnsi="GHEA Grapalat" w:cs="Times New Roman"/>
      <w:color w:val="2E74B5"/>
      <w:sz w:val="32"/>
      <w:szCs w:val="32"/>
    </w:rPr>
  </w:style>
  <w:style w:type="paragraph" w:customStyle="1" w:styleId="msonormal0">
    <w:name w:val="msonormal"/>
    <w:basedOn w:val="Normal"/>
    <w:rsid w:val="00B4359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B43595"/>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3595"/>
    <w:rPr>
      <w:rFonts w:ascii="Segoe UI" w:eastAsiaTheme="minorEastAsia" w:hAnsi="Segoe UI" w:cs="Segoe UI"/>
      <w:color w:val="404040" w:themeColor="text1" w:themeTint="BF"/>
      <w:kern w:val="0"/>
      <w:sz w:val="18"/>
      <w:szCs w:val="18"/>
      <w14:ligatures w14:val="none"/>
    </w:rPr>
  </w:style>
  <w:style w:type="paragraph" w:customStyle="1" w:styleId="Revision1">
    <w:name w:val="Revision1"/>
    <w:next w:val="Revision"/>
    <w:uiPriority w:val="99"/>
    <w:semiHidden/>
    <w:rsid w:val="00B43595"/>
    <w:pPr>
      <w:spacing w:after="0" w:line="240" w:lineRule="auto"/>
    </w:pPr>
    <w:rPr>
      <w:rFonts w:eastAsia="Times New Roman"/>
      <w:color w:val="404040"/>
      <w:kern w:val="0"/>
      <w:sz w:val="22"/>
      <w:szCs w:val="22"/>
      <w14:ligatures w14:val="none"/>
    </w:rPr>
  </w:style>
  <w:style w:type="paragraph" w:styleId="TableofFigures">
    <w:name w:val="table of figures"/>
    <w:aliases w:val="Գծապատկեր"/>
    <w:basedOn w:val="Charts"/>
    <w:next w:val="Normal"/>
    <w:uiPriority w:val="99"/>
    <w:unhideWhenUsed/>
    <w:rsid w:val="00B43595"/>
    <w:pPr>
      <w:spacing w:after="0"/>
    </w:pPr>
  </w:style>
  <w:style w:type="character" w:customStyle="1" w:styleId="NormalWebChar">
    <w:name w:val="Normal (Web) Char"/>
    <w:link w:val="NormalWeb"/>
    <w:uiPriority w:val="99"/>
    <w:locked/>
    <w:rsid w:val="00B43595"/>
    <w:rPr>
      <w:rFonts w:ascii="Times New Roman" w:eastAsia="Times New Roman" w:hAnsi="Times New Roman" w:cs="Times New Roman"/>
      <w:kern w:val="0"/>
      <w:lang w:val="ru-RU" w:eastAsia="ru-RU"/>
      <w14:ligatures w14:val="none"/>
    </w:rPr>
  </w:style>
  <w:style w:type="paragraph" w:styleId="EndnoteText">
    <w:name w:val="endnote text"/>
    <w:basedOn w:val="Normal"/>
    <w:link w:val="EndnoteTextChar"/>
    <w:uiPriority w:val="99"/>
    <w:semiHidden/>
    <w:unhideWhenUsed/>
    <w:rsid w:val="00B43595"/>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43595"/>
    <w:rPr>
      <w:rFonts w:eastAsiaTheme="minorEastAsia"/>
      <w:color w:val="404040" w:themeColor="text1" w:themeTint="BF"/>
      <w:kern w:val="0"/>
      <w:sz w:val="20"/>
      <w:szCs w:val="20"/>
      <w14:ligatures w14:val="none"/>
    </w:rPr>
  </w:style>
  <w:style w:type="character" w:styleId="EndnoteReference">
    <w:name w:val="endnote reference"/>
    <w:basedOn w:val="DefaultParagraphFont"/>
    <w:uiPriority w:val="99"/>
    <w:semiHidden/>
    <w:unhideWhenUsed/>
    <w:rsid w:val="00B43595"/>
    <w:rPr>
      <w:vertAlign w:val="superscript"/>
    </w:rPr>
  </w:style>
  <w:style w:type="paragraph" w:customStyle="1" w:styleId="BVIfnr1">
    <w:name w:val="BVI fnr1"/>
    <w:aliases w:val="BVI fnr Char,Appel note de bas de p..BVI fnr Car Car Car Car,BVI fnr Car Car,BVI fnr Car,BVI fnr Car Car Car Car,BVI fnr Car Car Car Car Char,Appel note de bas de p..BVI fnr Car Car Car Car1,BVI fnr, BVI fnr Char, BVI fnr Car Car, BVI fnr"/>
    <w:basedOn w:val="Normal"/>
    <w:link w:val="FootnoteReference"/>
    <w:uiPriority w:val="99"/>
    <w:rsid w:val="00B43595"/>
    <w:pPr>
      <w:spacing w:before="0" w:after="160" w:line="240" w:lineRule="exact"/>
    </w:pPr>
    <w:rPr>
      <w:rFonts w:eastAsiaTheme="minorHAnsi"/>
      <w:color w:val="auto"/>
      <w:kern w:val="2"/>
      <w:sz w:val="24"/>
      <w:szCs w:val="24"/>
      <w:vertAlign w:val="superscript"/>
      <w14:ligatures w14:val="standardContextual"/>
    </w:rPr>
  </w:style>
  <w:style w:type="paragraph" w:styleId="BodyText">
    <w:name w:val="Body Text"/>
    <w:aliases w:val="(Main Text),date,Body Text (Main text)"/>
    <w:basedOn w:val="Normal"/>
    <w:link w:val="BodyTextChar1"/>
    <w:rsid w:val="00B43595"/>
    <w:pPr>
      <w:spacing w:before="0" w:line="240" w:lineRule="auto"/>
    </w:pPr>
    <w:rPr>
      <w:rFonts w:ascii="Times New Roman" w:eastAsia="Times New Roman" w:hAnsi="Times New Roman" w:cs="Times New Roman"/>
      <w:color w:val="auto"/>
      <w:sz w:val="24"/>
      <w:szCs w:val="24"/>
      <w:lang w:val="x-none" w:eastAsia="x-none"/>
    </w:rPr>
  </w:style>
  <w:style w:type="character" w:customStyle="1" w:styleId="BodyTextChar0">
    <w:name w:val="Body Text Char"/>
    <w:basedOn w:val="DefaultParagraphFont"/>
    <w:uiPriority w:val="99"/>
    <w:semiHidden/>
    <w:rsid w:val="00B43595"/>
    <w:rPr>
      <w:rFonts w:eastAsiaTheme="minorEastAsia"/>
      <w:color w:val="404040" w:themeColor="text1" w:themeTint="BF"/>
      <w:kern w:val="0"/>
      <w:sz w:val="22"/>
      <w:szCs w:val="22"/>
      <w14:ligatures w14:val="none"/>
    </w:rPr>
  </w:style>
  <w:style w:type="character" w:customStyle="1" w:styleId="BodyTextChar1">
    <w:name w:val="Body Text Char1"/>
    <w:aliases w:val="(Main Text) Char,date Char,Body Text (Main text) Char"/>
    <w:link w:val="BodyText"/>
    <w:rsid w:val="00B43595"/>
    <w:rPr>
      <w:rFonts w:ascii="Times New Roman" w:eastAsia="Times New Roman" w:hAnsi="Times New Roman" w:cs="Times New Roman"/>
      <w:kern w:val="0"/>
      <w:lang w:val="x-none" w:eastAsia="x-none"/>
      <w14:ligatures w14:val="none"/>
    </w:rPr>
  </w:style>
  <w:style w:type="character" w:styleId="CommentReference">
    <w:name w:val="annotation reference"/>
    <w:basedOn w:val="DefaultParagraphFont"/>
    <w:uiPriority w:val="99"/>
    <w:semiHidden/>
    <w:unhideWhenUsed/>
    <w:rsid w:val="00B43595"/>
    <w:rPr>
      <w:sz w:val="16"/>
      <w:szCs w:val="16"/>
    </w:rPr>
  </w:style>
  <w:style w:type="paragraph" w:styleId="CommentText">
    <w:name w:val="annotation text"/>
    <w:basedOn w:val="Normal"/>
    <w:link w:val="CommentTextChar"/>
    <w:uiPriority w:val="99"/>
    <w:unhideWhenUsed/>
    <w:rsid w:val="00B43595"/>
    <w:pPr>
      <w:spacing w:line="240" w:lineRule="auto"/>
    </w:pPr>
    <w:rPr>
      <w:sz w:val="20"/>
      <w:szCs w:val="20"/>
    </w:rPr>
  </w:style>
  <w:style w:type="character" w:customStyle="1" w:styleId="CommentTextChar">
    <w:name w:val="Comment Text Char"/>
    <w:basedOn w:val="DefaultParagraphFont"/>
    <w:link w:val="CommentText"/>
    <w:uiPriority w:val="99"/>
    <w:rsid w:val="00B43595"/>
    <w:rPr>
      <w:rFonts w:eastAsiaTheme="minorEastAsia"/>
      <w:color w:val="404040" w:themeColor="text1" w:themeTint="BF"/>
      <w:kern w:val="0"/>
      <w:sz w:val="20"/>
      <w:szCs w:val="20"/>
      <w14:ligatures w14:val="none"/>
    </w:rPr>
  </w:style>
  <w:style w:type="paragraph" w:customStyle="1" w:styleId="a2">
    <w:name w:val="Հղումներ"/>
    <w:basedOn w:val="Normal"/>
    <w:qFormat/>
    <w:rsid w:val="00B43595"/>
    <w:pPr>
      <w:spacing w:before="60" w:after="40" w:line="240" w:lineRule="auto"/>
      <w:ind w:firstLine="567"/>
      <w:jc w:val="both"/>
    </w:pPr>
    <w:rPr>
      <w:rFonts w:ascii="GHEA Grapalat" w:eastAsia="Times New Roman" w:hAnsi="GHEA Grapalat" w:cs="Times New Roman"/>
      <w:color w:val="auto"/>
      <w:sz w:val="20"/>
      <w:szCs w:val="20"/>
      <w:lang w:val="hy-AM"/>
    </w:rPr>
  </w:style>
  <w:style w:type="paragraph" w:styleId="CommentSubject">
    <w:name w:val="annotation subject"/>
    <w:basedOn w:val="CommentText"/>
    <w:next w:val="CommentText"/>
    <w:link w:val="CommentSubjectChar"/>
    <w:uiPriority w:val="99"/>
    <w:semiHidden/>
    <w:unhideWhenUsed/>
    <w:rsid w:val="00B43595"/>
    <w:rPr>
      <w:b/>
      <w:bCs/>
    </w:rPr>
  </w:style>
  <w:style w:type="character" w:customStyle="1" w:styleId="CommentSubjectChar">
    <w:name w:val="Comment Subject Char"/>
    <w:basedOn w:val="CommentTextChar"/>
    <w:link w:val="CommentSubject"/>
    <w:uiPriority w:val="99"/>
    <w:semiHidden/>
    <w:rsid w:val="00B43595"/>
    <w:rPr>
      <w:rFonts w:eastAsiaTheme="minorEastAsia"/>
      <w:b/>
      <w:bCs/>
      <w:color w:val="404040" w:themeColor="text1" w:themeTint="BF"/>
      <w:kern w:val="0"/>
      <w:sz w:val="20"/>
      <w:szCs w:val="20"/>
      <w14:ligatures w14:val="none"/>
    </w:rPr>
  </w:style>
  <w:style w:type="character" w:customStyle="1" w:styleId="UnresolvedMention1">
    <w:name w:val="Unresolved Mention1"/>
    <w:basedOn w:val="DefaultParagraphFont"/>
    <w:uiPriority w:val="99"/>
    <w:semiHidden/>
    <w:unhideWhenUsed/>
    <w:rsid w:val="00B43595"/>
    <w:rPr>
      <w:color w:val="605E5C"/>
      <w:shd w:val="clear" w:color="auto" w:fill="E1DFDD"/>
    </w:rPr>
  </w:style>
  <w:style w:type="paragraph" w:customStyle="1" w:styleId="a3">
    <w:name w:val="Վերնագիր"/>
    <w:basedOn w:val="TOC2"/>
    <w:link w:val="Char1"/>
    <w:qFormat/>
    <w:rsid w:val="00B43595"/>
    <w:pPr>
      <w:jc w:val="both"/>
    </w:pPr>
    <w:rPr>
      <w:lang w:val="hy-AM"/>
    </w:rPr>
  </w:style>
  <w:style w:type="paragraph" w:customStyle="1" w:styleId="StyleGHEAGrapalatJustifiedBefore12pt">
    <w:name w:val="Style GHEA Grapalat Justified Before:  12 pt"/>
    <w:basedOn w:val="Normal"/>
    <w:rsid w:val="00B43595"/>
    <w:pPr>
      <w:spacing w:before="240" w:after="240"/>
      <w:ind w:left="720" w:hanging="360"/>
      <w:jc w:val="both"/>
    </w:pPr>
    <w:rPr>
      <w:rFonts w:ascii="GHEA Grapalat" w:eastAsia="Times New Roman" w:hAnsi="GHEA Grapalat" w:cs="Times New Roman"/>
      <w:b/>
      <w:noProof/>
      <w:color w:val="auto"/>
      <w:szCs w:val="20"/>
      <w:lang w:val="ru-RU" w:eastAsia="ru-RU"/>
    </w:rPr>
  </w:style>
  <w:style w:type="character" w:customStyle="1" w:styleId="Char1">
    <w:name w:val="Վերնագիր Char"/>
    <w:basedOn w:val="TOC2Char"/>
    <w:link w:val="a3"/>
    <w:rsid w:val="00B43595"/>
    <w:rPr>
      <w:rFonts w:ascii="GHEA Grapalat" w:eastAsiaTheme="minorEastAsia" w:hAnsi="GHEA Grapalat"/>
      <w:b/>
      <w:color w:val="0E2841" w:themeColor="text2"/>
      <w:kern w:val="0"/>
      <w:sz w:val="30"/>
      <w:szCs w:val="20"/>
      <w:lang w:val="hy-AM"/>
      <w14:ligatures w14:val="none"/>
    </w:rPr>
  </w:style>
  <w:style w:type="paragraph" w:customStyle="1" w:styleId="KLegalHeading3">
    <w:name w:val="KLegal Heading 3"/>
    <w:basedOn w:val="Normal"/>
    <w:next w:val="Normal"/>
    <w:rsid w:val="00B43595"/>
    <w:pPr>
      <w:keepNext/>
      <w:overflowPunct w:val="0"/>
      <w:autoSpaceDE w:val="0"/>
      <w:autoSpaceDN w:val="0"/>
      <w:adjustRightInd w:val="0"/>
      <w:spacing w:before="0" w:after="220" w:line="240" w:lineRule="auto"/>
      <w:ind w:left="1440" w:hanging="720"/>
      <w:jc w:val="both"/>
      <w:textAlignment w:val="baseline"/>
    </w:pPr>
    <w:rPr>
      <w:rFonts w:ascii="Times New Roman" w:eastAsia="Times New Roman" w:hAnsi="Times New Roman" w:cs="Times New Roman"/>
      <w:color w:val="auto"/>
      <w:szCs w:val="20"/>
      <w:lang w:val="en-GB"/>
    </w:rPr>
  </w:style>
  <w:style w:type="paragraph" w:customStyle="1" w:styleId="KLegalHeading4">
    <w:name w:val="KLegal Heading 4"/>
    <w:basedOn w:val="Normal"/>
    <w:next w:val="Normal"/>
    <w:rsid w:val="00B43595"/>
    <w:pPr>
      <w:keepNext/>
      <w:overflowPunct w:val="0"/>
      <w:autoSpaceDE w:val="0"/>
      <w:autoSpaceDN w:val="0"/>
      <w:adjustRightInd w:val="0"/>
      <w:spacing w:before="0" w:after="220" w:line="240" w:lineRule="auto"/>
      <w:ind w:left="2160" w:hanging="720"/>
      <w:jc w:val="both"/>
      <w:textAlignment w:val="baseline"/>
    </w:pPr>
    <w:rPr>
      <w:rFonts w:ascii="Times New Roman" w:eastAsia="Times New Roman" w:hAnsi="Times New Roman" w:cs="Times New Roman"/>
      <w:i/>
      <w:color w:val="auto"/>
      <w:szCs w:val="20"/>
      <w:lang w:val="en-GB"/>
    </w:rPr>
  </w:style>
  <w:style w:type="paragraph" w:customStyle="1" w:styleId="KLegalHeading2">
    <w:name w:val="KLegal Heading 2"/>
    <w:basedOn w:val="Normal"/>
    <w:next w:val="KLegalHeading3"/>
    <w:rsid w:val="00B43595"/>
    <w:pPr>
      <w:keepNext/>
      <w:numPr>
        <w:ilvl w:val="1"/>
        <w:numId w:val="5"/>
      </w:numPr>
      <w:overflowPunct w:val="0"/>
      <w:autoSpaceDE w:val="0"/>
      <w:autoSpaceDN w:val="0"/>
      <w:adjustRightInd w:val="0"/>
      <w:spacing w:before="0" w:after="220" w:line="240" w:lineRule="auto"/>
      <w:ind w:left="851" w:hanging="851"/>
      <w:jc w:val="both"/>
      <w:textAlignment w:val="baseline"/>
      <w:outlineLvl w:val="1"/>
    </w:pPr>
    <w:rPr>
      <w:rFonts w:ascii="Times New Roman" w:eastAsia="Times New Roman" w:hAnsi="Times New Roman" w:cs="Times New Roman"/>
      <w:color w:val="auto"/>
      <w:sz w:val="28"/>
      <w:szCs w:val="20"/>
      <w:lang w:val="en-GB"/>
    </w:rPr>
  </w:style>
  <w:style w:type="character" w:styleId="SubtleEmphasis">
    <w:name w:val="Subtle Emphasis"/>
    <w:basedOn w:val="DefaultParagraphFont"/>
    <w:uiPriority w:val="19"/>
    <w:qFormat/>
    <w:rsid w:val="00B43595"/>
    <w:rPr>
      <w:i/>
      <w:iCs/>
      <w:color w:val="404040" w:themeColor="text1" w:themeTint="BF"/>
    </w:rPr>
  </w:style>
  <w:style w:type="character" w:styleId="SubtleReference">
    <w:name w:val="Subtle Reference"/>
    <w:basedOn w:val="DefaultParagraphFont"/>
    <w:uiPriority w:val="31"/>
    <w:qFormat/>
    <w:rsid w:val="00B43595"/>
    <w:rPr>
      <w:smallCaps/>
      <w:color w:val="5A5A5A" w:themeColor="text1" w:themeTint="A5"/>
    </w:rPr>
  </w:style>
  <w:style w:type="character" w:styleId="Hyperlink">
    <w:name w:val="Hyperlink"/>
    <w:basedOn w:val="DefaultParagraphFont"/>
    <w:uiPriority w:val="99"/>
    <w:unhideWhenUsed/>
    <w:rsid w:val="00B43595"/>
    <w:rPr>
      <w:color w:val="467886" w:themeColor="hyperlink"/>
      <w:u w:val="single"/>
    </w:rPr>
  </w:style>
  <w:style w:type="character" w:styleId="FollowedHyperlink">
    <w:name w:val="FollowedHyperlink"/>
    <w:basedOn w:val="DefaultParagraphFont"/>
    <w:uiPriority w:val="99"/>
    <w:semiHidden/>
    <w:unhideWhenUsed/>
    <w:rsid w:val="00B43595"/>
    <w:rPr>
      <w:color w:val="96607D" w:themeColor="followedHyperlink"/>
      <w:u w:val="single"/>
    </w:rPr>
  </w:style>
  <w:style w:type="paragraph" w:styleId="Revision">
    <w:name w:val="Revision"/>
    <w:hidden/>
    <w:uiPriority w:val="99"/>
    <w:semiHidden/>
    <w:rsid w:val="00B43595"/>
    <w:pPr>
      <w:spacing w:after="0" w:line="240" w:lineRule="auto"/>
    </w:pPr>
    <w:rPr>
      <w:rFonts w:eastAsiaTheme="minorEastAsia"/>
      <w:color w:val="404040" w:themeColor="text1" w:themeTint="BF"/>
      <w:kern w:val="0"/>
      <w:sz w:val="22"/>
      <w:szCs w:val="22"/>
      <w14:ligatures w14:val="none"/>
    </w:rPr>
  </w:style>
  <w:style w:type="paragraph" w:customStyle="1" w:styleId="DefaultParagraphFontParaChar">
    <w:name w:val="Default Paragraph Font Para Char"/>
    <w:basedOn w:val="Normal"/>
    <w:locked/>
    <w:rsid w:val="003C4696"/>
    <w:pPr>
      <w:spacing w:before="0" w:after="160" w:line="240" w:lineRule="auto"/>
    </w:pPr>
    <w:rPr>
      <w:rFonts w:ascii="Verdana" w:eastAsia="Batang" w:hAnsi="Verdana" w:cs="Verdana"/>
      <w:color w:val="auto"/>
      <w:sz w:val="24"/>
      <w:szCs w:val="24"/>
      <w:lang w:val="en-GB"/>
    </w:rPr>
  </w:style>
  <w:style w:type="paragraph" w:styleId="BlockText">
    <w:name w:val="Block Text"/>
    <w:basedOn w:val="Normal"/>
    <w:rsid w:val="003C4696"/>
    <w:pPr>
      <w:spacing w:before="3480" w:after="0" w:line="360" w:lineRule="auto"/>
      <w:ind w:left="5040" w:right="-261"/>
    </w:pPr>
    <w:rPr>
      <w:rFonts w:ascii="ArTarumianTimes" w:eastAsia="Times New Roman" w:hAnsi="ArTarumianTimes" w:cs="Times New Roman"/>
      <w:color w:val="auto"/>
      <w:sz w:val="24"/>
      <w:szCs w:val="24"/>
    </w:rPr>
  </w:style>
  <w:style w:type="paragraph" w:customStyle="1" w:styleId="a">
    <w:name w:val="Ամփոփոթերթ"/>
    <w:basedOn w:val="Normal"/>
    <w:rsid w:val="003C4696"/>
    <w:pPr>
      <w:framePr w:wrap="around" w:vAnchor="text" w:hAnchor="text" w:y="1"/>
      <w:numPr>
        <w:numId w:val="6"/>
      </w:numPr>
      <w:spacing w:before="0" w:after="0" w:line="240" w:lineRule="auto"/>
    </w:pPr>
    <w:rPr>
      <w:rFonts w:ascii="Sylfaen" w:eastAsia="Times New Roman" w:hAnsi="Sylfaen" w:cs="Sylfaen"/>
      <w:color w:val="auto"/>
    </w:rPr>
  </w:style>
  <w:style w:type="paragraph" w:customStyle="1" w:styleId="CharCharCharCharCharCharCharCharCharCharCharChar">
    <w:name w:val="Char Char Char Char Char Char Char Char Char Char Char Char"/>
    <w:basedOn w:val="Normal"/>
    <w:rsid w:val="003C4696"/>
    <w:pPr>
      <w:spacing w:before="0" w:after="160" w:line="240" w:lineRule="exact"/>
    </w:pPr>
    <w:rPr>
      <w:rFonts w:ascii="Arial" w:eastAsia="Times New Roman" w:hAnsi="Arial" w:cs="Arial"/>
      <w:color w:val="auto"/>
      <w:sz w:val="20"/>
      <w:szCs w:val="20"/>
    </w:rPr>
  </w:style>
  <w:style w:type="paragraph" w:customStyle="1" w:styleId="GHM">
    <w:name w:val="GHM"/>
    <w:rsid w:val="003C4696"/>
    <w:pPr>
      <w:spacing w:after="0" w:line="240" w:lineRule="auto"/>
    </w:pPr>
    <w:rPr>
      <w:rFonts w:ascii="GHEA Mariam" w:eastAsia="Times New Roman" w:hAnsi="GHEA Mariam" w:cs="Times New Roman"/>
      <w:kern w:val="0"/>
      <w:lang w:val="hy-AM"/>
      <w14:ligatures w14:val="none"/>
    </w:rPr>
  </w:style>
  <w:style w:type="paragraph" w:styleId="BodyText2">
    <w:name w:val="Body Text 2"/>
    <w:basedOn w:val="Normal"/>
    <w:link w:val="BodyText2Char"/>
    <w:rsid w:val="003C4696"/>
    <w:pPr>
      <w:spacing w:before="0" w:line="480" w:lineRule="auto"/>
    </w:pPr>
    <w:rPr>
      <w:rFonts w:ascii="Times New Roman" w:eastAsia="Times New Roman" w:hAnsi="Times New Roman" w:cs="Times New Roman"/>
      <w:color w:val="auto"/>
      <w:sz w:val="24"/>
      <w:szCs w:val="24"/>
      <w:lang w:val="en-GB"/>
    </w:rPr>
  </w:style>
  <w:style w:type="character" w:customStyle="1" w:styleId="BodyText2Char">
    <w:name w:val="Body Text 2 Char"/>
    <w:basedOn w:val="DefaultParagraphFont"/>
    <w:link w:val="BodyText2"/>
    <w:rsid w:val="003C4696"/>
    <w:rPr>
      <w:rFonts w:ascii="Times New Roman" w:eastAsia="Times New Roman" w:hAnsi="Times New Roman" w:cs="Times New Roman"/>
      <w:kern w:val="0"/>
      <w:lang w:val="en-GB"/>
      <w14:ligatures w14:val="none"/>
    </w:rPr>
  </w:style>
  <w:style w:type="paragraph" w:customStyle="1" w:styleId="Char2">
    <w:name w:val="Char"/>
    <w:basedOn w:val="Normal"/>
    <w:locked/>
    <w:rsid w:val="003C4696"/>
    <w:pPr>
      <w:spacing w:before="0" w:after="160" w:line="240" w:lineRule="auto"/>
    </w:pPr>
    <w:rPr>
      <w:rFonts w:ascii="Verdana" w:eastAsia="Batang" w:hAnsi="Verdana" w:cs="Verdana"/>
      <w:color w:val="auto"/>
      <w:sz w:val="24"/>
      <w:szCs w:val="24"/>
      <w:lang w:val="en-GB" w:eastAsia="ru-RU"/>
    </w:rPr>
  </w:style>
  <w:style w:type="character" w:customStyle="1" w:styleId="normChar">
    <w:name w:val="norm Char"/>
    <w:link w:val="norm"/>
    <w:locked/>
    <w:rsid w:val="003C4696"/>
    <w:rPr>
      <w:rFonts w:ascii="Arial Armenian" w:hAnsi="Arial Armenian"/>
      <w:lang w:eastAsia="ru-RU"/>
    </w:rPr>
  </w:style>
  <w:style w:type="paragraph" w:customStyle="1" w:styleId="norm">
    <w:name w:val="norm"/>
    <w:basedOn w:val="Normal"/>
    <w:link w:val="normChar"/>
    <w:rsid w:val="003C4696"/>
    <w:pPr>
      <w:spacing w:before="0" w:after="0" w:line="480" w:lineRule="auto"/>
      <w:ind w:firstLine="709"/>
      <w:jc w:val="both"/>
    </w:pPr>
    <w:rPr>
      <w:rFonts w:ascii="Arial Armenian" w:eastAsiaTheme="minorHAnsi" w:hAnsi="Arial Armenian"/>
      <w:color w:val="auto"/>
      <w:kern w:val="2"/>
      <w:sz w:val="24"/>
      <w:szCs w:val="24"/>
      <w:lang w:eastAsia="ru-RU"/>
      <w14:ligatures w14:val="standardContextual"/>
    </w:rPr>
  </w:style>
  <w:style w:type="character" w:customStyle="1" w:styleId="apple-converted-space">
    <w:name w:val="apple-converted-space"/>
    <w:basedOn w:val="DefaultParagraphFont"/>
    <w:rsid w:val="003C4696"/>
  </w:style>
  <w:style w:type="paragraph" w:customStyle="1" w:styleId="Char3">
    <w:name w:val="Char"/>
    <w:basedOn w:val="Normal"/>
    <w:rsid w:val="003C4696"/>
    <w:pPr>
      <w:spacing w:before="0" w:after="160" w:line="240" w:lineRule="exact"/>
    </w:pPr>
    <w:rPr>
      <w:rFonts w:ascii="Arial" w:eastAsia="Times New Roman" w:hAnsi="Arial" w:cs="Arial"/>
      <w:b/>
      <w:color w:val="auto"/>
      <w:sz w:val="20"/>
      <w:szCs w:val="20"/>
    </w:rPr>
  </w:style>
  <w:style w:type="table" w:customStyle="1" w:styleId="GridTable4-Accent15">
    <w:name w:val="Grid Table 4 - Accent 15"/>
    <w:basedOn w:val="TableNormal"/>
    <w:next w:val="TableNormal"/>
    <w:uiPriority w:val="49"/>
    <w:rsid w:val="006F75BA"/>
    <w:pPr>
      <w:spacing w:after="0" w:line="240" w:lineRule="auto"/>
    </w:pPr>
    <w:rPr>
      <w:rFonts w:eastAsia="Calibri"/>
      <w:kern w:val="0"/>
      <w:sz w:val="22"/>
      <w:szCs w:val="22"/>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TableTitleCharCharCharCharCharCharCharCharCharChar10">
    <w:name w:val="(Table Title) Char Char Char Char Char Char Char Char Char Char1"/>
    <w:basedOn w:val="Normal"/>
    <w:next w:val="Normal"/>
    <w:uiPriority w:val="35"/>
    <w:unhideWhenUsed/>
    <w:qFormat/>
    <w:rsid w:val="00802FF2"/>
    <w:pPr>
      <w:spacing w:line="240" w:lineRule="auto"/>
    </w:pPr>
    <w:rPr>
      <w:b/>
      <w:bCs/>
      <w:smallCaps/>
      <w:color w:val="44546A"/>
    </w:rPr>
  </w:style>
  <w:style w:type="table" w:customStyle="1" w:styleId="TableGrid1">
    <w:name w:val="Table Grid1"/>
    <w:basedOn w:val="TableNormal"/>
    <w:next w:val="TableGrid"/>
    <w:uiPriority w:val="39"/>
    <w:qFormat/>
    <w:rsid w:val="00802FF2"/>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CharCharCharCharCharCharCharCharCharChar11">
    <w:name w:val="(Table Title) Char Char Char Char Char Char Char Char Char Char1"/>
    <w:basedOn w:val="Normal"/>
    <w:next w:val="Normal"/>
    <w:uiPriority w:val="35"/>
    <w:unhideWhenUsed/>
    <w:qFormat/>
    <w:rsid w:val="00DD59A1"/>
    <w:pPr>
      <w:spacing w:line="240" w:lineRule="auto"/>
    </w:pPr>
    <w:rPr>
      <w:b/>
      <w:bCs/>
      <w:smallCaps/>
      <w:color w:val="44546A"/>
    </w:rPr>
  </w:style>
  <w:style w:type="table" w:customStyle="1" w:styleId="TableGrid2">
    <w:name w:val="Table Grid2"/>
    <w:basedOn w:val="TableNormal"/>
    <w:next w:val="TableGrid"/>
    <w:uiPriority w:val="39"/>
    <w:qFormat/>
    <w:rsid w:val="00DD59A1"/>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7018D1"/>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Caption">
    <w:name w:val="caption"/>
    <w:aliases w:val="(Table Title),(Table Title) Char Char Char Char Char Char Char Char Char Char, (Table Title), (Table Title) Char Char Char Char Char Char Char Char Char Char"/>
    <w:basedOn w:val="Normal"/>
    <w:next w:val="Normal"/>
    <w:uiPriority w:val="35"/>
    <w:unhideWhenUsed/>
    <w:qFormat/>
    <w:rsid w:val="00472181"/>
    <w:pPr>
      <w:spacing w:line="240" w:lineRule="auto"/>
    </w:pPr>
    <w:rPr>
      <w:b/>
      <w:bCs/>
      <w:smallCaps/>
      <w:color w:val="0E2841" w:themeColor="text2"/>
    </w:rPr>
  </w:style>
  <w:style w:type="paragraph" w:styleId="TOC40">
    <w:name w:val="toc 4"/>
    <w:basedOn w:val="Normal"/>
    <w:next w:val="Normal"/>
    <w:autoRedefine/>
    <w:uiPriority w:val="39"/>
    <w:unhideWhenUsed/>
    <w:rsid w:val="00A04A94"/>
    <w:pPr>
      <w:spacing w:before="0" w:after="0"/>
      <w:ind w:left="660"/>
    </w:pPr>
    <w:rPr>
      <w:sz w:val="18"/>
      <w:szCs w:val="18"/>
    </w:rPr>
  </w:style>
  <w:style w:type="paragraph" w:styleId="TOC5">
    <w:name w:val="toc 5"/>
    <w:basedOn w:val="Normal"/>
    <w:next w:val="Normal"/>
    <w:autoRedefine/>
    <w:uiPriority w:val="39"/>
    <w:unhideWhenUsed/>
    <w:rsid w:val="00A04A94"/>
    <w:pPr>
      <w:spacing w:before="0" w:after="0"/>
      <w:ind w:left="880"/>
    </w:pPr>
    <w:rPr>
      <w:sz w:val="18"/>
      <w:szCs w:val="18"/>
    </w:rPr>
  </w:style>
  <w:style w:type="paragraph" w:styleId="TOC6">
    <w:name w:val="toc 6"/>
    <w:basedOn w:val="Normal"/>
    <w:next w:val="Normal"/>
    <w:autoRedefine/>
    <w:uiPriority w:val="39"/>
    <w:unhideWhenUsed/>
    <w:rsid w:val="00A04A94"/>
    <w:pPr>
      <w:spacing w:before="0" w:after="0"/>
      <w:ind w:left="1100"/>
    </w:pPr>
    <w:rPr>
      <w:sz w:val="18"/>
      <w:szCs w:val="18"/>
    </w:rPr>
  </w:style>
  <w:style w:type="paragraph" w:styleId="TOC7">
    <w:name w:val="toc 7"/>
    <w:basedOn w:val="Normal"/>
    <w:next w:val="Normal"/>
    <w:autoRedefine/>
    <w:uiPriority w:val="39"/>
    <w:unhideWhenUsed/>
    <w:rsid w:val="00A04A94"/>
    <w:pPr>
      <w:spacing w:before="0" w:after="0"/>
      <w:ind w:left="1320"/>
    </w:pPr>
    <w:rPr>
      <w:sz w:val="18"/>
      <w:szCs w:val="18"/>
    </w:rPr>
  </w:style>
  <w:style w:type="paragraph" w:styleId="TOC8">
    <w:name w:val="toc 8"/>
    <w:basedOn w:val="Normal"/>
    <w:next w:val="Normal"/>
    <w:autoRedefine/>
    <w:uiPriority w:val="39"/>
    <w:unhideWhenUsed/>
    <w:rsid w:val="00A04A94"/>
    <w:pPr>
      <w:spacing w:before="0" w:after="0"/>
      <w:ind w:left="1540"/>
    </w:pPr>
    <w:rPr>
      <w:sz w:val="18"/>
      <w:szCs w:val="18"/>
    </w:rPr>
  </w:style>
  <w:style w:type="paragraph" w:styleId="TOC9">
    <w:name w:val="toc 9"/>
    <w:basedOn w:val="Normal"/>
    <w:next w:val="Normal"/>
    <w:autoRedefine/>
    <w:uiPriority w:val="39"/>
    <w:unhideWhenUsed/>
    <w:rsid w:val="00A04A94"/>
    <w:pPr>
      <w:spacing w:before="0" w:after="0"/>
      <w:ind w:left="1760"/>
    </w:pPr>
    <w:rPr>
      <w:sz w:val="18"/>
      <w:szCs w:val="18"/>
    </w:rPr>
  </w:style>
  <w:style w:type="character" w:styleId="PageNumber">
    <w:name w:val="page number"/>
    <w:basedOn w:val="DefaultParagraphFont"/>
    <w:uiPriority w:val="99"/>
    <w:semiHidden/>
    <w:unhideWhenUsed/>
    <w:rsid w:val="00B9377A"/>
  </w:style>
  <w:style w:type="table" w:customStyle="1" w:styleId="GridTable1Light-Accent53">
    <w:name w:val="Grid Table 1 Light - Accent 53"/>
    <w:basedOn w:val="TableNormal"/>
    <w:uiPriority w:val="46"/>
    <w:rsid w:val="004C0C21"/>
    <w:pPr>
      <w:spacing w:after="0" w:line="240" w:lineRule="auto"/>
    </w:pPr>
    <w:rPr>
      <w:rFonts w:eastAsia="Calibri"/>
      <w:kern w:val="0"/>
      <w:sz w:val="22"/>
      <w:szCs w:val="22"/>
      <w14:ligatures w14:val="non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eGrid221421">
    <w:name w:val="Table Grid221421"/>
    <w:basedOn w:val="TableNormal"/>
    <w:next w:val="TableGrid"/>
    <w:uiPriority w:val="39"/>
    <w:rsid w:val="004C0C21"/>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TableNormal"/>
    <w:uiPriority w:val="39"/>
    <w:rsid w:val="004C0C21"/>
    <w:pPr>
      <w:spacing w:after="0" w:line="240" w:lineRule="auto"/>
    </w:pPr>
    <w:rPr>
      <w:rFonts w:eastAsia="Calibri"/>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1">
    <w:name w:val="Heading 21"/>
    <w:basedOn w:val="Normal"/>
    <w:next w:val="Normal"/>
    <w:uiPriority w:val="9"/>
    <w:unhideWhenUsed/>
    <w:qFormat/>
    <w:rsid w:val="00507805"/>
    <w:pPr>
      <w:keepNext/>
      <w:keepLines/>
      <w:spacing w:before="40" w:after="0" w:line="240" w:lineRule="auto"/>
      <w:outlineLvl w:val="1"/>
    </w:pPr>
    <w:rPr>
      <w:rFonts w:ascii="GHEA Grapalat" w:eastAsia="Times New Roman" w:hAnsi="GHEA Grapalat" w:cs="Times New Roman"/>
      <w:color w:val="2E74B5"/>
      <w:sz w:val="32"/>
      <w:szCs w:val="32"/>
    </w:rPr>
  </w:style>
  <w:style w:type="paragraph" w:customStyle="1" w:styleId="Heading31">
    <w:name w:val="Heading 31"/>
    <w:basedOn w:val="Normal"/>
    <w:next w:val="Normal"/>
    <w:uiPriority w:val="9"/>
    <w:semiHidden/>
    <w:unhideWhenUsed/>
    <w:qFormat/>
    <w:rsid w:val="00507805"/>
    <w:pPr>
      <w:keepNext/>
      <w:keepLines/>
      <w:spacing w:before="40" w:after="0" w:line="240" w:lineRule="auto"/>
      <w:outlineLvl w:val="2"/>
    </w:pPr>
    <w:rPr>
      <w:rFonts w:ascii="GHEA Grapalat" w:eastAsia="Times New Roman" w:hAnsi="GHEA Grapalat" w:cs="Times New Roman"/>
      <w:color w:val="2E74B5"/>
      <w:sz w:val="28"/>
      <w:szCs w:val="28"/>
    </w:rPr>
  </w:style>
  <w:style w:type="paragraph" w:customStyle="1" w:styleId="Heading41">
    <w:name w:val="Heading 41"/>
    <w:basedOn w:val="Normal"/>
    <w:next w:val="Normal"/>
    <w:uiPriority w:val="9"/>
    <w:semiHidden/>
    <w:unhideWhenUsed/>
    <w:qFormat/>
    <w:rsid w:val="00507805"/>
    <w:pPr>
      <w:keepNext/>
      <w:keepLines/>
      <w:spacing w:before="40" w:after="0"/>
      <w:outlineLvl w:val="3"/>
    </w:pPr>
    <w:rPr>
      <w:rFonts w:ascii="GHEA Grapalat" w:eastAsia="Times New Roman" w:hAnsi="GHEA Grapalat" w:cs="Times New Roman"/>
      <w:color w:val="2E74B5"/>
      <w:sz w:val="24"/>
      <w:szCs w:val="24"/>
    </w:rPr>
  </w:style>
  <w:style w:type="paragraph" w:customStyle="1" w:styleId="Heading51">
    <w:name w:val="Heading 51"/>
    <w:basedOn w:val="Normal"/>
    <w:next w:val="Normal"/>
    <w:uiPriority w:val="9"/>
    <w:semiHidden/>
    <w:unhideWhenUsed/>
    <w:qFormat/>
    <w:rsid w:val="00507805"/>
    <w:pPr>
      <w:keepNext/>
      <w:keepLines/>
      <w:spacing w:before="40" w:after="0"/>
      <w:outlineLvl w:val="4"/>
    </w:pPr>
    <w:rPr>
      <w:rFonts w:ascii="GHEA Grapalat" w:eastAsia="Times New Roman" w:hAnsi="GHEA Grapalat" w:cs="Times New Roman"/>
      <w:caps/>
      <w:color w:val="2E74B5"/>
    </w:rPr>
  </w:style>
  <w:style w:type="paragraph" w:customStyle="1" w:styleId="Heading61">
    <w:name w:val="Heading 61"/>
    <w:basedOn w:val="Normal"/>
    <w:next w:val="Normal"/>
    <w:uiPriority w:val="9"/>
    <w:semiHidden/>
    <w:unhideWhenUsed/>
    <w:qFormat/>
    <w:rsid w:val="00507805"/>
    <w:pPr>
      <w:keepNext/>
      <w:keepLines/>
      <w:spacing w:before="40" w:after="0"/>
      <w:outlineLvl w:val="5"/>
    </w:pPr>
    <w:rPr>
      <w:rFonts w:ascii="GHEA Grapalat" w:eastAsia="Times New Roman" w:hAnsi="GHEA Grapalat" w:cs="Times New Roman"/>
      <w:i/>
      <w:iCs/>
      <w:caps/>
      <w:color w:val="1F4E79"/>
    </w:rPr>
  </w:style>
  <w:style w:type="paragraph" w:customStyle="1" w:styleId="Heading71">
    <w:name w:val="Heading 71"/>
    <w:basedOn w:val="Normal"/>
    <w:next w:val="Normal"/>
    <w:uiPriority w:val="9"/>
    <w:semiHidden/>
    <w:unhideWhenUsed/>
    <w:qFormat/>
    <w:rsid w:val="00507805"/>
    <w:pPr>
      <w:keepNext/>
      <w:keepLines/>
      <w:spacing w:before="40" w:after="0"/>
      <w:outlineLvl w:val="6"/>
    </w:pPr>
    <w:rPr>
      <w:rFonts w:ascii="GHEA Grapalat" w:eastAsia="Times New Roman" w:hAnsi="GHEA Grapalat" w:cs="Times New Roman"/>
      <w:b/>
      <w:bCs/>
      <w:color w:val="1F4E79"/>
    </w:rPr>
  </w:style>
  <w:style w:type="paragraph" w:customStyle="1" w:styleId="Heading81">
    <w:name w:val="Heading 81"/>
    <w:basedOn w:val="Normal"/>
    <w:next w:val="Normal"/>
    <w:uiPriority w:val="9"/>
    <w:semiHidden/>
    <w:unhideWhenUsed/>
    <w:qFormat/>
    <w:rsid w:val="00507805"/>
    <w:pPr>
      <w:keepNext/>
      <w:keepLines/>
      <w:spacing w:before="40" w:after="0"/>
      <w:outlineLvl w:val="7"/>
    </w:pPr>
    <w:rPr>
      <w:rFonts w:ascii="GHEA Grapalat" w:eastAsia="Times New Roman" w:hAnsi="GHEA Grapalat" w:cs="Times New Roman"/>
      <w:b/>
      <w:bCs/>
      <w:i/>
      <w:iCs/>
      <w:color w:val="1F4E79"/>
    </w:rPr>
  </w:style>
  <w:style w:type="paragraph" w:customStyle="1" w:styleId="Heading91">
    <w:name w:val="Heading 91"/>
    <w:basedOn w:val="Normal"/>
    <w:next w:val="Normal"/>
    <w:uiPriority w:val="9"/>
    <w:semiHidden/>
    <w:unhideWhenUsed/>
    <w:qFormat/>
    <w:rsid w:val="00507805"/>
    <w:pPr>
      <w:keepNext/>
      <w:keepLines/>
      <w:spacing w:before="40" w:after="0"/>
      <w:outlineLvl w:val="8"/>
    </w:pPr>
    <w:rPr>
      <w:rFonts w:ascii="GHEA Grapalat" w:eastAsia="Times New Roman" w:hAnsi="GHEA Grapalat" w:cs="Times New Roman"/>
      <w:i/>
      <w:iCs/>
      <w:color w:val="1F4E79"/>
    </w:rPr>
  </w:style>
  <w:style w:type="numbering" w:customStyle="1" w:styleId="NoList1">
    <w:name w:val="No List1"/>
    <w:next w:val="NoList"/>
    <w:uiPriority w:val="99"/>
    <w:semiHidden/>
    <w:unhideWhenUsed/>
    <w:rsid w:val="00507805"/>
  </w:style>
  <w:style w:type="paragraph" w:customStyle="1" w:styleId="Title1">
    <w:name w:val="Title1"/>
    <w:basedOn w:val="Normal"/>
    <w:next w:val="Normal"/>
    <w:uiPriority w:val="10"/>
    <w:qFormat/>
    <w:rsid w:val="00507805"/>
    <w:pPr>
      <w:spacing w:after="0" w:line="204" w:lineRule="auto"/>
      <w:contextualSpacing/>
    </w:pPr>
    <w:rPr>
      <w:rFonts w:ascii="GHEA Grapalat" w:eastAsia="Times New Roman" w:hAnsi="GHEA Grapalat" w:cs="Times New Roman"/>
      <w:caps/>
      <w:color w:val="44546A"/>
      <w:spacing w:val="-15"/>
      <w:sz w:val="72"/>
      <w:szCs w:val="72"/>
    </w:rPr>
  </w:style>
  <w:style w:type="paragraph" w:customStyle="1" w:styleId="Subtitle1">
    <w:name w:val="Subtitle1"/>
    <w:basedOn w:val="Normal"/>
    <w:next w:val="Normal"/>
    <w:uiPriority w:val="11"/>
    <w:qFormat/>
    <w:rsid w:val="00507805"/>
    <w:pPr>
      <w:numPr>
        <w:ilvl w:val="1"/>
      </w:numPr>
      <w:spacing w:after="240" w:line="240" w:lineRule="auto"/>
    </w:pPr>
    <w:rPr>
      <w:rFonts w:ascii="GHEA Grapalat" w:eastAsia="Times New Roman" w:hAnsi="GHEA Grapalat" w:cs="Times New Roman"/>
      <w:color w:val="5B9BD5"/>
      <w:sz w:val="28"/>
      <w:szCs w:val="28"/>
    </w:rPr>
  </w:style>
  <w:style w:type="paragraph" w:customStyle="1" w:styleId="Level0-11">
    <w:name w:val="Level 0-1 | Մասեր1"/>
    <w:next w:val="Normal"/>
    <w:uiPriority w:val="1"/>
    <w:qFormat/>
    <w:rsid w:val="00507805"/>
    <w:pPr>
      <w:spacing w:before="120" w:after="480" w:line="276" w:lineRule="auto"/>
    </w:pPr>
    <w:rPr>
      <w:rFonts w:ascii="GHEA Grapalat" w:eastAsia="Times New Roman" w:hAnsi="GHEA Grapalat"/>
      <w:b/>
      <w:color w:val="44546A"/>
      <w:kern w:val="0"/>
      <w:sz w:val="50"/>
      <w:szCs w:val="22"/>
      <w14:ligatures w14:val="none"/>
    </w:rPr>
  </w:style>
  <w:style w:type="paragraph" w:customStyle="1" w:styleId="Quote1">
    <w:name w:val="Quote1"/>
    <w:basedOn w:val="Normal"/>
    <w:next w:val="Normal"/>
    <w:uiPriority w:val="29"/>
    <w:qFormat/>
    <w:rsid w:val="00507805"/>
    <w:pPr>
      <w:ind w:left="720"/>
    </w:pPr>
    <w:rPr>
      <w:rFonts w:eastAsia="Times New Roman"/>
      <w:color w:val="44546A"/>
      <w:sz w:val="24"/>
      <w:szCs w:val="24"/>
    </w:rPr>
  </w:style>
  <w:style w:type="paragraph" w:customStyle="1" w:styleId="IntenseQuote1">
    <w:name w:val="Intense Quote1"/>
    <w:basedOn w:val="Normal"/>
    <w:next w:val="Normal"/>
    <w:uiPriority w:val="30"/>
    <w:qFormat/>
    <w:rsid w:val="00507805"/>
    <w:pPr>
      <w:spacing w:before="100" w:beforeAutospacing="1" w:after="240" w:line="240" w:lineRule="auto"/>
      <w:ind w:left="720"/>
      <w:jc w:val="center"/>
    </w:pPr>
    <w:rPr>
      <w:rFonts w:ascii="GHEA Grapalat" w:eastAsia="Times New Roman" w:hAnsi="GHEA Grapalat" w:cs="Times New Roman"/>
      <w:color w:val="44546A"/>
      <w:spacing w:val="-6"/>
      <w:sz w:val="32"/>
      <w:szCs w:val="32"/>
    </w:rPr>
  </w:style>
  <w:style w:type="character" w:customStyle="1" w:styleId="IntenseReference1">
    <w:name w:val="Intense Reference1"/>
    <w:basedOn w:val="DefaultParagraphFont"/>
    <w:uiPriority w:val="32"/>
    <w:qFormat/>
    <w:rsid w:val="00507805"/>
    <w:rPr>
      <w:b/>
      <w:bCs/>
      <w:smallCaps/>
      <w:color w:val="44546A"/>
      <w:u w:val="single"/>
    </w:rPr>
  </w:style>
  <w:style w:type="character" w:customStyle="1" w:styleId="Heading2Char1">
    <w:name w:val="Heading 2 Char1"/>
    <w:basedOn w:val="DefaultParagraphFont"/>
    <w:uiPriority w:val="9"/>
    <w:semiHidden/>
    <w:rsid w:val="00507805"/>
    <w:rPr>
      <w:rFonts w:asciiTheme="majorHAnsi" w:eastAsiaTheme="majorEastAsia" w:hAnsiTheme="majorHAnsi" w:cstheme="majorBidi"/>
      <w:color w:val="0F4761" w:themeColor="accent1" w:themeShade="BF"/>
      <w:sz w:val="26"/>
      <w:szCs w:val="26"/>
    </w:rPr>
  </w:style>
  <w:style w:type="character" w:customStyle="1" w:styleId="Heading3Char1">
    <w:name w:val="Heading 3 Char1"/>
    <w:basedOn w:val="DefaultParagraphFont"/>
    <w:uiPriority w:val="9"/>
    <w:semiHidden/>
    <w:rsid w:val="00507805"/>
    <w:rPr>
      <w:rFonts w:asciiTheme="majorHAnsi" w:eastAsiaTheme="majorEastAsia" w:hAnsiTheme="majorHAnsi" w:cstheme="majorBidi"/>
      <w:color w:val="0A2F40" w:themeColor="accent1" w:themeShade="7F"/>
      <w:sz w:val="24"/>
      <w:szCs w:val="24"/>
    </w:rPr>
  </w:style>
  <w:style w:type="character" w:customStyle="1" w:styleId="Heading4Char1">
    <w:name w:val="Heading 4 Char1"/>
    <w:basedOn w:val="DefaultParagraphFont"/>
    <w:uiPriority w:val="9"/>
    <w:semiHidden/>
    <w:rsid w:val="00507805"/>
    <w:rPr>
      <w:rFonts w:asciiTheme="majorHAnsi" w:eastAsiaTheme="majorEastAsia" w:hAnsiTheme="majorHAnsi" w:cstheme="majorBidi"/>
      <w:i/>
      <w:iCs/>
      <w:color w:val="0F4761" w:themeColor="accent1" w:themeShade="BF"/>
    </w:rPr>
  </w:style>
  <w:style w:type="character" w:customStyle="1" w:styleId="Heading5Char1">
    <w:name w:val="Heading 5 Char1"/>
    <w:basedOn w:val="DefaultParagraphFont"/>
    <w:uiPriority w:val="9"/>
    <w:semiHidden/>
    <w:rsid w:val="00507805"/>
    <w:rPr>
      <w:rFonts w:asciiTheme="majorHAnsi" w:eastAsiaTheme="majorEastAsia" w:hAnsiTheme="majorHAnsi" w:cstheme="majorBidi"/>
      <w:color w:val="0F4761" w:themeColor="accent1" w:themeShade="BF"/>
    </w:rPr>
  </w:style>
  <w:style w:type="character" w:customStyle="1" w:styleId="Heading6Char1">
    <w:name w:val="Heading 6 Char1"/>
    <w:basedOn w:val="DefaultParagraphFont"/>
    <w:uiPriority w:val="9"/>
    <w:semiHidden/>
    <w:rsid w:val="00507805"/>
    <w:rPr>
      <w:rFonts w:asciiTheme="majorHAnsi" w:eastAsiaTheme="majorEastAsia" w:hAnsiTheme="majorHAnsi" w:cstheme="majorBidi"/>
      <w:color w:val="0A2F40" w:themeColor="accent1" w:themeShade="7F"/>
    </w:rPr>
  </w:style>
  <w:style w:type="character" w:customStyle="1" w:styleId="Heading7Char1">
    <w:name w:val="Heading 7 Char1"/>
    <w:basedOn w:val="DefaultParagraphFont"/>
    <w:uiPriority w:val="9"/>
    <w:semiHidden/>
    <w:rsid w:val="00507805"/>
    <w:rPr>
      <w:rFonts w:asciiTheme="majorHAnsi" w:eastAsiaTheme="majorEastAsia" w:hAnsiTheme="majorHAnsi" w:cstheme="majorBidi"/>
      <w:i/>
      <w:iCs/>
      <w:color w:val="0A2F40" w:themeColor="accent1" w:themeShade="7F"/>
    </w:rPr>
  </w:style>
  <w:style w:type="character" w:customStyle="1" w:styleId="Heading8Char1">
    <w:name w:val="Heading 8 Char1"/>
    <w:basedOn w:val="DefaultParagraphFont"/>
    <w:uiPriority w:val="9"/>
    <w:semiHidden/>
    <w:rsid w:val="00507805"/>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507805"/>
    <w:rPr>
      <w:rFonts w:asciiTheme="majorHAnsi" w:eastAsiaTheme="majorEastAsia" w:hAnsiTheme="majorHAnsi" w:cstheme="majorBidi"/>
      <w:i/>
      <w:iCs/>
      <w:color w:val="272727" w:themeColor="text1" w:themeTint="D8"/>
      <w:sz w:val="21"/>
      <w:szCs w:val="21"/>
    </w:rPr>
  </w:style>
  <w:style w:type="character" w:customStyle="1" w:styleId="TitleChar1">
    <w:name w:val="Title Char1"/>
    <w:basedOn w:val="DefaultParagraphFont"/>
    <w:uiPriority w:val="10"/>
    <w:rsid w:val="00507805"/>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507805"/>
    <w:rPr>
      <w:rFonts w:eastAsiaTheme="minorEastAsia"/>
      <w:color w:val="5A5A5A" w:themeColor="text1" w:themeTint="A5"/>
      <w:spacing w:val="15"/>
    </w:rPr>
  </w:style>
  <w:style w:type="character" w:customStyle="1" w:styleId="QuoteChar1">
    <w:name w:val="Quote Char1"/>
    <w:basedOn w:val="DefaultParagraphFont"/>
    <w:uiPriority w:val="29"/>
    <w:rsid w:val="00507805"/>
    <w:rPr>
      <w:i/>
      <w:iCs/>
      <w:color w:val="404040" w:themeColor="text1" w:themeTint="BF"/>
    </w:rPr>
  </w:style>
  <w:style w:type="character" w:customStyle="1" w:styleId="IntenseQuoteChar1">
    <w:name w:val="Intense Quote Char1"/>
    <w:basedOn w:val="DefaultParagraphFont"/>
    <w:uiPriority w:val="30"/>
    <w:rsid w:val="00507805"/>
    <w:rPr>
      <w:i/>
      <w:iCs/>
      <w:color w:val="156082"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02460">
      <w:bodyDiv w:val="1"/>
      <w:marLeft w:val="0"/>
      <w:marRight w:val="0"/>
      <w:marTop w:val="0"/>
      <w:marBottom w:val="0"/>
      <w:divBdr>
        <w:top w:val="none" w:sz="0" w:space="0" w:color="auto"/>
        <w:left w:val="none" w:sz="0" w:space="0" w:color="auto"/>
        <w:bottom w:val="none" w:sz="0" w:space="0" w:color="auto"/>
        <w:right w:val="none" w:sz="0" w:space="0" w:color="auto"/>
      </w:divBdr>
    </w:div>
    <w:div w:id="343867956">
      <w:bodyDiv w:val="1"/>
      <w:marLeft w:val="0"/>
      <w:marRight w:val="0"/>
      <w:marTop w:val="0"/>
      <w:marBottom w:val="0"/>
      <w:divBdr>
        <w:top w:val="none" w:sz="0" w:space="0" w:color="auto"/>
        <w:left w:val="none" w:sz="0" w:space="0" w:color="auto"/>
        <w:bottom w:val="none" w:sz="0" w:space="0" w:color="auto"/>
        <w:right w:val="none" w:sz="0" w:space="0" w:color="auto"/>
      </w:divBdr>
    </w:div>
    <w:div w:id="593588317">
      <w:bodyDiv w:val="1"/>
      <w:marLeft w:val="0"/>
      <w:marRight w:val="0"/>
      <w:marTop w:val="0"/>
      <w:marBottom w:val="0"/>
      <w:divBdr>
        <w:top w:val="none" w:sz="0" w:space="0" w:color="auto"/>
        <w:left w:val="none" w:sz="0" w:space="0" w:color="auto"/>
        <w:bottom w:val="none" w:sz="0" w:space="0" w:color="auto"/>
        <w:right w:val="none" w:sz="0" w:space="0" w:color="auto"/>
      </w:divBdr>
    </w:div>
    <w:div w:id="1388380205">
      <w:bodyDiv w:val="1"/>
      <w:marLeft w:val="0"/>
      <w:marRight w:val="0"/>
      <w:marTop w:val="0"/>
      <w:marBottom w:val="0"/>
      <w:divBdr>
        <w:top w:val="none" w:sz="0" w:space="0" w:color="auto"/>
        <w:left w:val="none" w:sz="0" w:space="0" w:color="auto"/>
        <w:bottom w:val="none" w:sz="0" w:space="0" w:color="auto"/>
        <w:right w:val="none" w:sz="0" w:space="0" w:color="auto"/>
      </w:divBdr>
    </w:div>
    <w:div w:id="1396321965">
      <w:bodyDiv w:val="1"/>
      <w:marLeft w:val="0"/>
      <w:marRight w:val="0"/>
      <w:marTop w:val="0"/>
      <w:marBottom w:val="0"/>
      <w:divBdr>
        <w:top w:val="none" w:sz="0" w:space="0" w:color="auto"/>
        <w:left w:val="none" w:sz="0" w:space="0" w:color="auto"/>
        <w:bottom w:val="none" w:sz="0" w:space="0" w:color="auto"/>
        <w:right w:val="none" w:sz="0" w:space="0" w:color="auto"/>
      </w:divBdr>
    </w:div>
    <w:div w:id="1433236699">
      <w:bodyDiv w:val="1"/>
      <w:marLeft w:val="0"/>
      <w:marRight w:val="0"/>
      <w:marTop w:val="0"/>
      <w:marBottom w:val="0"/>
      <w:divBdr>
        <w:top w:val="none" w:sz="0" w:space="0" w:color="auto"/>
        <w:left w:val="none" w:sz="0" w:space="0" w:color="auto"/>
        <w:bottom w:val="none" w:sz="0" w:space="0" w:color="auto"/>
        <w:right w:val="none" w:sz="0" w:space="0" w:color="auto"/>
      </w:divBdr>
    </w:div>
    <w:div w:id="1580406560">
      <w:bodyDiv w:val="1"/>
      <w:marLeft w:val="0"/>
      <w:marRight w:val="0"/>
      <w:marTop w:val="0"/>
      <w:marBottom w:val="0"/>
      <w:divBdr>
        <w:top w:val="none" w:sz="0" w:space="0" w:color="auto"/>
        <w:left w:val="none" w:sz="0" w:space="0" w:color="auto"/>
        <w:bottom w:val="none" w:sz="0" w:space="0" w:color="auto"/>
        <w:right w:val="none" w:sz="0" w:space="0" w:color="auto"/>
      </w:divBdr>
    </w:div>
    <w:div w:id="1660302885">
      <w:bodyDiv w:val="1"/>
      <w:marLeft w:val="0"/>
      <w:marRight w:val="0"/>
      <w:marTop w:val="0"/>
      <w:marBottom w:val="0"/>
      <w:divBdr>
        <w:top w:val="none" w:sz="0" w:space="0" w:color="auto"/>
        <w:left w:val="none" w:sz="0" w:space="0" w:color="auto"/>
        <w:bottom w:val="none" w:sz="0" w:space="0" w:color="auto"/>
        <w:right w:val="none" w:sz="0" w:space="0" w:color="auto"/>
      </w:divBdr>
    </w:div>
    <w:div w:id="1672488074">
      <w:bodyDiv w:val="1"/>
      <w:marLeft w:val="0"/>
      <w:marRight w:val="0"/>
      <w:marTop w:val="0"/>
      <w:marBottom w:val="0"/>
      <w:divBdr>
        <w:top w:val="none" w:sz="0" w:space="0" w:color="auto"/>
        <w:left w:val="none" w:sz="0" w:space="0" w:color="auto"/>
        <w:bottom w:val="none" w:sz="0" w:space="0" w:color="auto"/>
        <w:right w:val="none" w:sz="0" w:space="0" w:color="auto"/>
      </w:divBdr>
    </w:div>
    <w:div w:id="1772238083">
      <w:bodyDiv w:val="1"/>
      <w:marLeft w:val="0"/>
      <w:marRight w:val="0"/>
      <w:marTop w:val="0"/>
      <w:marBottom w:val="0"/>
      <w:divBdr>
        <w:top w:val="none" w:sz="0" w:space="0" w:color="auto"/>
        <w:left w:val="none" w:sz="0" w:space="0" w:color="auto"/>
        <w:bottom w:val="none" w:sz="0" w:space="0" w:color="auto"/>
        <w:right w:val="none" w:sz="0" w:space="0" w:color="auto"/>
      </w:divBdr>
    </w:div>
    <w:div w:id="179772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6.xml"/><Relationship Id="rId21" Type="http://schemas.openxmlformats.org/officeDocument/2006/relationships/chart" Target="charts/chart11.xml"/><Relationship Id="rId42" Type="http://schemas.openxmlformats.org/officeDocument/2006/relationships/chart" Target="charts/chart32.xml"/><Relationship Id="rId47" Type="http://schemas.openxmlformats.org/officeDocument/2006/relationships/chart" Target="charts/chart37.xml"/><Relationship Id="rId63" Type="http://schemas.openxmlformats.org/officeDocument/2006/relationships/chart" Target="charts/chart53.xml"/><Relationship Id="rId68" Type="http://schemas.openxmlformats.org/officeDocument/2006/relationships/chart" Target="charts/chart58.xml"/><Relationship Id="rId84" Type="http://schemas.openxmlformats.org/officeDocument/2006/relationships/chart" Target="charts/chart68.xml"/><Relationship Id="rId89" Type="http://schemas.openxmlformats.org/officeDocument/2006/relationships/chart" Target="charts/chart73.xml"/><Relationship Id="rId16" Type="http://schemas.openxmlformats.org/officeDocument/2006/relationships/chart" Target="charts/chart6.xml"/><Relationship Id="rId11" Type="http://schemas.openxmlformats.org/officeDocument/2006/relationships/chart" Target="charts/chart1.xml"/><Relationship Id="rId32" Type="http://schemas.openxmlformats.org/officeDocument/2006/relationships/chart" Target="charts/chart22.xml"/><Relationship Id="rId37" Type="http://schemas.openxmlformats.org/officeDocument/2006/relationships/chart" Target="charts/chart27.xml"/><Relationship Id="rId53" Type="http://schemas.openxmlformats.org/officeDocument/2006/relationships/chart" Target="charts/chart43.xml"/><Relationship Id="rId58" Type="http://schemas.openxmlformats.org/officeDocument/2006/relationships/chart" Target="charts/chart48.xml"/><Relationship Id="rId74" Type="http://schemas.openxmlformats.org/officeDocument/2006/relationships/image" Target="media/image5.png"/><Relationship Id="rId79" Type="http://schemas.openxmlformats.org/officeDocument/2006/relationships/image" Target="media/image7.png"/><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chart" Target="charts/chart74.xml"/><Relationship Id="rId95" Type="http://schemas.openxmlformats.org/officeDocument/2006/relationships/chart" Target="charts/chart79.xml"/><Relationship Id="rId22" Type="http://schemas.openxmlformats.org/officeDocument/2006/relationships/chart" Target="charts/chart12.xml"/><Relationship Id="rId27" Type="http://schemas.openxmlformats.org/officeDocument/2006/relationships/chart" Target="charts/chart17.xml"/><Relationship Id="rId43" Type="http://schemas.openxmlformats.org/officeDocument/2006/relationships/chart" Target="charts/chart33.xml"/><Relationship Id="rId48" Type="http://schemas.openxmlformats.org/officeDocument/2006/relationships/chart" Target="charts/chart38.xml"/><Relationship Id="rId64" Type="http://schemas.openxmlformats.org/officeDocument/2006/relationships/chart" Target="charts/chart54.xml"/><Relationship Id="rId69" Type="http://schemas.openxmlformats.org/officeDocument/2006/relationships/chart" Target="charts/chart59.xml"/><Relationship Id="rId80" Type="http://schemas.openxmlformats.org/officeDocument/2006/relationships/image" Target="media/image8.png"/><Relationship Id="rId85" Type="http://schemas.openxmlformats.org/officeDocument/2006/relationships/chart" Target="charts/chart69.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chart" Target="charts/chart23.xml"/><Relationship Id="rId38" Type="http://schemas.openxmlformats.org/officeDocument/2006/relationships/chart" Target="charts/chart28.xml"/><Relationship Id="rId46" Type="http://schemas.openxmlformats.org/officeDocument/2006/relationships/chart" Target="charts/chart36.xml"/><Relationship Id="rId59" Type="http://schemas.openxmlformats.org/officeDocument/2006/relationships/chart" Target="charts/chart49.xml"/><Relationship Id="rId67" Type="http://schemas.openxmlformats.org/officeDocument/2006/relationships/chart" Target="charts/chart57.xml"/><Relationship Id="rId103" Type="http://schemas.openxmlformats.org/officeDocument/2006/relationships/theme" Target="theme/theme1.xml"/><Relationship Id="rId20" Type="http://schemas.openxmlformats.org/officeDocument/2006/relationships/chart" Target="charts/chart10.xml"/><Relationship Id="rId41" Type="http://schemas.openxmlformats.org/officeDocument/2006/relationships/chart" Target="charts/chart31.xml"/><Relationship Id="rId54" Type="http://schemas.openxmlformats.org/officeDocument/2006/relationships/chart" Target="charts/chart44.xml"/><Relationship Id="rId62" Type="http://schemas.openxmlformats.org/officeDocument/2006/relationships/chart" Target="charts/chart52.xml"/><Relationship Id="rId70" Type="http://schemas.openxmlformats.org/officeDocument/2006/relationships/chart" Target="charts/chart60.xml"/><Relationship Id="rId75" Type="http://schemas.openxmlformats.org/officeDocument/2006/relationships/image" Target="media/image6.png"/><Relationship Id="rId83" Type="http://schemas.openxmlformats.org/officeDocument/2006/relationships/chart" Target="charts/chart67.xml"/><Relationship Id="rId88" Type="http://schemas.openxmlformats.org/officeDocument/2006/relationships/chart" Target="charts/chart72.xml"/><Relationship Id="rId91" Type="http://schemas.openxmlformats.org/officeDocument/2006/relationships/chart" Target="charts/chart75.xml"/><Relationship Id="rId96" Type="http://schemas.openxmlformats.org/officeDocument/2006/relationships/chart" Target="charts/chart8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36" Type="http://schemas.openxmlformats.org/officeDocument/2006/relationships/chart" Target="charts/chart26.xml"/><Relationship Id="rId49" Type="http://schemas.openxmlformats.org/officeDocument/2006/relationships/chart" Target="charts/chart39.xml"/><Relationship Id="rId57" Type="http://schemas.openxmlformats.org/officeDocument/2006/relationships/chart" Target="charts/chart47.xml"/><Relationship Id="rId10" Type="http://schemas.openxmlformats.org/officeDocument/2006/relationships/image" Target="media/image3.png"/><Relationship Id="rId31" Type="http://schemas.openxmlformats.org/officeDocument/2006/relationships/chart" Target="charts/chart21.xml"/><Relationship Id="rId44" Type="http://schemas.openxmlformats.org/officeDocument/2006/relationships/chart" Target="charts/chart34.xml"/><Relationship Id="rId52" Type="http://schemas.openxmlformats.org/officeDocument/2006/relationships/chart" Target="charts/chart42.xml"/><Relationship Id="rId60" Type="http://schemas.openxmlformats.org/officeDocument/2006/relationships/chart" Target="charts/chart50.xml"/><Relationship Id="rId65" Type="http://schemas.openxmlformats.org/officeDocument/2006/relationships/chart" Target="charts/chart55.xml"/><Relationship Id="rId73" Type="http://schemas.openxmlformats.org/officeDocument/2006/relationships/image" Target="media/image4.png"/><Relationship Id="rId78" Type="http://schemas.openxmlformats.org/officeDocument/2006/relationships/chart" Target="charts/chart64.xml"/><Relationship Id="rId81" Type="http://schemas.openxmlformats.org/officeDocument/2006/relationships/chart" Target="charts/chart65.xml"/><Relationship Id="rId86" Type="http://schemas.openxmlformats.org/officeDocument/2006/relationships/chart" Target="charts/chart70.xml"/><Relationship Id="rId94" Type="http://schemas.openxmlformats.org/officeDocument/2006/relationships/chart" Target="charts/chart78.xml"/><Relationship Id="rId99" Type="http://schemas.openxmlformats.org/officeDocument/2006/relationships/chart" Target="charts/chart83.xml"/><Relationship Id="rId10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hart" Target="charts/chart3.xml"/><Relationship Id="rId18" Type="http://schemas.openxmlformats.org/officeDocument/2006/relationships/chart" Target="charts/chart8.xml"/><Relationship Id="rId39" Type="http://schemas.openxmlformats.org/officeDocument/2006/relationships/chart" Target="charts/chart29.xml"/><Relationship Id="rId34" Type="http://schemas.openxmlformats.org/officeDocument/2006/relationships/chart" Target="charts/chart24.xml"/><Relationship Id="rId50" Type="http://schemas.openxmlformats.org/officeDocument/2006/relationships/chart" Target="charts/chart40.xml"/><Relationship Id="rId55" Type="http://schemas.openxmlformats.org/officeDocument/2006/relationships/chart" Target="charts/chart45.xml"/><Relationship Id="rId76" Type="http://schemas.openxmlformats.org/officeDocument/2006/relationships/chart" Target="charts/chart62.xml"/><Relationship Id="rId97" Type="http://schemas.openxmlformats.org/officeDocument/2006/relationships/chart" Target="charts/chart81.xml"/><Relationship Id="rId7" Type="http://schemas.openxmlformats.org/officeDocument/2006/relationships/endnotes" Target="endnotes.xml"/><Relationship Id="rId71" Type="http://schemas.openxmlformats.org/officeDocument/2006/relationships/chart" Target="charts/chart61.xml"/><Relationship Id="rId92" Type="http://schemas.openxmlformats.org/officeDocument/2006/relationships/chart" Target="charts/chart76.xml"/><Relationship Id="rId2" Type="http://schemas.openxmlformats.org/officeDocument/2006/relationships/numbering" Target="numbering.xml"/><Relationship Id="rId29" Type="http://schemas.openxmlformats.org/officeDocument/2006/relationships/chart" Target="charts/chart19.xml"/><Relationship Id="rId24" Type="http://schemas.openxmlformats.org/officeDocument/2006/relationships/chart" Target="charts/chart14.xml"/><Relationship Id="rId40" Type="http://schemas.openxmlformats.org/officeDocument/2006/relationships/chart" Target="charts/chart30.xml"/><Relationship Id="rId45" Type="http://schemas.openxmlformats.org/officeDocument/2006/relationships/chart" Target="charts/chart35.xml"/><Relationship Id="rId66" Type="http://schemas.openxmlformats.org/officeDocument/2006/relationships/chart" Target="charts/chart56.xml"/><Relationship Id="rId87" Type="http://schemas.openxmlformats.org/officeDocument/2006/relationships/chart" Target="charts/chart71.xml"/><Relationship Id="rId61" Type="http://schemas.openxmlformats.org/officeDocument/2006/relationships/chart" Target="charts/chart51.xml"/><Relationship Id="rId82" Type="http://schemas.openxmlformats.org/officeDocument/2006/relationships/chart" Target="charts/chart66.xml"/><Relationship Id="rId19" Type="http://schemas.openxmlformats.org/officeDocument/2006/relationships/chart" Target="charts/chart9.xml"/><Relationship Id="rId14" Type="http://schemas.openxmlformats.org/officeDocument/2006/relationships/chart" Target="charts/chart4.xml"/><Relationship Id="rId30" Type="http://schemas.openxmlformats.org/officeDocument/2006/relationships/chart" Target="charts/chart20.xml"/><Relationship Id="rId35" Type="http://schemas.openxmlformats.org/officeDocument/2006/relationships/chart" Target="charts/chart25.xml"/><Relationship Id="rId56" Type="http://schemas.openxmlformats.org/officeDocument/2006/relationships/chart" Target="charts/chart46.xml"/><Relationship Id="rId77" Type="http://schemas.openxmlformats.org/officeDocument/2006/relationships/chart" Target="charts/chart63.xml"/><Relationship Id="rId100"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chart" Target="charts/chart41.xml"/><Relationship Id="rId72" Type="http://schemas.openxmlformats.org/officeDocument/2006/relationships/image" Target="media/image30.png"/><Relationship Id="rId93" Type="http://schemas.openxmlformats.org/officeDocument/2006/relationships/chart" Target="charts/chart77.xml"/><Relationship Id="rId98" Type="http://schemas.openxmlformats.org/officeDocument/2006/relationships/chart" Target="charts/chart82.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adb.org/sites/default/files/linked-documents/cps-arm-2014-2018-sd-02.pdf" TargetMode="External"/><Relationship Id="rId13" Type="http://schemas.openxmlformats.org/officeDocument/2006/relationships/hyperlink" Target="https://www.arlis.am/DocumentView.aspx?DocID=173538" TargetMode="External"/><Relationship Id="rId3" Type="http://schemas.openxmlformats.org/officeDocument/2006/relationships/hyperlink" Target="https://www.stats.gov.cn/english/" TargetMode="External"/><Relationship Id="rId7" Type="http://schemas.openxmlformats.org/officeDocument/2006/relationships/hyperlink" Target="https://www.imf.org/en/Publications/WP/Issues/2022/06/10/The-Ararat-Fiscal-Strategy-Model-A-Structural-Framework-for-Fiscal-Policy-Analysis-in-519522" TargetMode="External"/><Relationship Id="rId12" Type="http://schemas.openxmlformats.org/officeDocument/2006/relationships/hyperlink" Target="https://arlis.am/hy/acts/216092/latest" TargetMode="External"/><Relationship Id="rId2" Type="http://schemas.openxmlformats.org/officeDocument/2006/relationships/hyperlink" Target="https://ec.europa.eu/eurostat/" TargetMode="External"/><Relationship Id="rId1" Type="http://schemas.openxmlformats.org/officeDocument/2006/relationships/hyperlink" Target="https://www.bea.gov/" TargetMode="External"/><Relationship Id="rId6" Type="http://schemas.openxmlformats.org/officeDocument/2006/relationships/hyperlink" Target="https://www.fao.org/worldfoodsituation/foodpricesindex/en/" TargetMode="External"/><Relationship Id="rId11" Type="http://schemas.openxmlformats.org/officeDocument/2006/relationships/hyperlink" Target="https://www.arlis.am/DocumentView.aspx?DocID=72227" TargetMode="External"/><Relationship Id="rId5" Type="http://schemas.openxmlformats.org/officeDocument/2006/relationships/hyperlink" Target="https://www.worldbank.org/en/research/commodity-markets" TargetMode="External"/><Relationship Id="rId10" Type="http://schemas.openxmlformats.org/officeDocument/2006/relationships/hyperlink" Target="https://www.gfdrr.org/sites/default/files/publication/drp_armenia.pdf" TargetMode="External"/><Relationship Id="rId4" Type="http://schemas.openxmlformats.org/officeDocument/2006/relationships/hyperlink" Target="https://www.worldbank.org/en/research/commodity-markets" TargetMode="External"/><Relationship Id="rId9" Type="http://schemas.openxmlformats.org/officeDocument/2006/relationships/hyperlink" Target="https://documents1.worldbank.org/curated/zh/316831526641378244/pdf/Armenia-Disaster-Risk-Finance-Country-Note.pdf"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2.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package" Target="../embeddings/Microsoft_Excel_Worksheet13.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3.xml"/><Relationship Id="rId1" Type="http://schemas.microsoft.com/office/2011/relationships/chartStyle" Target="style3.xml"/><Relationship Id="rId5" Type="http://schemas.openxmlformats.org/officeDocument/2006/relationships/chartUserShapes" Target="../drawings/drawing5.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4.xml"/><Relationship Id="rId1" Type="http://schemas.microsoft.com/office/2011/relationships/chartStyle" Target="style4.xml"/><Relationship Id="rId5" Type="http://schemas.openxmlformats.org/officeDocument/2006/relationships/chartUserShapes" Target="../drawings/drawing6.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chartUserShapes" Target="../drawings/drawing7.xml"/><Relationship Id="rId2" Type="http://schemas.openxmlformats.org/officeDocument/2006/relationships/package" Target="../embeddings/Microsoft_Excel_Worksheet16.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3" Type="http://schemas.openxmlformats.org/officeDocument/2006/relationships/chartUserShapes" Target="../drawings/drawing8.xml"/><Relationship Id="rId2" Type="http://schemas.openxmlformats.org/officeDocument/2006/relationships/package" Target="../embeddings/Microsoft_Excel_Worksheet17.xlsx"/><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3" Type="http://schemas.openxmlformats.org/officeDocument/2006/relationships/chartUserShapes" Target="../drawings/drawing9.xml"/><Relationship Id="rId2" Type="http://schemas.openxmlformats.org/officeDocument/2006/relationships/package" Target="../embeddings/Microsoft_Excel_Worksheet18.xlsx"/><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3" Type="http://schemas.openxmlformats.org/officeDocument/2006/relationships/chartUserShapes" Target="../drawings/drawing10.xml"/><Relationship Id="rId2" Type="http://schemas.openxmlformats.org/officeDocument/2006/relationships/package" Target="../embeddings/Microsoft_Excel_Worksheet19.xlsx"/><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3" Type="http://schemas.openxmlformats.org/officeDocument/2006/relationships/chartUserShapes" Target="../drawings/drawing11.xml"/><Relationship Id="rId2" Type="http://schemas.openxmlformats.org/officeDocument/2006/relationships/package" Target="../embeddings/Microsoft_Excel_Worksheet20.xlsx"/><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3" Type="http://schemas.openxmlformats.org/officeDocument/2006/relationships/chartUserShapes" Target="../drawings/drawing12.xml"/><Relationship Id="rId2" Type="http://schemas.openxmlformats.org/officeDocument/2006/relationships/package" Target="../embeddings/Microsoft_Excel_Worksheet21.xlsx"/><Relationship Id="rId1" Type="http://schemas.openxmlformats.org/officeDocument/2006/relationships/themeOverride" Target="../theme/themeOverride22.xml"/></Relationships>
</file>

<file path=word/charts/_rels/chart23.xml.rels><?xml version="1.0" encoding="UTF-8" standalone="yes"?>
<Relationships xmlns="http://schemas.openxmlformats.org/package/2006/relationships"><Relationship Id="rId3" Type="http://schemas.openxmlformats.org/officeDocument/2006/relationships/chartUserShapes" Target="../drawings/drawing13.xml"/><Relationship Id="rId2" Type="http://schemas.openxmlformats.org/officeDocument/2006/relationships/package" Target="../embeddings/Microsoft_Excel_Worksheet22.xlsx"/><Relationship Id="rId1" Type="http://schemas.openxmlformats.org/officeDocument/2006/relationships/themeOverride" Target="../theme/themeOverride23.xml"/></Relationships>
</file>

<file path=word/charts/_rels/chart24.xml.rels><?xml version="1.0" encoding="UTF-8" standalone="yes"?>
<Relationships xmlns="http://schemas.openxmlformats.org/package/2006/relationships"><Relationship Id="rId3" Type="http://schemas.openxmlformats.org/officeDocument/2006/relationships/chartUserShapes" Target="../drawings/drawing14.xml"/><Relationship Id="rId2" Type="http://schemas.openxmlformats.org/officeDocument/2006/relationships/package" Target="../embeddings/Microsoft_Excel_Worksheet23.xlsx"/><Relationship Id="rId1" Type="http://schemas.openxmlformats.org/officeDocument/2006/relationships/themeOverride" Target="../theme/themeOverride24.xml"/></Relationships>
</file>

<file path=word/charts/_rels/chart25.xml.rels><?xml version="1.0" encoding="UTF-8" standalone="yes"?>
<Relationships xmlns="http://schemas.openxmlformats.org/package/2006/relationships"><Relationship Id="rId3" Type="http://schemas.openxmlformats.org/officeDocument/2006/relationships/chartUserShapes" Target="../drawings/drawing15.xml"/><Relationship Id="rId2" Type="http://schemas.openxmlformats.org/officeDocument/2006/relationships/package" Target="../embeddings/Microsoft_Excel_Worksheet24.xlsx"/><Relationship Id="rId1" Type="http://schemas.openxmlformats.org/officeDocument/2006/relationships/themeOverride" Target="../theme/themeOverride25.xml"/></Relationships>
</file>

<file path=word/charts/_rels/chart26.xml.rels><?xml version="1.0" encoding="UTF-8" standalone="yes"?>
<Relationships xmlns="http://schemas.openxmlformats.org/package/2006/relationships"><Relationship Id="rId2" Type="http://schemas.openxmlformats.org/officeDocument/2006/relationships/package" Target="../embeddings/Microsoft_Excel_Worksheet25.xlsx"/><Relationship Id="rId1" Type="http://schemas.openxmlformats.org/officeDocument/2006/relationships/themeOverride" Target="../theme/themeOverride26.xml"/></Relationships>
</file>

<file path=word/charts/_rels/chart27.xml.rels><?xml version="1.0" encoding="UTF-8" standalone="yes"?>
<Relationships xmlns="http://schemas.openxmlformats.org/package/2006/relationships"><Relationship Id="rId2" Type="http://schemas.openxmlformats.org/officeDocument/2006/relationships/package" Target="../embeddings/Microsoft_Excel_Worksheet26.xlsx"/><Relationship Id="rId1" Type="http://schemas.openxmlformats.org/officeDocument/2006/relationships/themeOverride" Target="../theme/themeOverride27.xml"/></Relationships>
</file>

<file path=word/charts/_rels/chart28.xml.rels><?xml version="1.0" encoding="UTF-8" standalone="yes"?>
<Relationships xmlns="http://schemas.openxmlformats.org/package/2006/relationships"><Relationship Id="rId2" Type="http://schemas.openxmlformats.org/officeDocument/2006/relationships/package" Target="../embeddings/Microsoft_Excel_Worksheet27.xlsx"/><Relationship Id="rId1" Type="http://schemas.openxmlformats.org/officeDocument/2006/relationships/themeOverride" Target="../theme/themeOverride28.xml"/></Relationships>
</file>

<file path=word/charts/_rels/chart29.xml.rels><?xml version="1.0" encoding="UTF-8" standalone="yes"?>
<Relationships xmlns="http://schemas.openxmlformats.org/package/2006/relationships"><Relationship Id="rId2" Type="http://schemas.openxmlformats.org/officeDocument/2006/relationships/package" Target="../embeddings/Microsoft_Excel_Worksheet28.xlsx"/><Relationship Id="rId1" Type="http://schemas.openxmlformats.org/officeDocument/2006/relationships/themeOverride" Target="../theme/themeOverride29.xml"/></Relationships>
</file>

<file path=word/charts/_rels/chart30.xml.rels><?xml version="1.0" encoding="UTF-8" standalone="yes"?>
<Relationships xmlns="http://schemas.openxmlformats.org/package/2006/relationships"><Relationship Id="rId3" Type="http://schemas.openxmlformats.org/officeDocument/2006/relationships/themeOverride" Target="../theme/themeOverride30.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29.xlsx"/></Relationships>
</file>

<file path=word/charts/_rels/chart31.xml.rels><?xml version="1.0" encoding="UTF-8" standalone="yes"?>
<Relationships xmlns="http://schemas.openxmlformats.org/package/2006/relationships"><Relationship Id="rId3" Type="http://schemas.openxmlformats.org/officeDocument/2006/relationships/themeOverride" Target="../theme/themeOverride31.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30.xlsx"/></Relationships>
</file>

<file path=word/charts/_rels/chart32.xml.rels><?xml version="1.0" encoding="UTF-8" standalone="yes"?>
<Relationships xmlns="http://schemas.openxmlformats.org/package/2006/relationships"><Relationship Id="rId3" Type="http://schemas.openxmlformats.org/officeDocument/2006/relationships/themeOverride" Target="../theme/themeOverride32.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31.xlsx"/></Relationships>
</file>

<file path=word/charts/_rels/chart33.xml.rels><?xml version="1.0" encoding="UTF-8" standalone="yes"?>
<Relationships xmlns="http://schemas.openxmlformats.org/package/2006/relationships"><Relationship Id="rId3" Type="http://schemas.openxmlformats.org/officeDocument/2006/relationships/themeOverride" Target="../theme/themeOverride33.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32.xlsx"/></Relationships>
</file>

<file path=word/charts/_rels/chart34.xml.rels><?xml version="1.0" encoding="UTF-8" standalone="yes"?>
<Relationships xmlns="http://schemas.openxmlformats.org/package/2006/relationships"><Relationship Id="rId3" Type="http://schemas.openxmlformats.org/officeDocument/2006/relationships/themeOverride" Target="../theme/themeOverride34.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33.xlsx"/></Relationships>
</file>

<file path=word/charts/_rels/chart35.xml.rels><?xml version="1.0" encoding="UTF-8" standalone="yes"?>
<Relationships xmlns="http://schemas.openxmlformats.org/package/2006/relationships"><Relationship Id="rId2" Type="http://schemas.openxmlformats.org/officeDocument/2006/relationships/package" Target="../embeddings/Microsoft_Excel_Worksheet34.xlsx"/><Relationship Id="rId1" Type="http://schemas.openxmlformats.org/officeDocument/2006/relationships/themeOverride" Target="../theme/themeOverride35.xml"/></Relationships>
</file>

<file path=word/charts/_rels/chart36.xml.rels><?xml version="1.0" encoding="UTF-8" standalone="yes"?>
<Relationships xmlns="http://schemas.openxmlformats.org/package/2006/relationships"><Relationship Id="rId2" Type="http://schemas.openxmlformats.org/officeDocument/2006/relationships/package" Target="../embeddings/Microsoft_Excel_Worksheet35.xlsx"/><Relationship Id="rId1" Type="http://schemas.openxmlformats.org/officeDocument/2006/relationships/themeOverride" Target="../theme/themeOverride36.xml"/></Relationships>
</file>

<file path=word/charts/_rels/chart37.xml.rels><?xml version="1.0" encoding="UTF-8" standalone="yes"?>
<Relationships xmlns="http://schemas.openxmlformats.org/package/2006/relationships"><Relationship Id="rId2" Type="http://schemas.openxmlformats.org/officeDocument/2006/relationships/package" Target="../embeddings/Microsoft_Excel_Worksheet36.xlsx"/><Relationship Id="rId1" Type="http://schemas.openxmlformats.org/officeDocument/2006/relationships/themeOverride" Target="../theme/themeOverride37.xml"/></Relationships>
</file>

<file path=word/charts/_rels/chart38.xml.rels><?xml version="1.0" encoding="UTF-8" standalone="yes"?>
<Relationships xmlns="http://schemas.openxmlformats.org/package/2006/relationships"><Relationship Id="rId2" Type="http://schemas.openxmlformats.org/officeDocument/2006/relationships/package" Target="../embeddings/Microsoft_Excel_Worksheet37.xlsx"/><Relationship Id="rId1" Type="http://schemas.openxmlformats.org/officeDocument/2006/relationships/themeOverride" Target="../theme/themeOverride38.xml"/></Relationships>
</file>

<file path=word/charts/_rels/chart39.xml.rels><?xml version="1.0" encoding="UTF-8" standalone="yes"?>
<Relationships xmlns="http://schemas.openxmlformats.org/package/2006/relationships"><Relationship Id="rId3" Type="http://schemas.openxmlformats.org/officeDocument/2006/relationships/chartUserShapes" Target="../drawings/drawing16.xml"/><Relationship Id="rId2" Type="http://schemas.openxmlformats.org/officeDocument/2006/relationships/package" Target="../embeddings/Microsoft_Excel_Worksheet38.xlsx"/><Relationship Id="rId1" Type="http://schemas.openxmlformats.org/officeDocument/2006/relationships/themeOverride" Target="../theme/themeOverride39.xml"/></Relationships>
</file>

<file path=word/charts/_rels/chart40.xml.rels><?xml version="1.0" encoding="UTF-8" standalone="yes"?>
<Relationships xmlns="http://schemas.openxmlformats.org/package/2006/relationships"><Relationship Id="rId2" Type="http://schemas.openxmlformats.org/officeDocument/2006/relationships/package" Target="../embeddings/Microsoft_Excel_Worksheet39.xlsx"/><Relationship Id="rId1" Type="http://schemas.openxmlformats.org/officeDocument/2006/relationships/themeOverride" Target="../theme/themeOverride40.xml"/></Relationships>
</file>

<file path=word/charts/_rels/chart41.xml.rels><?xml version="1.0" encoding="UTF-8" standalone="yes"?>
<Relationships xmlns="http://schemas.openxmlformats.org/package/2006/relationships"><Relationship Id="rId2" Type="http://schemas.openxmlformats.org/officeDocument/2006/relationships/oleObject" Target="file:///E:\23.09.2026.xlsx" TargetMode="External"/><Relationship Id="rId1" Type="http://schemas.openxmlformats.org/officeDocument/2006/relationships/themeOverride" Target="../theme/themeOverride41.xml"/></Relationships>
</file>

<file path=word/charts/_rels/chart42.xml.rels><?xml version="1.0" encoding="UTF-8" standalone="yes"?>
<Relationships xmlns="http://schemas.openxmlformats.org/package/2006/relationships"><Relationship Id="rId2" Type="http://schemas.openxmlformats.org/officeDocument/2006/relationships/package" Target="../embeddings/Microsoft_Excel_Worksheet40.xlsx"/><Relationship Id="rId1" Type="http://schemas.openxmlformats.org/officeDocument/2006/relationships/themeOverride" Target="../theme/themeOverride42.xml"/></Relationships>
</file>

<file path=word/charts/_rels/chart43.xml.rels><?xml version="1.0" encoding="UTF-8" standalone="yes"?>
<Relationships xmlns="http://schemas.openxmlformats.org/package/2006/relationships"><Relationship Id="rId2" Type="http://schemas.openxmlformats.org/officeDocument/2006/relationships/package" Target="../embeddings/Microsoft_Excel_Worksheet41.xlsx"/><Relationship Id="rId1" Type="http://schemas.openxmlformats.org/officeDocument/2006/relationships/themeOverride" Target="../theme/themeOverride43.xml"/></Relationships>
</file>

<file path=word/charts/_rels/chart44.xml.rels><?xml version="1.0" encoding="UTF-8" standalone="yes"?>
<Relationships xmlns="http://schemas.openxmlformats.org/package/2006/relationships"><Relationship Id="rId2" Type="http://schemas.openxmlformats.org/officeDocument/2006/relationships/package" Target="../embeddings/Microsoft_Excel_Worksheet42.xlsx"/><Relationship Id="rId1" Type="http://schemas.openxmlformats.org/officeDocument/2006/relationships/themeOverride" Target="../theme/themeOverride44.xml"/></Relationships>
</file>

<file path=word/charts/_rels/chart45.xml.rels><?xml version="1.0" encoding="UTF-8" standalone="yes"?>
<Relationships xmlns="http://schemas.openxmlformats.org/package/2006/relationships"><Relationship Id="rId2" Type="http://schemas.openxmlformats.org/officeDocument/2006/relationships/package" Target="../embeddings/Microsoft_Excel_Worksheet43.xlsx"/><Relationship Id="rId1" Type="http://schemas.openxmlformats.org/officeDocument/2006/relationships/themeOverride" Target="../theme/themeOverride45.xml"/></Relationships>
</file>

<file path=word/charts/_rels/chart46.xml.rels><?xml version="1.0" encoding="UTF-8" standalone="yes"?>
<Relationships xmlns="http://schemas.openxmlformats.org/package/2006/relationships"><Relationship Id="rId3" Type="http://schemas.openxmlformats.org/officeDocument/2006/relationships/themeOverride" Target="../theme/themeOverride46.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44.xlsx"/></Relationships>
</file>

<file path=word/charts/_rels/chart47.xml.rels><?xml version="1.0" encoding="UTF-8" standalone="yes"?>
<Relationships xmlns="http://schemas.openxmlformats.org/package/2006/relationships"><Relationship Id="rId3" Type="http://schemas.openxmlformats.org/officeDocument/2006/relationships/themeOverride" Target="../theme/themeOverride47.xml"/><Relationship Id="rId2" Type="http://schemas.microsoft.com/office/2011/relationships/chartColorStyle" Target="colors11.xml"/><Relationship Id="rId1" Type="http://schemas.microsoft.com/office/2011/relationships/chartStyle" Target="style11.xml"/><Relationship Id="rId5" Type="http://schemas.openxmlformats.org/officeDocument/2006/relationships/chartUserShapes" Target="../drawings/drawing17.xml"/><Relationship Id="rId4" Type="http://schemas.openxmlformats.org/officeDocument/2006/relationships/package" Target="../embeddings/Microsoft_Excel_Worksheet45.xlsx"/></Relationships>
</file>

<file path=word/charts/_rels/chart48.xml.rels><?xml version="1.0" encoding="UTF-8" standalone="yes"?>
<Relationships xmlns="http://schemas.openxmlformats.org/package/2006/relationships"><Relationship Id="rId3" Type="http://schemas.openxmlformats.org/officeDocument/2006/relationships/themeOverride" Target="../theme/themeOverride48.xml"/><Relationship Id="rId2" Type="http://schemas.microsoft.com/office/2011/relationships/chartColorStyle" Target="colors12.xml"/><Relationship Id="rId1" Type="http://schemas.microsoft.com/office/2011/relationships/chartStyle" Target="style12.xml"/><Relationship Id="rId5" Type="http://schemas.openxmlformats.org/officeDocument/2006/relationships/chartUserShapes" Target="../drawings/drawing18.xml"/><Relationship Id="rId4" Type="http://schemas.openxmlformats.org/officeDocument/2006/relationships/package" Target="../embeddings/Microsoft_Excel_Worksheet46.xlsx"/></Relationships>
</file>

<file path=word/charts/_rels/chart49.xml.rels><?xml version="1.0" encoding="UTF-8" standalone="yes"?>
<Relationships xmlns="http://schemas.openxmlformats.org/package/2006/relationships"><Relationship Id="rId3" Type="http://schemas.openxmlformats.org/officeDocument/2006/relationships/themeOverride" Target="../theme/themeOverride49.xml"/><Relationship Id="rId2" Type="http://schemas.microsoft.com/office/2011/relationships/chartColorStyle" Target="colors13.xml"/><Relationship Id="rId1" Type="http://schemas.microsoft.com/office/2011/relationships/chartStyle" Target="style13.xml"/><Relationship Id="rId5" Type="http://schemas.openxmlformats.org/officeDocument/2006/relationships/chartUserShapes" Target="../drawings/drawing19.xml"/><Relationship Id="rId4" Type="http://schemas.openxmlformats.org/officeDocument/2006/relationships/package" Target="../embeddings/Microsoft_Excel_Worksheet47.xlsx"/></Relationships>
</file>

<file path=word/charts/_rels/chart50.xml.rels><?xml version="1.0" encoding="UTF-8" standalone="yes"?>
<Relationships xmlns="http://schemas.openxmlformats.org/package/2006/relationships"><Relationship Id="rId3" Type="http://schemas.openxmlformats.org/officeDocument/2006/relationships/chartUserShapes" Target="../drawings/drawing20.xml"/><Relationship Id="rId2" Type="http://schemas.openxmlformats.org/officeDocument/2006/relationships/package" Target="../embeddings/Microsoft_Excel_Worksheet48.xlsx"/><Relationship Id="rId1" Type="http://schemas.openxmlformats.org/officeDocument/2006/relationships/themeOverride" Target="../theme/themeOverride50.xml"/></Relationships>
</file>

<file path=word/charts/_rels/chart51.xml.rels><?xml version="1.0" encoding="UTF-8" standalone="yes"?>
<Relationships xmlns="http://schemas.openxmlformats.org/package/2006/relationships"><Relationship Id="rId3" Type="http://schemas.openxmlformats.org/officeDocument/2006/relationships/themeOverride" Target="../theme/themeOverride51.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49.xlsx"/></Relationships>
</file>

<file path=word/charts/_rels/chart52.xml.rels><?xml version="1.0" encoding="UTF-8" standalone="yes"?>
<Relationships xmlns="http://schemas.openxmlformats.org/package/2006/relationships"><Relationship Id="rId2" Type="http://schemas.openxmlformats.org/officeDocument/2006/relationships/package" Target="../embeddings/Microsoft_Excel_Worksheet50.xlsx"/><Relationship Id="rId1" Type="http://schemas.openxmlformats.org/officeDocument/2006/relationships/themeOverride" Target="../theme/themeOverride52.xml"/></Relationships>
</file>

<file path=word/charts/_rels/chart53.xml.rels><?xml version="1.0" encoding="UTF-8" standalone="yes"?>
<Relationships xmlns="http://schemas.openxmlformats.org/package/2006/relationships"><Relationship Id="rId3" Type="http://schemas.openxmlformats.org/officeDocument/2006/relationships/themeOverride" Target="../theme/themeOverride53.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51.xlsx"/></Relationships>
</file>

<file path=word/charts/_rels/chart54.xml.rels><?xml version="1.0" encoding="UTF-8" standalone="yes"?>
<Relationships xmlns="http://schemas.openxmlformats.org/package/2006/relationships"><Relationship Id="rId3" Type="http://schemas.openxmlformats.org/officeDocument/2006/relationships/themeOverride" Target="../theme/themeOverride54.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52.xlsx"/></Relationships>
</file>

<file path=word/charts/_rels/chart55.xml.rels><?xml version="1.0" encoding="UTF-8" standalone="yes"?>
<Relationships xmlns="http://schemas.openxmlformats.org/package/2006/relationships"><Relationship Id="rId2" Type="http://schemas.openxmlformats.org/officeDocument/2006/relationships/package" Target="../embeddings/Microsoft_Excel_Worksheet53.xlsx"/><Relationship Id="rId1" Type="http://schemas.openxmlformats.org/officeDocument/2006/relationships/themeOverride" Target="../theme/themeOverride55.xml"/></Relationships>
</file>

<file path=word/charts/_rels/chart56.xml.rels><?xml version="1.0" encoding="UTF-8" standalone="yes"?>
<Relationships xmlns="http://schemas.openxmlformats.org/package/2006/relationships"><Relationship Id="rId3" Type="http://schemas.openxmlformats.org/officeDocument/2006/relationships/themeOverride" Target="../theme/themeOverride56.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package" Target="../embeddings/Microsoft_Excel_Worksheet54.xlsx"/></Relationships>
</file>

<file path=word/charts/_rels/chart57.xml.rels><?xml version="1.0" encoding="UTF-8" standalone="yes"?>
<Relationships xmlns="http://schemas.openxmlformats.org/package/2006/relationships"><Relationship Id="rId3" Type="http://schemas.openxmlformats.org/officeDocument/2006/relationships/package" Target="../embeddings/Microsoft_Excel_Worksheet55.xlsx"/><Relationship Id="rId2" Type="http://schemas.microsoft.com/office/2011/relationships/chartColorStyle" Target="colors18.xml"/><Relationship Id="rId1" Type="http://schemas.microsoft.com/office/2011/relationships/chartStyle" Target="style18.xml"/></Relationships>
</file>

<file path=word/charts/_rels/chart58.xml.rels><?xml version="1.0" encoding="UTF-8" standalone="yes"?>
<Relationships xmlns="http://schemas.openxmlformats.org/package/2006/relationships"><Relationship Id="rId2" Type="http://schemas.openxmlformats.org/officeDocument/2006/relationships/oleObject" Target="file:///\\172.20.215.254\Share\public_debt\Share\STRATEGY%20AND%20RISKS\STRATEGY\Budget%202027%20September\2027-2031%20debt.xlsx%20new.xlsx" TargetMode="External"/><Relationship Id="rId1" Type="http://schemas.openxmlformats.org/officeDocument/2006/relationships/themeOverride" Target="../theme/themeOverride57.xml"/></Relationships>
</file>

<file path=word/charts/_rels/chart59.xml.rels><?xml version="1.0" encoding="UTF-8" standalone="yes"?>
<Relationships xmlns="http://schemas.openxmlformats.org/package/2006/relationships"><Relationship Id="rId2" Type="http://schemas.openxmlformats.org/officeDocument/2006/relationships/oleObject" Target="file:///\\172.20.215.254\Share\public_debt\Share\STRATEGY%20AND%20RISKS\STRATEGY\Budget%202027%20September\2027-2031%20debt.xlsx%20new.xlsx" TargetMode="External"/><Relationship Id="rId1" Type="http://schemas.openxmlformats.org/officeDocument/2006/relationships/themeOverride" Target="../theme/themeOverride58.xml"/></Relationships>
</file>

<file path=word/charts/_rels/chart60.xml.rels><?xml version="1.0" encoding="UTF-8" standalone="yes"?>
<Relationships xmlns="http://schemas.openxmlformats.org/package/2006/relationships"><Relationship Id="rId2" Type="http://schemas.openxmlformats.org/officeDocument/2006/relationships/oleObject" Target="file:///\\172.20.215.254\Share\public_debt\Share\STRATEGY%20AND%20RISKS\STRATEGY\Budget%202027%20September\2027-2031%20debt.xlsx%20new.xlsx" TargetMode="External"/><Relationship Id="rId1" Type="http://schemas.openxmlformats.org/officeDocument/2006/relationships/themeOverride" Target="../theme/themeOverride59.xml"/></Relationships>
</file>

<file path=word/charts/_rels/chart61.xml.rels><?xml version="1.0" encoding="UTF-8" standalone="yes"?>
<Relationships xmlns="http://schemas.openxmlformats.org/package/2006/relationships"><Relationship Id="rId2" Type="http://schemas.openxmlformats.org/officeDocument/2006/relationships/oleObject" Target="file:///\\172.20.215.254\Share\public_debt\Share\STRATEGY%20AND%20RISKS\STRATEGY\Budget%202027%20September\2027-2031%20debt.xlsx%20new.xlsx" TargetMode="External"/><Relationship Id="rId1" Type="http://schemas.openxmlformats.org/officeDocument/2006/relationships/themeOverride" Target="../theme/themeOverride60.xml"/></Relationships>
</file>

<file path=word/charts/_rels/chart62.xml.rels><?xml version="1.0" encoding="UTF-8" standalone="yes"?>
<Relationships xmlns="http://schemas.openxmlformats.org/package/2006/relationships"><Relationship Id="rId3" Type="http://schemas.openxmlformats.org/officeDocument/2006/relationships/themeOverride" Target="../theme/themeOverride61.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oleObject" Target="file:///\\172.20.215.254\Share\public_debt\Share\STRATEGY%20AND%20RISKS\STRATEGY\Budget%202027%20September\2027-2031%20debt.xlsx" TargetMode="External"/></Relationships>
</file>

<file path=word/charts/_rels/chart63.xml.rels><?xml version="1.0" encoding="UTF-8" standalone="yes"?>
<Relationships xmlns="http://schemas.openxmlformats.org/package/2006/relationships"><Relationship Id="rId3" Type="http://schemas.openxmlformats.org/officeDocument/2006/relationships/oleObject" Target="file:///\\172.20.215.254\Share\public_debt\Share\STRATEGY%20AND%20RISKS\STRATEGY\Budget%202027%20September\2027-2031%20debt.xlsx" TargetMode="External"/><Relationship Id="rId2" Type="http://schemas.microsoft.com/office/2011/relationships/chartColorStyle" Target="colors20.xml"/><Relationship Id="rId1" Type="http://schemas.microsoft.com/office/2011/relationships/chartStyle" Target="style20.xml"/></Relationships>
</file>

<file path=word/charts/_rels/chart64.xml.rels><?xml version="1.0" encoding="UTF-8" standalone="yes"?>
<Relationships xmlns="http://schemas.openxmlformats.org/package/2006/relationships"><Relationship Id="rId2" Type="http://schemas.openxmlformats.org/officeDocument/2006/relationships/package" Target="../embeddings/Microsoft_Excel_Worksheet56.xlsx"/><Relationship Id="rId1" Type="http://schemas.openxmlformats.org/officeDocument/2006/relationships/themeOverride" Target="../theme/themeOverride62.xml"/></Relationships>
</file>

<file path=word/charts/_rels/chart65.xml.rels><?xml version="1.0" encoding="UTF-8" standalone="yes"?>
<Relationships xmlns="http://schemas.openxmlformats.org/package/2006/relationships"><Relationship Id="rId3" Type="http://schemas.openxmlformats.org/officeDocument/2006/relationships/themeOverride" Target="../theme/themeOverride63.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oleObject" Target="../embeddings/oleObject1.bin"/></Relationships>
</file>

<file path=word/charts/_rels/chart66.xml.rels><?xml version="1.0" encoding="UTF-8" standalone="yes"?>
<Relationships xmlns="http://schemas.openxmlformats.org/package/2006/relationships"><Relationship Id="rId3" Type="http://schemas.openxmlformats.org/officeDocument/2006/relationships/package" Target="../embeddings/Microsoft_Excel_Worksheet57.xlsx"/><Relationship Id="rId2" Type="http://schemas.microsoft.com/office/2011/relationships/chartColorStyle" Target="colors22.xml"/><Relationship Id="rId1" Type="http://schemas.microsoft.com/office/2011/relationships/chartStyle" Target="style22.xml"/></Relationships>
</file>

<file path=word/charts/_rels/chart67.xml.rels><?xml version="1.0" encoding="UTF-8" standalone="yes"?>
<Relationships xmlns="http://schemas.openxmlformats.org/package/2006/relationships"><Relationship Id="rId3" Type="http://schemas.openxmlformats.org/officeDocument/2006/relationships/package" Target="../embeddings/Microsoft_Excel_Worksheet58.xlsx"/><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chartUserShapes" Target="../drawings/drawing21.xml"/></Relationships>
</file>

<file path=word/charts/_rels/chart68.xml.rels><?xml version="1.0" encoding="UTF-8" standalone="yes"?>
<Relationships xmlns="http://schemas.openxmlformats.org/package/2006/relationships"><Relationship Id="rId3" Type="http://schemas.openxmlformats.org/officeDocument/2006/relationships/themeOverride" Target="../theme/themeOverride64.xml"/><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package" Target="../embeddings/Microsoft_Excel_Worksheet59.xlsx"/></Relationships>
</file>

<file path=word/charts/_rels/chart69.xml.rels><?xml version="1.0" encoding="UTF-8" standalone="yes"?>
<Relationships xmlns="http://schemas.openxmlformats.org/package/2006/relationships"><Relationship Id="rId3" Type="http://schemas.openxmlformats.org/officeDocument/2006/relationships/themeOverride" Target="../theme/themeOverride65.xml"/><Relationship Id="rId2" Type="http://schemas.microsoft.com/office/2011/relationships/chartColorStyle" Target="colors25.xml"/><Relationship Id="rId1" Type="http://schemas.microsoft.com/office/2011/relationships/chartStyle" Target="style25.xml"/><Relationship Id="rId4" Type="http://schemas.openxmlformats.org/officeDocument/2006/relationships/oleObject" Target="../embeddings/oleObject2.bin"/></Relationships>
</file>

<file path=word/charts/_rels/chart70.xml.rels><?xml version="1.0" encoding="UTF-8" standalone="yes"?>
<Relationships xmlns="http://schemas.openxmlformats.org/package/2006/relationships"><Relationship Id="rId3" Type="http://schemas.openxmlformats.org/officeDocument/2006/relationships/themeOverride" Target="../theme/themeOverride66.xml"/><Relationship Id="rId2" Type="http://schemas.microsoft.com/office/2011/relationships/chartColorStyle" Target="colors26.xml"/><Relationship Id="rId1" Type="http://schemas.microsoft.com/office/2011/relationships/chartStyle" Target="style26.xml"/><Relationship Id="rId4" Type="http://schemas.openxmlformats.org/officeDocument/2006/relationships/oleObject" Target="../embeddings/oleObject3.bin"/></Relationships>
</file>

<file path=word/charts/_rels/chart71.xml.rels><?xml version="1.0" encoding="UTF-8" standalone="yes"?>
<Relationships xmlns="http://schemas.openxmlformats.org/package/2006/relationships"><Relationship Id="rId3" Type="http://schemas.openxmlformats.org/officeDocument/2006/relationships/themeOverride" Target="../theme/themeOverride67.xml"/><Relationship Id="rId2" Type="http://schemas.microsoft.com/office/2011/relationships/chartColorStyle" Target="colors27.xml"/><Relationship Id="rId1" Type="http://schemas.microsoft.com/office/2011/relationships/chartStyle" Target="style27.xml"/><Relationship Id="rId4" Type="http://schemas.openxmlformats.org/officeDocument/2006/relationships/oleObject" Target="../embeddings/oleObject4.bin"/></Relationships>
</file>

<file path=word/charts/_rels/chart72.xml.rels><?xml version="1.0" encoding="UTF-8" standalone="yes"?>
<Relationships xmlns="http://schemas.openxmlformats.org/package/2006/relationships"><Relationship Id="rId3" Type="http://schemas.openxmlformats.org/officeDocument/2006/relationships/themeOverride" Target="../theme/themeOverride68.xml"/><Relationship Id="rId2" Type="http://schemas.microsoft.com/office/2011/relationships/chartColorStyle" Target="colors28.xml"/><Relationship Id="rId1" Type="http://schemas.microsoft.com/office/2011/relationships/chartStyle" Target="style28.xml"/><Relationship Id="rId4" Type="http://schemas.openxmlformats.org/officeDocument/2006/relationships/oleObject" Target="../embeddings/oleObject5.bin"/></Relationships>
</file>

<file path=word/charts/_rels/chart73.xml.rels><?xml version="1.0" encoding="UTF-8" standalone="yes"?>
<Relationships xmlns="http://schemas.openxmlformats.org/package/2006/relationships"><Relationship Id="rId3" Type="http://schemas.openxmlformats.org/officeDocument/2006/relationships/themeOverride" Target="../theme/themeOverride69.xml"/><Relationship Id="rId2" Type="http://schemas.microsoft.com/office/2011/relationships/chartColorStyle" Target="colors29.xml"/><Relationship Id="rId1" Type="http://schemas.microsoft.com/office/2011/relationships/chartStyle" Target="style29.xml"/><Relationship Id="rId4" Type="http://schemas.openxmlformats.org/officeDocument/2006/relationships/oleObject" Target="../embeddings/oleObject6.bin"/></Relationships>
</file>

<file path=word/charts/_rels/chart74.xml.rels><?xml version="1.0" encoding="UTF-8" standalone="yes"?>
<Relationships xmlns="http://schemas.openxmlformats.org/package/2006/relationships"><Relationship Id="rId3" Type="http://schemas.openxmlformats.org/officeDocument/2006/relationships/themeOverride" Target="../theme/themeOverride70.xml"/><Relationship Id="rId2" Type="http://schemas.microsoft.com/office/2011/relationships/chartColorStyle" Target="colors30.xml"/><Relationship Id="rId1" Type="http://schemas.microsoft.com/office/2011/relationships/chartStyle" Target="style30.xml"/><Relationship Id="rId4" Type="http://schemas.openxmlformats.org/officeDocument/2006/relationships/oleObject" Target="../embeddings/oleObject7.bin"/></Relationships>
</file>

<file path=word/charts/_rels/chart75.xml.rels><?xml version="1.0" encoding="UTF-8" standalone="yes"?>
<Relationships xmlns="http://schemas.openxmlformats.org/package/2006/relationships"><Relationship Id="rId3" Type="http://schemas.openxmlformats.org/officeDocument/2006/relationships/themeOverride" Target="../theme/themeOverride71.xml"/><Relationship Id="rId2" Type="http://schemas.microsoft.com/office/2011/relationships/chartColorStyle" Target="colors31.xml"/><Relationship Id="rId1" Type="http://schemas.microsoft.com/office/2011/relationships/chartStyle" Target="style31.xml"/><Relationship Id="rId4" Type="http://schemas.openxmlformats.org/officeDocument/2006/relationships/oleObject" Target="../embeddings/oleObject8.bin"/></Relationships>
</file>

<file path=word/charts/_rels/chart76.xml.rels><?xml version="1.0" encoding="UTF-8" standalone="yes"?>
<Relationships xmlns="http://schemas.openxmlformats.org/package/2006/relationships"><Relationship Id="rId3" Type="http://schemas.openxmlformats.org/officeDocument/2006/relationships/themeOverride" Target="../theme/themeOverride72.xml"/><Relationship Id="rId2" Type="http://schemas.microsoft.com/office/2011/relationships/chartColorStyle" Target="colors32.xml"/><Relationship Id="rId1" Type="http://schemas.microsoft.com/office/2011/relationships/chartStyle" Target="style32.xml"/><Relationship Id="rId4" Type="http://schemas.openxmlformats.org/officeDocument/2006/relationships/oleObject" Target="file:///C:\Users\Arsen.Margaryan\Desktop\0\2026\&#1329;&#1398;&#1381;&#1388;&#1387;&#1412;&#1398;&#1381;&#1408;\&#1334;&#1381;&#1391;&#1400;&#1410;&#1397;&#1409;%202025\&#1329;&#1396;&#1411;&#1400;&#1411;%20&#1379;&#1408;&#1377;&#1414;&#1387;&#1391;&#1398;&#1381;&#1408;%20-2025.xlsx" TargetMode="External"/></Relationships>
</file>

<file path=word/charts/_rels/chart77.xml.rels><?xml version="1.0" encoding="UTF-8" standalone="yes"?>
<Relationships xmlns="http://schemas.openxmlformats.org/package/2006/relationships"><Relationship Id="rId3" Type="http://schemas.openxmlformats.org/officeDocument/2006/relationships/themeOverride" Target="../theme/themeOverride73.xml"/><Relationship Id="rId2" Type="http://schemas.microsoft.com/office/2011/relationships/chartColorStyle" Target="colors33.xml"/><Relationship Id="rId1" Type="http://schemas.microsoft.com/office/2011/relationships/chartStyle" Target="style33.xml"/><Relationship Id="rId4" Type="http://schemas.openxmlformats.org/officeDocument/2006/relationships/oleObject" Target="file:///C:\Users\&#1057;&#1072;&#1084;&#1074;&#1077;&#1083;\Desktop\New%20folder%20(3)\&#1329;&#1396;&#1411;&#1400;&#1411;%20&#1379;&#1408;&#1377;&#1414;&#1387;&#1391;&#1398;&#1381;&#1408;%20-2025.xlsx" TargetMode="External"/></Relationships>
</file>

<file path=word/charts/_rels/chart78.xml.rels><?xml version="1.0" encoding="UTF-8" standalone="yes"?>
<Relationships xmlns="http://schemas.openxmlformats.org/package/2006/relationships"><Relationship Id="rId3" Type="http://schemas.openxmlformats.org/officeDocument/2006/relationships/themeOverride" Target="../theme/themeOverride74.xml"/><Relationship Id="rId2" Type="http://schemas.microsoft.com/office/2011/relationships/chartColorStyle" Target="colors34.xml"/><Relationship Id="rId1" Type="http://schemas.microsoft.com/office/2011/relationships/chartStyle" Target="style34.xml"/><Relationship Id="rId4" Type="http://schemas.openxmlformats.org/officeDocument/2006/relationships/oleObject" Target="file:///C:\Users\Arsen.Margaryan\Desktop\0\2026\&#1329;&#1398;&#1381;&#1388;&#1387;&#1412;&#1398;&#1381;&#1408;\&#1334;&#1381;&#1391;&#1400;&#1410;&#1397;&#1409;%202025\&#1329;&#1396;&#1411;&#1400;&#1411;%20&#1379;&#1408;&#1377;&#1414;&#1387;&#1391;&#1398;&#1381;&#1408;%20-2025.xlsx" TargetMode="External"/></Relationships>
</file>

<file path=word/charts/_rels/chart79.xml.rels><?xml version="1.0" encoding="UTF-8" standalone="yes"?>
<Relationships xmlns="http://schemas.openxmlformats.org/package/2006/relationships"><Relationship Id="rId3" Type="http://schemas.openxmlformats.org/officeDocument/2006/relationships/themeOverride" Target="../theme/themeOverride75.xml"/><Relationship Id="rId2" Type="http://schemas.microsoft.com/office/2011/relationships/chartColorStyle" Target="colors35.xml"/><Relationship Id="rId1" Type="http://schemas.microsoft.com/office/2011/relationships/chartStyle" Target="style35.xml"/><Relationship Id="rId4" Type="http://schemas.openxmlformats.org/officeDocument/2006/relationships/oleObject" Target="https://d.docs.live.net/e6f9e6114dd3e381/Documents/ADB/Projects/Railway/Railway%20numbers%202023.xlsx" TargetMode="External"/></Relationships>
</file>

<file path=word/charts/_rels/chart80.xml.rels><?xml version="1.0" encoding="UTF-8" standalone="yes"?>
<Relationships xmlns="http://schemas.openxmlformats.org/package/2006/relationships"><Relationship Id="rId3" Type="http://schemas.openxmlformats.org/officeDocument/2006/relationships/themeOverride" Target="../theme/themeOverride76.xml"/><Relationship Id="rId2" Type="http://schemas.microsoft.com/office/2011/relationships/chartColorStyle" Target="colors36.xml"/><Relationship Id="rId1" Type="http://schemas.microsoft.com/office/2011/relationships/chartStyle" Target="style36.xml"/><Relationship Id="rId4" Type="http://schemas.openxmlformats.org/officeDocument/2006/relationships/oleObject" Target="file:///C:\Users\Liana.Yeritsyan\Desktop\&#1396;&#1386;&#1390;&#1390;.xlsx" TargetMode="External"/></Relationships>
</file>

<file path=word/charts/_rels/chart81.xml.rels><?xml version="1.0" encoding="UTF-8" standalone="yes"?>
<Relationships xmlns="http://schemas.openxmlformats.org/package/2006/relationships"><Relationship Id="rId3" Type="http://schemas.openxmlformats.org/officeDocument/2006/relationships/themeOverride" Target="../theme/themeOverride77.xml"/><Relationship Id="rId2" Type="http://schemas.microsoft.com/office/2011/relationships/chartColorStyle" Target="colors37.xml"/><Relationship Id="rId1" Type="http://schemas.microsoft.com/office/2011/relationships/chartStyle" Target="style37.xml"/><Relationship Id="rId4" Type="http://schemas.openxmlformats.org/officeDocument/2006/relationships/package" Target="../embeddings/Microsoft_Excel_Worksheet60.xlsx"/></Relationships>
</file>

<file path=word/charts/_rels/chart82.xml.rels><?xml version="1.0" encoding="UTF-8" standalone="yes"?>
<Relationships xmlns="http://schemas.openxmlformats.org/package/2006/relationships"><Relationship Id="rId3" Type="http://schemas.openxmlformats.org/officeDocument/2006/relationships/themeOverride" Target="../theme/themeOverride78.xml"/><Relationship Id="rId2" Type="http://schemas.microsoft.com/office/2011/relationships/chartColorStyle" Target="colors38.xml"/><Relationship Id="rId1" Type="http://schemas.microsoft.com/office/2011/relationships/chartStyle" Target="style38.xml"/><Relationship Id="rId4" Type="http://schemas.openxmlformats.org/officeDocument/2006/relationships/oleObject" Target="file:///C:\Users\meri.zakaryan\Desktop\&#1380;&#1377;&#1407;&#1377;&#1408;&#1377;&#1398;.xlsx" TargetMode="External"/></Relationships>
</file>

<file path=word/charts/_rels/chart8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9.xml"/><Relationship Id="rId1" Type="http://schemas.microsoft.com/office/2011/relationships/chartStyle" Target="style3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4915187347413592E-2"/>
          <c:y val="5.6314429424361309E-2"/>
          <c:w val="0.89716793164178021"/>
          <c:h val="0.61276208121043696"/>
        </c:manualLayout>
      </c:layout>
      <c:lineChart>
        <c:grouping val="standard"/>
        <c:varyColors val="0"/>
        <c:ser>
          <c:idx val="3"/>
          <c:order val="0"/>
          <c:tx>
            <c:strRef>
              <c:f>Sheet1!$C$1</c:f>
              <c:strCache>
                <c:ptCount val="1"/>
                <c:pt idx="0">
                  <c:v>ԱՄՆ</c:v>
                </c:pt>
              </c:strCache>
            </c:strRef>
          </c:tx>
          <c:spPr>
            <a:ln w="25400">
              <a:solidFill>
                <a:srgbClr val="4472C4">
                  <a:lumMod val="50000"/>
                </a:srgbClr>
              </a:solidFill>
            </a:ln>
          </c:spPr>
          <c:marker>
            <c:symbol val="none"/>
          </c:marker>
          <c:cat>
            <c:multiLvlStrRef>
              <c:f>Sheet1!$A$6:$B$35</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lvl>
                <c:lvl>
                  <c:pt idx="0">
                    <c:v>2023</c:v>
                  </c:pt>
                  <c:pt idx="4">
                    <c:v>2024</c:v>
                  </c:pt>
                  <c:pt idx="8">
                    <c:v>2025</c:v>
                  </c:pt>
                  <c:pt idx="12">
                    <c:v>2026</c:v>
                  </c:pt>
                </c:lvl>
              </c:multiLvlStrCache>
            </c:multiLvlStrRef>
          </c:cat>
          <c:val>
            <c:numRef>
              <c:f>Sheet1!$C$6:$C$35</c:f>
              <c:numCache>
                <c:formatCode>General</c:formatCode>
                <c:ptCount val="14"/>
                <c:pt idx="0">
                  <c:v>1.7</c:v>
                </c:pt>
                <c:pt idx="1">
                  <c:v>2.4</c:v>
                </c:pt>
                <c:pt idx="2">
                  <c:v>2.9</c:v>
                </c:pt>
                <c:pt idx="3">
                  <c:v>3.1</c:v>
                </c:pt>
                <c:pt idx="4" formatCode="0.0">
                  <c:v>2.9</c:v>
                </c:pt>
                <c:pt idx="5" formatCode="0.0">
                  <c:v>3</c:v>
                </c:pt>
                <c:pt idx="6">
                  <c:v>2.7</c:v>
                </c:pt>
                <c:pt idx="7">
                  <c:v>2.5</c:v>
                </c:pt>
                <c:pt idx="8" formatCode="0.0">
                  <c:v>2</c:v>
                </c:pt>
                <c:pt idx="9">
                  <c:v>2.1</c:v>
                </c:pt>
                <c:pt idx="10">
                  <c:v>2.2999999999999998</c:v>
                </c:pt>
                <c:pt idx="11">
                  <c:v>2</c:v>
                </c:pt>
                <c:pt idx="12" formatCode="0.0">
                  <c:v>2.7</c:v>
                </c:pt>
                <c:pt idx="13" formatCode="0.0">
                  <c:v>2.1</c:v>
                </c:pt>
              </c:numCache>
            </c:numRef>
          </c:val>
          <c:smooth val="0"/>
          <c:extLst>
            <c:ext xmlns:c16="http://schemas.microsoft.com/office/drawing/2014/chart" uri="{C3380CC4-5D6E-409C-BE32-E72D297353CC}">
              <c16:uniqueId val="{00000000-24C4-4494-ADC6-019BCC19F81A}"/>
            </c:ext>
          </c:extLst>
        </c:ser>
        <c:ser>
          <c:idx val="0"/>
          <c:order val="1"/>
          <c:tx>
            <c:strRef>
              <c:f>Sheet1!$D$1</c:f>
              <c:strCache>
                <c:ptCount val="1"/>
                <c:pt idx="0">
                  <c:v>ԵԳ</c:v>
                </c:pt>
              </c:strCache>
            </c:strRef>
          </c:tx>
          <c:spPr>
            <a:ln w="25400">
              <a:solidFill>
                <a:srgbClr val="4472C4"/>
              </a:solidFill>
            </a:ln>
          </c:spPr>
          <c:marker>
            <c:symbol val="none"/>
          </c:marker>
          <c:cat>
            <c:multiLvlStrRef>
              <c:f>Sheet1!$A$6:$B$35</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lvl>
                <c:lvl>
                  <c:pt idx="0">
                    <c:v>2023</c:v>
                  </c:pt>
                  <c:pt idx="4">
                    <c:v>2024</c:v>
                  </c:pt>
                  <c:pt idx="8">
                    <c:v>2025</c:v>
                  </c:pt>
                  <c:pt idx="12">
                    <c:v>2026</c:v>
                  </c:pt>
                </c:lvl>
              </c:multiLvlStrCache>
            </c:multiLvlStrRef>
          </c:cat>
          <c:val>
            <c:numRef>
              <c:f>Sheet1!$D$6:$D$35</c:f>
              <c:numCache>
                <c:formatCode>0.00</c:formatCode>
                <c:ptCount val="14"/>
                <c:pt idx="0">
                  <c:v>1.3</c:v>
                </c:pt>
                <c:pt idx="1">
                  <c:v>0.6</c:v>
                </c:pt>
                <c:pt idx="2">
                  <c:v>0.1</c:v>
                </c:pt>
                <c:pt idx="3">
                  <c:v>0.1</c:v>
                </c:pt>
                <c:pt idx="4" formatCode="General">
                  <c:v>0.5</c:v>
                </c:pt>
                <c:pt idx="5" formatCode="General">
                  <c:v>0.5</c:v>
                </c:pt>
                <c:pt idx="6" formatCode="0.0">
                  <c:v>1</c:v>
                </c:pt>
                <c:pt idx="7" formatCode="General">
                  <c:v>1.2</c:v>
                </c:pt>
                <c:pt idx="8" formatCode="General">
                  <c:v>1.6</c:v>
                </c:pt>
                <c:pt idx="9" formatCode="General">
                  <c:v>1.4</c:v>
                </c:pt>
                <c:pt idx="10" formatCode="0.0">
                  <c:v>1.2</c:v>
                </c:pt>
                <c:pt idx="11" formatCode="General">
                  <c:v>1.1000000000000001</c:v>
                </c:pt>
                <c:pt idx="12" formatCode="0.0">
                  <c:v>0.5</c:v>
                </c:pt>
                <c:pt idx="13" formatCode="0.0">
                  <c:v>1</c:v>
                </c:pt>
              </c:numCache>
            </c:numRef>
          </c:val>
          <c:smooth val="0"/>
          <c:extLst>
            <c:ext xmlns:c16="http://schemas.microsoft.com/office/drawing/2014/chart" uri="{C3380CC4-5D6E-409C-BE32-E72D297353CC}">
              <c16:uniqueId val="{00000001-24C4-4494-ADC6-019BCC19F81A}"/>
            </c:ext>
          </c:extLst>
        </c:ser>
        <c:ser>
          <c:idx val="1"/>
          <c:order val="2"/>
          <c:tx>
            <c:strRef>
              <c:f>Sheet1!$E$1</c:f>
              <c:strCache>
                <c:ptCount val="1"/>
                <c:pt idx="0">
                  <c:v>Չինաստան</c:v>
                </c:pt>
              </c:strCache>
            </c:strRef>
          </c:tx>
          <c:spPr>
            <a:ln w="25400">
              <a:solidFill>
                <a:sysClr val="window" lastClr="FFFFFF">
                  <a:lumMod val="50000"/>
                </a:sysClr>
              </a:solidFill>
            </a:ln>
          </c:spPr>
          <c:marker>
            <c:symbol val="none"/>
          </c:marker>
          <c:cat>
            <c:multiLvlStrRef>
              <c:f>Sheet1!$A$6:$B$35</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lvl>
                <c:lvl>
                  <c:pt idx="0">
                    <c:v>2023</c:v>
                  </c:pt>
                  <c:pt idx="4">
                    <c:v>2024</c:v>
                  </c:pt>
                  <c:pt idx="8">
                    <c:v>2025</c:v>
                  </c:pt>
                  <c:pt idx="12">
                    <c:v>2026</c:v>
                  </c:pt>
                </c:lvl>
              </c:multiLvlStrCache>
            </c:multiLvlStrRef>
          </c:cat>
          <c:val>
            <c:numRef>
              <c:f>Sheet1!$E$6:$E$35</c:f>
              <c:numCache>
                <c:formatCode>General</c:formatCode>
                <c:ptCount val="14"/>
                <c:pt idx="0">
                  <c:v>4.5</c:v>
                </c:pt>
                <c:pt idx="1">
                  <c:v>6.3</c:v>
                </c:pt>
                <c:pt idx="2">
                  <c:v>4.9000000000000004</c:v>
                </c:pt>
                <c:pt idx="3">
                  <c:v>5.2</c:v>
                </c:pt>
                <c:pt idx="4">
                  <c:v>5.3</c:v>
                </c:pt>
                <c:pt idx="5">
                  <c:v>4.7</c:v>
                </c:pt>
                <c:pt idx="6">
                  <c:v>4.5999999999999996</c:v>
                </c:pt>
                <c:pt idx="7">
                  <c:v>5.4</c:v>
                </c:pt>
                <c:pt idx="8">
                  <c:v>5.4</c:v>
                </c:pt>
                <c:pt idx="9">
                  <c:v>5.2</c:v>
                </c:pt>
                <c:pt idx="10" formatCode="0.0">
                  <c:v>4.8</c:v>
                </c:pt>
                <c:pt idx="11" formatCode="0.0">
                  <c:v>4</c:v>
                </c:pt>
                <c:pt idx="12" formatCode="0.0">
                  <c:v>5</c:v>
                </c:pt>
                <c:pt idx="13" formatCode="0.0">
                  <c:v>4.3</c:v>
                </c:pt>
              </c:numCache>
            </c:numRef>
          </c:val>
          <c:smooth val="0"/>
          <c:extLst>
            <c:ext xmlns:c16="http://schemas.microsoft.com/office/drawing/2014/chart" uri="{C3380CC4-5D6E-409C-BE32-E72D297353CC}">
              <c16:uniqueId val="{00000002-24C4-4494-ADC6-019BCC19F81A}"/>
            </c:ext>
          </c:extLst>
        </c:ser>
        <c:ser>
          <c:idx val="2"/>
          <c:order val="3"/>
          <c:tx>
            <c:strRef>
              <c:f>Sheet1!$F$1</c:f>
              <c:strCache>
                <c:ptCount val="1"/>
                <c:pt idx="0">
                  <c:v>ՌԴ</c:v>
                </c:pt>
              </c:strCache>
            </c:strRef>
          </c:tx>
          <c:spPr>
            <a:ln w="22225">
              <a:solidFill>
                <a:srgbClr val="F79646">
                  <a:lumMod val="60000"/>
                  <a:lumOff val="40000"/>
                </a:srgbClr>
              </a:solidFill>
            </a:ln>
          </c:spPr>
          <c:marker>
            <c:symbol val="none"/>
          </c:marker>
          <c:cat>
            <c:multiLvlStrRef>
              <c:f>Sheet1!$A$6:$B$35</c:f>
              <c:multiLvlStrCache>
                <c:ptCount val="14"/>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lvl>
                <c:lvl>
                  <c:pt idx="0">
                    <c:v>2023</c:v>
                  </c:pt>
                  <c:pt idx="4">
                    <c:v>2024</c:v>
                  </c:pt>
                  <c:pt idx="8">
                    <c:v>2025</c:v>
                  </c:pt>
                  <c:pt idx="12">
                    <c:v>2026</c:v>
                  </c:pt>
                </c:lvl>
              </c:multiLvlStrCache>
            </c:multiLvlStrRef>
          </c:cat>
          <c:val>
            <c:numRef>
              <c:f>Sheet1!$F$6:$F$35</c:f>
              <c:numCache>
                <c:formatCode>General</c:formatCode>
                <c:ptCount val="14"/>
                <c:pt idx="0">
                  <c:v>-1.8</c:v>
                </c:pt>
                <c:pt idx="1">
                  <c:v>4.9000000000000004</c:v>
                </c:pt>
                <c:pt idx="2">
                  <c:v>5.5</c:v>
                </c:pt>
                <c:pt idx="3">
                  <c:v>4.9000000000000004</c:v>
                </c:pt>
                <c:pt idx="4">
                  <c:v>5.4</c:v>
                </c:pt>
                <c:pt idx="5" formatCode="0.0">
                  <c:v>4.3</c:v>
                </c:pt>
                <c:pt idx="6">
                  <c:v>3.3</c:v>
                </c:pt>
                <c:pt idx="7">
                  <c:v>4.5</c:v>
                </c:pt>
                <c:pt idx="8">
                  <c:v>1.3</c:v>
                </c:pt>
                <c:pt idx="9">
                  <c:v>1</c:v>
                </c:pt>
                <c:pt idx="10" formatCode="0.0">
                  <c:v>0.8</c:v>
                </c:pt>
                <c:pt idx="11">
                  <c:v>1</c:v>
                </c:pt>
                <c:pt idx="12" formatCode="0.0">
                  <c:v>-0.2</c:v>
                </c:pt>
                <c:pt idx="13" formatCode="0.0">
                  <c:v>1.3</c:v>
                </c:pt>
              </c:numCache>
            </c:numRef>
          </c:val>
          <c:smooth val="0"/>
          <c:extLst>
            <c:ext xmlns:c16="http://schemas.microsoft.com/office/drawing/2014/chart" uri="{C3380CC4-5D6E-409C-BE32-E72D297353CC}">
              <c16:uniqueId val="{00000003-24C4-4494-ADC6-019BCC19F81A}"/>
            </c:ext>
          </c:extLst>
        </c:ser>
        <c:dLbls>
          <c:showLegendKey val="0"/>
          <c:showVal val="0"/>
          <c:showCatName val="0"/>
          <c:showSerName val="0"/>
          <c:showPercent val="0"/>
          <c:showBubbleSize val="0"/>
        </c:dLbls>
        <c:smooth val="0"/>
        <c:axId val="-412840576"/>
        <c:axId val="-412843840"/>
      </c:lineChart>
      <c:catAx>
        <c:axId val="-412840576"/>
        <c:scaling>
          <c:orientation val="minMax"/>
        </c:scaling>
        <c:delete val="0"/>
        <c:axPos val="b"/>
        <c:numFmt formatCode="General" sourceLinked="1"/>
        <c:majorTickMark val="none"/>
        <c:minorTickMark val="none"/>
        <c:tickLblPos val="low"/>
        <c:spPr>
          <a:noFill/>
          <a:ln w="9522" cap="flat" cmpd="sng" algn="ctr">
            <a:solidFill>
              <a:sysClr val="window" lastClr="FFFFFF">
                <a:lumMod val="85000"/>
              </a:sys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12843840"/>
        <c:crosses val="autoZero"/>
        <c:auto val="1"/>
        <c:lblAlgn val="ctr"/>
        <c:lblOffset val="0"/>
        <c:noMultiLvlLbl val="0"/>
      </c:catAx>
      <c:valAx>
        <c:axId val="-412843840"/>
        <c:scaling>
          <c:orientation val="minMax"/>
          <c:max val="7"/>
          <c:min val="-2"/>
        </c:scaling>
        <c:delete val="0"/>
        <c:axPos val="l"/>
        <c:numFmt formatCode="General" sourceLinked="1"/>
        <c:majorTickMark val="none"/>
        <c:minorTickMark val="none"/>
        <c:tickLblPos val="nextTo"/>
        <c:spPr>
          <a:ln w="6348">
            <a:noFill/>
          </a:ln>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12840576"/>
        <c:crosses val="autoZero"/>
        <c:crossBetween val="between"/>
      </c:valAx>
      <c:spPr>
        <a:noFill/>
        <a:ln w="25393">
          <a:noFill/>
        </a:ln>
      </c:spPr>
    </c:plotArea>
    <c:legend>
      <c:legendPos val="b"/>
      <c:layout>
        <c:manualLayout>
          <c:xMode val="edge"/>
          <c:yMode val="edge"/>
          <c:x val="0.23183433269377468"/>
          <c:y val="0.87843032715768399"/>
          <c:w val="0.54637189582071477"/>
          <c:h val="0.12156953429148494"/>
        </c:manualLayout>
      </c:layout>
      <c:overlay val="0"/>
      <c:spPr>
        <a:noFill/>
        <a:ln w="25393">
          <a:noFill/>
        </a:ln>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2" cap="flat" cmpd="sng" algn="ctr">
      <a:noFill/>
      <a:round/>
    </a:ln>
    <a:effectLst/>
  </c:spPr>
  <c:txPr>
    <a:bodyPr/>
    <a:lstStyle/>
    <a:p>
      <a:pPr>
        <a:defRPr sz="1100">
          <a:latin typeface="GHEA Grapalat" panose="02000506050000020003" pitchFamily="50"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365660472727729"/>
          <c:y val="7.1301466104615782E-2"/>
          <c:w val="0.8282812133118006"/>
          <c:h val="0.61571938134779847"/>
        </c:manualLayout>
      </c:layout>
      <c:barChart>
        <c:barDir val="col"/>
        <c:grouping val="clustered"/>
        <c:varyColors val="0"/>
        <c:ser>
          <c:idx val="1"/>
          <c:order val="1"/>
          <c:tx>
            <c:strRef>
              <c:f>Sheet1!$C$1</c:f>
              <c:strCache>
                <c:ptCount val="1"/>
                <c:pt idx="0">
                  <c:v>ՌԴ</c:v>
                </c:pt>
              </c:strCache>
            </c:strRef>
          </c:tx>
          <c:spPr>
            <a:solidFill>
              <a:srgbClr val="ED7D31">
                <a:lumMod val="60000"/>
                <a:lumOff val="40000"/>
              </a:srgbClr>
            </a:solidFill>
            <a:ln>
              <a:noFill/>
            </a:ln>
            <a:effectLst/>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Sheet1!$C$2:$C$16</c:f>
              <c:numCache>
                <c:formatCode>0.0</c:formatCode>
                <c:ptCount val="10"/>
                <c:pt idx="0">
                  <c:v>-1.4350000000000001</c:v>
                </c:pt>
                <c:pt idx="1">
                  <c:v>4.0670000000000002</c:v>
                </c:pt>
                <c:pt idx="2">
                  <c:v>4.9219999999999997</c:v>
                </c:pt>
                <c:pt idx="3">
                  <c:v>0.98099999999999998</c:v>
                </c:pt>
                <c:pt idx="4">
                  <c:v>1.091</c:v>
                </c:pt>
                <c:pt idx="5">
                  <c:v>1.0880000000000001</c:v>
                </c:pt>
                <c:pt idx="6">
                  <c:v>1</c:v>
                </c:pt>
                <c:pt idx="7">
                  <c:v>1</c:v>
                </c:pt>
                <c:pt idx="8">
                  <c:v>1</c:v>
                </c:pt>
                <c:pt idx="9">
                  <c:v>1</c:v>
                </c:pt>
              </c:numCache>
            </c:numRef>
          </c:val>
          <c:extLst>
            <c:ext xmlns:c16="http://schemas.microsoft.com/office/drawing/2014/chart" uri="{C3380CC4-5D6E-409C-BE32-E72D297353CC}">
              <c16:uniqueId val="{00000000-6AC8-4D8B-A664-8F65DA643A7F}"/>
            </c:ext>
          </c:extLst>
        </c:ser>
        <c:ser>
          <c:idx val="2"/>
          <c:order val="2"/>
          <c:tx>
            <c:strRef>
              <c:f>Sheet1!$D$1</c:f>
              <c:strCache>
                <c:ptCount val="1"/>
                <c:pt idx="0">
                  <c:v>Եվրագոտի</c:v>
                </c:pt>
              </c:strCache>
            </c:strRef>
          </c:tx>
          <c:spPr>
            <a:solidFill>
              <a:schemeClr val="accent3"/>
            </a:solidFill>
            <a:ln>
              <a:noFill/>
            </a:ln>
            <a:effectLst/>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Sheet1!$D$2:$D$16</c:f>
              <c:numCache>
                <c:formatCode>0.0</c:formatCode>
                <c:ptCount val="10"/>
                <c:pt idx="0">
                  <c:v>3.641</c:v>
                </c:pt>
                <c:pt idx="1">
                  <c:v>0.442</c:v>
                </c:pt>
                <c:pt idx="2">
                  <c:v>1</c:v>
                </c:pt>
                <c:pt idx="3">
                  <c:v>1.4019999999999999</c:v>
                </c:pt>
                <c:pt idx="4">
                  <c:v>0.9</c:v>
                </c:pt>
                <c:pt idx="5">
                  <c:v>1.2110000000000001</c:v>
                </c:pt>
                <c:pt idx="6">
                  <c:v>1.3640000000000001</c:v>
                </c:pt>
                <c:pt idx="7">
                  <c:v>1.238</c:v>
                </c:pt>
                <c:pt idx="8">
                  <c:v>1.1240000000000001</c:v>
                </c:pt>
                <c:pt idx="9">
                  <c:v>1.0960000000000001</c:v>
                </c:pt>
              </c:numCache>
            </c:numRef>
          </c:val>
          <c:extLst>
            <c:ext xmlns:c16="http://schemas.microsoft.com/office/drawing/2014/chart" uri="{C3380CC4-5D6E-409C-BE32-E72D297353CC}">
              <c16:uniqueId val="{00000001-6AC8-4D8B-A664-8F65DA643A7F}"/>
            </c:ext>
          </c:extLst>
        </c:ser>
        <c:ser>
          <c:idx val="3"/>
          <c:order val="3"/>
          <c:tx>
            <c:strRef>
              <c:f>Sheet1!$E$1</c:f>
              <c:strCache>
                <c:ptCount val="1"/>
                <c:pt idx="0">
                  <c:v>Չինաստան</c:v>
                </c:pt>
              </c:strCache>
            </c:strRef>
          </c:tx>
          <c:spPr>
            <a:solidFill>
              <a:srgbClr val="4472C4">
                <a:lumMod val="40000"/>
                <a:lumOff val="60000"/>
              </a:srgbClr>
            </a:solidFill>
            <a:ln>
              <a:noFill/>
            </a:ln>
            <a:effectLst/>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Sheet1!$E$2:$E$16</c:f>
              <c:numCache>
                <c:formatCode>_(* #,##0.0_);_(* \(#,##0.0\);_(* "-"??_);_(@_)</c:formatCode>
                <c:ptCount val="10"/>
                <c:pt idx="0">
                  <c:v>3.1120000000000001</c:v>
                </c:pt>
                <c:pt idx="1">
                  <c:v>5.3769999999999998</c:v>
                </c:pt>
                <c:pt idx="2">
                  <c:v>5.0030000000000001</c:v>
                </c:pt>
                <c:pt idx="3">
                  <c:v>4.9589999999999996</c:v>
                </c:pt>
                <c:pt idx="4">
                  <c:v>4.5999999999999996</c:v>
                </c:pt>
                <c:pt idx="5">
                  <c:v>4.0999999999999996</c:v>
                </c:pt>
                <c:pt idx="6">
                  <c:v>4</c:v>
                </c:pt>
                <c:pt idx="7">
                  <c:v>3.665</c:v>
                </c:pt>
                <c:pt idx="8">
                  <c:v>3.3479999999999999</c:v>
                </c:pt>
                <c:pt idx="9">
                  <c:v>3.2909999999999999</c:v>
                </c:pt>
              </c:numCache>
            </c:numRef>
          </c:val>
          <c:extLst>
            <c:ext xmlns:c16="http://schemas.microsoft.com/office/drawing/2014/chart" uri="{C3380CC4-5D6E-409C-BE32-E72D297353CC}">
              <c16:uniqueId val="{00000002-6AC8-4D8B-A664-8F65DA643A7F}"/>
            </c:ext>
          </c:extLst>
        </c:ser>
        <c:ser>
          <c:idx val="4"/>
          <c:order val="4"/>
          <c:tx>
            <c:strRef>
              <c:f>Sheet1!$F$1</c:f>
              <c:strCache>
                <c:ptCount val="1"/>
                <c:pt idx="0">
                  <c:v>ԱՄՆ</c:v>
                </c:pt>
              </c:strCache>
            </c:strRef>
          </c:tx>
          <c:spPr>
            <a:solidFill>
              <a:srgbClr val="5B9BD5">
                <a:lumMod val="75000"/>
              </a:srgbClr>
            </a:solidFill>
            <a:ln>
              <a:noFill/>
            </a:ln>
            <a:effectLst/>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Sheet1!$F$2:$F$16</c:f>
              <c:numCache>
                <c:formatCode>0.0</c:formatCode>
                <c:ptCount val="10"/>
                <c:pt idx="0">
                  <c:v>2.524</c:v>
                </c:pt>
                <c:pt idx="1">
                  <c:v>2.9350000000000001</c:v>
                </c:pt>
                <c:pt idx="2">
                  <c:v>2.7930000000000001</c:v>
                </c:pt>
                <c:pt idx="3">
                  <c:v>2.117</c:v>
                </c:pt>
                <c:pt idx="4">
                  <c:v>2.3239999999999998</c:v>
                </c:pt>
                <c:pt idx="5">
                  <c:v>2.2000000000000002</c:v>
                </c:pt>
                <c:pt idx="6">
                  <c:v>2.1</c:v>
                </c:pt>
                <c:pt idx="7">
                  <c:v>1.881</c:v>
                </c:pt>
                <c:pt idx="8">
                  <c:v>1.7529999999999999</c:v>
                </c:pt>
                <c:pt idx="9">
                  <c:v>1.7549999999999999</c:v>
                </c:pt>
              </c:numCache>
            </c:numRef>
          </c:val>
          <c:extLst>
            <c:ext xmlns:c16="http://schemas.microsoft.com/office/drawing/2014/chart" uri="{C3380CC4-5D6E-409C-BE32-E72D297353CC}">
              <c16:uniqueId val="{00000003-6AC8-4D8B-A664-8F65DA643A7F}"/>
            </c:ext>
          </c:extLst>
        </c:ser>
        <c:dLbls>
          <c:showLegendKey val="0"/>
          <c:showVal val="0"/>
          <c:showCatName val="0"/>
          <c:showSerName val="0"/>
          <c:showPercent val="0"/>
          <c:showBubbleSize val="0"/>
        </c:dLbls>
        <c:gapWidth val="150"/>
        <c:axId val="-80764896"/>
        <c:axId val="-80758368"/>
      </c:barChart>
      <c:lineChart>
        <c:grouping val="standard"/>
        <c:varyColors val="0"/>
        <c:ser>
          <c:idx val="0"/>
          <c:order val="0"/>
          <c:tx>
            <c:strRef>
              <c:f>Sheet1!$B$1</c:f>
              <c:strCache>
                <c:ptCount val="1"/>
                <c:pt idx="0">
                  <c:v>Աշխարհ</c:v>
                </c:pt>
              </c:strCache>
            </c:strRef>
          </c:tx>
          <c:spPr>
            <a:ln w="28575" cap="rnd">
              <a:solidFill>
                <a:srgbClr val="44546A"/>
              </a:solidFill>
              <a:round/>
            </a:ln>
            <a:effectLst/>
          </c:spPr>
          <c:marker>
            <c:symbol val="circle"/>
            <c:size val="5"/>
            <c:spPr>
              <a:solidFill>
                <a:srgbClr val="44546A"/>
              </a:solidFill>
              <a:ln w="9525">
                <a:solidFill>
                  <a:srgbClr val="44546A"/>
                </a:solidFill>
              </a:ln>
              <a:effectLst/>
            </c:spPr>
          </c:marker>
          <c:dLbls>
            <c:dLbl>
              <c:idx val="3"/>
              <c:layout>
                <c:manualLayout>
                  <c:x val="-7.086678701118107E-2"/>
                  <c:y val="-5.074275509375764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6AC8-4D8B-A664-8F65DA643A7F}"/>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Sheet1!$B$2:$B$16</c:f>
              <c:numCache>
                <c:formatCode>0.0</c:formatCode>
                <c:ptCount val="10"/>
                <c:pt idx="0">
                  <c:v>3.774</c:v>
                </c:pt>
                <c:pt idx="1">
                  <c:v>3.3279999999999998</c:v>
                </c:pt>
                <c:pt idx="2">
                  <c:v>3.5</c:v>
                </c:pt>
                <c:pt idx="3">
                  <c:v>3.5</c:v>
                </c:pt>
                <c:pt idx="4">
                  <c:v>3</c:v>
                </c:pt>
                <c:pt idx="5">
                  <c:v>3.4</c:v>
                </c:pt>
                <c:pt idx="6">
                  <c:v>3.24</c:v>
                </c:pt>
                <c:pt idx="7">
                  <c:v>3.161</c:v>
                </c:pt>
                <c:pt idx="8">
                  <c:v>3.0739999999999998</c:v>
                </c:pt>
                <c:pt idx="9">
                  <c:v>3.0710000000000002</c:v>
                </c:pt>
              </c:numCache>
            </c:numRef>
          </c:val>
          <c:smooth val="0"/>
          <c:extLst>
            <c:ext xmlns:c16="http://schemas.microsoft.com/office/drawing/2014/chart" uri="{C3380CC4-5D6E-409C-BE32-E72D297353CC}">
              <c16:uniqueId val="{00000005-6AC8-4D8B-A664-8F65DA643A7F}"/>
            </c:ext>
          </c:extLst>
        </c:ser>
        <c:dLbls>
          <c:showLegendKey val="0"/>
          <c:showVal val="0"/>
          <c:showCatName val="0"/>
          <c:showSerName val="0"/>
          <c:showPercent val="0"/>
          <c:showBubbleSize val="0"/>
        </c:dLbls>
        <c:marker val="1"/>
        <c:smooth val="0"/>
        <c:axId val="-80764896"/>
        <c:axId val="-80758368"/>
      </c:lineChart>
      <c:catAx>
        <c:axId val="-8076489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58368"/>
        <c:crosses val="autoZero"/>
        <c:auto val="1"/>
        <c:lblAlgn val="ctr"/>
        <c:lblOffset val="100"/>
        <c:noMultiLvlLbl val="0"/>
      </c:catAx>
      <c:valAx>
        <c:axId val="-80758368"/>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sz="800" b="0" i="0" u="none" strike="noStrike" kern="1200" baseline="0">
                    <a:solidFill>
                      <a:sysClr val="windowText" lastClr="000000">
                        <a:lumMod val="65000"/>
                        <a:lumOff val="35000"/>
                      </a:sysClr>
                    </a:solidFill>
                    <a:latin typeface="+mn-lt"/>
                    <a:ea typeface="+mn-ea"/>
                    <a:cs typeface="+mn-cs"/>
                  </a:rPr>
                  <a:t>%</a:t>
                </a:r>
                <a:endParaRPr lang="en-US" sz="800"/>
              </a:p>
            </c:rich>
          </c:tx>
          <c:layout/>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4896"/>
        <c:crosses val="autoZero"/>
        <c:crossBetween val="between"/>
      </c:valAx>
      <c:spPr>
        <a:noFill/>
        <a:ln>
          <a:noFill/>
        </a:ln>
        <a:effectLst/>
      </c:spPr>
    </c:plotArea>
    <c:legend>
      <c:legendPos val="b"/>
      <c:layout>
        <c:manualLayout>
          <c:xMode val="edge"/>
          <c:yMode val="edge"/>
          <c:x val="1.8065984072810005E-2"/>
          <c:y val="0.83028272921312363"/>
          <c:w val="0.95620125790672705"/>
          <c:h val="0.1697172707868763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635431332672821"/>
          <c:y val="4.7034699706654318E-2"/>
          <c:w val="0.69044828005770797"/>
          <c:h val="0.74543722016365599"/>
        </c:manualLayout>
      </c:layout>
      <c:lineChart>
        <c:grouping val="standard"/>
        <c:varyColors val="0"/>
        <c:ser>
          <c:idx val="0"/>
          <c:order val="0"/>
          <c:tx>
            <c:strRef>
              <c:f>Sheet1!$B$1</c:f>
              <c:strCache>
                <c:ptCount val="1"/>
                <c:pt idx="0">
                  <c:v>Նավթ (աջ առանցք)</c:v>
                </c:pt>
              </c:strCache>
            </c:strRef>
          </c:tx>
          <c:spPr>
            <a:ln w="28575" cap="rnd">
              <a:solidFill>
                <a:schemeClr val="accent1">
                  <a:lumMod val="50000"/>
                </a:schemeClr>
              </a:solidFill>
              <a:round/>
            </a:ln>
            <a:effectLst/>
          </c:spPr>
          <c:marker>
            <c:symbol val="circle"/>
            <c:size val="5"/>
            <c:spPr>
              <a:solidFill>
                <a:schemeClr val="accent1">
                  <a:lumMod val="50000"/>
                </a:schemeClr>
              </a:solidFill>
              <a:ln w="9525">
                <a:solidFill>
                  <a:schemeClr val="accent1">
                    <a:lumMod val="50000"/>
                  </a:schemeClr>
                </a:solidFill>
              </a:ln>
              <a:effectLst/>
            </c:spPr>
          </c:marker>
          <c:cat>
            <c:numRef>
              <c:f>Sheet1!$A$2:$A$14</c:f>
              <c:numCache>
                <c:formatCode>General</c:formatCode>
                <c:ptCount val="8"/>
                <c:pt idx="0">
                  <c:v>2022</c:v>
                </c:pt>
                <c:pt idx="1">
                  <c:v>2023</c:v>
                </c:pt>
                <c:pt idx="2">
                  <c:v>2024</c:v>
                </c:pt>
                <c:pt idx="3">
                  <c:v>2025</c:v>
                </c:pt>
                <c:pt idx="4">
                  <c:v>2026</c:v>
                </c:pt>
                <c:pt idx="5">
                  <c:v>2027</c:v>
                </c:pt>
                <c:pt idx="6">
                  <c:v>2028</c:v>
                </c:pt>
                <c:pt idx="7">
                  <c:v>2029</c:v>
                </c:pt>
              </c:numCache>
            </c:numRef>
          </c:cat>
          <c:val>
            <c:numRef>
              <c:f>Sheet1!$B$2:$B$14</c:f>
              <c:numCache>
                <c:formatCode>0.0</c:formatCode>
                <c:ptCount val="8"/>
                <c:pt idx="0">
                  <c:v>99.82</c:v>
                </c:pt>
                <c:pt idx="1">
                  <c:v>82.616249999999994</c:v>
                </c:pt>
                <c:pt idx="2">
                  <c:v>80.698666666669993</c:v>
                </c:pt>
                <c:pt idx="3">
                  <c:v>69.035250000000005</c:v>
                </c:pt>
                <c:pt idx="4" formatCode="0">
                  <c:v>88.269499999999994</c:v>
                </c:pt>
                <c:pt idx="5" formatCode="0">
                  <c:v>77.103999999999999</c:v>
                </c:pt>
                <c:pt idx="6" formatCode="0">
                  <c:v>73.431200000000004</c:v>
                </c:pt>
                <c:pt idx="7" formatCode="0">
                  <c:v>71.634299999999996</c:v>
                </c:pt>
              </c:numCache>
            </c:numRef>
          </c:val>
          <c:smooth val="0"/>
          <c:extLst>
            <c:ext xmlns:c16="http://schemas.microsoft.com/office/drawing/2014/chart" uri="{C3380CC4-5D6E-409C-BE32-E72D297353CC}">
              <c16:uniqueId val="{00000000-224D-4A68-AB97-4D42431919A0}"/>
            </c:ext>
          </c:extLst>
        </c:ser>
        <c:dLbls>
          <c:showLegendKey val="0"/>
          <c:showVal val="0"/>
          <c:showCatName val="0"/>
          <c:showSerName val="0"/>
          <c:showPercent val="0"/>
          <c:showBubbleSize val="0"/>
        </c:dLbls>
        <c:marker val="1"/>
        <c:smooth val="0"/>
        <c:axId val="-80765440"/>
        <c:axId val="-80765984"/>
      </c:lineChart>
      <c:lineChart>
        <c:grouping val="standard"/>
        <c:varyColors val="0"/>
        <c:ser>
          <c:idx val="1"/>
          <c:order val="1"/>
          <c:tx>
            <c:strRef>
              <c:f>Sheet1!$C$1</c:f>
              <c:strCache>
                <c:ptCount val="1"/>
                <c:pt idx="0">
                  <c:v>Պղինձ</c:v>
                </c:pt>
              </c:strCache>
            </c:strRef>
          </c:tx>
          <c:spPr>
            <a:ln w="28575" cap="rnd">
              <a:solidFill>
                <a:schemeClr val="accent2">
                  <a:lumMod val="60000"/>
                  <a:lumOff val="40000"/>
                </a:schemeClr>
              </a:solidFill>
              <a:round/>
            </a:ln>
            <a:effectLst/>
          </c:spPr>
          <c:marker>
            <c:symbol val="circle"/>
            <c:size val="5"/>
            <c:spPr>
              <a:solidFill>
                <a:schemeClr val="accent2">
                  <a:lumMod val="60000"/>
                  <a:lumOff val="40000"/>
                </a:schemeClr>
              </a:solidFill>
              <a:ln w="9525">
                <a:solidFill>
                  <a:schemeClr val="accent2">
                    <a:lumMod val="60000"/>
                    <a:lumOff val="40000"/>
                  </a:schemeClr>
                </a:solidFill>
              </a:ln>
              <a:effectLst/>
            </c:spPr>
          </c:marker>
          <c:cat>
            <c:numRef>
              <c:f>Sheet1!$A$2:$A$14</c:f>
              <c:numCache>
                <c:formatCode>General</c:formatCode>
                <c:ptCount val="8"/>
                <c:pt idx="0">
                  <c:v>2022</c:v>
                </c:pt>
                <c:pt idx="1">
                  <c:v>2023</c:v>
                </c:pt>
                <c:pt idx="2">
                  <c:v>2024</c:v>
                </c:pt>
                <c:pt idx="3">
                  <c:v>2025</c:v>
                </c:pt>
                <c:pt idx="4">
                  <c:v>2026</c:v>
                </c:pt>
                <c:pt idx="5">
                  <c:v>2027</c:v>
                </c:pt>
                <c:pt idx="6">
                  <c:v>2028</c:v>
                </c:pt>
                <c:pt idx="7">
                  <c:v>2029</c:v>
                </c:pt>
              </c:numCache>
            </c:numRef>
          </c:cat>
          <c:val>
            <c:numRef>
              <c:f>Sheet1!$C$2:$C$14</c:f>
              <c:numCache>
                <c:formatCode>0.0</c:formatCode>
                <c:ptCount val="8"/>
                <c:pt idx="0">
                  <c:v>8822.3700000000008</c:v>
                </c:pt>
                <c:pt idx="1">
                  <c:v>8490.2908333333307</c:v>
                </c:pt>
                <c:pt idx="2">
                  <c:v>9142.14</c:v>
                </c:pt>
                <c:pt idx="3">
                  <c:v>9947.3050000000003</c:v>
                </c:pt>
                <c:pt idx="4" formatCode="0">
                  <c:v>13654.0566</c:v>
                </c:pt>
                <c:pt idx="5" formatCode="0">
                  <c:v>14050.295099999999</c:v>
                </c:pt>
                <c:pt idx="6" formatCode="0">
                  <c:v>13982.710999999999</c:v>
                </c:pt>
                <c:pt idx="7" formatCode="0">
                  <c:v>13967.957700000001</c:v>
                </c:pt>
              </c:numCache>
            </c:numRef>
          </c:val>
          <c:smooth val="0"/>
          <c:extLst>
            <c:ext xmlns:c16="http://schemas.microsoft.com/office/drawing/2014/chart" uri="{C3380CC4-5D6E-409C-BE32-E72D297353CC}">
              <c16:uniqueId val="{00000001-224D-4A68-AB97-4D42431919A0}"/>
            </c:ext>
          </c:extLst>
        </c:ser>
        <c:dLbls>
          <c:showLegendKey val="0"/>
          <c:showVal val="0"/>
          <c:showCatName val="0"/>
          <c:showSerName val="0"/>
          <c:showPercent val="0"/>
          <c:showBubbleSize val="0"/>
        </c:dLbls>
        <c:marker val="1"/>
        <c:smooth val="0"/>
        <c:axId val="997498543"/>
        <c:axId val="997487311"/>
      </c:lineChart>
      <c:valAx>
        <c:axId val="-80765984"/>
        <c:scaling>
          <c:orientation val="minMax"/>
          <c:min val="30"/>
        </c:scaling>
        <c:delete val="0"/>
        <c:axPos val="r"/>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0765440"/>
        <c:crosses val="max"/>
        <c:crossBetween val="between"/>
      </c:valAx>
      <c:catAx>
        <c:axId val="-80765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0765984"/>
        <c:crosses val="autoZero"/>
        <c:auto val="1"/>
        <c:lblAlgn val="ctr"/>
        <c:lblOffset val="100"/>
        <c:noMultiLvlLbl val="0"/>
      </c:catAx>
      <c:valAx>
        <c:axId val="997487311"/>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997498543"/>
        <c:crosses val="autoZero"/>
        <c:crossBetween val="between"/>
      </c:valAx>
      <c:catAx>
        <c:axId val="997498543"/>
        <c:scaling>
          <c:orientation val="minMax"/>
        </c:scaling>
        <c:delete val="1"/>
        <c:axPos val="b"/>
        <c:numFmt formatCode="General" sourceLinked="1"/>
        <c:majorTickMark val="none"/>
        <c:minorTickMark val="none"/>
        <c:tickLblPos val="nextTo"/>
        <c:crossAx val="997487311"/>
        <c:crosses val="autoZero"/>
        <c:auto val="1"/>
        <c:lblAlgn val="ctr"/>
        <c:lblOffset val="100"/>
        <c:noMultiLvlLbl val="0"/>
      </c:catAx>
      <c:spPr>
        <a:noFill/>
        <a:ln>
          <a:noFill/>
        </a:ln>
        <a:effectLst/>
      </c:spPr>
    </c:plotArea>
    <c:legend>
      <c:legendPos val="b"/>
      <c:layout>
        <c:manualLayout>
          <c:xMode val="edge"/>
          <c:yMode val="edge"/>
          <c:x val="9.7443465262206486E-2"/>
          <c:y val="0.90885344295198389"/>
          <c:w val="0.80511272183692273"/>
          <c:h val="7.889165508723174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userShapes r:id="rId5"/>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17614709925968"/>
          <c:y val="9.1811861283297047E-2"/>
          <c:w val="0.82715542910077533"/>
          <c:h val="0.62282208075054446"/>
        </c:manualLayout>
      </c:layout>
      <c:barChart>
        <c:barDir val="col"/>
        <c:grouping val="clustered"/>
        <c:varyColors val="0"/>
        <c:ser>
          <c:idx val="1"/>
          <c:order val="1"/>
          <c:tx>
            <c:strRef>
              <c:f>Sheet1!$C$1</c:f>
              <c:strCache>
                <c:ptCount val="1"/>
                <c:pt idx="0">
                  <c:v>Արտահանում</c:v>
                </c:pt>
              </c:strCache>
            </c:strRef>
          </c:tx>
          <c:spPr>
            <a:solidFill>
              <a:srgbClr val="ED7D31">
                <a:lumMod val="60000"/>
                <a:lumOff val="40000"/>
              </a:srgbClr>
            </a:solidFill>
            <a:ln>
              <a:noFill/>
            </a:ln>
            <a:effectLst/>
          </c:spPr>
          <c:invertIfNegative val="0"/>
          <c:cat>
            <c:numRef>
              <c:f>Sheet1!$A$2:$A$11</c:f>
              <c:numCache>
                <c:formatCode>General</c:formatCode>
                <c:ptCount val="5"/>
                <c:pt idx="0">
                  <c:v>2022</c:v>
                </c:pt>
                <c:pt idx="1">
                  <c:v>2023</c:v>
                </c:pt>
                <c:pt idx="2">
                  <c:v>2024</c:v>
                </c:pt>
                <c:pt idx="3">
                  <c:v>2025</c:v>
                </c:pt>
                <c:pt idx="4">
                  <c:v>2026</c:v>
                </c:pt>
              </c:numCache>
            </c:numRef>
          </c:cat>
          <c:val>
            <c:numRef>
              <c:f>Sheet1!$C$2:$C$16</c:f>
              <c:numCache>
                <c:formatCode>0.0</c:formatCode>
                <c:ptCount val="10"/>
                <c:pt idx="0">
                  <c:v>5.593</c:v>
                </c:pt>
                <c:pt idx="1">
                  <c:v>0.95</c:v>
                </c:pt>
                <c:pt idx="2">
                  <c:v>3.8370000000000002</c:v>
                </c:pt>
                <c:pt idx="3">
                  <c:v>5.133</c:v>
                </c:pt>
                <c:pt idx="4">
                  <c:v>2.8740000000000001</c:v>
                </c:pt>
                <c:pt idx="5">
                  <c:v>3.7690000000000001</c:v>
                </c:pt>
                <c:pt idx="6">
                  <c:v>3.3479999999999999</c:v>
                </c:pt>
                <c:pt idx="7">
                  <c:v>3.141</c:v>
                </c:pt>
                <c:pt idx="8">
                  <c:v>3.0089999999999999</c:v>
                </c:pt>
                <c:pt idx="9">
                  <c:v>2.9279999999999999</c:v>
                </c:pt>
              </c:numCache>
            </c:numRef>
          </c:val>
          <c:extLst>
            <c:ext xmlns:c16="http://schemas.microsoft.com/office/drawing/2014/chart" uri="{C3380CC4-5D6E-409C-BE32-E72D297353CC}">
              <c16:uniqueId val="{00000000-13CD-4ED6-BBD4-8F120B070BB2}"/>
            </c:ext>
          </c:extLst>
        </c:ser>
        <c:ser>
          <c:idx val="2"/>
          <c:order val="2"/>
          <c:tx>
            <c:strRef>
              <c:f>Sheet1!$D$1</c:f>
              <c:strCache>
                <c:ptCount val="1"/>
                <c:pt idx="0">
                  <c:v>Ներմուծում</c:v>
                </c:pt>
              </c:strCache>
            </c:strRef>
          </c:tx>
          <c:spPr>
            <a:solidFill>
              <a:srgbClr val="2E75B6"/>
            </a:solidFill>
            <a:ln>
              <a:solidFill>
                <a:schemeClr val="accent1"/>
              </a:solidFill>
            </a:ln>
            <a:effectLst/>
          </c:spPr>
          <c:invertIfNegative val="0"/>
          <c:cat>
            <c:numRef>
              <c:f>Sheet1!$A$2:$A$11</c:f>
              <c:numCache>
                <c:formatCode>General</c:formatCode>
                <c:ptCount val="5"/>
                <c:pt idx="0">
                  <c:v>2022</c:v>
                </c:pt>
                <c:pt idx="1">
                  <c:v>2023</c:v>
                </c:pt>
                <c:pt idx="2">
                  <c:v>2024</c:v>
                </c:pt>
                <c:pt idx="3">
                  <c:v>2025</c:v>
                </c:pt>
                <c:pt idx="4">
                  <c:v>2026</c:v>
                </c:pt>
              </c:numCache>
            </c:numRef>
          </c:cat>
          <c:val>
            <c:numRef>
              <c:f>Sheet1!$D$2:$D$16</c:f>
              <c:numCache>
                <c:formatCode>0.0</c:formatCode>
                <c:ptCount val="10"/>
                <c:pt idx="0">
                  <c:v>6.2489999999999997</c:v>
                </c:pt>
                <c:pt idx="1">
                  <c:v>0.89300000000000002</c:v>
                </c:pt>
                <c:pt idx="2">
                  <c:v>3.5840000000000001</c:v>
                </c:pt>
                <c:pt idx="3">
                  <c:v>5.0739999999999998</c:v>
                </c:pt>
                <c:pt idx="4">
                  <c:v>2.6339999999999999</c:v>
                </c:pt>
                <c:pt idx="5">
                  <c:v>3.7669999999999999</c:v>
                </c:pt>
                <c:pt idx="6">
                  <c:v>3.073</c:v>
                </c:pt>
                <c:pt idx="7">
                  <c:v>3.1219999999999999</c:v>
                </c:pt>
                <c:pt idx="8">
                  <c:v>3.01</c:v>
                </c:pt>
                <c:pt idx="9">
                  <c:v>2.9289999999999998</c:v>
                </c:pt>
              </c:numCache>
            </c:numRef>
          </c:val>
          <c:extLst>
            <c:ext xmlns:c16="http://schemas.microsoft.com/office/drawing/2014/chart" uri="{C3380CC4-5D6E-409C-BE32-E72D297353CC}">
              <c16:uniqueId val="{00000001-13CD-4ED6-BBD4-8F120B070BB2}"/>
            </c:ext>
          </c:extLst>
        </c:ser>
        <c:dLbls>
          <c:showLegendKey val="0"/>
          <c:showVal val="0"/>
          <c:showCatName val="0"/>
          <c:showSerName val="0"/>
          <c:showPercent val="0"/>
          <c:showBubbleSize val="0"/>
        </c:dLbls>
        <c:gapWidth val="150"/>
        <c:axId val="-80762176"/>
        <c:axId val="-80763808"/>
      </c:barChart>
      <c:lineChart>
        <c:grouping val="standard"/>
        <c:varyColors val="0"/>
        <c:ser>
          <c:idx val="0"/>
          <c:order val="0"/>
          <c:tx>
            <c:strRef>
              <c:f>Sheet1!$B$1</c:f>
              <c:strCache>
                <c:ptCount val="1"/>
                <c:pt idx="0">
                  <c:v>Առևտրաշրջանառություն</c:v>
                </c:pt>
              </c:strCache>
            </c:strRef>
          </c:tx>
          <c:spPr>
            <a:ln w="28575" cap="rnd">
              <a:solidFill>
                <a:srgbClr val="44546A"/>
              </a:solidFill>
              <a:round/>
            </a:ln>
            <a:effectLst/>
          </c:spPr>
          <c:marker>
            <c:symbol val="circle"/>
            <c:size val="5"/>
            <c:spPr>
              <a:solidFill>
                <a:srgbClr val="4472C4">
                  <a:lumMod val="50000"/>
                </a:srgbClr>
              </a:solidFill>
              <a:ln w="9525">
                <a:solidFill>
                  <a:srgbClr val="4472C4">
                    <a:lumMod val="50000"/>
                  </a:srgbClr>
                </a:solidFill>
              </a:ln>
              <a:effectLst/>
            </c:spPr>
          </c:marker>
          <c:dLbls>
            <c:dLbl>
              <c:idx val="0"/>
              <c:layout>
                <c:manualLayout>
                  <c:x val="-4.6618891739656158E-2"/>
                  <c:y val="-4.354302786619757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13CD-4ED6-BBD4-8F120B070BB2}"/>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Sheet1!$B$2:$B$16</c:f>
              <c:numCache>
                <c:formatCode>0.0</c:formatCode>
                <c:ptCount val="10"/>
                <c:pt idx="0">
                  <c:v>5.9210000000000003</c:v>
                </c:pt>
                <c:pt idx="1">
                  <c:v>0.92100000000000004</c:v>
                </c:pt>
                <c:pt idx="2">
                  <c:v>3.71</c:v>
                </c:pt>
                <c:pt idx="3">
                  <c:v>5</c:v>
                </c:pt>
                <c:pt idx="4">
                  <c:v>3.5</c:v>
                </c:pt>
                <c:pt idx="5">
                  <c:v>4.3</c:v>
                </c:pt>
                <c:pt idx="6">
                  <c:v>3.21</c:v>
                </c:pt>
                <c:pt idx="7">
                  <c:v>3.1309999999999998</c:v>
                </c:pt>
                <c:pt idx="8">
                  <c:v>3.0089999999999999</c:v>
                </c:pt>
                <c:pt idx="9">
                  <c:v>2.9279999999999999</c:v>
                </c:pt>
              </c:numCache>
            </c:numRef>
          </c:val>
          <c:smooth val="0"/>
          <c:extLst>
            <c:ext xmlns:c16="http://schemas.microsoft.com/office/drawing/2014/chart" uri="{C3380CC4-5D6E-409C-BE32-E72D297353CC}">
              <c16:uniqueId val="{00000003-13CD-4ED6-BBD4-8F120B070BB2}"/>
            </c:ext>
          </c:extLst>
        </c:ser>
        <c:dLbls>
          <c:showLegendKey val="0"/>
          <c:showVal val="0"/>
          <c:showCatName val="0"/>
          <c:showSerName val="0"/>
          <c:showPercent val="0"/>
          <c:showBubbleSize val="0"/>
        </c:dLbls>
        <c:marker val="1"/>
        <c:smooth val="0"/>
        <c:axId val="-80762176"/>
        <c:axId val="-80763808"/>
      </c:lineChart>
      <c:catAx>
        <c:axId val="-8076217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3808"/>
        <c:crosses val="autoZero"/>
        <c:auto val="1"/>
        <c:lblAlgn val="ctr"/>
        <c:lblOffset val="100"/>
        <c:noMultiLvlLbl val="0"/>
      </c:catAx>
      <c:valAx>
        <c:axId val="-80763808"/>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sz="800" b="0" i="0" u="none" strike="noStrike" kern="1200" baseline="0">
                    <a:solidFill>
                      <a:sysClr val="windowText" lastClr="000000">
                        <a:lumMod val="65000"/>
                        <a:lumOff val="35000"/>
                      </a:sysClr>
                    </a:solidFill>
                    <a:latin typeface="+mn-lt"/>
                    <a:ea typeface="+mn-ea"/>
                    <a:cs typeface="+mn-cs"/>
                  </a:rPr>
                  <a:t>%</a:t>
                </a:r>
                <a:endParaRPr lang="en-US" sz="800"/>
              </a:p>
            </c:rich>
          </c:tx>
          <c:layout/>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2176"/>
        <c:crosses val="autoZero"/>
        <c:crossBetween val="between"/>
      </c:valAx>
      <c:spPr>
        <a:noFill/>
        <a:ln>
          <a:noFill/>
        </a:ln>
        <a:effectLst/>
      </c:spPr>
    </c:plotArea>
    <c:legend>
      <c:legendPos val="b"/>
      <c:legendEntry>
        <c:idx val="1"/>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Entry>
      <c:layout>
        <c:manualLayout>
          <c:xMode val="edge"/>
          <c:yMode val="edge"/>
          <c:x val="1.9548556430446164E-3"/>
          <c:y val="0.84503778782971273"/>
          <c:w val="0.98445949256342957"/>
          <c:h val="0.15245807040077433"/>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1184462588898781"/>
          <c:y val="3.4092973955178671E-2"/>
          <c:w val="0.74313110773163915"/>
          <c:h val="0.70249517337976985"/>
        </c:manualLayout>
      </c:layout>
      <c:lineChart>
        <c:grouping val="standard"/>
        <c:varyColors val="0"/>
        <c:ser>
          <c:idx val="0"/>
          <c:order val="0"/>
          <c:tx>
            <c:strRef>
              <c:f>Sheet1!$B$1</c:f>
              <c:strCache>
                <c:ptCount val="1"/>
                <c:pt idx="0">
                  <c:v>Դոլարի ինդեքս</c:v>
                </c:pt>
              </c:strCache>
            </c:strRef>
          </c:tx>
          <c:spPr>
            <a:ln w="19050" cap="rnd">
              <a:solidFill>
                <a:srgbClr val="5B9BD5"/>
              </a:solidFill>
              <a:round/>
            </a:ln>
            <a:effectLst/>
          </c:spPr>
          <c:marker>
            <c:symbol val="none"/>
          </c:marker>
          <c:cat>
            <c:numRef>
              <c:f>Sheet1!$A$2:$A$957</c:f>
              <c:numCache>
                <c:formatCode>dd\/mm\/yy</c:formatCode>
                <c:ptCount val="956"/>
                <c:pt idx="0">
                  <c:v>44929</c:v>
                </c:pt>
                <c:pt idx="1">
                  <c:v>44930</c:v>
                </c:pt>
                <c:pt idx="2">
                  <c:v>44931</c:v>
                </c:pt>
                <c:pt idx="3">
                  <c:v>44932</c:v>
                </c:pt>
                <c:pt idx="4">
                  <c:v>44935</c:v>
                </c:pt>
                <c:pt idx="5">
                  <c:v>44936</c:v>
                </c:pt>
                <c:pt idx="6">
                  <c:v>44937</c:v>
                </c:pt>
                <c:pt idx="7">
                  <c:v>44938</c:v>
                </c:pt>
                <c:pt idx="8">
                  <c:v>44939</c:v>
                </c:pt>
                <c:pt idx="9">
                  <c:v>44942</c:v>
                </c:pt>
                <c:pt idx="10">
                  <c:v>44943</c:v>
                </c:pt>
                <c:pt idx="11">
                  <c:v>44944</c:v>
                </c:pt>
                <c:pt idx="12">
                  <c:v>44945</c:v>
                </c:pt>
                <c:pt idx="13">
                  <c:v>44946</c:v>
                </c:pt>
                <c:pt idx="14">
                  <c:v>44949</c:v>
                </c:pt>
                <c:pt idx="15">
                  <c:v>44950</c:v>
                </c:pt>
                <c:pt idx="16">
                  <c:v>44951</c:v>
                </c:pt>
                <c:pt idx="17">
                  <c:v>44952</c:v>
                </c:pt>
                <c:pt idx="18">
                  <c:v>44953</c:v>
                </c:pt>
                <c:pt idx="19">
                  <c:v>44956</c:v>
                </c:pt>
                <c:pt idx="20">
                  <c:v>44957</c:v>
                </c:pt>
                <c:pt idx="21">
                  <c:v>44958</c:v>
                </c:pt>
                <c:pt idx="22">
                  <c:v>44959</c:v>
                </c:pt>
                <c:pt idx="23">
                  <c:v>44960</c:v>
                </c:pt>
                <c:pt idx="24">
                  <c:v>44963</c:v>
                </c:pt>
                <c:pt idx="25">
                  <c:v>44964</c:v>
                </c:pt>
                <c:pt idx="26">
                  <c:v>44965</c:v>
                </c:pt>
                <c:pt idx="27">
                  <c:v>44966</c:v>
                </c:pt>
                <c:pt idx="28">
                  <c:v>44967</c:v>
                </c:pt>
                <c:pt idx="29">
                  <c:v>44970</c:v>
                </c:pt>
                <c:pt idx="30">
                  <c:v>44971</c:v>
                </c:pt>
                <c:pt idx="31">
                  <c:v>44972</c:v>
                </c:pt>
                <c:pt idx="32">
                  <c:v>44973</c:v>
                </c:pt>
                <c:pt idx="33">
                  <c:v>44974</c:v>
                </c:pt>
                <c:pt idx="34">
                  <c:v>44977</c:v>
                </c:pt>
                <c:pt idx="35">
                  <c:v>44978</c:v>
                </c:pt>
                <c:pt idx="36">
                  <c:v>44979</c:v>
                </c:pt>
                <c:pt idx="37">
                  <c:v>44980</c:v>
                </c:pt>
                <c:pt idx="38">
                  <c:v>44981</c:v>
                </c:pt>
                <c:pt idx="39">
                  <c:v>44984</c:v>
                </c:pt>
                <c:pt idx="40">
                  <c:v>44985</c:v>
                </c:pt>
                <c:pt idx="41">
                  <c:v>44986</c:v>
                </c:pt>
                <c:pt idx="42">
                  <c:v>44987</c:v>
                </c:pt>
                <c:pt idx="43">
                  <c:v>44988</c:v>
                </c:pt>
                <c:pt idx="44">
                  <c:v>44991</c:v>
                </c:pt>
                <c:pt idx="45">
                  <c:v>44992</c:v>
                </c:pt>
                <c:pt idx="46">
                  <c:v>44993</c:v>
                </c:pt>
                <c:pt idx="47">
                  <c:v>44994</c:v>
                </c:pt>
                <c:pt idx="48">
                  <c:v>44995</c:v>
                </c:pt>
                <c:pt idx="49">
                  <c:v>44998</c:v>
                </c:pt>
                <c:pt idx="50">
                  <c:v>44999</c:v>
                </c:pt>
                <c:pt idx="51">
                  <c:v>45000</c:v>
                </c:pt>
                <c:pt idx="52">
                  <c:v>45001</c:v>
                </c:pt>
                <c:pt idx="53">
                  <c:v>45002</c:v>
                </c:pt>
                <c:pt idx="54">
                  <c:v>45005</c:v>
                </c:pt>
                <c:pt idx="55">
                  <c:v>45006</c:v>
                </c:pt>
                <c:pt idx="56">
                  <c:v>45007</c:v>
                </c:pt>
                <c:pt idx="57">
                  <c:v>45008</c:v>
                </c:pt>
                <c:pt idx="58">
                  <c:v>45009</c:v>
                </c:pt>
                <c:pt idx="59">
                  <c:v>45012</c:v>
                </c:pt>
                <c:pt idx="60">
                  <c:v>45013</c:v>
                </c:pt>
                <c:pt idx="61">
                  <c:v>45014</c:v>
                </c:pt>
                <c:pt idx="62">
                  <c:v>45015</c:v>
                </c:pt>
                <c:pt idx="63">
                  <c:v>45016</c:v>
                </c:pt>
                <c:pt idx="64">
                  <c:v>45019</c:v>
                </c:pt>
                <c:pt idx="65">
                  <c:v>45020</c:v>
                </c:pt>
                <c:pt idx="66">
                  <c:v>45021</c:v>
                </c:pt>
                <c:pt idx="67">
                  <c:v>45022</c:v>
                </c:pt>
                <c:pt idx="68">
                  <c:v>45023</c:v>
                </c:pt>
                <c:pt idx="69">
                  <c:v>45026</c:v>
                </c:pt>
                <c:pt idx="70">
                  <c:v>45027</c:v>
                </c:pt>
                <c:pt idx="71">
                  <c:v>45028</c:v>
                </c:pt>
                <c:pt idx="72">
                  <c:v>45029</c:v>
                </c:pt>
                <c:pt idx="73">
                  <c:v>45030</c:v>
                </c:pt>
                <c:pt idx="74">
                  <c:v>45033</c:v>
                </c:pt>
                <c:pt idx="75">
                  <c:v>45034</c:v>
                </c:pt>
                <c:pt idx="76">
                  <c:v>45035</c:v>
                </c:pt>
                <c:pt idx="77">
                  <c:v>45036</c:v>
                </c:pt>
                <c:pt idx="78">
                  <c:v>45037</c:v>
                </c:pt>
                <c:pt idx="79">
                  <c:v>45040</c:v>
                </c:pt>
                <c:pt idx="80">
                  <c:v>45041</c:v>
                </c:pt>
                <c:pt idx="81">
                  <c:v>45042</c:v>
                </c:pt>
                <c:pt idx="82">
                  <c:v>45043</c:v>
                </c:pt>
                <c:pt idx="83">
                  <c:v>45044</c:v>
                </c:pt>
                <c:pt idx="84">
                  <c:v>45047</c:v>
                </c:pt>
                <c:pt idx="85">
                  <c:v>45048</c:v>
                </c:pt>
                <c:pt idx="86">
                  <c:v>45049</c:v>
                </c:pt>
                <c:pt idx="87">
                  <c:v>45050</c:v>
                </c:pt>
                <c:pt idx="88">
                  <c:v>45051</c:v>
                </c:pt>
                <c:pt idx="89">
                  <c:v>45054</c:v>
                </c:pt>
                <c:pt idx="90">
                  <c:v>45055</c:v>
                </c:pt>
                <c:pt idx="91">
                  <c:v>45056</c:v>
                </c:pt>
                <c:pt idx="92">
                  <c:v>45057</c:v>
                </c:pt>
                <c:pt idx="93">
                  <c:v>45058</c:v>
                </c:pt>
                <c:pt idx="94">
                  <c:v>45061</c:v>
                </c:pt>
                <c:pt idx="95">
                  <c:v>45062</c:v>
                </c:pt>
                <c:pt idx="96">
                  <c:v>45063</c:v>
                </c:pt>
                <c:pt idx="97">
                  <c:v>45064</c:v>
                </c:pt>
                <c:pt idx="98">
                  <c:v>45065</c:v>
                </c:pt>
                <c:pt idx="99">
                  <c:v>45068</c:v>
                </c:pt>
                <c:pt idx="100">
                  <c:v>45069</c:v>
                </c:pt>
                <c:pt idx="101">
                  <c:v>45070</c:v>
                </c:pt>
                <c:pt idx="102">
                  <c:v>45071</c:v>
                </c:pt>
                <c:pt idx="103">
                  <c:v>45072</c:v>
                </c:pt>
                <c:pt idx="104">
                  <c:v>45075</c:v>
                </c:pt>
                <c:pt idx="105">
                  <c:v>45076</c:v>
                </c:pt>
                <c:pt idx="106">
                  <c:v>45077</c:v>
                </c:pt>
                <c:pt idx="107">
                  <c:v>45078</c:v>
                </c:pt>
                <c:pt idx="108">
                  <c:v>45079</c:v>
                </c:pt>
                <c:pt idx="109">
                  <c:v>45082</c:v>
                </c:pt>
                <c:pt idx="110">
                  <c:v>45083</c:v>
                </c:pt>
                <c:pt idx="111">
                  <c:v>45084</c:v>
                </c:pt>
                <c:pt idx="112">
                  <c:v>45085</c:v>
                </c:pt>
                <c:pt idx="113">
                  <c:v>45086</c:v>
                </c:pt>
                <c:pt idx="114">
                  <c:v>45089</c:v>
                </c:pt>
                <c:pt idx="115">
                  <c:v>45090</c:v>
                </c:pt>
                <c:pt idx="116">
                  <c:v>45091</c:v>
                </c:pt>
                <c:pt idx="117">
                  <c:v>45092</c:v>
                </c:pt>
                <c:pt idx="118">
                  <c:v>45093</c:v>
                </c:pt>
                <c:pt idx="119">
                  <c:v>45096</c:v>
                </c:pt>
                <c:pt idx="120">
                  <c:v>45097</c:v>
                </c:pt>
                <c:pt idx="121">
                  <c:v>45098</c:v>
                </c:pt>
                <c:pt idx="122">
                  <c:v>45099</c:v>
                </c:pt>
                <c:pt idx="123">
                  <c:v>45100</c:v>
                </c:pt>
                <c:pt idx="124">
                  <c:v>45103</c:v>
                </c:pt>
                <c:pt idx="125">
                  <c:v>45104</c:v>
                </c:pt>
                <c:pt idx="126">
                  <c:v>45105</c:v>
                </c:pt>
                <c:pt idx="127">
                  <c:v>45106</c:v>
                </c:pt>
                <c:pt idx="128">
                  <c:v>45107</c:v>
                </c:pt>
                <c:pt idx="129">
                  <c:v>45110</c:v>
                </c:pt>
                <c:pt idx="130">
                  <c:v>45111</c:v>
                </c:pt>
                <c:pt idx="131">
                  <c:v>45112</c:v>
                </c:pt>
                <c:pt idx="132">
                  <c:v>45113</c:v>
                </c:pt>
                <c:pt idx="133">
                  <c:v>45114</c:v>
                </c:pt>
                <c:pt idx="134">
                  <c:v>45117</c:v>
                </c:pt>
                <c:pt idx="135">
                  <c:v>45118</c:v>
                </c:pt>
                <c:pt idx="136">
                  <c:v>45119</c:v>
                </c:pt>
                <c:pt idx="137">
                  <c:v>45120</c:v>
                </c:pt>
                <c:pt idx="138">
                  <c:v>45121</c:v>
                </c:pt>
                <c:pt idx="139">
                  <c:v>45124</c:v>
                </c:pt>
                <c:pt idx="140">
                  <c:v>45125</c:v>
                </c:pt>
                <c:pt idx="141">
                  <c:v>45126</c:v>
                </c:pt>
                <c:pt idx="142">
                  <c:v>45127</c:v>
                </c:pt>
                <c:pt idx="143">
                  <c:v>45128</c:v>
                </c:pt>
                <c:pt idx="144">
                  <c:v>45131</c:v>
                </c:pt>
                <c:pt idx="145">
                  <c:v>45132</c:v>
                </c:pt>
                <c:pt idx="146">
                  <c:v>45133</c:v>
                </c:pt>
                <c:pt idx="147">
                  <c:v>45134</c:v>
                </c:pt>
                <c:pt idx="148">
                  <c:v>45135</c:v>
                </c:pt>
                <c:pt idx="149">
                  <c:v>45138</c:v>
                </c:pt>
                <c:pt idx="150">
                  <c:v>45139</c:v>
                </c:pt>
                <c:pt idx="151">
                  <c:v>45140</c:v>
                </c:pt>
                <c:pt idx="152">
                  <c:v>45141</c:v>
                </c:pt>
                <c:pt idx="153">
                  <c:v>45142</c:v>
                </c:pt>
                <c:pt idx="154">
                  <c:v>45145</c:v>
                </c:pt>
                <c:pt idx="155">
                  <c:v>45146</c:v>
                </c:pt>
                <c:pt idx="156">
                  <c:v>45147</c:v>
                </c:pt>
                <c:pt idx="157">
                  <c:v>45148</c:v>
                </c:pt>
                <c:pt idx="158">
                  <c:v>45149</c:v>
                </c:pt>
                <c:pt idx="159">
                  <c:v>45152</c:v>
                </c:pt>
                <c:pt idx="160">
                  <c:v>45153</c:v>
                </c:pt>
                <c:pt idx="161">
                  <c:v>45154</c:v>
                </c:pt>
                <c:pt idx="162">
                  <c:v>45155</c:v>
                </c:pt>
                <c:pt idx="163">
                  <c:v>45156</c:v>
                </c:pt>
                <c:pt idx="164">
                  <c:v>45159</c:v>
                </c:pt>
                <c:pt idx="165">
                  <c:v>45160</c:v>
                </c:pt>
                <c:pt idx="166">
                  <c:v>45161</c:v>
                </c:pt>
                <c:pt idx="167">
                  <c:v>45162</c:v>
                </c:pt>
                <c:pt idx="168">
                  <c:v>45163</c:v>
                </c:pt>
                <c:pt idx="169">
                  <c:v>45166</c:v>
                </c:pt>
                <c:pt idx="170">
                  <c:v>45167</c:v>
                </c:pt>
                <c:pt idx="171">
                  <c:v>45168</c:v>
                </c:pt>
                <c:pt idx="172">
                  <c:v>45169</c:v>
                </c:pt>
                <c:pt idx="173">
                  <c:v>45170</c:v>
                </c:pt>
                <c:pt idx="174">
                  <c:v>45173</c:v>
                </c:pt>
                <c:pt idx="175">
                  <c:v>45174</c:v>
                </c:pt>
                <c:pt idx="176">
                  <c:v>45175</c:v>
                </c:pt>
                <c:pt idx="177">
                  <c:v>45176</c:v>
                </c:pt>
                <c:pt idx="178">
                  <c:v>45177</c:v>
                </c:pt>
                <c:pt idx="179">
                  <c:v>45180</c:v>
                </c:pt>
                <c:pt idx="180">
                  <c:v>45181</c:v>
                </c:pt>
                <c:pt idx="181">
                  <c:v>45182</c:v>
                </c:pt>
                <c:pt idx="182">
                  <c:v>45183</c:v>
                </c:pt>
                <c:pt idx="183">
                  <c:v>45184</c:v>
                </c:pt>
                <c:pt idx="184">
                  <c:v>45187</c:v>
                </c:pt>
                <c:pt idx="185">
                  <c:v>45188</c:v>
                </c:pt>
                <c:pt idx="186">
                  <c:v>45189</c:v>
                </c:pt>
                <c:pt idx="187">
                  <c:v>45190</c:v>
                </c:pt>
                <c:pt idx="188">
                  <c:v>45191</c:v>
                </c:pt>
                <c:pt idx="189">
                  <c:v>45194</c:v>
                </c:pt>
                <c:pt idx="190">
                  <c:v>45195</c:v>
                </c:pt>
                <c:pt idx="191">
                  <c:v>45196</c:v>
                </c:pt>
                <c:pt idx="192">
                  <c:v>45197</c:v>
                </c:pt>
                <c:pt idx="193">
                  <c:v>45198</c:v>
                </c:pt>
                <c:pt idx="194">
                  <c:v>45201</c:v>
                </c:pt>
                <c:pt idx="195">
                  <c:v>45202</c:v>
                </c:pt>
                <c:pt idx="196">
                  <c:v>45203</c:v>
                </c:pt>
                <c:pt idx="197">
                  <c:v>45204</c:v>
                </c:pt>
                <c:pt idx="198">
                  <c:v>45205</c:v>
                </c:pt>
                <c:pt idx="199">
                  <c:v>45208</c:v>
                </c:pt>
                <c:pt idx="200">
                  <c:v>45209</c:v>
                </c:pt>
                <c:pt idx="201">
                  <c:v>45210</c:v>
                </c:pt>
                <c:pt idx="202">
                  <c:v>45211</c:v>
                </c:pt>
                <c:pt idx="203">
                  <c:v>45212</c:v>
                </c:pt>
                <c:pt idx="204">
                  <c:v>45215</c:v>
                </c:pt>
                <c:pt idx="205">
                  <c:v>45216</c:v>
                </c:pt>
                <c:pt idx="206">
                  <c:v>45217</c:v>
                </c:pt>
                <c:pt idx="207">
                  <c:v>45218</c:v>
                </c:pt>
                <c:pt idx="208">
                  <c:v>45219</c:v>
                </c:pt>
                <c:pt idx="209">
                  <c:v>45222</c:v>
                </c:pt>
                <c:pt idx="210">
                  <c:v>45223</c:v>
                </c:pt>
                <c:pt idx="211">
                  <c:v>45224</c:v>
                </c:pt>
                <c:pt idx="212">
                  <c:v>45225</c:v>
                </c:pt>
                <c:pt idx="213">
                  <c:v>45226</c:v>
                </c:pt>
                <c:pt idx="214">
                  <c:v>45229</c:v>
                </c:pt>
                <c:pt idx="215">
                  <c:v>45230</c:v>
                </c:pt>
                <c:pt idx="216">
                  <c:v>45231</c:v>
                </c:pt>
                <c:pt idx="217">
                  <c:v>45232</c:v>
                </c:pt>
                <c:pt idx="218">
                  <c:v>45233</c:v>
                </c:pt>
                <c:pt idx="219">
                  <c:v>45236</c:v>
                </c:pt>
                <c:pt idx="220">
                  <c:v>45237</c:v>
                </c:pt>
                <c:pt idx="221">
                  <c:v>45238</c:v>
                </c:pt>
                <c:pt idx="222">
                  <c:v>45239</c:v>
                </c:pt>
                <c:pt idx="223">
                  <c:v>45240</c:v>
                </c:pt>
                <c:pt idx="224">
                  <c:v>45243</c:v>
                </c:pt>
                <c:pt idx="225">
                  <c:v>45244</c:v>
                </c:pt>
                <c:pt idx="226">
                  <c:v>45245</c:v>
                </c:pt>
                <c:pt idx="227">
                  <c:v>45246</c:v>
                </c:pt>
                <c:pt idx="228">
                  <c:v>45247</c:v>
                </c:pt>
                <c:pt idx="229">
                  <c:v>45250</c:v>
                </c:pt>
                <c:pt idx="230">
                  <c:v>45251</c:v>
                </c:pt>
                <c:pt idx="231">
                  <c:v>45252</c:v>
                </c:pt>
                <c:pt idx="232">
                  <c:v>45253</c:v>
                </c:pt>
                <c:pt idx="233">
                  <c:v>45254</c:v>
                </c:pt>
                <c:pt idx="234">
                  <c:v>45257</c:v>
                </c:pt>
                <c:pt idx="235">
                  <c:v>45258</c:v>
                </c:pt>
                <c:pt idx="236">
                  <c:v>45259</c:v>
                </c:pt>
                <c:pt idx="237">
                  <c:v>45260</c:v>
                </c:pt>
                <c:pt idx="238">
                  <c:v>45261</c:v>
                </c:pt>
                <c:pt idx="239">
                  <c:v>45264</c:v>
                </c:pt>
                <c:pt idx="240">
                  <c:v>45265</c:v>
                </c:pt>
                <c:pt idx="241">
                  <c:v>45266</c:v>
                </c:pt>
                <c:pt idx="242">
                  <c:v>45267</c:v>
                </c:pt>
                <c:pt idx="243">
                  <c:v>45268</c:v>
                </c:pt>
                <c:pt idx="244">
                  <c:v>45271</c:v>
                </c:pt>
                <c:pt idx="245">
                  <c:v>45272</c:v>
                </c:pt>
                <c:pt idx="246">
                  <c:v>45273</c:v>
                </c:pt>
                <c:pt idx="247">
                  <c:v>45274</c:v>
                </c:pt>
                <c:pt idx="248">
                  <c:v>45275</c:v>
                </c:pt>
                <c:pt idx="249">
                  <c:v>45279</c:v>
                </c:pt>
                <c:pt idx="250">
                  <c:v>45280</c:v>
                </c:pt>
                <c:pt idx="251">
                  <c:v>45281</c:v>
                </c:pt>
                <c:pt idx="252">
                  <c:v>45282</c:v>
                </c:pt>
                <c:pt idx="253">
                  <c:v>45286</c:v>
                </c:pt>
                <c:pt idx="254">
                  <c:v>45287</c:v>
                </c:pt>
                <c:pt idx="255">
                  <c:v>45288</c:v>
                </c:pt>
                <c:pt idx="256">
                  <c:v>45289</c:v>
                </c:pt>
                <c:pt idx="257">
                  <c:v>45293</c:v>
                </c:pt>
                <c:pt idx="258">
                  <c:v>45294</c:v>
                </c:pt>
                <c:pt idx="259">
                  <c:v>45295</c:v>
                </c:pt>
                <c:pt idx="260">
                  <c:v>45296</c:v>
                </c:pt>
                <c:pt idx="261">
                  <c:v>45299</c:v>
                </c:pt>
                <c:pt idx="262">
                  <c:v>45300</c:v>
                </c:pt>
                <c:pt idx="263">
                  <c:v>45301</c:v>
                </c:pt>
                <c:pt idx="264">
                  <c:v>45302</c:v>
                </c:pt>
                <c:pt idx="265">
                  <c:v>45303</c:v>
                </c:pt>
                <c:pt idx="266">
                  <c:v>45306</c:v>
                </c:pt>
                <c:pt idx="267">
                  <c:v>45307</c:v>
                </c:pt>
                <c:pt idx="268">
                  <c:v>45308</c:v>
                </c:pt>
                <c:pt idx="269">
                  <c:v>45309</c:v>
                </c:pt>
                <c:pt idx="270">
                  <c:v>45310</c:v>
                </c:pt>
                <c:pt idx="271">
                  <c:v>45313</c:v>
                </c:pt>
                <c:pt idx="272">
                  <c:v>45314</c:v>
                </c:pt>
                <c:pt idx="273">
                  <c:v>45315</c:v>
                </c:pt>
                <c:pt idx="274">
                  <c:v>45316</c:v>
                </c:pt>
                <c:pt idx="275">
                  <c:v>45317</c:v>
                </c:pt>
                <c:pt idx="276">
                  <c:v>45320</c:v>
                </c:pt>
                <c:pt idx="277">
                  <c:v>45321</c:v>
                </c:pt>
                <c:pt idx="278">
                  <c:v>45322</c:v>
                </c:pt>
                <c:pt idx="279">
                  <c:v>45323</c:v>
                </c:pt>
                <c:pt idx="280">
                  <c:v>45324</c:v>
                </c:pt>
                <c:pt idx="281">
                  <c:v>45327</c:v>
                </c:pt>
                <c:pt idx="282">
                  <c:v>45328</c:v>
                </c:pt>
                <c:pt idx="283">
                  <c:v>45329</c:v>
                </c:pt>
                <c:pt idx="284">
                  <c:v>45330</c:v>
                </c:pt>
                <c:pt idx="285">
                  <c:v>45331</c:v>
                </c:pt>
                <c:pt idx="286">
                  <c:v>45334</c:v>
                </c:pt>
                <c:pt idx="287">
                  <c:v>45335</c:v>
                </c:pt>
                <c:pt idx="288">
                  <c:v>45336</c:v>
                </c:pt>
                <c:pt idx="289">
                  <c:v>45337</c:v>
                </c:pt>
                <c:pt idx="290">
                  <c:v>45338</c:v>
                </c:pt>
                <c:pt idx="291">
                  <c:v>45341</c:v>
                </c:pt>
                <c:pt idx="292">
                  <c:v>45342</c:v>
                </c:pt>
                <c:pt idx="293">
                  <c:v>45343</c:v>
                </c:pt>
                <c:pt idx="294">
                  <c:v>45344</c:v>
                </c:pt>
                <c:pt idx="295">
                  <c:v>45345</c:v>
                </c:pt>
                <c:pt idx="296">
                  <c:v>45348</c:v>
                </c:pt>
                <c:pt idx="297">
                  <c:v>45349</c:v>
                </c:pt>
                <c:pt idx="298">
                  <c:v>45350</c:v>
                </c:pt>
                <c:pt idx="299">
                  <c:v>45351</c:v>
                </c:pt>
                <c:pt idx="300">
                  <c:v>45352</c:v>
                </c:pt>
                <c:pt idx="301">
                  <c:v>45355</c:v>
                </c:pt>
                <c:pt idx="302">
                  <c:v>45356</c:v>
                </c:pt>
                <c:pt idx="303">
                  <c:v>45357</c:v>
                </c:pt>
                <c:pt idx="304">
                  <c:v>45358</c:v>
                </c:pt>
                <c:pt idx="305">
                  <c:v>45359</c:v>
                </c:pt>
                <c:pt idx="306">
                  <c:v>45362</c:v>
                </c:pt>
                <c:pt idx="307">
                  <c:v>45363</c:v>
                </c:pt>
                <c:pt idx="308">
                  <c:v>45364</c:v>
                </c:pt>
                <c:pt idx="309">
                  <c:v>45365</c:v>
                </c:pt>
                <c:pt idx="310">
                  <c:v>45366</c:v>
                </c:pt>
                <c:pt idx="311">
                  <c:v>45369</c:v>
                </c:pt>
                <c:pt idx="312">
                  <c:v>45370</c:v>
                </c:pt>
                <c:pt idx="313">
                  <c:v>45371</c:v>
                </c:pt>
                <c:pt idx="314">
                  <c:v>45372</c:v>
                </c:pt>
                <c:pt idx="315">
                  <c:v>45373</c:v>
                </c:pt>
                <c:pt idx="316">
                  <c:v>45376</c:v>
                </c:pt>
                <c:pt idx="317">
                  <c:v>45377</c:v>
                </c:pt>
                <c:pt idx="318">
                  <c:v>45378</c:v>
                </c:pt>
                <c:pt idx="319">
                  <c:v>45379</c:v>
                </c:pt>
                <c:pt idx="320">
                  <c:v>45383</c:v>
                </c:pt>
                <c:pt idx="321">
                  <c:v>45384</c:v>
                </c:pt>
                <c:pt idx="322">
                  <c:v>45385</c:v>
                </c:pt>
                <c:pt idx="323">
                  <c:v>45386</c:v>
                </c:pt>
                <c:pt idx="324">
                  <c:v>45387</c:v>
                </c:pt>
                <c:pt idx="325">
                  <c:v>45390</c:v>
                </c:pt>
                <c:pt idx="326">
                  <c:v>45391</c:v>
                </c:pt>
                <c:pt idx="327">
                  <c:v>45392</c:v>
                </c:pt>
                <c:pt idx="328">
                  <c:v>45393</c:v>
                </c:pt>
                <c:pt idx="329">
                  <c:v>45394</c:v>
                </c:pt>
                <c:pt idx="330">
                  <c:v>45397</c:v>
                </c:pt>
                <c:pt idx="331">
                  <c:v>45398</c:v>
                </c:pt>
                <c:pt idx="332">
                  <c:v>45399</c:v>
                </c:pt>
                <c:pt idx="333">
                  <c:v>45400</c:v>
                </c:pt>
                <c:pt idx="334">
                  <c:v>45401</c:v>
                </c:pt>
                <c:pt idx="335">
                  <c:v>45404</c:v>
                </c:pt>
                <c:pt idx="336">
                  <c:v>45405</c:v>
                </c:pt>
                <c:pt idx="337">
                  <c:v>45406</c:v>
                </c:pt>
                <c:pt idx="338">
                  <c:v>45407</c:v>
                </c:pt>
                <c:pt idx="339">
                  <c:v>45408</c:v>
                </c:pt>
                <c:pt idx="340">
                  <c:v>45411</c:v>
                </c:pt>
                <c:pt idx="341">
                  <c:v>45412</c:v>
                </c:pt>
                <c:pt idx="342">
                  <c:v>45413</c:v>
                </c:pt>
                <c:pt idx="343">
                  <c:v>45414</c:v>
                </c:pt>
                <c:pt idx="344">
                  <c:v>45415</c:v>
                </c:pt>
                <c:pt idx="345">
                  <c:v>45418</c:v>
                </c:pt>
                <c:pt idx="346">
                  <c:v>45419</c:v>
                </c:pt>
                <c:pt idx="347">
                  <c:v>45420</c:v>
                </c:pt>
                <c:pt idx="348">
                  <c:v>45421</c:v>
                </c:pt>
                <c:pt idx="349">
                  <c:v>45422</c:v>
                </c:pt>
                <c:pt idx="350">
                  <c:v>45425</c:v>
                </c:pt>
                <c:pt idx="351">
                  <c:v>45426</c:v>
                </c:pt>
                <c:pt idx="352">
                  <c:v>45427</c:v>
                </c:pt>
                <c:pt idx="353">
                  <c:v>45428</c:v>
                </c:pt>
                <c:pt idx="354">
                  <c:v>45429</c:v>
                </c:pt>
                <c:pt idx="355">
                  <c:v>45432</c:v>
                </c:pt>
                <c:pt idx="356">
                  <c:v>45433</c:v>
                </c:pt>
                <c:pt idx="357">
                  <c:v>45434</c:v>
                </c:pt>
                <c:pt idx="358">
                  <c:v>45435</c:v>
                </c:pt>
                <c:pt idx="359">
                  <c:v>45436</c:v>
                </c:pt>
                <c:pt idx="360">
                  <c:v>45439</c:v>
                </c:pt>
                <c:pt idx="361">
                  <c:v>45440</c:v>
                </c:pt>
                <c:pt idx="362">
                  <c:v>45441</c:v>
                </c:pt>
                <c:pt idx="363">
                  <c:v>45442</c:v>
                </c:pt>
                <c:pt idx="364">
                  <c:v>45443</c:v>
                </c:pt>
                <c:pt idx="365">
                  <c:v>45446</c:v>
                </c:pt>
                <c:pt idx="366">
                  <c:v>45447</c:v>
                </c:pt>
                <c:pt idx="367">
                  <c:v>45448</c:v>
                </c:pt>
                <c:pt idx="368">
                  <c:v>45449</c:v>
                </c:pt>
                <c:pt idx="369">
                  <c:v>45450</c:v>
                </c:pt>
                <c:pt idx="370">
                  <c:v>45453</c:v>
                </c:pt>
                <c:pt idx="371">
                  <c:v>45454</c:v>
                </c:pt>
                <c:pt idx="372">
                  <c:v>45455</c:v>
                </c:pt>
                <c:pt idx="373">
                  <c:v>45456</c:v>
                </c:pt>
                <c:pt idx="374">
                  <c:v>45457</c:v>
                </c:pt>
                <c:pt idx="375">
                  <c:v>45460</c:v>
                </c:pt>
                <c:pt idx="376">
                  <c:v>45461</c:v>
                </c:pt>
                <c:pt idx="377">
                  <c:v>45462</c:v>
                </c:pt>
                <c:pt idx="378">
                  <c:v>45463</c:v>
                </c:pt>
                <c:pt idx="379">
                  <c:v>45464</c:v>
                </c:pt>
                <c:pt idx="380">
                  <c:v>45467</c:v>
                </c:pt>
                <c:pt idx="381">
                  <c:v>45468</c:v>
                </c:pt>
                <c:pt idx="382">
                  <c:v>45469</c:v>
                </c:pt>
                <c:pt idx="383">
                  <c:v>45470</c:v>
                </c:pt>
                <c:pt idx="384">
                  <c:v>45471</c:v>
                </c:pt>
                <c:pt idx="385">
                  <c:v>45474</c:v>
                </c:pt>
                <c:pt idx="386">
                  <c:v>45475</c:v>
                </c:pt>
                <c:pt idx="387">
                  <c:v>45476</c:v>
                </c:pt>
                <c:pt idx="388">
                  <c:v>45477</c:v>
                </c:pt>
                <c:pt idx="389">
                  <c:v>45478</c:v>
                </c:pt>
                <c:pt idx="390">
                  <c:v>45481</c:v>
                </c:pt>
                <c:pt idx="391">
                  <c:v>45482</c:v>
                </c:pt>
                <c:pt idx="392">
                  <c:v>45483</c:v>
                </c:pt>
                <c:pt idx="393">
                  <c:v>45484</c:v>
                </c:pt>
                <c:pt idx="394">
                  <c:v>45485</c:v>
                </c:pt>
                <c:pt idx="395">
                  <c:v>45488</c:v>
                </c:pt>
                <c:pt idx="396">
                  <c:v>45489</c:v>
                </c:pt>
                <c:pt idx="397">
                  <c:v>45490</c:v>
                </c:pt>
                <c:pt idx="398">
                  <c:v>45491</c:v>
                </c:pt>
                <c:pt idx="399">
                  <c:v>45492</c:v>
                </c:pt>
                <c:pt idx="400">
                  <c:v>45495</c:v>
                </c:pt>
                <c:pt idx="401">
                  <c:v>45496</c:v>
                </c:pt>
                <c:pt idx="402">
                  <c:v>45497</c:v>
                </c:pt>
                <c:pt idx="403">
                  <c:v>45498</c:v>
                </c:pt>
                <c:pt idx="404">
                  <c:v>45499</c:v>
                </c:pt>
                <c:pt idx="405">
                  <c:v>45502</c:v>
                </c:pt>
                <c:pt idx="406">
                  <c:v>45503</c:v>
                </c:pt>
                <c:pt idx="407">
                  <c:v>45504</c:v>
                </c:pt>
                <c:pt idx="408">
                  <c:v>45505</c:v>
                </c:pt>
                <c:pt idx="409">
                  <c:v>45506</c:v>
                </c:pt>
                <c:pt idx="410">
                  <c:v>45509</c:v>
                </c:pt>
                <c:pt idx="411">
                  <c:v>45510</c:v>
                </c:pt>
                <c:pt idx="412">
                  <c:v>45511</c:v>
                </c:pt>
                <c:pt idx="413">
                  <c:v>45512</c:v>
                </c:pt>
                <c:pt idx="414">
                  <c:v>45513</c:v>
                </c:pt>
                <c:pt idx="415">
                  <c:v>45516</c:v>
                </c:pt>
                <c:pt idx="416">
                  <c:v>45517</c:v>
                </c:pt>
                <c:pt idx="417">
                  <c:v>45518</c:v>
                </c:pt>
                <c:pt idx="418">
                  <c:v>45519</c:v>
                </c:pt>
                <c:pt idx="419">
                  <c:v>45520</c:v>
                </c:pt>
                <c:pt idx="420">
                  <c:v>45523</c:v>
                </c:pt>
                <c:pt idx="421">
                  <c:v>45524</c:v>
                </c:pt>
                <c:pt idx="422">
                  <c:v>45525</c:v>
                </c:pt>
                <c:pt idx="423">
                  <c:v>45526</c:v>
                </c:pt>
                <c:pt idx="424">
                  <c:v>45527</c:v>
                </c:pt>
                <c:pt idx="425">
                  <c:v>45530</c:v>
                </c:pt>
                <c:pt idx="426">
                  <c:v>45531</c:v>
                </c:pt>
                <c:pt idx="427">
                  <c:v>45532</c:v>
                </c:pt>
                <c:pt idx="428">
                  <c:v>45533</c:v>
                </c:pt>
                <c:pt idx="429">
                  <c:v>45534</c:v>
                </c:pt>
                <c:pt idx="430">
                  <c:v>45537</c:v>
                </c:pt>
                <c:pt idx="431">
                  <c:v>45538</c:v>
                </c:pt>
                <c:pt idx="432">
                  <c:v>45539</c:v>
                </c:pt>
                <c:pt idx="433">
                  <c:v>45540</c:v>
                </c:pt>
                <c:pt idx="434">
                  <c:v>45541</c:v>
                </c:pt>
                <c:pt idx="435">
                  <c:v>45544</c:v>
                </c:pt>
                <c:pt idx="436">
                  <c:v>45545</c:v>
                </c:pt>
                <c:pt idx="437">
                  <c:v>45546</c:v>
                </c:pt>
                <c:pt idx="438">
                  <c:v>45547</c:v>
                </c:pt>
                <c:pt idx="439">
                  <c:v>45548</c:v>
                </c:pt>
                <c:pt idx="440">
                  <c:v>45551</c:v>
                </c:pt>
                <c:pt idx="441">
                  <c:v>45552</c:v>
                </c:pt>
                <c:pt idx="442">
                  <c:v>45553</c:v>
                </c:pt>
                <c:pt idx="443">
                  <c:v>45554</c:v>
                </c:pt>
                <c:pt idx="444">
                  <c:v>45555</c:v>
                </c:pt>
                <c:pt idx="445">
                  <c:v>45558</c:v>
                </c:pt>
                <c:pt idx="446">
                  <c:v>45559</c:v>
                </c:pt>
                <c:pt idx="447">
                  <c:v>45560</c:v>
                </c:pt>
                <c:pt idx="448">
                  <c:v>45561</c:v>
                </c:pt>
                <c:pt idx="449">
                  <c:v>45562</c:v>
                </c:pt>
                <c:pt idx="450">
                  <c:v>45565</c:v>
                </c:pt>
                <c:pt idx="451">
                  <c:v>45566</c:v>
                </c:pt>
                <c:pt idx="452">
                  <c:v>45567</c:v>
                </c:pt>
                <c:pt idx="453">
                  <c:v>45568</c:v>
                </c:pt>
                <c:pt idx="454">
                  <c:v>45569</c:v>
                </c:pt>
                <c:pt idx="455">
                  <c:v>45572</c:v>
                </c:pt>
                <c:pt idx="456">
                  <c:v>45573</c:v>
                </c:pt>
                <c:pt idx="457">
                  <c:v>45574</c:v>
                </c:pt>
                <c:pt idx="458">
                  <c:v>45575</c:v>
                </c:pt>
                <c:pt idx="459">
                  <c:v>45576</c:v>
                </c:pt>
                <c:pt idx="460">
                  <c:v>45579</c:v>
                </c:pt>
                <c:pt idx="461">
                  <c:v>45580</c:v>
                </c:pt>
                <c:pt idx="462">
                  <c:v>45581</c:v>
                </c:pt>
                <c:pt idx="463">
                  <c:v>45582</c:v>
                </c:pt>
                <c:pt idx="464">
                  <c:v>45583</c:v>
                </c:pt>
                <c:pt idx="465">
                  <c:v>45586</c:v>
                </c:pt>
                <c:pt idx="466">
                  <c:v>45587</c:v>
                </c:pt>
                <c:pt idx="467">
                  <c:v>45588</c:v>
                </c:pt>
                <c:pt idx="468">
                  <c:v>45589</c:v>
                </c:pt>
                <c:pt idx="469">
                  <c:v>45590</c:v>
                </c:pt>
                <c:pt idx="470">
                  <c:v>45593</c:v>
                </c:pt>
                <c:pt idx="471">
                  <c:v>45594</c:v>
                </c:pt>
                <c:pt idx="472">
                  <c:v>45595</c:v>
                </c:pt>
                <c:pt idx="473">
                  <c:v>45596</c:v>
                </c:pt>
                <c:pt idx="474">
                  <c:v>45597</c:v>
                </c:pt>
                <c:pt idx="475">
                  <c:v>45600</c:v>
                </c:pt>
                <c:pt idx="476">
                  <c:v>45601</c:v>
                </c:pt>
                <c:pt idx="477">
                  <c:v>45602</c:v>
                </c:pt>
                <c:pt idx="478">
                  <c:v>45603</c:v>
                </c:pt>
                <c:pt idx="479">
                  <c:v>45604</c:v>
                </c:pt>
                <c:pt idx="480">
                  <c:v>45607</c:v>
                </c:pt>
                <c:pt idx="481">
                  <c:v>45608</c:v>
                </c:pt>
                <c:pt idx="482">
                  <c:v>45609</c:v>
                </c:pt>
                <c:pt idx="483">
                  <c:v>45610</c:v>
                </c:pt>
                <c:pt idx="484">
                  <c:v>45611</c:v>
                </c:pt>
                <c:pt idx="485">
                  <c:v>45614</c:v>
                </c:pt>
                <c:pt idx="486">
                  <c:v>45615</c:v>
                </c:pt>
                <c:pt idx="487">
                  <c:v>45616</c:v>
                </c:pt>
                <c:pt idx="488">
                  <c:v>45617</c:v>
                </c:pt>
                <c:pt idx="489">
                  <c:v>45618</c:v>
                </c:pt>
                <c:pt idx="490">
                  <c:v>45621</c:v>
                </c:pt>
                <c:pt idx="491">
                  <c:v>45622</c:v>
                </c:pt>
                <c:pt idx="492">
                  <c:v>45623</c:v>
                </c:pt>
                <c:pt idx="493">
                  <c:v>45624</c:v>
                </c:pt>
                <c:pt idx="494">
                  <c:v>45625</c:v>
                </c:pt>
                <c:pt idx="495">
                  <c:v>45628</c:v>
                </c:pt>
                <c:pt idx="496">
                  <c:v>45629</c:v>
                </c:pt>
                <c:pt idx="497">
                  <c:v>45630</c:v>
                </c:pt>
                <c:pt idx="498">
                  <c:v>45631</c:v>
                </c:pt>
                <c:pt idx="499">
                  <c:v>45632</c:v>
                </c:pt>
                <c:pt idx="500">
                  <c:v>45635</c:v>
                </c:pt>
                <c:pt idx="501">
                  <c:v>45636</c:v>
                </c:pt>
                <c:pt idx="502">
                  <c:v>45637</c:v>
                </c:pt>
                <c:pt idx="503">
                  <c:v>45638</c:v>
                </c:pt>
                <c:pt idx="504">
                  <c:v>45639</c:v>
                </c:pt>
                <c:pt idx="505">
                  <c:v>45642</c:v>
                </c:pt>
                <c:pt idx="506">
                  <c:v>45643</c:v>
                </c:pt>
                <c:pt idx="507">
                  <c:v>45644</c:v>
                </c:pt>
                <c:pt idx="508">
                  <c:v>45645</c:v>
                </c:pt>
                <c:pt idx="509">
                  <c:v>45646</c:v>
                </c:pt>
                <c:pt idx="510">
                  <c:v>45649</c:v>
                </c:pt>
                <c:pt idx="511">
                  <c:v>45650</c:v>
                </c:pt>
                <c:pt idx="512">
                  <c:v>45652</c:v>
                </c:pt>
                <c:pt idx="513">
                  <c:v>45653</c:v>
                </c:pt>
                <c:pt idx="514">
                  <c:v>45656</c:v>
                </c:pt>
                <c:pt idx="515">
                  <c:v>45657</c:v>
                </c:pt>
                <c:pt idx="516">
                  <c:v>45659</c:v>
                </c:pt>
                <c:pt idx="517">
                  <c:v>45660</c:v>
                </c:pt>
                <c:pt idx="518">
                  <c:v>45663</c:v>
                </c:pt>
                <c:pt idx="519">
                  <c:v>45664</c:v>
                </c:pt>
                <c:pt idx="520">
                  <c:v>45665</c:v>
                </c:pt>
                <c:pt idx="521">
                  <c:v>45666</c:v>
                </c:pt>
                <c:pt idx="522">
                  <c:v>45667</c:v>
                </c:pt>
                <c:pt idx="523">
                  <c:v>45670</c:v>
                </c:pt>
                <c:pt idx="524">
                  <c:v>45671</c:v>
                </c:pt>
                <c:pt idx="525">
                  <c:v>45672</c:v>
                </c:pt>
                <c:pt idx="526">
                  <c:v>45673</c:v>
                </c:pt>
                <c:pt idx="527">
                  <c:v>45674</c:v>
                </c:pt>
                <c:pt idx="528">
                  <c:v>45677</c:v>
                </c:pt>
                <c:pt idx="529">
                  <c:v>45678</c:v>
                </c:pt>
                <c:pt idx="530">
                  <c:v>45679</c:v>
                </c:pt>
                <c:pt idx="531">
                  <c:v>45680</c:v>
                </c:pt>
                <c:pt idx="532">
                  <c:v>45681</c:v>
                </c:pt>
                <c:pt idx="533">
                  <c:v>45684</c:v>
                </c:pt>
                <c:pt idx="534">
                  <c:v>45685</c:v>
                </c:pt>
                <c:pt idx="535">
                  <c:v>45686</c:v>
                </c:pt>
                <c:pt idx="536">
                  <c:v>45687</c:v>
                </c:pt>
                <c:pt idx="537">
                  <c:v>45688</c:v>
                </c:pt>
                <c:pt idx="538">
                  <c:v>45691</c:v>
                </c:pt>
                <c:pt idx="539">
                  <c:v>45692</c:v>
                </c:pt>
                <c:pt idx="540">
                  <c:v>45693</c:v>
                </c:pt>
                <c:pt idx="541">
                  <c:v>45694</c:v>
                </c:pt>
                <c:pt idx="542">
                  <c:v>45695</c:v>
                </c:pt>
                <c:pt idx="543">
                  <c:v>45698</c:v>
                </c:pt>
                <c:pt idx="544">
                  <c:v>45699</c:v>
                </c:pt>
                <c:pt idx="545">
                  <c:v>45700</c:v>
                </c:pt>
                <c:pt idx="546">
                  <c:v>45701</c:v>
                </c:pt>
                <c:pt idx="547">
                  <c:v>45702</c:v>
                </c:pt>
                <c:pt idx="548">
                  <c:v>45705</c:v>
                </c:pt>
                <c:pt idx="549">
                  <c:v>45706</c:v>
                </c:pt>
                <c:pt idx="550">
                  <c:v>45707</c:v>
                </c:pt>
                <c:pt idx="551">
                  <c:v>45708</c:v>
                </c:pt>
                <c:pt idx="552">
                  <c:v>45709</c:v>
                </c:pt>
                <c:pt idx="553">
                  <c:v>45712</c:v>
                </c:pt>
                <c:pt idx="554">
                  <c:v>45713</c:v>
                </c:pt>
                <c:pt idx="555">
                  <c:v>45714</c:v>
                </c:pt>
                <c:pt idx="556">
                  <c:v>45715</c:v>
                </c:pt>
                <c:pt idx="557">
                  <c:v>45716</c:v>
                </c:pt>
                <c:pt idx="558">
                  <c:v>45719</c:v>
                </c:pt>
                <c:pt idx="559">
                  <c:v>45720</c:v>
                </c:pt>
                <c:pt idx="560">
                  <c:v>45721</c:v>
                </c:pt>
                <c:pt idx="561">
                  <c:v>45722</c:v>
                </c:pt>
                <c:pt idx="562">
                  <c:v>45723</c:v>
                </c:pt>
                <c:pt idx="563">
                  <c:v>45726</c:v>
                </c:pt>
                <c:pt idx="564">
                  <c:v>45727</c:v>
                </c:pt>
                <c:pt idx="565">
                  <c:v>45728</c:v>
                </c:pt>
                <c:pt idx="566">
                  <c:v>45729</c:v>
                </c:pt>
                <c:pt idx="567">
                  <c:v>45730</c:v>
                </c:pt>
                <c:pt idx="568">
                  <c:v>45733</c:v>
                </c:pt>
                <c:pt idx="569">
                  <c:v>45734</c:v>
                </c:pt>
                <c:pt idx="570">
                  <c:v>45735</c:v>
                </c:pt>
                <c:pt idx="571">
                  <c:v>45736</c:v>
                </c:pt>
                <c:pt idx="572">
                  <c:v>45737</c:v>
                </c:pt>
                <c:pt idx="573">
                  <c:v>45740</c:v>
                </c:pt>
                <c:pt idx="574">
                  <c:v>45741</c:v>
                </c:pt>
                <c:pt idx="575">
                  <c:v>45742</c:v>
                </c:pt>
                <c:pt idx="576">
                  <c:v>45743</c:v>
                </c:pt>
                <c:pt idx="577">
                  <c:v>45744</c:v>
                </c:pt>
                <c:pt idx="578">
                  <c:v>45747</c:v>
                </c:pt>
                <c:pt idx="579">
                  <c:v>45748</c:v>
                </c:pt>
                <c:pt idx="580">
                  <c:v>45749</c:v>
                </c:pt>
                <c:pt idx="581">
                  <c:v>45750</c:v>
                </c:pt>
                <c:pt idx="582">
                  <c:v>45751</c:v>
                </c:pt>
                <c:pt idx="583">
                  <c:v>45754</c:v>
                </c:pt>
                <c:pt idx="584">
                  <c:v>45755</c:v>
                </c:pt>
                <c:pt idx="585">
                  <c:v>45756</c:v>
                </c:pt>
                <c:pt idx="586">
                  <c:v>45757</c:v>
                </c:pt>
                <c:pt idx="587">
                  <c:v>45758</c:v>
                </c:pt>
                <c:pt idx="588">
                  <c:v>45761</c:v>
                </c:pt>
                <c:pt idx="589">
                  <c:v>45762</c:v>
                </c:pt>
                <c:pt idx="590">
                  <c:v>45763</c:v>
                </c:pt>
                <c:pt idx="591">
                  <c:v>45764</c:v>
                </c:pt>
                <c:pt idx="592">
                  <c:v>45768</c:v>
                </c:pt>
                <c:pt idx="593">
                  <c:v>45769</c:v>
                </c:pt>
                <c:pt idx="594">
                  <c:v>45770</c:v>
                </c:pt>
                <c:pt idx="595">
                  <c:v>45771</c:v>
                </c:pt>
                <c:pt idx="596">
                  <c:v>45772</c:v>
                </c:pt>
                <c:pt idx="597">
                  <c:v>45775</c:v>
                </c:pt>
                <c:pt idx="598">
                  <c:v>45776</c:v>
                </c:pt>
                <c:pt idx="599">
                  <c:v>45777</c:v>
                </c:pt>
                <c:pt idx="600">
                  <c:v>45778</c:v>
                </c:pt>
                <c:pt idx="601">
                  <c:v>45779</c:v>
                </c:pt>
                <c:pt idx="602">
                  <c:v>45782</c:v>
                </c:pt>
                <c:pt idx="603">
                  <c:v>45783</c:v>
                </c:pt>
                <c:pt idx="604">
                  <c:v>45784</c:v>
                </c:pt>
                <c:pt idx="605">
                  <c:v>45785</c:v>
                </c:pt>
                <c:pt idx="606">
                  <c:v>45786</c:v>
                </c:pt>
                <c:pt idx="607">
                  <c:v>45789</c:v>
                </c:pt>
                <c:pt idx="608">
                  <c:v>45790</c:v>
                </c:pt>
                <c:pt idx="609">
                  <c:v>45791</c:v>
                </c:pt>
                <c:pt idx="610">
                  <c:v>45792</c:v>
                </c:pt>
                <c:pt idx="611">
                  <c:v>45793</c:v>
                </c:pt>
                <c:pt idx="612">
                  <c:v>45796</c:v>
                </c:pt>
                <c:pt idx="613">
                  <c:v>45797</c:v>
                </c:pt>
                <c:pt idx="614">
                  <c:v>45798</c:v>
                </c:pt>
                <c:pt idx="615">
                  <c:v>45799</c:v>
                </c:pt>
                <c:pt idx="616">
                  <c:v>45800</c:v>
                </c:pt>
                <c:pt idx="617">
                  <c:v>45803</c:v>
                </c:pt>
                <c:pt idx="618">
                  <c:v>45804</c:v>
                </c:pt>
                <c:pt idx="619">
                  <c:v>45805</c:v>
                </c:pt>
                <c:pt idx="620">
                  <c:v>45806</c:v>
                </c:pt>
                <c:pt idx="621">
                  <c:v>45807</c:v>
                </c:pt>
                <c:pt idx="622">
                  <c:v>45810</c:v>
                </c:pt>
                <c:pt idx="623">
                  <c:v>45811</c:v>
                </c:pt>
                <c:pt idx="624">
                  <c:v>45812</c:v>
                </c:pt>
                <c:pt idx="625">
                  <c:v>45813</c:v>
                </c:pt>
                <c:pt idx="626">
                  <c:v>45814</c:v>
                </c:pt>
                <c:pt idx="627">
                  <c:v>45817</c:v>
                </c:pt>
                <c:pt idx="628">
                  <c:v>45818</c:v>
                </c:pt>
                <c:pt idx="629">
                  <c:v>45819</c:v>
                </c:pt>
                <c:pt idx="630">
                  <c:v>45820</c:v>
                </c:pt>
                <c:pt idx="631">
                  <c:v>45821</c:v>
                </c:pt>
                <c:pt idx="632">
                  <c:v>45824</c:v>
                </c:pt>
                <c:pt idx="633">
                  <c:v>45825</c:v>
                </c:pt>
                <c:pt idx="634">
                  <c:v>45826</c:v>
                </c:pt>
                <c:pt idx="635">
                  <c:v>45827</c:v>
                </c:pt>
                <c:pt idx="636">
                  <c:v>45828</c:v>
                </c:pt>
                <c:pt idx="637">
                  <c:v>45831</c:v>
                </c:pt>
                <c:pt idx="638">
                  <c:v>45832</c:v>
                </c:pt>
                <c:pt idx="639">
                  <c:v>45833</c:v>
                </c:pt>
                <c:pt idx="640" formatCode="m\/d\/yyyy">
                  <c:v>45834</c:v>
                </c:pt>
                <c:pt idx="641" formatCode="m\/d\/yyyy">
                  <c:v>45835</c:v>
                </c:pt>
                <c:pt idx="642" formatCode="m\/d\/yyyy">
                  <c:v>45838</c:v>
                </c:pt>
                <c:pt idx="643" formatCode="m\/d\/yyyy">
                  <c:v>45839</c:v>
                </c:pt>
                <c:pt idx="644" formatCode="m\/d\/yyyy">
                  <c:v>45840</c:v>
                </c:pt>
                <c:pt idx="645" formatCode="m\/d\/yyyy">
                  <c:v>45841</c:v>
                </c:pt>
                <c:pt idx="646" formatCode="m\/d\/yyyy">
                  <c:v>45842</c:v>
                </c:pt>
                <c:pt idx="647" formatCode="m\/d\/yyyy">
                  <c:v>45845</c:v>
                </c:pt>
                <c:pt idx="648" formatCode="m\/d\/yyyy">
                  <c:v>45846</c:v>
                </c:pt>
                <c:pt idx="649" formatCode="m\/d\/yyyy">
                  <c:v>45847</c:v>
                </c:pt>
                <c:pt idx="650" formatCode="m\/d\/yyyy">
                  <c:v>45848</c:v>
                </c:pt>
                <c:pt idx="651" formatCode="m\/d\/yyyy">
                  <c:v>45849</c:v>
                </c:pt>
                <c:pt idx="652" formatCode="m\/d\/yyyy">
                  <c:v>45852</c:v>
                </c:pt>
                <c:pt idx="653" formatCode="m\/d\/yyyy">
                  <c:v>45853</c:v>
                </c:pt>
                <c:pt idx="654" formatCode="m\/d\/yyyy">
                  <c:v>45854</c:v>
                </c:pt>
                <c:pt idx="655" formatCode="m\/d\/yyyy">
                  <c:v>45855</c:v>
                </c:pt>
                <c:pt idx="656" formatCode="m\/d\/yyyy">
                  <c:v>45856</c:v>
                </c:pt>
                <c:pt idx="657" formatCode="m\/d\/yyyy">
                  <c:v>45859</c:v>
                </c:pt>
                <c:pt idx="658" formatCode="m\/d\/yyyy">
                  <c:v>45860</c:v>
                </c:pt>
                <c:pt idx="659" formatCode="m\/d\/yyyy">
                  <c:v>45861</c:v>
                </c:pt>
                <c:pt idx="660" formatCode="m\/d\/yyyy">
                  <c:v>45862</c:v>
                </c:pt>
                <c:pt idx="661" formatCode="m\/d\/yyyy">
                  <c:v>45863</c:v>
                </c:pt>
                <c:pt idx="662" formatCode="m\/d\/yyyy">
                  <c:v>45866</c:v>
                </c:pt>
                <c:pt idx="663" formatCode="m\/d\/yyyy">
                  <c:v>45867</c:v>
                </c:pt>
                <c:pt idx="664" formatCode="m\/d\/yyyy">
                  <c:v>45868</c:v>
                </c:pt>
                <c:pt idx="665" formatCode="m\/d\/yyyy">
                  <c:v>45869</c:v>
                </c:pt>
                <c:pt idx="666" formatCode="m\/d\/yyyy">
                  <c:v>45870</c:v>
                </c:pt>
                <c:pt idx="667" formatCode="m\/d\/yyyy">
                  <c:v>45873</c:v>
                </c:pt>
                <c:pt idx="668" formatCode="m\/d\/yyyy">
                  <c:v>45874</c:v>
                </c:pt>
                <c:pt idx="669" formatCode="m\/d\/yyyy">
                  <c:v>45875</c:v>
                </c:pt>
                <c:pt idx="670" formatCode="m\/d\/yyyy">
                  <c:v>45876</c:v>
                </c:pt>
                <c:pt idx="671" formatCode="m\/d\/yyyy">
                  <c:v>45877</c:v>
                </c:pt>
                <c:pt idx="672" formatCode="m\/d\/yyyy">
                  <c:v>45880</c:v>
                </c:pt>
                <c:pt idx="673" formatCode="m\/d\/yyyy">
                  <c:v>45881</c:v>
                </c:pt>
                <c:pt idx="674" formatCode="m\/d\/yyyy">
                  <c:v>45882</c:v>
                </c:pt>
                <c:pt idx="675" formatCode="m\/d\/yyyy">
                  <c:v>45883</c:v>
                </c:pt>
                <c:pt idx="676" formatCode="m\/d\/yyyy">
                  <c:v>45884</c:v>
                </c:pt>
                <c:pt idx="677" formatCode="m\/d\/yyyy">
                  <c:v>45887</c:v>
                </c:pt>
                <c:pt idx="678" formatCode="m\/d\/yyyy">
                  <c:v>45888</c:v>
                </c:pt>
                <c:pt idx="679" formatCode="m\/d\/yyyy">
                  <c:v>45889</c:v>
                </c:pt>
                <c:pt idx="680" formatCode="m\/d\/yyyy">
                  <c:v>45890</c:v>
                </c:pt>
                <c:pt idx="681" formatCode="m\/d\/yyyy">
                  <c:v>45891</c:v>
                </c:pt>
                <c:pt idx="682" formatCode="m\/d\/yyyy">
                  <c:v>45894</c:v>
                </c:pt>
                <c:pt idx="683" formatCode="m\/d\/yyyy">
                  <c:v>45895</c:v>
                </c:pt>
                <c:pt idx="684" formatCode="m\/d\/yyyy">
                  <c:v>45896</c:v>
                </c:pt>
                <c:pt idx="685" formatCode="m\/d\/yyyy">
                  <c:v>45897</c:v>
                </c:pt>
                <c:pt idx="686" formatCode="m\/d\/yyyy">
                  <c:v>45898</c:v>
                </c:pt>
                <c:pt idx="687" formatCode="m\/d\/yyyy">
                  <c:v>45901</c:v>
                </c:pt>
                <c:pt idx="688" formatCode="m\/d\/yyyy">
                  <c:v>45902</c:v>
                </c:pt>
                <c:pt idx="689" formatCode="m\/d\/yyyy">
                  <c:v>45903</c:v>
                </c:pt>
                <c:pt idx="690" formatCode="m\/d\/yyyy">
                  <c:v>45904</c:v>
                </c:pt>
                <c:pt idx="691" formatCode="m\/d\/yyyy">
                  <c:v>45905</c:v>
                </c:pt>
                <c:pt idx="692" formatCode="m\/d\/yyyy">
                  <c:v>45908</c:v>
                </c:pt>
                <c:pt idx="693" formatCode="m\/d\/yyyy">
                  <c:v>45909</c:v>
                </c:pt>
                <c:pt idx="694" formatCode="m\/d\/yyyy">
                  <c:v>45910</c:v>
                </c:pt>
                <c:pt idx="695" formatCode="m\/d\/yyyy">
                  <c:v>45911</c:v>
                </c:pt>
                <c:pt idx="696" formatCode="m\/d\/yyyy">
                  <c:v>45912</c:v>
                </c:pt>
                <c:pt idx="697" formatCode="m\/d\/yyyy">
                  <c:v>45915</c:v>
                </c:pt>
                <c:pt idx="698" formatCode="m\/d\/yyyy">
                  <c:v>45916</c:v>
                </c:pt>
                <c:pt idx="699" formatCode="m\/d\/yyyy">
                  <c:v>45917</c:v>
                </c:pt>
                <c:pt idx="700" formatCode="m\/d\/yyyy">
                  <c:v>45918</c:v>
                </c:pt>
                <c:pt idx="701" formatCode="m\/d\/yyyy">
                  <c:v>45919</c:v>
                </c:pt>
                <c:pt idx="702" formatCode="m\/d\/yyyy">
                  <c:v>45922</c:v>
                </c:pt>
                <c:pt idx="703" formatCode="m\/d\/yyyy">
                  <c:v>45923</c:v>
                </c:pt>
                <c:pt idx="704" formatCode="m\/d\/yyyy">
                  <c:v>45924</c:v>
                </c:pt>
                <c:pt idx="705" formatCode="m\/d\/yyyy">
                  <c:v>45925</c:v>
                </c:pt>
                <c:pt idx="706" formatCode="m\/d\/yyyy">
                  <c:v>45926</c:v>
                </c:pt>
                <c:pt idx="707" formatCode="m\/d\/yyyy">
                  <c:v>45929</c:v>
                </c:pt>
                <c:pt idx="708" formatCode="m\/d\/yyyy">
                  <c:v>45930</c:v>
                </c:pt>
                <c:pt idx="709" formatCode="m\/d\/yyyy">
                  <c:v>45931</c:v>
                </c:pt>
                <c:pt idx="710" formatCode="m\/d\/yyyy">
                  <c:v>45932</c:v>
                </c:pt>
                <c:pt idx="711" formatCode="m\/d\/yyyy">
                  <c:v>45933</c:v>
                </c:pt>
                <c:pt idx="712" formatCode="m\/d\/yyyy">
                  <c:v>45936</c:v>
                </c:pt>
                <c:pt idx="713" formatCode="m\/d\/yyyy">
                  <c:v>45937</c:v>
                </c:pt>
                <c:pt idx="714" formatCode="m\/d\/yyyy">
                  <c:v>45938</c:v>
                </c:pt>
                <c:pt idx="715" formatCode="m\/d\/yyyy">
                  <c:v>45939</c:v>
                </c:pt>
                <c:pt idx="716" formatCode="m\/d\/yyyy">
                  <c:v>45940</c:v>
                </c:pt>
                <c:pt idx="717" formatCode="m\/d\/yyyy">
                  <c:v>45943</c:v>
                </c:pt>
                <c:pt idx="718" formatCode="m\/d\/yyyy">
                  <c:v>45944</c:v>
                </c:pt>
                <c:pt idx="719" formatCode="m\/d\/yyyy">
                  <c:v>45945</c:v>
                </c:pt>
                <c:pt idx="720" formatCode="m\/d\/yyyy">
                  <c:v>45946</c:v>
                </c:pt>
                <c:pt idx="721" formatCode="m\/d\/yyyy">
                  <c:v>45947</c:v>
                </c:pt>
                <c:pt idx="722" formatCode="m\/d\/yyyy">
                  <c:v>45950</c:v>
                </c:pt>
                <c:pt idx="723" formatCode="m\/d\/yyyy">
                  <c:v>45951</c:v>
                </c:pt>
                <c:pt idx="724" formatCode="m\/d\/yyyy">
                  <c:v>45952</c:v>
                </c:pt>
                <c:pt idx="725" formatCode="m\/d\/yyyy">
                  <c:v>45953</c:v>
                </c:pt>
                <c:pt idx="726" formatCode="m\/d\/yyyy">
                  <c:v>45954</c:v>
                </c:pt>
                <c:pt idx="727" formatCode="m\/d\/yyyy">
                  <c:v>45957</c:v>
                </c:pt>
                <c:pt idx="728" formatCode="m\/d\/yyyy">
                  <c:v>45958</c:v>
                </c:pt>
                <c:pt idx="729" formatCode="m\/d\/yyyy">
                  <c:v>45959</c:v>
                </c:pt>
                <c:pt idx="730" formatCode="m\/d\/yyyy">
                  <c:v>45960</c:v>
                </c:pt>
                <c:pt idx="731" formatCode="m\/d\/yyyy">
                  <c:v>45961</c:v>
                </c:pt>
                <c:pt idx="732" formatCode="m\/d\/yyyy">
                  <c:v>45964</c:v>
                </c:pt>
                <c:pt idx="733" formatCode="m\/d\/yyyy">
                  <c:v>45965</c:v>
                </c:pt>
                <c:pt idx="734" formatCode="m\/d\/yyyy">
                  <c:v>45966</c:v>
                </c:pt>
                <c:pt idx="735" formatCode="m\/d\/yyyy">
                  <c:v>45967</c:v>
                </c:pt>
                <c:pt idx="736" formatCode="m\/d\/yyyy">
                  <c:v>45968</c:v>
                </c:pt>
                <c:pt idx="737" formatCode="m\/d\/yyyy">
                  <c:v>45971</c:v>
                </c:pt>
                <c:pt idx="738" formatCode="m\/d\/yyyy">
                  <c:v>45972</c:v>
                </c:pt>
                <c:pt idx="739" formatCode="m\/d\/yyyy">
                  <c:v>45973</c:v>
                </c:pt>
                <c:pt idx="740" formatCode="m\/d\/yyyy">
                  <c:v>45974</c:v>
                </c:pt>
                <c:pt idx="741" formatCode="m\/d\/yyyy">
                  <c:v>45975</c:v>
                </c:pt>
                <c:pt idx="742" formatCode="m\/d\/yyyy">
                  <c:v>45978</c:v>
                </c:pt>
                <c:pt idx="743" formatCode="m\/d\/yyyy">
                  <c:v>45979</c:v>
                </c:pt>
                <c:pt idx="744" formatCode="m\/d\/yyyy">
                  <c:v>45980</c:v>
                </c:pt>
                <c:pt idx="745" formatCode="m\/d\/yyyy">
                  <c:v>45981</c:v>
                </c:pt>
                <c:pt idx="746" formatCode="m\/d\/yyyy">
                  <c:v>45982</c:v>
                </c:pt>
                <c:pt idx="747" formatCode="m\/d\/yyyy">
                  <c:v>45985</c:v>
                </c:pt>
                <c:pt idx="748" formatCode="m\/d\/yyyy">
                  <c:v>45986</c:v>
                </c:pt>
                <c:pt idx="749" formatCode="m\/d\/yyyy">
                  <c:v>45987</c:v>
                </c:pt>
                <c:pt idx="750" formatCode="m\/d\/yyyy">
                  <c:v>45988</c:v>
                </c:pt>
                <c:pt idx="751" formatCode="m\/d\/yyyy">
                  <c:v>45989</c:v>
                </c:pt>
                <c:pt idx="752" formatCode="m\/d\/yyyy">
                  <c:v>45992</c:v>
                </c:pt>
                <c:pt idx="753" formatCode="m\/d\/yyyy">
                  <c:v>45993</c:v>
                </c:pt>
                <c:pt idx="754" formatCode="m\/d\/yyyy">
                  <c:v>45994</c:v>
                </c:pt>
                <c:pt idx="755" formatCode="m\/d\/yyyy">
                  <c:v>45995</c:v>
                </c:pt>
                <c:pt idx="756" formatCode="m\/d\/yyyy">
                  <c:v>45996</c:v>
                </c:pt>
                <c:pt idx="757" formatCode="m\/d\/yyyy">
                  <c:v>45999</c:v>
                </c:pt>
                <c:pt idx="758" formatCode="m\/d\/yyyy">
                  <c:v>46000</c:v>
                </c:pt>
                <c:pt idx="759" formatCode="m\/d\/yyyy">
                  <c:v>46001</c:v>
                </c:pt>
                <c:pt idx="760" formatCode="m\/d\/yyyy">
                  <c:v>46002</c:v>
                </c:pt>
                <c:pt idx="761" formatCode="m\/d\/yyyy">
                  <c:v>46003</c:v>
                </c:pt>
                <c:pt idx="762" formatCode="m\/d\/yyyy">
                  <c:v>46006</c:v>
                </c:pt>
                <c:pt idx="763" formatCode="m\/d\/yyyy">
                  <c:v>46007</c:v>
                </c:pt>
                <c:pt idx="764" formatCode="m\/d\/yyyy">
                  <c:v>46008</c:v>
                </c:pt>
                <c:pt idx="765" formatCode="m\/d\/yyyy">
                  <c:v>46009</c:v>
                </c:pt>
                <c:pt idx="766" formatCode="m\/d\/yyyy">
                  <c:v>46010</c:v>
                </c:pt>
                <c:pt idx="767" formatCode="m\/d\/yyyy">
                  <c:v>46013</c:v>
                </c:pt>
                <c:pt idx="768" formatCode="m\/d\/yyyy">
                  <c:v>46014</c:v>
                </c:pt>
                <c:pt idx="769" formatCode="m\/d\/yyyy">
                  <c:v>46015</c:v>
                </c:pt>
                <c:pt idx="770" formatCode="m\/d\/yyyy">
                  <c:v>46017</c:v>
                </c:pt>
                <c:pt idx="771" formatCode="m\/d\/yyyy">
                  <c:v>46020</c:v>
                </c:pt>
                <c:pt idx="772" formatCode="m\/d\/yyyy">
                  <c:v>46021</c:v>
                </c:pt>
                <c:pt idx="773" formatCode="m\/d\/yyyy">
                  <c:v>46022</c:v>
                </c:pt>
                <c:pt idx="774" formatCode="m\/d\/yyyy">
                  <c:v>46024</c:v>
                </c:pt>
                <c:pt idx="775" formatCode="m\/d\/yyyy">
                  <c:v>46027</c:v>
                </c:pt>
                <c:pt idx="776" formatCode="m\/d\/yyyy">
                  <c:v>46028</c:v>
                </c:pt>
                <c:pt idx="777" formatCode="m\/d\/yyyy">
                  <c:v>46029</c:v>
                </c:pt>
                <c:pt idx="778" formatCode="m\/d\/yyyy">
                  <c:v>46030</c:v>
                </c:pt>
                <c:pt idx="779" formatCode="m\/d\/yyyy">
                  <c:v>46031</c:v>
                </c:pt>
                <c:pt idx="780" formatCode="m\/d\/yyyy">
                  <c:v>46034</c:v>
                </c:pt>
                <c:pt idx="781" formatCode="m\/d\/yyyy">
                  <c:v>46035</c:v>
                </c:pt>
                <c:pt idx="782" formatCode="m\/d\/yyyy">
                  <c:v>46036</c:v>
                </c:pt>
                <c:pt idx="783" formatCode="m\/d\/yyyy">
                  <c:v>46037</c:v>
                </c:pt>
                <c:pt idx="784" formatCode="m\/d\/yyyy">
                  <c:v>46038</c:v>
                </c:pt>
                <c:pt idx="785" formatCode="m\/d\/yyyy">
                  <c:v>46041</c:v>
                </c:pt>
                <c:pt idx="786" formatCode="m\/d\/yyyy">
                  <c:v>46042</c:v>
                </c:pt>
                <c:pt idx="787" formatCode="m\/d\/yyyy">
                  <c:v>46043</c:v>
                </c:pt>
                <c:pt idx="788" formatCode="m\/d\/yyyy">
                  <c:v>46044</c:v>
                </c:pt>
                <c:pt idx="789" formatCode="m\/d\/yyyy">
                  <c:v>46045</c:v>
                </c:pt>
                <c:pt idx="790" formatCode="m\/d\/yyyy">
                  <c:v>46048</c:v>
                </c:pt>
                <c:pt idx="791" formatCode="m\/d\/yyyy">
                  <c:v>46049</c:v>
                </c:pt>
                <c:pt idx="792" formatCode="m\/d\/yyyy">
                  <c:v>46050</c:v>
                </c:pt>
                <c:pt idx="793" formatCode="m\/d\/yyyy">
                  <c:v>46051</c:v>
                </c:pt>
                <c:pt idx="794" formatCode="m\/d\/yyyy">
                  <c:v>46052</c:v>
                </c:pt>
                <c:pt idx="795" formatCode="m\/d\/yyyy">
                  <c:v>46055</c:v>
                </c:pt>
                <c:pt idx="796" formatCode="m\/d\/yyyy">
                  <c:v>46056</c:v>
                </c:pt>
                <c:pt idx="797" formatCode="m\/d\/yyyy">
                  <c:v>46057</c:v>
                </c:pt>
                <c:pt idx="798" formatCode="m\/d\/yyyy">
                  <c:v>46058</c:v>
                </c:pt>
                <c:pt idx="799" formatCode="m\/d\/yyyy">
                  <c:v>46059</c:v>
                </c:pt>
                <c:pt idx="800" formatCode="m\/d\/yyyy">
                  <c:v>46062</c:v>
                </c:pt>
                <c:pt idx="801" formatCode="m\/d\/yyyy">
                  <c:v>46063</c:v>
                </c:pt>
                <c:pt idx="802" formatCode="m\/d\/yyyy">
                  <c:v>46064</c:v>
                </c:pt>
                <c:pt idx="803" formatCode="m\/d\/yyyy">
                  <c:v>46065</c:v>
                </c:pt>
                <c:pt idx="804" formatCode="m\/d\/yyyy">
                  <c:v>46066</c:v>
                </c:pt>
                <c:pt idx="805" formatCode="m\/d\/yyyy">
                  <c:v>46069</c:v>
                </c:pt>
                <c:pt idx="806" formatCode="m\/d\/yyyy">
                  <c:v>46070</c:v>
                </c:pt>
                <c:pt idx="807" formatCode="m\/d\/yyyy">
                  <c:v>46071</c:v>
                </c:pt>
                <c:pt idx="808" formatCode="m\/d\/yyyy">
                  <c:v>46072</c:v>
                </c:pt>
                <c:pt idx="809" formatCode="m\/d\/yyyy">
                  <c:v>46073</c:v>
                </c:pt>
                <c:pt idx="810" formatCode="m\/d\/yyyy">
                  <c:v>46076</c:v>
                </c:pt>
                <c:pt idx="811" formatCode="m\/d\/yyyy">
                  <c:v>46077</c:v>
                </c:pt>
                <c:pt idx="812" formatCode="m\/d\/yyyy">
                  <c:v>46078</c:v>
                </c:pt>
                <c:pt idx="813" formatCode="m\/d\/yyyy">
                  <c:v>46079</c:v>
                </c:pt>
                <c:pt idx="814" formatCode="m\/d\/yyyy">
                  <c:v>46080</c:v>
                </c:pt>
                <c:pt idx="815" formatCode="m\/d\/yyyy">
                  <c:v>46083</c:v>
                </c:pt>
                <c:pt idx="816" formatCode="m\/d\/yyyy">
                  <c:v>46084</c:v>
                </c:pt>
                <c:pt idx="817" formatCode="m\/d\/yyyy">
                  <c:v>46085</c:v>
                </c:pt>
                <c:pt idx="818" formatCode="m\/d\/yyyy">
                  <c:v>46086</c:v>
                </c:pt>
                <c:pt idx="819" formatCode="m\/d\/yyyy">
                  <c:v>46087</c:v>
                </c:pt>
                <c:pt idx="820" formatCode="m\/d\/yyyy">
                  <c:v>46090</c:v>
                </c:pt>
                <c:pt idx="821" formatCode="m\/d\/yyyy">
                  <c:v>46091</c:v>
                </c:pt>
                <c:pt idx="822" formatCode="m\/d\/yyyy">
                  <c:v>46092</c:v>
                </c:pt>
                <c:pt idx="823" formatCode="m\/d\/yyyy">
                  <c:v>46093</c:v>
                </c:pt>
                <c:pt idx="824" formatCode="m\/d\/yyyy">
                  <c:v>46094</c:v>
                </c:pt>
                <c:pt idx="825" formatCode="m\/d\/yyyy">
                  <c:v>46097</c:v>
                </c:pt>
                <c:pt idx="826" formatCode="m\/d\/yyyy">
                  <c:v>46098</c:v>
                </c:pt>
                <c:pt idx="827" formatCode="m\/d\/yyyy">
                  <c:v>46099</c:v>
                </c:pt>
                <c:pt idx="828" formatCode="m\/d\/yyyy">
                  <c:v>46100</c:v>
                </c:pt>
                <c:pt idx="829" formatCode="m\/d\/yyyy">
                  <c:v>46101</c:v>
                </c:pt>
                <c:pt idx="830" formatCode="m\/d\/yyyy">
                  <c:v>46104</c:v>
                </c:pt>
                <c:pt idx="831" formatCode="m\/d\/yyyy">
                  <c:v>46105</c:v>
                </c:pt>
                <c:pt idx="832" formatCode="m\/d\/yyyy">
                  <c:v>46106</c:v>
                </c:pt>
                <c:pt idx="833" formatCode="m\/d\/yyyy">
                  <c:v>46107</c:v>
                </c:pt>
                <c:pt idx="834" formatCode="m\/d\/yyyy">
                  <c:v>46108</c:v>
                </c:pt>
                <c:pt idx="835" formatCode="m\/d\/yyyy">
                  <c:v>46111</c:v>
                </c:pt>
                <c:pt idx="836" formatCode="m\/d\/yyyy">
                  <c:v>46112</c:v>
                </c:pt>
                <c:pt idx="837" formatCode="m\/d\/yyyy">
                  <c:v>46113</c:v>
                </c:pt>
                <c:pt idx="838" formatCode="m\/d\/yyyy">
                  <c:v>46114</c:v>
                </c:pt>
                <c:pt idx="839" formatCode="m\/d\/yyyy">
                  <c:v>46115</c:v>
                </c:pt>
                <c:pt idx="840" formatCode="m\/d\/yyyy">
                  <c:v>46118</c:v>
                </c:pt>
                <c:pt idx="841" formatCode="m\/d\/yyyy">
                  <c:v>46119</c:v>
                </c:pt>
                <c:pt idx="842" formatCode="m\/d\/yyyy">
                  <c:v>46120</c:v>
                </c:pt>
                <c:pt idx="843" formatCode="m\/d\/yyyy">
                  <c:v>46121</c:v>
                </c:pt>
                <c:pt idx="844" formatCode="m\/d\/yyyy">
                  <c:v>46122</c:v>
                </c:pt>
                <c:pt idx="845" formatCode="m\/d\/yyyy">
                  <c:v>46125</c:v>
                </c:pt>
                <c:pt idx="846" formatCode="m\/d\/yyyy">
                  <c:v>46126</c:v>
                </c:pt>
                <c:pt idx="847" formatCode="m\/d\/yyyy">
                  <c:v>46127</c:v>
                </c:pt>
                <c:pt idx="848" formatCode="m\/d\/yyyy">
                  <c:v>46128</c:v>
                </c:pt>
                <c:pt idx="849" formatCode="m\/d\/yyyy">
                  <c:v>46129</c:v>
                </c:pt>
                <c:pt idx="850" formatCode="m\/d\/yyyy">
                  <c:v>46132</c:v>
                </c:pt>
                <c:pt idx="851" formatCode="m\/d\/yyyy">
                  <c:v>46133</c:v>
                </c:pt>
                <c:pt idx="852" formatCode="m\/d\/yyyy">
                  <c:v>46134</c:v>
                </c:pt>
                <c:pt idx="853" formatCode="m\/d\/yyyy">
                  <c:v>46135</c:v>
                </c:pt>
                <c:pt idx="854" formatCode="m\/d\/yyyy">
                  <c:v>46136</c:v>
                </c:pt>
                <c:pt idx="855" formatCode="m\/d\/yyyy">
                  <c:v>46139</c:v>
                </c:pt>
                <c:pt idx="856" formatCode="m\/d\/yyyy">
                  <c:v>46140</c:v>
                </c:pt>
                <c:pt idx="857" formatCode="m\/d\/yyyy">
                  <c:v>46141</c:v>
                </c:pt>
                <c:pt idx="858" formatCode="m\/d\/yyyy">
                  <c:v>46142</c:v>
                </c:pt>
                <c:pt idx="859" formatCode="m\/d\/yyyy">
                  <c:v>46143</c:v>
                </c:pt>
                <c:pt idx="860" formatCode="m\/d\/yyyy">
                  <c:v>46146</c:v>
                </c:pt>
                <c:pt idx="861" formatCode="m\/d\/yyyy">
                  <c:v>46147</c:v>
                </c:pt>
                <c:pt idx="862" formatCode="m\/d\/yyyy">
                  <c:v>46148</c:v>
                </c:pt>
                <c:pt idx="863" formatCode="m\/d\/yyyy">
                  <c:v>46149</c:v>
                </c:pt>
                <c:pt idx="864" formatCode="m\/d\/yyyy">
                  <c:v>46150</c:v>
                </c:pt>
                <c:pt idx="865" formatCode="m\/d\/yyyy">
                  <c:v>46153</c:v>
                </c:pt>
                <c:pt idx="866" formatCode="m\/d\/yyyy">
                  <c:v>46154</c:v>
                </c:pt>
                <c:pt idx="867" formatCode="m\/d\/yyyy">
                  <c:v>46155</c:v>
                </c:pt>
                <c:pt idx="868" formatCode="m\/d\/yyyy">
                  <c:v>46156</c:v>
                </c:pt>
                <c:pt idx="869" formatCode="m\/d\/yyyy">
                  <c:v>46157</c:v>
                </c:pt>
                <c:pt idx="870" formatCode="m\/d\/yyyy">
                  <c:v>46160</c:v>
                </c:pt>
                <c:pt idx="871" formatCode="m\/d\/yyyy">
                  <c:v>46161</c:v>
                </c:pt>
                <c:pt idx="872" formatCode="m\/d\/yyyy">
                  <c:v>46162</c:v>
                </c:pt>
                <c:pt idx="873" formatCode="m\/d\/yyyy">
                  <c:v>46163</c:v>
                </c:pt>
                <c:pt idx="874" formatCode="m\/d\/yyyy">
                  <c:v>46164</c:v>
                </c:pt>
                <c:pt idx="875" formatCode="m\/d\/yyyy">
                  <c:v>46167</c:v>
                </c:pt>
                <c:pt idx="876" formatCode="m\/d\/yyyy">
                  <c:v>46168</c:v>
                </c:pt>
                <c:pt idx="877" formatCode="m\/d\/yyyy">
                  <c:v>46169</c:v>
                </c:pt>
                <c:pt idx="878" formatCode="m\/d\/yyyy">
                  <c:v>46171</c:v>
                </c:pt>
                <c:pt idx="879" formatCode="m\/d\/yyyy">
                  <c:v>46174</c:v>
                </c:pt>
                <c:pt idx="880" formatCode="m\/d\/yyyy">
                  <c:v>46175</c:v>
                </c:pt>
                <c:pt idx="881" formatCode="m\/d\/yyyy">
                  <c:v>46176</c:v>
                </c:pt>
                <c:pt idx="882" formatCode="m\/d\/yyyy">
                  <c:v>46177</c:v>
                </c:pt>
                <c:pt idx="883" formatCode="m\/d\/yyyy">
                  <c:v>46178</c:v>
                </c:pt>
                <c:pt idx="884" formatCode="m\/d\/yyyy">
                  <c:v>46181</c:v>
                </c:pt>
                <c:pt idx="885" formatCode="m\/d\/yyyy">
                  <c:v>46182</c:v>
                </c:pt>
                <c:pt idx="886" formatCode="m\/d\/yyyy">
                  <c:v>46183</c:v>
                </c:pt>
                <c:pt idx="887" formatCode="m\/d\/yyyy">
                  <c:v>46184</c:v>
                </c:pt>
                <c:pt idx="888" formatCode="m\/d\/yyyy">
                  <c:v>46185</c:v>
                </c:pt>
                <c:pt idx="889" formatCode="m\/d\/yyyy">
                  <c:v>46188</c:v>
                </c:pt>
                <c:pt idx="890" formatCode="m\/d\/yyyy">
                  <c:v>46189</c:v>
                </c:pt>
                <c:pt idx="891" formatCode="m\/d\/yyyy">
                  <c:v>46190</c:v>
                </c:pt>
                <c:pt idx="892" formatCode="m\/d\/yyyy">
                  <c:v>46191</c:v>
                </c:pt>
                <c:pt idx="893" formatCode="m\/d\/yyyy">
                  <c:v>46192</c:v>
                </c:pt>
                <c:pt idx="894" formatCode="m\/d\/yyyy">
                  <c:v>46195</c:v>
                </c:pt>
                <c:pt idx="895" formatCode="m\/d\/yyyy">
                  <c:v>46196</c:v>
                </c:pt>
                <c:pt idx="896" formatCode="m\/d\/yyyy">
                  <c:v>46197</c:v>
                </c:pt>
                <c:pt idx="897" formatCode="m\/d\/yyyy">
                  <c:v>46198</c:v>
                </c:pt>
                <c:pt idx="898" formatCode="m\/d\/yyyy">
                  <c:v>46199</c:v>
                </c:pt>
                <c:pt idx="899" formatCode="m\/d\/yyyy">
                  <c:v>46202</c:v>
                </c:pt>
                <c:pt idx="900" formatCode="m\/d\/yyyy">
                  <c:v>46203</c:v>
                </c:pt>
                <c:pt idx="901" formatCode="m\/d\/yyyy">
                  <c:v>46204</c:v>
                </c:pt>
                <c:pt idx="902" formatCode="m\/d\/yyyy">
                  <c:v>46205</c:v>
                </c:pt>
                <c:pt idx="903" formatCode="m\/d\/yyyy">
                  <c:v>46206</c:v>
                </c:pt>
                <c:pt idx="904" formatCode="m\/d\/yyyy">
                  <c:v>46209</c:v>
                </c:pt>
                <c:pt idx="905" formatCode="m\/d\/yyyy">
                  <c:v>46210</c:v>
                </c:pt>
                <c:pt idx="906" formatCode="m\/d\/yyyy">
                  <c:v>46211</c:v>
                </c:pt>
                <c:pt idx="907" formatCode="m\/d\/yyyy">
                  <c:v>46212</c:v>
                </c:pt>
                <c:pt idx="908" formatCode="m\/d\/yyyy">
                  <c:v>46213</c:v>
                </c:pt>
                <c:pt idx="909" formatCode="m\/d\/yyyy">
                  <c:v>46216</c:v>
                </c:pt>
                <c:pt idx="910" formatCode="m\/d\/yyyy">
                  <c:v>46217</c:v>
                </c:pt>
                <c:pt idx="911" formatCode="m\/d\/yyyy">
                  <c:v>46218</c:v>
                </c:pt>
                <c:pt idx="912" formatCode="m\/d\/yyyy">
                  <c:v>46219</c:v>
                </c:pt>
                <c:pt idx="913" formatCode="m\/d\/yyyy">
                  <c:v>46220</c:v>
                </c:pt>
                <c:pt idx="914" formatCode="m\/d\/yyyy">
                  <c:v>46223</c:v>
                </c:pt>
                <c:pt idx="915" formatCode="m\/d\/yyyy">
                  <c:v>46224</c:v>
                </c:pt>
                <c:pt idx="916" formatCode="m\/d\/yyyy">
                  <c:v>46225</c:v>
                </c:pt>
                <c:pt idx="917" formatCode="m\/d\/yyyy">
                  <c:v>46226</c:v>
                </c:pt>
                <c:pt idx="918" formatCode="m\/d\/yyyy">
                  <c:v>46227</c:v>
                </c:pt>
                <c:pt idx="919" formatCode="m\/d\/yyyy">
                  <c:v>46230</c:v>
                </c:pt>
                <c:pt idx="920" formatCode="m\/d\/yyyy">
                  <c:v>46231</c:v>
                </c:pt>
                <c:pt idx="921" formatCode="m\/d\/yyyy">
                  <c:v>46232</c:v>
                </c:pt>
                <c:pt idx="922" formatCode="m\/d\/yyyy">
                  <c:v>46233</c:v>
                </c:pt>
                <c:pt idx="923" formatCode="m\/d\/yyyy">
                  <c:v>46234</c:v>
                </c:pt>
                <c:pt idx="924" formatCode="m\/d\/yyyy">
                  <c:v>46237</c:v>
                </c:pt>
                <c:pt idx="925" formatCode="m\/d\/yyyy">
                  <c:v>46238</c:v>
                </c:pt>
                <c:pt idx="926" formatCode="m\/d\/yyyy">
                  <c:v>46239</c:v>
                </c:pt>
                <c:pt idx="927" formatCode="m\/d\/yyyy">
                  <c:v>46240</c:v>
                </c:pt>
                <c:pt idx="928" formatCode="m\/d\/yyyy">
                  <c:v>46241</c:v>
                </c:pt>
                <c:pt idx="929" formatCode="m\/d\/yyyy">
                  <c:v>46244</c:v>
                </c:pt>
                <c:pt idx="930" formatCode="m\/d\/yyyy">
                  <c:v>46245</c:v>
                </c:pt>
                <c:pt idx="931" formatCode="m\/d\/yyyy">
                  <c:v>46246</c:v>
                </c:pt>
                <c:pt idx="932" formatCode="m\/d\/yyyy">
                  <c:v>46247</c:v>
                </c:pt>
                <c:pt idx="933" formatCode="m\/d\/yyyy">
                  <c:v>46248</c:v>
                </c:pt>
                <c:pt idx="934" formatCode="m\/d\/yyyy">
                  <c:v>46251</c:v>
                </c:pt>
                <c:pt idx="935" formatCode="m\/d\/yyyy">
                  <c:v>46252</c:v>
                </c:pt>
                <c:pt idx="936" formatCode="m\/d\/yyyy">
                  <c:v>46253</c:v>
                </c:pt>
                <c:pt idx="937" formatCode="m\/d\/yyyy">
                  <c:v>46254</c:v>
                </c:pt>
                <c:pt idx="938" formatCode="m\/d\/yyyy">
                  <c:v>46255</c:v>
                </c:pt>
                <c:pt idx="939" formatCode="m\/d\/yyyy">
                  <c:v>46258</c:v>
                </c:pt>
                <c:pt idx="940" formatCode="m\/d\/yyyy">
                  <c:v>46259</c:v>
                </c:pt>
                <c:pt idx="941" formatCode="m\/d\/yyyy">
                  <c:v>46260</c:v>
                </c:pt>
                <c:pt idx="942" formatCode="m\/d\/yyyy">
                  <c:v>46261</c:v>
                </c:pt>
                <c:pt idx="943" formatCode="m\/d\/yyyy">
                  <c:v>46262</c:v>
                </c:pt>
                <c:pt idx="944" formatCode="m\/d\/yyyy">
                  <c:v>46265</c:v>
                </c:pt>
                <c:pt idx="945" formatCode="m\/d\/yyyy">
                  <c:v>46266</c:v>
                </c:pt>
                <c:pt idx="946" formatCode="m\/d\/yyyy">
                  <c:v>46267</c:v>
                </c:pt>
                <c:pt idx="947" formatCode="m\/d\/yyyy">
                  <c:v>46268</c:v>
                </c:pt>
                <c:pt idx="948" formatCode="m\/d\/yyyy">
                  <c:v>46269</c:v>
                </c:pt>
                <c:pt idx="949" formatCode="m\/d\/yyyy">
                  <c:v>46272</c:v>
                </c:pt>
                <c:pt idx="950" formatCode="m\/d\/yyyy">
                  <c:v>46273</c:v>
                </c:pt>
                <c:pt idx="951" formatCode="m\/d\/yyyy">
                  <c:v>46274</c:v>
                </c:pt>
                <c:pt idx="952" formatCode="m\/d\/yyyy">
                  <c:v>46275</c:v>
                </c:pt>
                <c:pt idx="953" formatCode="m\/d\/yyyy">
                  <c:v>46276</c:v>
                </c:pt>
                <c:pt idx="954" formatCode="m\/d\/yyyy">
                  <c:v>46279</c:v>
                </c:pt>
                <c:pt idx="955" formatCode="m\/d\/yyyy">
                  <c:v>46280</c:v>
                </c:pt>
              </c:numCache>
            </c:numRef>
          </c:cat>
          <c:val>
            <c:numRef>
              <c:f>Sheet1!$B$2:$B$957</c:f>
              <c:numCache>
                <c:formatCode>0.0</c:formatCode>
                <c:ptCount val="956"/>
                <c:pt idx="0">
                  <c:v>100</c:v>
                </c:pt>
                <c:pt idx="1">
                  <c:v>99.721029220032221</c:v>
                </c:pt>
                <c:pt idx="2">
                  <c:v>100.49466983664392</c:v>
                </c:pt>
                <c:pt idx="3">
                  <c:v>99.361530792238668</c:v>
                </c:pt>
                <c:pt idx="4">
                  <c:v>99.012577651660393</c:v>
                </c:pt>
                <c:pt idx="5">
                  <c:v>98.723061584477321</c:v>
                </c:pt>
                <c:pt idx="6">
                  <c:v>98.67321113582328</c:v>
                </c:pt>
                <c:pt idx="7">
                  <c:v>97.778779047472952</c:v>
                </c:pt>
                <c:pt idx="8">
                  <c:v>97.731804586241253</c:v>
                </c:pt>
                <c:pt idx="9">
                  <c:v>97.731804586241253</c:v>
                </c:pt>
                <c:pt idx="10">
                  <c:v>97.918743768693901</c:v>
                </c:pt>
                <c:pt idx="11">
                  <c:v>97.886149244573943</c:v>
                </c:pt>
                <c:pt idx="12">
                  <c:v>97.621558401717905</c:v>
                </c:pt>
                <c:pt idx="13">
                  <c:v>97.573625278012102</c:v>
                </c:pt>
                <c:pt idx="14">
                  <c:v>97.703044712017771</c:v>
                </c:pt>
                <c:pt idx="15">
                  <c:v>97.472007055755782</c:v>
                </c:pt>
                <c:pt idx="16">
                  <c:v>97.223713474959709</c:v>
                </c:pt>
                <c:pt idx="17">
                  <c:v>97.436536544213496</c:v>
                </c:pt>
                <c:pt idx="18">
                  <c:v>97.516105529565124</c:v>
                </c:pt>
                <c:pt idx="19">
                  <c:v>97.866017332617503</c:v>
                </c:pt>
                <c:pt idx="20">
                  <c:v>97.702086049543652</c:v>
                </c:pt>
                <c:pt idx="21">
                  <c:v>96.851752435002666</c:v>
                </c:pt>
                <c:pt idx="22">
                  <c:v>97.376140808344189</c:v>
                </c:pt>
                <c:pt idx="23">
                  <c:v>98.507362527801192</c:v>
                </c:pt>
                <c:pt idx="24">
                  <c:v>99.219648746069481</c:v>
                </c:pt>
                <c:pt idx="25">
                  <c:v>99.027916251246253</c:v>
                </c:pt>
                <c:pt idx="26">
                  <c:v>99.002991026919233</c:v>
                </c:pt>
                <c:pt idx="27">
                  <c:v>98.843853056215949</c:v>
                </c:pt>
                <c:pt idx="28">
                  <c:v>99.255119257611767</c:v>
                </c:pt>
                <c:pt idx="29">
                  <c:v>98.979983127540436</c:v>
                </c:pt>
                <c:pt idx="30">
                  <c:v>98.860150318275927</c:v>
                </c:pt>
                <c:pt idx="31">
                  <c:v>99.546552649743063</c:v>
                </c:pt>
                <c:pt idx="32">
                  <c:v>99.500536850985483</c:v>
                </c:pt>
                <c:pt idx="33">
                  <c:v>99.489991563770218</c:v>
                </c:pt>
                <c:pt idx="34">
                  <c:v>99.489991563770218</c:v>
                </c:pt>
                <c:pt idx="35">
                  <c:v>99.808267505176758</c:v>
                </c:pt>
                <c:pt idx="36">
                  <c:v>100.20227778203848</c:v>
                </c:pt>
                <c:pt idx="37">
                  <c:v>100.21761638162434</c:v>
                </c:pt>
                <c:pt idx="38">
                  <c:v>100.81102845310221</c:v>
                </c:pt>
                <c:pt idx="39">
                  <c:v>100.2991026919242</c:v>
                </c:pt>
                <c:pt idx="40">
                  <c:v>100.49179384922155</c:v>
                </c:pt>
                <c:pt idx="41">
                  <c:v>100.11503949689393</c:v>
                </c:pt>
                <c:pt idx="42">
                  <c:v>100.65476646982131</c:v>
                </c:pt>
                <c:pt idx="43">
                  <c:v>100.16872459544443</c:v>
                </c:pt>
                <c:pt idx="44">
                  <c:v>100.0124626121635</c:v>
                </c:pt>
                <c:pt idx="45">
                  <c:v>101.22708796686862</c:v>
                </c:pt>
                <c:pt idx="46">
                  <c:v>101.2673517907815</c:v>
                </c:pt>
                <c:pt idx="47">
                  <c:v>100.95195183679731</c:v>
                </c:pt>
                <c:pt idx="48">
                  <c:v>100.23007899378788</c:v>
                </c:pt>
                <c:pt idx="49">
                  <c:v>99.425761178004464</c:v>
                </c:pt>
                <c:pt idx="50">
                  <c:v>98.948347265894654</c:v>
                </c:pt>
                <c:pt idx="51">
                  <c:v>99.965488150931833</c:v>
                </c:pt>
                <c:pt idx="52">
                  <c:v>99.804432855280339</c:v>
                </c:pt>
                <c:pt idx="53">
                  <c:v>99.087353324641484</c:v>
                </c:pt>
                <c:pt idx="54">
                  <c:v>98.678004448193903</c:v>
                </c:pt>
                <c:pt idx="55">
                  <c:v>98.643492599125722</c:v>
                </c:pt>
                <c:pt idx="56">
                  <c:v>97.756729810568302</c:v>
                </c:pt>
                <c:pt idx="57">
                  <c:v>97.982015491985592</c:v>
                </c:pt>
                <c:pt idx="58">
                  <c:v>98.515990490068262</c:v>
                </c:pt>
                <c:pt idx="59">
                  <c:v>98.280159521435706</c:v>
                </c:pt>
                <c:pt idx="60">
                  <c:v>97.885190582099867</c:v>
                </c:pt>
                <c:pt idx="61">
                  <c:v>98.069253777130157</c:v>
                </c:pt>
                <c:pt idx="62">
                  <c:v>97.611971776976773</c:v>
                </c:pt>
                <c:pt idx="63">
                  <c:v>97.961883580029166</c:v>
                </c:pt>
                <c:pt idx="64">
                  <c:v>97.579377252856844</c:v>
                </c:pt>
                <c:pt idx="65">
                  <c:v>97.08087276631646</c:v>
                </c:pt>
                <c:pt idx="66">
                  <c:v>97.34738093412075</c:v>
                </c:pt>
                <c:pt idx="67">
                  <c:v>97.322455709793743</c:v>
                </c:pt>
                <c:pt idx="68">
                  <c:v>97.531444129151055</c:v>
                </c:pt>
                <c:pt idx="69">
                  <c:v>98.022279315898501</c:v>
                </c:pt>
                <c:pt idx="70">
                  <c:v>97.672367512846122</c:v>
                </c:pt>
                <c:pt idx="71">
                  <c:v>96.988841168801343</c:v>
                </c:pt>
                <c:pt idx="72">
                  <c:v>96.537311143492644</c:v>
                </c:pt>
                <c:pt idx="73">
                  <c:v>97.059782191885915</c:v>
                </c:pt>
                <c:pt idx="74">
                  <c:v>97.5880052151239</c:v>
                </c:pt>
                <c:pt idx="75">
                  <c:v>97.254390674131486</c:v>
                </c:pt>
                <c:pt idx="76">
                  <c:v>97.465296418437049</c:v>
                </c:pt>
                <c:pt idx="77">
                  <c:v>97.367512846077204</c:v>
                </c:pt>
                <c:pt idx="78">
                  <c:v>97.354091571439596</c:v>
                </c:pt>
                <c:pt idx="79">
                  <c:v>96.89489224633796</c:v>
                </c:pt>
                <c:pt idx="80">
                  <c:v>97.392438070404239</c:v>
                </c:pt>
                <c:pt idx="81">
                  <c:v>97.021435692921315</c:v>
                </c:pt>
                <c:pt idx="82">
                  <c:v>97.066492829204776</c:v>
                </c:pt>
                <c:pt idx="83">
                  <c:v>97.211250862796319</c:v>
                </c:pt>
                <c:pt idx="84">
                  <c:v>97.706879361914346</c:v>
                </c:pt>
                <c:pt idx="85">
                  <c:v>97.519940179461685</c:v>
                </c:pt>
                <c:pt idx="86">
                  <c:v>96.935156070250855</c:v>
                </c:pt>
                <c:pt idx="87">
                  <c:v>97.001303780964861</c:v>
                </c:pt>
                <c:pt idx="88">
                  <c:v>96.823951223253388</c:v>
                </c:pt>
                <c:pt idx="89">
                  <c:v>96.973502569215498</c:v>
                </c:pt>
                <c:pt idx="90">
                  <c:v>97.20741621289983</c:v>
                </c:pt>
                <c:pt idx="91">
                  <c:v>97.082790091264727</c:v>
                </c:pt>
                <c:pt idx="92">
                  <c:v>97.661822225630857</c:v>
                </c:pt>
                <c:pt idx="93">
                  <c:v>98.271531559168707</c:v>
                </c:pt>
                <c:pt idx="94">
                  <c:v>98.043369890329075</c:v>
                </c:pt>
                <c:pt idx="95">
                  <c:v>98.17087199938652</c:v>
                </c:pt>
                <c:pt idx="96">
                  <c:v>98.479561316051914</c:v>
                </c:pt>
                <c:pt idx="97">
                  <c:v>99.178426259682567</c:v>
                </c:pt>
                <c:pt idx="98">
                  <c:v>98.817969169414894</c:v>
                </c:pt>
                <c:pt idx="99">
                  <c:v>98.817969169414894</c:v>
                </c:pt>
                <c:pt idx="100">
                  <c:v>99.111319886494442</c:v>
                </c:pt>
                <c:pt idx="101">
                  <c:v>99.50820615077852</c:v>
                </c:pt>
                <c:pt idx="102">
                  <c:v>99.868663241046164</c:v>
                </c:pt>
                <c:pt idx="103">
                  <c:v>99.83127540455564</c:v>
                </c:pt>
                <c:pt idx="104">
                  <c:v>99.831275404555626</c:v>
                </c:pt>
                <c:pt idx="105">
                  <c:v>99.7756729810569</c:v>
                </c:pt>
                <c:pt idx="106">
                  <c:v>99.935769614234303</c:v>
                </c:pt>
                <c:pt idx="107">
                  <c:v>99.223483395966028</c:v>
                </c:pt>
                <c:pt idx="108">
                  <c:v>99.654881509318272</c:v>
                </c:pt>
                <c:pt idx="109">
                  <c:v>99.639542909732427</c:v>
                </c:pt>
                <c:pt idx="110">
                  <c:v>99.771838331160453</c:v>
                </c:pt>
                <c:pt idx="111">
                  <c:v>99.75362374415225</c:v>
                </c:pt>
                <c:pt idx="112">
                  <c:v>99.045172175780451</c:v>
                </c:pt>
                <c:pt idx="113">
                  <c:v>99.253201932663657</c:v>
                </c:pt>
                <c:pt idx="114">
                  <c:v>99.34715085512704</c:v>
                </c:pt>
                <c:pt idx="115">
                  <c:v>99.047089500728703</c:v>
                </c:pt>
                <c:pt idx="116">
                  <c:v>98.661707186134024</c:v>
                </c:pt>
                <c:pt idx="117">
                  <c:v>97.887107907048204</c:v>
                </c:pt>
                <c:pt idx="118">
                  <c:v>98.030907278165614</c:v>
                </c:pt>
                <c:pt idx="119">
                  <c:v>97.628269039036851</c:v>
                </c:pt>
                <c:pt idx="120">
                  <c:v>97.903405169108183</c:v>
                </c:pt>
                <c:pt idx="121">
                  <c:v>97.472965718230057</c:v>
                </c:pt>
                <c:pt idx="122">
                  <c:v>97.777820384998975</c:v>
                </c:pt>
                <c:pt idx="123">
                  <c:v>98.303167420814603</c:v>
                </c:pt>
                <c:pt idx="124">
                  <c:v>98.103765626198452</c:v>
                </c:pt>
                <c:pt idx="125">
                  <c:v>97.905322494056406</c:v>
                </c:pt>
                <c:pt idx="126">
                  <c:v>98.308919395659288</c:v>
                </c:pt>
                <c:pt idx="127">
                  <c:v>98.749904133752693</c:v>
                </c:pt>
                <c:pt idx="128">
                  <c:v>98.346307232149826</c:v>
                </c:pt>
                <c:pt idx="129">
                  <c:v>98.410537617915608</c:v>
                </c:pt>
                <c:pt idx="130">
                  <c:v>98.410537617915622</c:v>
                </c:pt>
                <c:pt idx="131">
                  <c:v>98.775788020553861</c:v>
                </c:pt>
                <c:pt idx="132">
                  <c:v>98.614732724902368</c:v>
                </c:pt>
                <c:pt idx="133">
                  <c:v>97.735639236137885</c:v>
                </c:pt>
                <c:pt idx="134">
                  <c:v>97.440371194110114</c:v>
                </c:pt>
                <c:pt idx="135">
                  <c:v>97.211250862796376</c:v>
                </c:pt>
                <c:pt idx="136">
                  <c:v>96.051269269115878</c:v>
                </c:pt>
                <c:pt idx="137">
                  <c:v>95.344735025692302</c:v>
                </c:pt>
                <c:pt idx="138">
                  <c:v>95.487575734335593</c:v>
                </c:pt>
                <c:pt idx="139">
                  <c:v>95.414717386302769</c:v>
                </c:pt>
                <c:pt idx="140">
                  <c:v>95.506748983817914</c:v>
                </c:pt>
                <c:pt idx="141">
                  <c:v>95.85474346192207</c:v>
                </c:pt>
                <c:pt idx="142">
                  <c:v>96.43856890865878</c:v>
                </c:pt>
                <c:pt idx="143">
                  <c:v>96.631260065956127</c:v>
                </c:pt>
                <c:pt idx="144">
                  <c:v>96.904478871079206</c:v>
                </c:pt>
                <c:pt idx="145">
                  <c:v>96.916941483242709</c:v>
                </c:pt>
                <c:pt idx="146">
                  <c:v>96.475956745149276</c:v>
                </c:pt>
                <c:pt idx="147">
                  <c:v>97.346422271646702</c:v>
                </c:pt>
                <c:pt idx="148">
                  <c:v>97.207416212899872</c:v>
                </c:pt>
                <c:pt idx="149">
                  <c:v>97.425032594524225</c:v>
                </c:pt>
                <c:pt idx="150">
                  <c:v>97.865058670143512</c:v>
                </c:pt>
                <c:pt idx="151">
                  <c:v>98.156492062274808</c:v>
                </c:pt>
                <c:pt idx="152">
                  <c:v>98.119104225784284</c:v>
                </c:pt>
                <c:pt idx="153">
                  <c:v>97.626351714088599</c:v>
                </c:pt>
                <c:pt idx="154">
                  <c:v>97.650318275941501</c:v>
                </c:pt>
                <c:pt idx="155">
                  <c:v>98.109517601043109</c:v>
                </c:pt>
                <c:pt idx="156">
                  <c:v>98.082675051767865</c:v>
                </c:pt>
                <c:pt idx="157">
                  <c:v>98.135401487844248</c:v>
                </c:pt>
                <c:pt idx="158">
                  <c:v>98.444090804509628</c:v>
                </c:pt>
                <c:pt idx="159">
                  <c:v>98.797837257458497</c:v>
                </c:pt>
                <c:pt idx="160">
                  <c:v>98.833307769000783</c:v>
                </c:pt>
                <c:pt idx="161">
                  <c:v>99.048048163202793</c:v>
                </c:pt>
                <c:pt idx="162">
                  <c:v>99.192806196794322</c:v>
                </c:pt>
                <c:pt idx="163">
                  <c:v>99.006825676815794</c:v>
                </c:pt>
                <c:pt idx="164">
                  <c:v>98.939719303627683</c:v>
                </c:pt>
                <c:pt idx="165">
                  <c:v>99.195682184216679</c:v>
                </c:pt>
                <c:pt idx="166">
                  <c:v>99.061469437840415</c:v>
                </c:pt>
                <c:pt idx="167">
                  <c:v>99.623245647672448</c:v>
                </c:pt>
                <c:pt idx="168">
                  <c:v>99.71335992023937</c:v>
                </c:pt>
                <c:pt idx="169">
                  <c:v>99.693228008282929</c:v>
                </c:pt>
                <c:pt idx="170">
                  <c:v>99.193764859268441</c:v>
                </c:pt>
                <c:pt idx="171">
                  <c:v>98.831390444052545</c:v>
                </c:pt>
                <c:pt idx="172">
                  <c:v>99.304969706265894</c:v>
                </c:pt>
                <c:pt idx="173">
                  <c:v>99.884001840632024</c:v>
                </c:pt>
                <c:pt idx="174">
                  <c:v>99.88400184063201</c:v>
                </c:pt>
                <c:pt idx="175">
                  <c:v>100.43235677582643</c:v>
                </c:pt>
                <c:pt idx="176">
                  <c:v>100.48795919932516</c:v>
                </c:pt>
                <c:pt idx="177">
                  <c:v>100.68640233146721</c:v>
                </c:pt>
                <c:pt idx="178">
                  <c:v>100.72283150548361</c:v>
                </c:pt>
                <c:pt idx="179">
                  <c:v>100.21761638162441</c:v>
                </c:pt>
                <c:pt idx="180">
                  <c:v>100.36237441521594</c:v>
                </c:pt>
                <c:pt idx="181">
                  <c:v>100.41893550118878</c:v>
                </c:pt>
                <c:pt idx="182">
                  <c:v>101.03823145946781</c:v>
                </c:pt>
                <c:pt idx="183">
                  <c:v>100.97112508627968</c:v>
                </c:pt>
                <c:pt idx="184">
                  <c:v>100.93948922463385</c:v>
                </c:pt>
                <c:pt idx="185">
                  <c:v>100.49850448654043</c:v>
                </c:pt>
                <c:pt idx="186">
                  <c:v>100.45632333767932</c:v>
                </c:pt>
                <c:pt idx="187">
                  <c:v>100.70174093105305</c:v>
                </c:pt>
                <c:pt idx="188">
                  <c:v>100.90881202546214</c:v>
                </c:pt>
                <c:pt idx="189">
                  <c:v>101.32103688933206</c:v>
                </c:pt>
                <c:pt idx="190">
                  <c:v>101.55111588311993</c:v>
                </c:pt>
                <c:pt idx="191">
                  <c:v>101.96909272183456</c:v>
                </c:pt>
                <c:pt idx="192">
                  <c:v>101.55399187054229</c:v>
                </c:pt>
                <c:pt idx="193">
                  <c:v>101.44086969859657</c:v>
                </c:pt>
                <c:pt idx="194">
                  <c:v>102.19917171562241</c:v>
                </c:pt>
                <c:pt idx="195">
                  <c:v>102.30750057519752</c:v>
                </c:pt>
                <c:pt idx="196">
                  <c:v>102.12631336758959</c:v>
                </c:pt>
                <c:pt idx="197">
                  <c:v>101.68053531712559</c:v>
                </c:pt>
                <c:pt idx="198">
                  <c:v>101.41115116189897</c:v>
                </c:pt>
                <c:pt idx="199">
                  <c:v>101.4370350487001</c:v>
                </c:pt>
                <c:pt idx="200">
                  <c:v>101.1935347802746</c:v>
                </c:pt>
                <c:pt idx="201">
                  <c:v>101.20503872996399</c:v>
                </c:pt>
                <c:pt idx="202">
                  <c:v>101.97005138430865</c:v>
                </c:pt>
                <c:pt idx="203">
                  <c:v>102.03428177007443</c:v>
                </c:pt>
                <c:pt idx="204">
                  <c:v>101.65081678042799</c:v>
                </c:pt>
                <c:pt idx="205">
                  <c:v>101.66232073011739</c:v>
                </c:pt>
                <c:pt idx="206">
                  <c:v>101.95758877214514</c:v>
                </c:pt>
                <c:pt idx="207">
                  <c:v>101.66232073011739</c:v>
                </c:pt>
                <c:pt idx="208">
                  <c:v>101.60671830661866</c:v>
                </c:pt>
                <c:pt idx="209">
                  <c:v>100.97975304854673</c:v>
                </c:pt>
                <c:pt idx="210">
                  <c:v>101.69491525423734</c:v>
                </c:pt>
                <c:pt idx="211">
                  <c:v>101.95567144719693</c:v>
                </c:pt>
                <c:pt idx="212">
                  <c:v>102.02277782038504</c:v>
                </c:pt>
                <c:pt idx="213">
                  <c:v>101.98251399647216</c:v>
                </c:pt>
                <c:pt idx="214">
                  <c:v>101.55495053301638</c:v>
                </c:pt>
                <c:pt idx="215">
                  <c:v>102.09180151852141</c:v>
                </c:pt>
                <c:pt idx="216">
                  <c:v>102.30366592530108</c:v>
                </c:pt>
                <c:pt idx="217">
                  <c:v>101.59617301940338</c:v>
                </c:pt>
                <c:pt idx="218">
                  <c:v>100.52438837334155</c:v>
                </c:pt>
                <c:pt idx="219">
                  <c:v>100.70365825600128</c:v>
                </c:pt>
                <c:pt idx="220">
                  <c:v>101.01714088503725</c:v>
                </c:pt>
                <c:pt idx="221">
                  <c:v>101.08904057059596</c:v>
                </c:pt>
                <c:pt idx="222">
                  <c:v>101.40731651200251</c:v>
                </c:pt>
                <c:pt idx="223">
                  <c:v>101.35459007592613</c:v>
                </c:pt>
                <c:pt idx="224">
                  <c:v>101.14176700667234</c:v>
                </c:pt>
                <c:pt idx="225">
                  <c:v>99.611741697983007</c:v>
                </c:pt>
                <c:pt idx="226">
                  <c:v>99.954942863716582</c:v>
                </c:pt>
                <c:pt idx="227">
                  <c:v>99.924265664544876</c:v>
                </c:pt>
                <c:pt idx="228">
                  <c:v>99.504371500882016</c:v>
                </c:pt>
                <c:pt idx="229">
                  <c:v>99.046130838254498</c:v>
                </c:pt>
                <c:pt idx="230">
                  <c:v>99.172674284837839</c:v>
                </c:pt>
                <c:pt idx="231">
                  <c:v>99.533131375105498</c:v>
                </c:pt>
                <c:pt idx="232">
                  <c:v>99.533131375105498</c:v>
                </c:pt>
                <c:pt idx="233">
                  <c:v>99.03366822609101</c:v>
                </c:pt>
                <c:pt idx="234">
                  <c:v>98.842894393741901</c:v>
                </c:pt>
                <c:pt idx="235">
                  <c:v>98.405744305544943</c:v>
                </c:pt>
                <c:pt idx="236">
                  <c:v>98.431628192346082</c:v>
                </c:pt>
                <c:pt idx="237">
                  <c:v>99.152542372881399</c:v>
                </c:pt>
                <c:pt idx="238">
                  <c:v>98.933967328782927</c:v>
                </c:pt>
                <c:pt idx="239">
                  <c:v>99.362489454712829</c:v>
                </c:pt>
                <c:pt idx="240">
                  <c:v>99.696103995705229</c:v>
                </c:pt>
                <c:pt idx="241">
                  <c:v>99.804432855280353</c:v>
                </c:pt>
                <c:pt idx="242">
                  <c:v>99.225400720914223</c:v>
                </c:pt>
                <c:pt idx="243">
                  <c:v>99.684600046015845</c:v>
                </c:pt>
                <c:pt idx="244">
                  <c:v>99.416174553263332</c:v>
                </c:pt>
                <c:pt idx="245">
                  <c:v>99.18705422194958</c:v>
                </c:pt>
                <c:pt idx="246">
                  <c:v>98.240854359996973</c:v>
                </c:pt>
                <c:pt idx="247">
                  <c:v>97.725093948922492</c:v>
                </c:pt>
                <c:pt idx="248">
                  <c:v>98.308919395659217</c:v>
                </c:pt>
                <c:pt idx="249">
                  <c:v>97.5880052151239</c:v>
                </c:pt>
                <c:pt idx="250">
                  <c:v>97.821918858808232</c:v>
                </c:pt>
                <c:pt idx="251">
                  <c:v>97.283150548354953</c:v>
                </c:pt>
                <c:pt idx="252">
                  <c:v>97.148937801978704</c:v>
                </c:pt>
                <c:pt idx="253">
                  <c:v>96.924610783035547</c:v>
                </c:pt>
                <c:pt idx="254">
                  <c:v>96.493212669683288</c:v>
                </c:pt>
                <c:pt idx="255">
                  <c:v>96.741506250479361</c:v>
                </c:pt>
                <c:pt idx="256">
                  <c:v>96.852711097476828</c:v>
                </c:pt>
                <c:pt idx="257">
                  <c:v>97.679078150164926</c:v>
                </c:pt>
                <c:pt idx="258">
                  <c:v>97.970511542296222</c:v>
                </c:pt>
                <c:pt idx="259">
                  <c:v>97.912991793849272</c:v>
                </c:pt>
                <c:pt idx="260">
                  <c:v>97.907239819004587</c:v>
                </c:pt>
                <c:pt idx="261">
                  <c:v>97.714548661707255</c:v>
                </c:pt>
                <c:pt idx="262">
                  <c:v>98.055832502492606</c:v>
                </c:pt>
                <c:pt idx="263">
                  <c:v>97.860265357772917</c:v>
                </c:pt>
                <c:pt idx="264">
                  <c:v>97.806580259222414</c:v>
                </c:pt>
                <c:pt idx="265">
                  <c:v>97.928330393435147</c:v>
                </c:pt>
                <c:pt idx="266">
                  <c:v>97.928330393435147</c:v>
                </c:pt>
                <c:pt idx="267">
                  <c:v>98.849605031060719</c:v>
                </c:pt>
                <c:pt idx="268">
                  <c:v>98.939719303627641</c:v>
                </c:pt>
                <c:pt idx="269">
                  <c:v>99.041337525883947</c:v>
                </c:pt>
                <c:pt idx="270">
                  <c:v>98.808382544673734</c:v>
                </c:pt>
                <c:pt idx="271">
                  <c:v>98.855357005905418</c:v>
                </c:pt>
                <c:pt idx="272">
                  <c:v>99.127617148554407</c:v>
                </c:pt>
                <c:pt idx="273">
                  <c:v>98.779622670450252</c:v>
                </c:pt>
                <c:pt idx="274">
                  <c:v>99.096939949382687</c:v>
                </c:pt>
                <c:pt idx="275">
                  <c:v>98.966561852902885</c:v>
                </c:pt>
                <c:pt idx="276">
                  <c:v>99.145831735562609</c:v>
                </c:pt>
                <c:pt idx="277">
                  <c:v>98.948347265894682</c:v>
                </c:pt>
                <c:pt idx="278">
                  <c:v>98.827555794156041</c:v>
                </c:pt>
                <c:pt idx="279">
                  <c:v>98.619526037272848</c:v>
                </c:pt>
                <c:pt idx="280">
                  <c:v>99.490950226244408</c:v>
                </c:pt>
                <c:pt idx="281">
                  <c:v>100.00671063731886</c:v>
                </c:pt>
                <c:pt idx="282">
                  <c:v>99.766086356315711</c:v>
                </c:pt>
                <c:pt idx="283">
                  <c:v>99.621328322724182</c:v>
                </c:pt>
                <c:pt idx="284">
                  <c:v>99.73636781961811</c:v>
                </c:pt>
                <c:pt idx="285">
                  <c:v>99.694186670756991</c:v>
                </c:pt>
                <c:pt idx="286">
                  <c:v>99.74595444435927</c:v>
                </c:pt>
                <c:pt idx="287">
                  <c:v>100.51576041107451</c:v>
                </c:pt>
                <c:pt idx="288">
                  <c:v>100.28759874223486</c:v>
                </c:pt>
                <c:pt idx="289">
                  <c:v>99.892629802899023</c:v>
                </c:pt>
                <c:pt idx="290">
                  <c:v>99.875373878364925</c:v>
                </c:pt>
                <c:pt idx="291">
                  <c:v>99.875373878364925</c:v>
                </c:pt>
                <c:pt idx="292">
                  <c:v>99.679806733645222</c:v>
                </c:pt>
                <c:pt idx="293">
                  <c:v>99.616535010353559</c:v>
                </c:pt>
                <c:pt idx="294">
                  <c:v>99.581064498811259</c:v>
                </c:pt>
                <c:pt idx="295">
                  <c:v>99.565725899225399</c:v>
                </c:pt>
                <c:pt idx="296">
                  <c:v>99.462190352020855</c:v>
                </c:pt>
                <c:pt idx="297">
                  <c:v>99.469859651813778</c:v>
                </c:pt>
                <c:pt idx="298">
                  <c:v>99.608865710560607</c:v>
                </c:pt>
                <c:pt idx="299">
                  <c:v>99.794846230539136</c:v>
                </c:pt>
                <c:pt idx="300">
                  <c:v>99.50820615077842</c:v>
                </c:pt>
                <c:pt idx="301">
                  <c:v>99.48807423882198</c:v>
                </c:pt>
                <c:pt idx="302">
                  <c:v>99.464107676969064</c:v>
                </c:pt>
                <c:pt idx="303">
                  <c:v>99.049965488150903</c:v>
                </c:pt>
                <c:pt idx="304">
                  <c:v>98.523659789861171</c:v>
                </c:pt>
                <c:pt idx="305">
                  <c:v>98.443132142035424</c:v>
                </c:pt>
                <c:pt idx="306">
                  <c:v>98.600352787790456</c:v>
                </c:pt>
                <c:pt idx="307">
                  <c:v>98.678963110667965</c:v>
                </c:pt>
                <c:pt idx="308">
                  <c:v>98.517907815016471</c:v>
                </c:pt>
                <c:pt idx="309">
                  <c:v>99.070097400107343</c:v>
                </c:pt>
                <c:pt idx="310">
                  <c:v>99.139121098243706</c:v>
                </c:pt>
                <c:pt idx="311">
                  <c:v>99.184178234527153</c:v>
                </c:pt>
                <c:pt idx="312">
                  <c:v>99.206227471431816</c:v>
                </c:pt>
                <c:pt idx="313">
                  <c:v>98.78633330776897</c:v>
                </c:pt>
                <c:pt idx="314">
                  <c:v>99.380704041720946</c:v>
                </c:pt>
                <c:pt idx="315">
                  <c:v>99.870580565994288</c:v>
                </c:pt>
                <c:pt idx="316">
                  <c:v>99.637625584784061</c:v>
                </c:pt>
                <c:pt idx="317">
                  <c:v>99.692269345808683</c:v>
                </c:pt>
                <c:pt idx="318">
                  <c:v>99.76225170641915</c:v>
                </c:pt>
                <c:pt idx="319">
                  <c:v>99.958777513612958</c:v>
                </c:pt>
                <c:pt idx="320">
                  <c:v>100.43331543830043</c:v>
                </c:pt>
                <c:pt idx="321">
                  <c:v>100.23966561852897</c:v>
                </c:pt>
                <c:pt idx="322">
                  <c:v>99.698021320653368</c:v>
                </c:pt>
                <c:pt idx="323">
                  <c:v>99.596403098397076</c:v>
                </c:pt>
                <c:pt idx="324">
                  <c:v>99.768962343737968</c:v>
                </c:pt>
                <c:pt idx="325">
                  <c:v>99.606948385612341</c:v>
                </c:pt>
                <c:pt idx="326">
                  <c:v>99.626121635094663</c:v>
                </c:pt>
                <c:pt idx="327">
                  <c:v>100.68927831888944</c:v>
                </c:pt>
                <c:pt idx="328">
                  <c:v>100.72091418053526</c:v>
                </c:pt>
                <c:pt idx="329">
                  <c:v>101.45716696065644</c:v>
                </c:pt>
                <c:pt idx="330">
                  <c:v>101.61630493135972</c:v>
                </c:pt>
                <c:pt idx="331">
                  <c:v>101.68053531712549</c:v>
                </c:pt>
                <c:pt idx="332">
                  <c:v>101.39197791241654</c:v>
                </c:pt>
                <c:pt idx="333">
                  <c:v>101.60096633177385</c:v>
                </c:pt>
                <c:pt idx="334">
                  <c:v>101.60288365672208</c:v>
                </c:pt>
                <c:pt idx="335">
                  <c:v>101.53481862105984</c:v>
                </c:pt>
                <c:pt idx="336">
                  <c:v>101.14368433162046</c:v>
                </c:pt>
                <c:pt idx="337">
                  <c:v>101.33062351407311</c:v>
                </c:pt>
                <c:pt idx="338">
                  <c:v>101.0919165580182</c:v>
                </c:pt>
                <c:pt idx="339">
                  <c:v>101.43032441138121</c:v>
                </c:pt>
                <c:pt idx="340">
                  <c:v>101.08904057059586</c:v>
                </c:pt>
                <c:pt idx="341">
                  <c:v>101.71408850371957</c:v>
                </c:pt>
                <c:pt idx="342">
                  <c:v>101.26159981593676</c:v>
                </c:pt>
                <c:pt idx="343">
                  <c:v>100.8302017025845</c:v>
                </c:pt>
                <c:pt idx="344">
                  <c:v>100.58094945931433</c:v>
                </c:pt>
                <c:pt idx="345">
                  <c:v>100.58190812178843</c:v>
                </c:pt>
                <c:pt idx="346">
                  <c:v>100.94715852442667</c:v>
                </c:pt>
                <c:pt idx="347">
                  <c:v>101.06794999616531</c:v>
                </c:pt>
                <c:pt idx="348">
                  <c:v>100.75926067949992</c:v>
                </c:pt>
                <c:pt idx="349">
                  <c:v>100.82732571516215</c:v>
                </c:pt>
                <c:pt idx="350">
                  <c:v>100.75830201702578</c:v>
                </c:pt>
                <c:pt idx="351">
                  <c:v>100.55602423498729</c:v>
                </c:pt>
                <c:pt idx="352">
                  <c:v>99.904133752588336</c:v>
                </c:pt>
                <c:pt idx="353">
                  <c:v>100.03163586164577</c:v>
                </c:pt>
                <c:pt idx="354">
                  <c:v>100.01725592453403</c:v>
                </c:pt>
                <c:pt idx="355">
                  <c:v>100.14188204616912</c:v>
                </c:pt>
                <c:pt idx="356">
                  <c:v>100.23391364368426</c:v>
                </c:pt>
                <c:pt idx="357">
                  <c:v>100.50233913643677</c:v>
                </c:pt>
                <c:pt idx="358">
                  <c:v>100.69407163126</c:v>
                </c:pt>
                <c:pt idx="359">
                  <c:v>100.31252396656178</c:v>
                </c:pt>
                <c:pt idx="360">
                  <c:v>100.31252396656178</c:v>
                </c:pt>
                <c:pt idx="361">
                  <c:v>100.2176163816243</c:v>
                </c:pt>
                <c:pt idx="362">
                  <c:v>100.69215430631178</c:v>
                </c:pt>
                <c:pt idx="363">
                  <c:v>100.33169721604412</c:v>
                </c:pt>
                <c:pt idx="364">
                  <c:v>100.30197867934652</c:v>
                </c:pt>
                <c:pt idx="365">
                  <c:v>99.775672981056772</c:v>
                </c:pt>
                <c:pt idx="366">
                  <c:v>99.749789094255632</c:v>
                </c:pt>
                <c:pt idx="367">
                  <c:v>99.912761714855378</c:v>
                </c:pt>
                <c:pt idx="368">
                  <c:v>99.755541069100332</c:v>
                </c:pt>
                <c:pt idx="369">
                  <c:v>100.52055372344499</c:v>
                </c:pt>
                <c:pt idx="370">
                  <c:v>100.76692997929281</c:v>
                </c:pt>
                <c:pt idx="371">
                  <c:v>100.85033361454092</c:v>
                </c:pt>
                <c:pt idx="372">
                  <c:v>100.29047472965709</c:v>
                </c:pt>
                <c:pt idx="373">
                  <c:v>100.8388296648515</c:v>
                </c:pt>
                <c:pt idx="374">
                  <c:v>101.18203083058508</c:v>
                </c:pt>
                <c:pt idx="375">
                  <c:v>101.20024541759328</c:v>
                </c:pt>
                <c:pt idx="376">
                  <c:v>100.5406856354014</c:v>
                </c:pt>
                <c:pt idx="377">
                  <c:v>100.5406856354014</c:v>
                </c:pt>
                <c:pt idx="378">
                  <c:v>100.87717616381616</c:v>
                </c:pt>
                <c:pt idx="379">
                  <c:v>101.08424725822523</c:v>
                </c:pt>
                <c:pt idx="380">
                  <c:v>100.77555794155984</c:v>
                </c:pt>
                <c:pt idx="381">
                  <c:v>100.90785336298786</c:v>
                </c:pt>
                <c:pt idx="382">
                  <c:v>101.3440447887107</c:v>
                </c:pt>
                <c:pt idx="383">
                  <c:v>101.2069560549121</c:v>
                </c:pt>
                <c:pt idx="384">
                  <c:v>101.18203083058508</c:v>
                </c:pt>
                <c:pt idx="385">
                  <c:v>101.22229465449796</c:v>
                </c:pt>
                <c:pt idx="386">
                  <c:v>101.04973540915704</c:v>
                </c:pt>
                <c:pt idx="387">
                  <c:v>100.73337679269872</c:v>
                </c:pt>
                <c:pt idx="388">
                  <c:v>100.73337679269872</c:v>
                </c:pt>
                <c:pt idx="389">
                  <c:v>100.22624434389131</c:v>
                </c:pt>
                <c:pt idx="390">
                  <c:v>100.34128384078524</c:v>
                </c:pt>
                <c:pt idx="391">
                  <c:v>100.47453792468737</c:v>
                </c:pt>
                <c:pt idx="392">
                  <c:v>100.39976225170631</c:v>
                </c:pt>
                <c:pt idx="393">
                  <c:v>99.826482092184875</c:v>
                </c:pt>
                <c:pt idx="394">
                  <c:v>99.492867551192461</c:v>
                </c:pt>
                <c:pt idx="395">
                  <c:v>99.587775136129963</c:v>
                </c:pt>
                <c:pt idx="396">
                  <c:v>99.661592146636892</c:v>
                </c:pt>
                <c:pt idx="397">
                  <c:v>99.16692230999297</c:v>
                </c:pt>
                <c:pt idx="398">
                  <c:v>99.590651123552291</c:v>
                </c:pt>
                <c:pt idx="399">
                  <c:v>99.80826750517663</c:v>
                </c:pt>
                <c:pt idx="400">
                  <c:v>99.736367819617925</c:v>
                </c:pt>
                <c:pt idx="401">
                  <c:v>99.868663241045937</c:v>
                </c:pt>
                <c:pt idx="402">
                  <c:v>99.817854129917777</c:v>
                </c:pt>
                <c:pt idx="403">
                  <c:v>99.804432855280155</c:v>
                </c:pt>
                <c:pt idx="404">
                  <c:v>99.757458394048456</c:v>
                </c:pt>
                <c:pt idx="405">
                  <c:v>100.00191732494807</c:v>
                </c:pt>
                <c:pt idx="406">
                  <c:v>100.00671063731865</c:v>
                </c:pt>
                <c:pt idx="407">
                  <c:v>99.565725899225228</c:v>
                </c:pt>
                <c:pt idx="408">
                  <c:v>99.897423115269405</c:v>
                </c:pt>
                <c:pt idx="409">
                  <c:v>98.730730884270088</c:v>
                </c:pt>
                <c:pt idx="410">
                  <c:v>98.246606334841459</c:v>
                </c:pt>
                <c:pt idx="411">
                  <c:v>98.510238515223392</c:v>
                </c:pt>
                <c:pt idx="412">
                  <c:v>98.740317509011277</c:v>
                </c:pt>
                <c:pt idx="413">
                  <c:v>98.76332540839006</c:v>
                </c:pt>
                <c:pt idx="414">
                  <c:v>98.701012347572487</c:v>
                </c:pt>
                <c:pt idx="415">
                  <c:v>98.704846997468962</c:v>
                </c:pt>
                <c:pt idx="416">
                  <c:v>98.147864100007496</c:v>
                </c:pt>
                <c:pt idx="417">
                  <c:v>98.152657412378076</c:v>
                </c:pt>
                <c:pt idx="418">
                  <c:v>98.558171638929181</c:v>
                </c:pt>
                <c:pt idx="419">
                  <c:v>98.077881739397</c:v>
                </c:pt>
                <c:pt idx="420">
                  <c:v>97.525692154306114</c:v>
                </c:pt>
                <c:pt idx="421">
                  <c:v>97.111549965487967</c:v>
                </c:pt>
                <c:pt idx="422">
                  <c:v>96.738630263056791</c:v>
                </c:pt>
                <c:pt idx="423">
                  <c:v>97.207416212899574</c:v>
                </c:pt>
                <c:pt idx="424">
                  <c:v>96.447196870925495</c:v>
                </c:pt>
                <c:pt idx="425">
                  <c:v>96.576616304931179</c:v>
                </c:pt>
                <c:pt idx="426">
                  <c:v>96.302438837333966</c:v>
                </c:pt>
                <c:pt idx="427">
                  <c:v>96.815323260986091</c:v>
                </c:pt>
                <c:pt idx="428">
                  <c:v>97.08374875373859</c:v>
                </c:pt>
                <c:pt idx="429">
                  <c:v>97.423115269575689</c:v>
                </c:pt>
                <c:pt idx="430">
                  <c:v>97.423115269575689</c:v>
                </c:pt>
                <c:pt idx="431">
                  <c:v>97.559245340900191</c:v>
                </c:pt>
                <c:pt idx="432">
                  <c:v>97.113467290436205</c:v>
                </c:pt>
                <c:pt idx="433">
                  <c:v>96.895850908811838</c:v>
                </c:pt>
                <c:pt idx="434">
                  <c:v>96.961998619525843</c:v>
                </c:pt>
                <c:pt idx="435">
                  <c:v>97.321497047319383</c:v>
                </c:pt>
                <c:pt idx="436">
                  <c:v>97.398190045248668</c:v>
                </c:pt>
                <c:pt idx="437">
                  <c:v>97.455709793695647</c:v>
                </c:pt>
                <c:pt idx="438">
                  <c:v>97.161400414142008</c:v>
                </c:pt>
                <c:pt idx="439">
                  <c:v>96.939949382621194</c:v>
                </c:pt>
                <c:pt idx="440">
                  <c:v>96.547856430707697</c:v>
                </c:pt>
                <c:pt idx="441">
                  <c:v>96.409809034434986</c:v>
                </c:pt>
                <c:pt idx="442">
                  <c:v>96.136590229311892</c:v>
                </c:pt>
                <c:pt idx="443">
                  <c:v>96.173978065802416</c:v>
                </c:pt>
                <c:pt idx="444">
                  <c:v>96.271761638162261</c:v>
                </c:pt>
                <c:pt idx="445">
                  <c:v>96.403098397116167</c:v>
                </c:pt>
                <c:pt idx="446">
                  <c:v>96.018674744995607</c:v>
                </c:pt>
                <c:pt idx="447">
                  <c:v>96.464452795459579</c:v>
                </c:pt>
                <c:pt idx="448">
                  <c:v>96.102078380243682</c:v>
                </c:pt>
                <c:pt idx="449">
                  <c:v>95.970741621289761</c:v>
                </c:pt>
                <c:pt idx="450">
                  <c:v>96.365710560625601</c:v>
                </c:pt>
                <c:pt idx="451">
                  <c:v>96.758762175013203</c:v>
                </c:pt>
                <c:pt idx="452">
                  <c:v>97.232341437226566</c:v>
                </c:pt>
                <c:pt idx="453">
                  <c:v>97.543906741314302</c:v>
                </c:pt>
                <c:pt idx="454">
                  <c:v>98.047204540225266</c:v>
                </c:pt>
                <c:pt idx="455">
                  <c:v>98.072129764552272</c:v>
                </c:pt>
                <c:pt idx="456">
                  <c:v>98.074047089500496</c:v>
                </c:pt>
                <c:pt idx="457">
                  <c:v>98.449842779354015</c:v>
                </c:pt>
                <c:pt idx="458">
                  <c:v>98.524618452335062</c:v>
                </c:pt>
                <c:pt idx="459">
                  <c:v>98.432586854819931</c:v>
                </c:pt>
                <c:pt idx="460">
                  <c:v>98.820845156836938</c:v>
                </c:pt>
                <c:pt idx="461">
                  <c:v>98.794961270035813</c:v>
                </c:pt>
                <c:pt idx="462">
                  <c:v>99.125699823605871</c:v>
                </c:pt>
                <c:pt idx="463">
                  <c:v>99.36728276708314</c:v>
                </c:pt>
                <c:pt idx="464">
                  <c:v>99.036544213513082</c:v>
                </c:pt>
                <c:pt idx="465">
                  <c:v>99.54175933737227</c:v>
                </c:pt>
                <c:pt idx="466">
                  <c:v>99.613659022930975</c:v>
                </c:pt>
                <c:pt idx="467">
                  <c:v>99.966446813405696</c:v>
                </c:pt>
                <c:pt idx="468">
                  <c:v>99.623245647672121</c:v>
                </c:pt>
                <c:pt idx="469">
                  <c:v>99.827440754658852</c:v>
                </c:pt>
                <c:pt idx="470">
                  <c:v>99.876332540838774</c:v>
                </c:pt>
                <c:pt idx="471">
                  <c:v>99.884001840631697</c:v>
                </c:pt>
                <c:pt idx="472">
                  <c:v>99.568601886647485</c:v>
                </c:pt>
                <c:pt idx="473">
                  <c:v>99.583940486233345</c:v>
                </c:pt>
                <c:pt idx="474">
                  <c:v>99.895505790321096</c:v>
                </c:pt>
                <c:pt idx="475">
                  <c:v>99.499578188511151</c:v>
                </c:pt>
                <c:pt idx="476">
                  <c:v>99.052841475573032</c:v>
                </c:pt>
                <c:pt idx="477">
                  <c:v>100.64517984507989</c:v>
                </c:pt>
                <c:pt idx="478">
                  <c:v>100.0556024234985</c:v>
                </c:pt>
                <c:pt idx="479">
                  <c:v>100.55410691003888</c:v>
                </c:pt>
                <c:pt idx="480">
                  <c:v>101.09766853286271</c:v>
                </c:pt>
                <c:pt idx="481">
                  <c:v>101.57028913260197</c:v>
                </c:pt>
                <c:pt idx="482">
                  <c:v>101.98155533399778</c:v>
                </c:pt>
                <c:pt idx="483">
                  <c:v>102.19150241582921</c:v>
                </c:pt>
                <c:pt idx="484">
                  <c:v>102.20779967788917</c:v>
                </c:pt>
                <c:pt idx="485">
                  <c:v>101.81091341360509</c:v>
                </c:pt>
                <c:pt idx="486">
                  <c:v>101.75531099010635</c:v>
                </c:pt>
                <c:pt idx="487">
                  <c:v>102.20875834036327</c:v>
                </c:pt>
                <c:pt idx="488">
                  <c:v>102.50977835723573</c:v>
                </c:pt>
                <c:pt idx="489">
                  <c:v>103.06292660480072</c:v>
                </c:pt>
                <c:pt idx="490">
                  <c:v>102.35639236137713</c:v>
                </c:pt>
                <c:pt idx="491">
                  <c:v>102.54620753125212</c:v>
                </c:pt>
                <c:pt idx="492">
                  <c:v>101.6642380550653</c:v>
                </c:pt>
                <c:pt idx="493">
                  <c:v>101.6642380550653</c:v>
                </c:pt>
                <c:pt idx="494">
                  <c:v>101.45333231075976</c:v>
                </c:pt>
                <c:pt idx="495">
                  <c:v>102.02373648285885</c:v>
                </c:pt>
                <c:pt idx="496">
                  <c:v>101.94416749750721</c:v>
                </c:pt>
                <c:pt idx="497">
                  <c:v>101.89623437380141</c:v>
                </c:pt>
                <c:pt idx="498">
                  <c:v>101.331582176547</c:v>
                </c:pt>
                <c:pt idx="499">
                  <c:v>101.65561009279826</c:v>
                </c:pt>
                <c:pt idx="500">
                  <c:v>101.73805506557224</c:v>
                </c:pt>
                <c:pt idx="501">
                  <c:v>101.98443132142008</c:v>
                </c:pt>
                <c:pt idx="502">
                  <c:v>102.2844926758184</c:v>
                </c:pt>
                <c:pt idx="503">
                  <c:v>102.53757956898505</c:v>
                </c:pt>
                <c:pt idx="504">
                  <c:v>102.570174093105</c:v>
                </c:pt>
                <c:pt idx="505">
                  <c:v>102.6056446046473</c:v>
                </c:pt>
                <c:pt idx="506">
                  <c:v>102.25381547664668</c:v>
                </c:pt>
                <c:pt idx="507">
                  <c:v>103.29492292353677</c:v>
                </c:pt>
                <c:pt idx="508">
                  <c:v>103.68126390060557</c:v>
                </c:pt>
                <c:pt idx="509">
                  <c:v>102.91337525883857</c:v>
                </c:pt>
                <c:pt idx="510">
                  <c:v>103.35052534703553</c:v>
                </c:pt>
                <c:pt idx="511">
                  <c:v>103.5575964414446</c:v>
                </c:pt>
                <c:pt idx="512">
                  <c:v>103.43297031980951</c:v>
                </c:pt>
                <c:pt idx="513">
                  <c:v>103.33614540992379</c:v>
                </c:pt>
                <c:pt idx="514">
                  <c:v>103.47131681877417</c:v>
                </c:pt>
                <c:pt idx="515">
                  <c:v>103.81931129687833</c:v>
                </c:pt>
                <c:pt idx="516">
                  <c:v>104.69457013574633</c:v>
                </c:pt>
                <c:pt idx="517">
                  <c:v>104.30055985888461</c:v>
                </c:pt>
                <c:pt idx="518">
                  <c:v>103.63237211442568</c:v>
                </c:pt>
                <c:pt idx="519">
                  <c:v>103.89792161975585</c:v>
                </c:pt>
                <c:pt idx="520">
                  <c:v>104.42326865557148</c:v>
                </c:pt>
                <c:pt idx="521">
                  <c:v>104.49804432855254</c:v>
                </c:pt>
                <c:pt idx="522">
                  <c:v>104.96107830355061</c:v>
                </c:pt>
                <c:pt idx="523">
                  <c:v>105.27264360763836</c:v>
                </c:pt>
                <c:pt idx="524">
                  <c:v>104.59966255080884</c:v>
                </c:pt>
                <c:pt idx="525">
                  <c:v>104.41368203083032</c:v>
                </c:pt>
                <c:pt idx="526">
                  <c:v>104.31877444589281</c:v>
                </c:pt>
                <c:pt idx="527">
                  <c:v>104.68881816090165</c:v>
                </c:pt>
                <c:pt idx="528">
                  <c:v>104.68881816090165</c:v>
                </c:pt>
                <c:pt idx="529">
                  <c:v>103.40229312063782</c:v>
                </c:pt>
                <c:pt idx="530">
                  <c:v>103.49911803052355</c:v>
                </c:pt>
                <c:pt idx="531">
                  <c:v>103.40421044558605</c:v>
                </c:pt>
                <c:pt idx="532">
                  <c:v>102.81175703658229</c:v>
                </c:pt>
                <c:pt idx="533">
                  <c:v>102.73027072628241</c:v>
                </c:pt>
                <c:pt idx="534">
                  <c:v>103.23165120024514</c:v>
                </c:pt>
                <c:pt idx="535">
                  <c:v>103.35244267198377</c:v>
                </c:pt>
                <c:pt idx="536">
                  <c:v>103.1818007515911</c:v>
                </c:pt>
                <c:pt idx="537">
                  <c:v>103.74357696142313</c:v>
                </c:pt>
                <c:pt idx="538">
                  <c:v>104.37629419433976</c:v>
                </c:pt>
                <c:pt idx="539">
                  <c:v>103.36586394662137</c:v>
                </c:pt>
                <c:pt idx="540">
                  <c:v>103.00061354398314</c:v>
                </c:pt>
                <c:pt idx="541">
                  <c:v>103.10127310376532</c:v>
                </c:pt>
                <c:pt idx="542">
                  <c:v>103.46652350640356</c:v>
                </c:pt>
                <c:pt idx="543">
                  <c:v>103.72056906204432</c:v>
                </c:pt>
                <c:pt idx="544">
                  <c:v>103.37545057136252</c:v>
                </c:pt>
                <c:pt idx="545">
                  <c:v>103.36586394662135</c:v>
                </c:pt>
                <c:pt idx="546">
                  <c:v>102.78395582483286</c:v>
                </c:pt>
                <c:pt idx="547">
                  <c:v>102.16945317892444</c:v>
                </c:pt>
                <c:pt idx="548">
                  <c:v>102.16945317892444</c:v>
                </c:pt>
                <c:pt idx="549">
                  <c:v>102.53374491908856</c:v>
                </c:pt>
                <c:pt idx="550">
                  <c:v>102.63728046629311</c:v>
                </c:pt>
                <c:pt idx="551">
                  <c:v>101.87610246184491</c:v>
                </c:pt>
                <c:pt idx="552">
                  <c:v>102.11576808037394</c:v>
                </c:pt>
                <c:pt idx="553">
                  <c:v>102.10618145563278</c:v>
                </c:pt>
                <c:pt idx="554">
                  <c:v>101.83679730040615</c:v>
                </c:pt>
                <c:pt idx="555">
                  <c:v>101.93362221029187</c:v>
                </c:pt>
                <c:pt idx="556">
                  <c:v>102.74560932586822</c:v>
                </c:pt>
                <c:pt idx="557">
                  <c:v>103.11181839098057</c:v>
                </c:pt>
                <c:pt idx="558">
                  <c:v>102.25956745149135</c:v>
                </c:pt>
                <c:pt idx="559">
                  <c:v>101.31816090190932</c:v>
                </c:pt>
                <c:pt idx="560">
                  <c:v>99.942480251552695</c:v>
                </c:pt>
                <c:pt idx="561">
                  <c:v>99.727739857350699</c:v>
                </c:pt>
                <c:pt idx="562">
                  <c:v>99.520668762941611</c:v>
                </c:pt>
                <c:pt idx="563">
                  <c:v>99.33660556791132</c:v>
                </c:pt>
                <c:pt idx="564">
                  <c:v>98.676087123245324</c:v>
                </c:pt>
                <c:pt idx="565">
                  <c:v>99.304969706265496</c:v>
                </c:pt>
                <c:pt idx="566">
                  <c:v>99.537924687475694</c:v>
                </c:pt>
                <c:pt idx="567">
                  <c:v>99.418091878211186</c:v>
                </c:pt>
                <c:pt idx="568">
                  <c:v>99.192806196793896</c:v>
                </c:pt>
                <c:pt idx="569">
                  <c:v>98.638699286754786</c:v>
                </c:pt>
                <c:pt idx="570">
                  <c:v>98.831390444052133</c:v>
                </c:pt>
                <c:pt idx="571">
                  <c:v>99.218690083595035</c:v>
                </c:pt>
                <c:pt idx="572">
                  <c:v>99.455479714701724</c:v>
                </c:pt>
                <c:pt idx="573">
                  <c:v>99.639542909732015</c:v>
                </c:pt>
                <c:pt idx="574">
                  <c:v>99.538883349949828</c:v>
                </c:pt>
                <c:pt idx="575">
                  <c:v>99.899340440217486</c:v>
                </c:pt>
                <c:pt idx="576">
                  <c:v>99.693228008282532</c:v>
                </c:pt>
                <c:pt idx="577">
                  <c:v>99.421926528107662</c:v>
                </c:pt>
                <c:pt idx="578">
                  <c:v>99.588733798603855</c:v>
                </c:pt>
                <c:pt idx="579">
                  <c:v>99.652005521895518</c:v>
                </c:pt>
                <c:pt idx="580">
                  <c:v>99.21293810875035</c:v>
                </c:pt>
                <c:pt idx="581">
                  <c:v>97.58704655264944</c:v>
                </c:pt>
                <c:pt idx="582">
                  <c:v>98.519825139964425</c:v>
                </c:pt>
                <c:pt idx="583">
                  <c:v>98.7153922846841</c:v>
                </c:pt>
                <c:pt idx="584">
                  <c:v>98.455594754198628</c:v>
                </c:pt>
                <c:pt idx="585">
                  <c:v>98.380819081217595</c:v>
                </c:pt>
                <c:pt idx="586">
                  <c:v>96.451031520821857</c:v>
                </c:pt>
                <c:pt idx="587">
                  <c:v>95.762711864406484</c:v>
                </c:pt>
                <c:pt idx="588">
                  <c:v>95.28817393971903</c:v>
                </c:pt>
                <c:pt idx="589">
                  <c:v>95.829818237594637</c:v>
                </c:pt>
                <c:pt idx="590">
                  <c:v>95.044673671293538</c:v>
                </c:pt>
                <c:pt idx="591">
                  <c:v>95.031252396655916</c:v>
                </c:pt>
                <c:pt idx="592">
                  <c:v>93.991103612239925</c:v>
                </c:pt>
                <c:pt idx="593">
                  <c:v>94.610399570518936</c:v>
                </c:pt>
                <c:pt idx="594">
                  <c:v>95.517294271032767</c:v>
                </c:pt>
                <c:pt idx="595">
                  <c:v>95.068640233146439</c:v>
                </c:pt>
                <c:pt idx="596">
                  <c:v>95.151085205920424</c:v>
                </c:pt>
                <c:pt idx="597">
                  <c:v>94.705307155456438</c:v>
                </c:pt>
                <c:pt idx="598">
                  <c:v>94.924840862029029</c:v>
                </c:pt>
                <c:pt idx="599">
                  <c:v>95.166423805506284</c:v>
                </c:pt>
                <c:pt idx="600">
                  <c:v>95.918015185213321</c:v>
                </c:pt>
                <c:pt idx="601">
                  <c:v>95.712861415752471</c:v>
                </c:pt>
                <c:pt idx="602">
                  <c:v>95.521128920929243</c:v>
                </c:pt>
                <c:pt idx="603">
                  <c:v>94.952642073778392</c:v>
                </c:pt>
                <c:pt idx="604">
                  <c:v>95.324603113735449</c:v>
                </c:pt>
                <c:pt idx="605">
                  <c:v>96.335992023927943</c:v>
                </c:pt>
                <c:pt idx="606">
                  <c:v>96.027302707262564</c:v>
                </c:pt>
                <c:pt idx="607">
                  <c:v>97.399148707722716</c:v>
                </c:pt>
                <c:pt idx="608">
                  <c:v>96.658102615230945</c:v>
                </c:pt>
                <c:pt idx="609">
                  <c:v>96.70315975151442</c:v>
                </c:pt>
                <c:pt idx="610">
                  <c:v>96.565112355241695</c:v>
                </c:pt>
                <c:pt idx="611">
                  <c:v>96.773142112124887</c:v>
                </c:pt>
                <c:pt idx="612">
                  <c:v>96.142342204156478</c:v>
                </c:pt>
                <c:pt idx="613">
                  <c:v>95.844198174706364</c:v>
                </c:pt>
                <c:pt idx="614">
                  <c:v>95.324603113735421</c:v>
                </c:pt>
                <c:pt idx="615">
                  <c:v>95.721489378019484</c:v>
                </c:pt>
                <c:pt idx="616">
                  <c:v>94.917171562236064</c:v>
                </c:pt>
                <c:pt idx="617">
                  <c:v>94.917171562236064</c:v>
                </c:pt>
                <c:pt idx="618">
                  <c:v>95.315016488994246</c:v>
                </c:pt>
                <c:pt idx="619">
                  <c:v>95.660134979676045</c:v>
                </c:pt>
                <c:pt idx="620">
                  <c:v>95.107945394585172</c:v>
                </c:pt>
                <c:pt idx="621">
                  <c:v>95.155878518290976</c:v>
                </c:pt>
                <c:pt idx="622">
                  <c:v>94.557673134442524</c:v>
                </c:pt>
                <c:pt idx="623">
                  <c:v>95.060012270879369</c:v>
                </c:pt>
                <c:pt idx="624">
                  <c:v>94.648746069483551</c:v>
                </c:pt>
                <c:pt idx="625">
                  <c:v>94.623820845156516</c:v>
                </c:pt>
                <c:pt idx="626">
                  <c:v>95.043715008819362</c:v>
                </c:pt>
                <c:pt idx="627">
                  <c:v>94.372651276938086</c:v>
                </c:pt>
                <c:pt idx="628">
                  <c:v>94.974691310683014</c:v>
                </c:pt>
                <c:pt idx="629">
                  <c:v>94.527954597744923</c:v>
                </c:pt>
                <c:pt idx="630">
                  <c:v>93.854014878441305</c:v>
                </c:pt>
                <c:pt idx="631">
                  <c:v>94.117647058823238</c:v>
                </c:pt>
                <c:pt idx="632">
                  <c:v>93.663241046092196</c:v>
                </c:pt>
                <c:pt idx="633">
                  <c:v>94.326635478180549</c:v>
                </c:pt>
                <c:pt idx="634">
                  <c:v>94.397576501265149</c:v>
                </c:pt>
                <c:pt idx="635">
                  <c:v>94.397576501265149</c:v>
                </c:pt>
                <c:pt idx="636">
                  <c:v>94.219265281079544</c:v>
                </c:pt>
                <c:pt idx="637">
                  <c:v>93.958509088119982</c:v>
                </c:pt>
                <c:pt idx="638">
                  <c:v>93.421658102614956</c:v>
                </c:pt>
                <c:pt idx="639">
                  <c:v>93.251974844696392</c:v>
                </c:pt>
                <c:pt idx="640">
                  <c:v>92.762098320423064</c:v>
                </c:pt>
                <c:pt idx="641">
                  <c:v>93.019978525960312</c:v>
                </c:pt>
                <c:pt idx="642">
                  <c:v>92.50421811488583</c:v>
                </c:pt>
                <c:pt idx="643">
                  <c:v>92.479292890558824</c:v>
                </c:pt>
                <c:pt idx="644">
                  <c:v>92.442863716542419</c:v>
                </c:pt>
                <c:pt idx="645">
                  <c:v>92.819618068870042</c:v>
                </c:pt>
                <c:pt idx="646">
                  <c:v>92.819618068870042</c:v>
                </c:pt>
                <c:pt idx="647">
                  <c:v>93.125431398113079</c:v>
                </c:pt>
                <c:pt idx="648">
                  <c:v>93.155149934810666</c:v>
                </c:pt>
                <c:pt idx="649">
                  <c:v>93.181033821611805</c:v>
                </c:pt>
                <c:pt idx="650">
                  <c:v>93.29894930592809</c:v>
                </c:pt>
                <c:pt idx="651">
                  <c:v>93.497392438070122</c:v>
                </c:pt>
                <c:pt idx="652">
                  <c:v>93.721719457013293</c:v>
                </c:pt>
                <c:pt idx="653">
                  <c:v>94.246107830354802</c:v>
                </c:pt>
                <c:pt idx="654">
                  <c:v>94.020822148937526</c:v>
                </c:pt>
                <c:pt idx="655">
                  <c:v>94.37648592683459</c:v>
                </c:pt>
                <c:pt idx="656">
                  <c:v>94.138737633253797</c:v>
                </c:pt>
                <c:pt idx="657">
                  <c:v>93.536697599508869</c:v>
                </c:pt>
                <c:pt idx="658">
                  <c:v>93.102423498734268</c:v>
                </c:pt>
                <c:pt idx="659">
                  <c:v>92.935616228238061</c:v>
                </c:pt>
                <c:pt idx="660">
                  <c:v>93.109134136053072</c:v>
                </c:pt>
                <c:pt idx="661">
                  <c:v>93.372766316435005</c:v>
                </c:pt>
                <c:pt idx="662">
                  <c:v>94.327594140654639</c:v>
                </c:pt>
                <c:pt idx="663">
                  <c:v>94.569177084131908</c:v>
                </c:pt>
                <c:pt idx="664">
                  <c:v>95.469361147326936</c:v>
                </c:pt>
                <c:pt idx="665">
                  <c:v>95.619871155763164</c:v>
                </c:pt>
                <c:pt idx="666">
                  <c:v>94.840478564306778</c:v>
                </c:pt>
                <c:pt idx="667">
                  <c:v>94.510698673210825</c:v>
                </c:pt>
                <c:pt idx="668">
                  <c:v>94.505905360840259</c:v>
                </c:pt>
                <c:pt idx="669">
                  <c:v>93.932625201318828</c:v>
                </c:pt>
                <c:pt idx="670">
                  <c:v>94.168456169951384</c:v>
                </c:pt>
                <c:pt idx="671">
                  <c:v>93.957550425645834</c:v>
                </c:pt>
                <c:pt idx="672">
                  <c:v>94.29499961653471</c:v>
                </c:pt>
                <c:pt idx="673">
                  <c:v>93.878940102768311</c:v>
                </c:pt>
                <c:pt idx="674">
                  <c:v>93.624894547127539</c:v>
                </c:pt>
                <c:pt idx="675">
                  <c:v>94.047664698212742</c:v>
                </c:pt>
                <c:pt idx="676">
                  <c:v>93.672827670833357</c:v>
                </c:pt>
                <c:pt idx="677">
                  <c:v>93.965219725438757</c:v>
                </c:pt>
                <c:pt idx="678">
                  <c:v>94.063003297798602</c:v>
                </c:pt>
                <c:pt idx="679">
                  <c:v>94.025615461308064</c:v>
                </c:pt>
                <c:pt idx="680">
                  <c:v>94.438798987652092</c:v>
                </c:pt>
                <c:pt idx="681">
                  <c:v>93.564498811258204</c:v>
                </c:pt>
                <c:pt idx="682">
                  <c:v>94.253777130147682</c:v>
                </c:pt>
                <c:pt idx="683">
                  <c:v>94.06587928522093</c:v>
                </c:pt>
                <c:pt idx="684">
                  <c:v>94.070672597591496</c:v>
                </c:pt>
                <c:pt idx="685">
                  <c:v>93.697752895160349</c:v>
                </c:pt>
                <c:pt idx="686">
                  <c:v>93.651737096402769</c:v>
                </c:pt>
                <c:pt idx="687">
                  <c:v>93.651737096402769</c:v>
                </c:pt>
                <c:pt idx="688">
                  <c:v>94.281578341897045</c:v>
                </c:pt>
                <c:pt idx="689">
                  <c:v>94.028491448730392</c:v>
                </c:pt>
                <c:pt idx="690">
                  <c:v>94.24035585551006</c:v>
                </c:pt>
                <c:pt idx="691">
                  <c:v>93.68816627041916</c:v>
                </c:pt>
                <c:pt idx="692">
                  <c:v>93.02573050080494</c:v>
                </c:pt>
                <c:pt idx="693">
                  <c:v>93.342089117263257</c:v>
                </c:pt>
                <c:pt idx="694">
                  <c:v>93.332502492522082</c:v>
                </c:pt>
                <c:pt idx="695">
                  <c:v>93.496433775595946</c:v>
                </c:pt>
                <c:pt idx="696">
                  <c:v>93.504103075388869</c:v>
                </c:pt>
                <c:pt idx="697">
                  <c:v>93.419740777666647</c:v>
                </c:pt>
                <c:pt idx="698">
                  <c:v>92.269345808727323</c:v>
                </c:pt>
                <c:pt idx="699">
                  <c:v>92.530102001686899</c:v>
                </c:pt>
                <c:pt idx="700">
                  <c:v>92.962458777513277</c:v>
                </c:pt>
                <c:pt idx="701">
                  <c:v>93.249098857273978</c:v>
                </c:pt>
                <c:pt idx="702">
                  <c:v>92.966293427409738</c:v>
                </c:pt>
                <c:pt idx="703">
                  <c:v>92.887683104532229</c:v>
                </c:pt>
                <c:pt idx="704">
                  <c:v>93.4868471508548</c:v>
                </c:pt>
                <c:pt idx="705">
                  <c:v>94.155034895313733</c:v>
                </c:pt>
                <c:pt idx="706">
                  <c:v>93.780197867934334</c:v>
                </c:pt>
                <c:pt idx="707">
                  <c:v>93.550118874146477</c:v>
                </c:pt>
                <c:pt idx="708">
                  <c:v>93.422616765089032</c:v>
                </c:pt>
                <c:pt idx="709">
                  <c:v>93.355510391900921</c:v>
                </c:pt>
                <c:pt idx="710">
                  <c:v>93.507937725285387</c:v>
                </c:pt>
                <c:pt idx="711">
                  <c:v>93.388104916020865</c:v>
                </c:pt>
                <c:pt idx="712">
                  <c:v>93.763900605874383</c:v>
                </c:pt>
                <c:pt idx="713">
                  <c:v>94.221182606027782</c:v>
                </c:pt>
                <c:pt idx="714">
                  <c:v>94.562466446813119</c:v>
                </c:pt>
                <c:pt idx="715">
                  <c:v>95.180803742618011</c:v>
                </c:pt>
                <c:pt idx="716">
                  <c:v>94.650663394431803</c:v>
                </c:pt>
                <c:pt idx="717">
                  <c:v>94.936344811718413</c:v>
                </c:pt>
                <c:pt idx="718">
                  <c:v>94.725439067412879</c:v>
                </c:pt>
                <c:pt idx="719">
                  <c:v>94.467558861875645</c:v>
                </c:pt>
                <c:pt idx="720">
                  <c:v>94.037119410997505</c:v>
                </c:pt>
                <c:pt idx="721">
                  <c:v>94.132985658409112</c:v>
                </c:pt>
                <c:pt idx="722">
                  <c:v>94.289247641690039</c:v>
                </c:pt>
                <c:pt idx="723">
                  <c:v>94.630531482475376</c:v>
                </c:pt>
                <c:pt idx="724">
                  <c:v>94.594102308458957</c:v>
                </c:pt>
                <c:pt idx="725">
                  <c:v>94.647787407009446</c:v>
                </c:pt>
                <c:pt idx="726">
                  <c:v>94.665043331543544</c:v>
                </c:pt>
                <c:pt idx="727">
                  <c:v>94.48864943630619</c:v>
                </c:pt>
                <c:pt idx="728">
                  <c:v>94.383196564153423</c:v>
                </c:pt>
                <c:pt idx="729">
                  <c:v>94.928675511925505</c:v>
                </c:pt>
                <c:pt idx="730">
                  <c:v>95.24119947848736</c:v>
                </c:pt>
                <c:pt idx="731">
                  <c:v>95.511542296188111</c:v>
                </c:pt>
                <c:pt idx="732">
                  <c:v>95.58535930669504</c:v>
                </c:pt>
                <c:pt idx="733">
                  <c:v>95.933353784799181</c:v>
                </c:pt>
                <c:pt idx="734">
                  <c:v>95.922808497583915</c:v>
                </c:pt>
                <c:pt idx="735">
                  <c:v>95.468402484852874</c:v>
                </c:pt>
                <c:pt idx="736">
                  <c:v>95.359114962803645</c:v>
                </c:pt>
                <c:pt idx="737">
                  <c:v>95.350487000536603</c:v>
                </c:pt>
                <c:pt idx="738">
                  <c:v>95.210522279315654</c:v>
                </c:pt>
                <c:pt idx="739">
                  <c:v>95.266124702814395</c:v>
                </c:pt>
                <c:pt idx="740">
                  <c:v>94.955518061200777</c:v>
                </c:pt>
                <c:pt idx="741">
                  <c:v>95.098358769844083</c:v>
                </c:pt>
                <c:pt idx="742">
                  <c:v>95.375412224863638</c:v>
                </c:pt>
                <c:pt idx="743">
                  <c:v>95.338024388373114</c:v>
                </c:pt>
                <c:pt idx="744">
                  <c:v>96.011005445202628</c:v>
                </c:pt>
                <c:pt idx="745">
                  <c:v>95.952527034281545</c:v>
                </c:pt>
                <c:pt idx="746">
                  <c:v>95.974576271186208</c:v>
                </c:pt>
                <c:pt idx="747">
                  <c:v>95.935271109747447</c:v>
                </c:pt>
                <c:pt idx="748">
                  <c:v>95.472237134749349</c:v>
                </c:pt>
                <c:pt idx="749">
                  <c:v>95.408006748983581</c:v>
                </c:pt>
                <c:pt idx="750">
                  <c:v>95.408006748983581</c:v>
                </c:pt>
                <c:pt idx="751">
                  <c:v>95.298719226934338</c:v>
                </c:pt>
                <c:pt idx="752">
                  <c:v>95.254620753124982</c:v>
                </c:pt>
                <c:pt idx="753">
                  <c:v>95.191349029833333</c:v>
                </c:pt>
                <c:pt idx="754">
                  <c:v>94.712017792775271</c:v>
                </c:pt>
                <c:pt idx="755">
                  <c:v>94.862527801211499</c:v>
                </c:pt>
                <c:pt idx="756">
                  <c:v>94.570135746606084</c:v>
                </c:pt>
                <c:pt idx="757">
                  <c:v>94.663126006595348</c:v>
                </c:pt>
                <c:pt idx="758">
                  <c:v>94.761868241429312</c:v>
                </c:pt>
                <c:pt idx="759">
                  <c:v>94.357312677352311</c:v>
                </c:pt>
                <c:pt idx="760">
                  <c:v>94.278702354474788</c:v>
                </c:pt>
                <c:pt idx="761">
                  <c:v>94.326635478180606</c:v>
                </c:pt>
                <c:pt idx="762">
                  <c:v>94.109977759030372</c:v>
                </c:pt>
                <c:pt idx="763">
                  <c:v>93.751437993710937</c:v>
                </c:pt>
                <c:pt idx="764">
                  <c:v>93.950839788327087</c:v>
                </c:pt>
                <c:pt idx="765">
                  <c:v>94.033284761101072</c:v>
                </c:pt>
                <c:pt idx="766">
                  <c:v>94.190505406856104</c:v>
                </c:pt>
                <c:pt idx="767">
                  <c:v>93.904823989569508</c:v>
                </c:pt>
                <c:pt idx="768">
                  <c:v>93.577920085895926</c:v>
                </c:pt>
                <c:pt idx="769">
                  <c:v>93.643109134135827</c:v>
                </c:pt>
                <c:pt idx="770">
                  <c:v>93.659406396195791</c:v>
                </c:pt>
                <c:pt idx="771">
                  <c:v>93.692000920315749</c:v>
                </c:pt>
                <c:pt idx="772">
                  <c:v>93.905782652043655</c:v>
                </c:pt>
                <c:pt idx="773">
                  <c:v>93.993979599662325</c:v>
                </c:pt>
                <c:pt idx="774">
                  <c:v>94.100391134289225</c:v>
                </c:pt>
                <c:pt idx="775">
                  <c:v>93.931666538844794</c:v>
                </c:pt>
                <c:pt idx="776">
                  <c:v>94.252818467673691</c:v>
                </c:pt>
                <c:pt idx="777">
                  <c:v>94.353478027455893</c:v>
                </c:pt>
                <c:pt idx="778">
                  <c:v>94.608482245570769</c:v>
                </c:pt>
                <c:pt idx="779">
                  <c:v>94.802132065342221</c:v>
                </c:pt>
                <c:pt idx="780">
                  <c:v>94.549045172175568</c:v>
                </c:pt>
                <c:pt idx="781">
                  <c:v>94.820346652350437</c:v>
                </c:pt>
                <c:pt idx="782">
                  <c:v>94.818429327402185</c:v>
                </c:pt>
                <c:pt idx="783">
                  <c:v>95.024541759337154</c:v>
                </c:pt>
                <c:pt idx="784">
                  <c:v>95.100276094792321</c:v>
                </c:pt>
                <c:pt idx="785">
                  <c:v>95.100276094792335</c:v>
                </c:pt>
                <c:pt idx="786">
                  <c:v>94.369775289515857</c:v>
                </c:pt>
                <c:pt idx="787">
                  <c:v>94.488649436306261</c:v>
                </c:pt>
                <c:pt idx="788">
                  <c:v>94.117647058823323</c:v>
                </c:pt>
                <c:pt idx="789">
                  <c:v>93.37755962880567</c:v>
                </c:pt>
                <c:pt idx="790">
                  <c:v>92.853171255464162</c:v>
                </c:pt>
                <c:pt idx="791">
                  <c:v>92.08048930132658</c:v>
                </c:pt>
                <c:pt idx="792">
                  <c:v>92.294271033054471</c:v>
                </c:pt>
                <c:pt idx="793">
                  <c:v>92.162934274100564</c:v>
                </c:pt>
                <c:pt idx="794">
                  <c:v>92.855088580412385</c:v>
                </c:pt>
                <c:pt idx="795">
                  <c:v>93.461921926527893</c:v>
                </c:pt>
                <c:pt idx="796">
                  <c:v>93.278817393971707</c:v>
                </c:pt>
                <c:pt idx="797">
                  <c:v>93.459045939105536</c:v>
                </c:pt>
                <c:pt idx="798">
                  <c:v>93.662282383618134</c:v>
                </c:pt>
                <c:pt idx="799">
                  <c:v>93.475343201165515</c:v>
                </c:pt>
                <c:pt idx="800">
                  <c:v>92.691157297338549</c:v>
                </c:pt>
                <c:pt idx="801">
                  <c:v>92.678694685175032</c:v>
                </c:pt>
                <c:pt idx="802">
                  <c:v>92.722793158984373</c:v>
                </c:pt>
                <c:pt idx="803">
                  <c:v>92.83399800598184</c:v>
                </c:pt>
                <c:pt idx="804">
                  <c:v>92.816742081447757</c:v>
                </c:pt>
                <c:pt idx="805">
                  <c:v>92.816742081447757</c:v>
                </c:pt>
                <c:pt idx="806">
                  <c:v>93.047779737709746</c:v>
                </c:pt>
                <c:pt idx="807">
                  <c:v>93.585589385688877</c:v>
                </c:pt>
                <c:pt idx="808">
                  <c:v>93.809916404632048</c:v>
                </c:pt>
                <c:pt idx="809">
                  <c:v>93.689124932893421</c:v>
                </c:pt>
                <c:pt idx="810">
                  <c:v>93.604762635171213</c:v>
                </c:pt>
                <c:pt idx="811">
                  <c:v>93.728430094332182</c:v>
                </c:pt>
                <c:pt idx="812">
                  <c:v>93.589424035585353</c:v>
                </c:pt>
                <c:pt idx="813">
                  <c:v>93.699670220108686</c:v>
                </c:pt>
                <c:pt idx="814">
                  <c:v>93.531904287138374</c:v>
                </c:pt>
                <c:pt idx="815">
                  <c:v>94.271991717156013</c:v>
                </c:pt>
                <c:pt idx="816">
                  <c:v>94.913336912339688</c:v>
                </c:pt>
                <c:pt idx="817">
                  <c:v>94.64874606948365</c:v>
                </c:pt>
                <c:pt idx="818">
                  <c:v>95.203811641996865</c:v>
                </c:pt>
                <c:pt idx="819">
                  <c:v>94.887453025538562</c:v>
                </c:pt>
                <c:pt idx="820">
                  <c:v>94.841437226780982</c:v>
                </c:pt>
                <c:pt idx="821">
                  <c:v>94.484814786409785</c:v>
                </c:pt>
                <c:pt idx="822">
                  <c:v>95.123283994171118</c:v>
                </c:pt>
                <c:pt idx="823">
                  <c:v>95.630416442978557</c:v>
                </c:pt>
                <c:pt idx="824">
                  <c:v>96.213283227241135</c:v>
                </c:pt>
                <c:pt idx="825">
                  <c:v>95.708068103381947</c:v>
                </c:pt>
                <c:pt idx="826">
                  <c:v>95.223943553953319</c:v>
                </c:pt>
                <c:pt idx="827">
                  <c:v>95.744497277398381</c:v>
                </c:pt>
                <c:pt idx="828">
                  <c:v>94.963187360993743</c:v>
                </c:pt>
                <c:pt idx="829">
                  <c:v>95.347611013114303</c:v>
                </c:pt>
                <c:pt idx="830">
                  <c:v>94.64395275711307</c:v>
                </c:pt>
                <c:pt idx="831">
                  <c:v>95.139581256231097</c:v>
                </c:pt>
                <c:pt idx="832">
                  <c:v>95.290091264667311</c:v>
                </c:pt>
                <c:pt idx="833">
                  <c:v>95.586317969169187</c:v>
                </c:pt>
                <c:pt idx="834">
                  <c:v>95.848991487077001</c:v>
                </c:pt>
                <c:pt idx="835">
                  <c:v>96.204655264974065</c:v>
                </c:pt>
                <c:pt idx="836">
                  <c:v>95.635209755349109</c:v>
                </c:pt>
                <c:pt idx="837">
                  <c:v>95.346652350640156</c:v>
                </c:pt>
                <c:pt idx="838">
                  <c:v>95.727241352864255</c:v>
                </c:pt>
                <c:pt idx="839">
                  <c:v>95.727241352864269</c:v>
                </c:pt>
                <c:pt idx="840">
                  <c:v>95.678349566684346</c:v>
                </c:pt>
                <c:pt idx="841">
                  <c:v>95.56139274484218</c:v>
                </c:pt>
                <c:pt idx="842">
                  <c:v>94.835685251936283</c:v>
                </c:pt>
                <c:pt idx="843">
                  <c:v>94.513574660633267</c:v>
                </c:pt>
                <c:pt idx="844">
                  <c:v>94.369775289515843</c:v>
                </c:pt>
                <c:pt idx="845">
                  <c:v>94.105184446659806</c:v>
                </c:pt>
                <c:pt idx="846">
                  <c:v>93.860725515760208</c:v>
                </c:pt>
                <c:pt idx="847">
                  <c:v>93.806081754735587</c:v>
                </c:pt>
                <c:pt idx="848">
                  <c:v>93.972889025231794</c:v>
                </c:pt>
                <c:pt idx="849">
                  <c:v>93.851138891019033</c:v>
                </c:pt>
                <c:pt idx="850">
                  <c:v>93.859766853286089</c:v>
                </c:pt>
                <c:pt idx="851">
                  <c:v>94.16078687015856</c:v>
                </c:pt>
                <c:pt idx="852">
                  <c:v>94.343891402714746</c:v>
                </c:pt>
                <c:pt idx="853">
                  <c:v>94.526037272796813</c:v>
                </c:pt>
                <c:pt idx="854">
                  <c:v>94.297875603957181</c:v>
                </c:pt>
                <c:pt idx="855">
                  <c:v>94.253777130147824</c:v>
                </c:pt>
                <c:pt idx="856">
                  <c:v>94.405245801058172</c:v>
                </c:pt>
                <c:pt idx="857">
                  <c:v>94.741736329472928</c:v>
                </c:pt>
                <c:pt idx="858">
                  <c:v>93.871270802975502</c:v>
                </c:pt>
                <c:pt idx="859">
                  <c:v>93.953715775749487</c:v>
                </c:pt>
                <c:pt idx="860">
                  <c:v>94.200092031597322</c:v>
                </c:pt>
                <c:pt idx="861">
                  <c:v>94.246107830354902</c:v>
                </c:pt>
                <c:pt idx="862">
                  <c:v>93.829089654114384</c:v>
                </c:pt>
                <c:pt idx="863">
                  <c:v>93.895237364828404</c:v>
                </c:pt>
                <c:pt idx="864">
                  <c:v>93.741851368969833</c:v>
                </c:pt>
                <c:pt idx="865">
                  <c:v>93.780197867934476</c:v>
                </c:pt>
                <c:pt idx="866">
                  <c:v>94.121481708719827</c:v>
                </c:pt>
                <c:pt idx="867">
                  <c:v>94.354436689930026</c:v>
                </c:pt>
                <c:pt idx="868">
                  <c:v>94.646828744535426</c:v>
                </c:pt>
                <c:pt idx="869">
                  <c:v>95.106986732111153</c:v>
                </c:pt>
                <c:pt idx="870">
                  <c:v>95.008244497277204</c:v>
                </c:pt>
                <c:pt idx="871">
                  <c:v>95.162589155609908</c:v>
                </c:pt>
                <c:pt idx="872">
                  <c:v>94.921006212132639</c:v>
                </c:pt>
                <c:pt idx="873">
                  <c:v>95.116573356852328</c:v>
                </c:pt>
                <c:pt idx="874">
                  <c:v>95.085896157680608</c:v>
                </c:pt>
                <c:pt idx="875">
                  <c:v>95.085896157680608</c:v>
                </c:pt>
                <c:pt idx="876">
                  <c:v>94.92675818697731</c:v>
                </c:pt>
                <c:pt idx="877">
                  <c:v>95.050425646138294</c:v>
                </c:pt>
                <c:pt idx="878">
                  <c:v>94.765702891325802</c:v>
                </c:pt>
                <c:pt idx="879">
                  <c:v>95.048508321190042</c:v>
                </c:pt>
                <c:pt idx="880">
                  <c:v>95.083978832732328</c:v>
                </c:pt>
                <c:pt idx="881">
                  <c:v>95.391709486923602</c:v>
                </c:pt>
                <c:pt idx="882">
                  <c:v>95.273794002607318</c:v>
                </c:pt>
                <c:pt idx="883">
                  <c:v>95.915139197790992</c:v>
                </c:pt>
                <c:pt idx="884">
                  <c:v>95.889255310989867</c:v>
                </c:pt>
                <c:pt idx="885">
                  <c:v>95.759835876984184</c:v>
                </c:pt>
                <c:pt idx="886">
                  <c:v>95.802975688319407</c:v>
                </c:pt>
                <c:pt idx="887">
                  <c:v>95.721489378019541</c:v>
                </c:pt>
                <c:pt idx="888">
                  <c:v>95.621788480711459</c:v>
                </c:pt>
                <c:pt idx="889">
                  <c:v>95.361990950226001</c:v>
                </c:pt>
                <c:pt idx="890">
                  <c:v>95.175051767773354</c:v>
                </c:pt>
                <c:pt idx="891">
                  <c:v>95.737786640079506</c:v>
                </c:pt>
                <c:pt idx="892">
                  <c:v>96.458700820614808</c:v>
                </c:pt>
                <c:pt idx="893">
                  <c:v>96.458700820614808</c:v>
                </c:pt>
                <c:pt idx="894">
                  <c:v>96.627425416059239</c:v>
                </c:pt>
                <c:pt idx="895">
                  <c:v>96.990758493749254</c:v>
                </c:pt>
                <c:pt idx="896">
                  <c:v>97.199746913106566</c:v>
                </c:pt>
                <c:pt idx="897">
                  <c:v>97.009931743231562</c:v>
                </c:pt>
                <c:pt idx="898">
                  <c:v>96.946660019939898</c:v>
                </c:pt>
                <c:pt idx="899">
                  <c:v>96.706994401410881</c:v>
                </c:pt>
                <c:pt idx="900">
                  <c:v>96.783687399340181</c:v>
                </c:pt>
                <c:pt idx="901">
                  <c:v>96.97446123168929</c:v>
                </c:pt>
                <c:pt idx="902">
                  <c:v>96.461576808037165</c:v>
                </c:pt>
                <c:pt idx="903">
                  <c:v>96.461576808037165</c:v>
                </c:pt>
                <c:pt idx="904">
                  <c:v>96.455824833192466</c:v>
                </c:pt>
                <c:pt idx="905">
                  <c:v>96.612086816473408</c:v>
                </c:pt>
                <c:pt idx="906">
                  <c:v>96.593872229465205</c:v>
                </c:pt>
                <c:pt idx="907">
                  <c:v>96.523889868854738</c:v>
                </c:pt>
                <c:pt idx="908">
                  <c:v>96.590037579568744</c:v>
                </c:pt>
                <c:pt idx="909">
                  <c:v>96.863256384691852</c:v>
                </c:pt>
                <c:pt idx="910">
                  <c:v>96.547856430707654</c:v>
                </c:pt>
                <c:pt idx="911">
                  <c:v>96.128920929518912</c:v>
                </c:pt>
                <c:pt idx="912">
                  <c:v>96.411726359383167</c:v>
                </c:pt>
                <c:pt idx="913">
                  <c:v>96.428023621443145</c:v>
                </c:pt>
                <c:pt idx="914">
                  <c:v>96.614962803895793</c:v>
                </c:pt>
                <c:pt idx="915">
                  <c:v>96.825868548201342</c:v>
                </c:pt>
                <c:pt idx="916">
                  <c:v>96.780811411917881</c:v>
                </c:pt>
                <c:pt idx="917">
                  <c:v>97.099087353324435</c:v>
                </c:pt>
                <c:pt idx="918">
                  <c:v>97.11442595291031</c:v>
                </c:pt>
                <c:pt idx="919">
                  <c:v>97.193036275787819</c:v>
                </c:pt>
                <c:pt idx="920">
                  <c:v>97.079914103842114</c:v>
                </c:pt>
                <c:pt idx="921">
                  <c:v>96.565112355241752</c:v>
                </c:pt>
                <c:pt idx="922">
                  <c:v>95.598780581332718</c:v>
                </c:pt>
                <c:pt idx="923">
                  <c:v>95.66396962957262</c:v>
                </c:pt>
                <c:pt idx="924">
                  <c:v>95.656300329779697</c:v>
                </c:pt>
                <c:pt idx="925">
                  <c:v>95.61603650586683</c:v>
                </c:pt>
                <c:pt idx="926">
                  <c:v>95.431014648362421</c:v>
                </c:pt>
                <c:pt idx="927">
                  <c:v>95.682184216580836</c:v>
                </c:pt>
                <c:pt idx="928">
                  <c:v>95.313099164046136</c:v>
                </c:pt>
                <c:pt idx="929">
                  <c:v>95.581524656798649</c:v>
                </c:pt>
                <c:pt idx="930">
                  <c:v>95.593028606488033</c:v>
                </c:pt>
                <c:pt idx="931">
                  <c:v>95.769422501725387</c:v>
                </c:pt>
                <c:pt idx="932">
                  <c:v>95.727241352864269</c:v>
                </c:pt>
                <c:pt idx="933">
                  <c:v>95.443477260525896</c:v>
                </c:pt>
                <c:pt idx="934">
                  <c:v>95.419510698673008</c:v>
                </c:pt>
                <c:pt idx="935">
                  <c:v>95.43868394815533</c:v>
                </c:pt>
                <c:pt idx="936">
                  <c:v>94.649704731957769</c:v>
                </c:pt>
                <c:pt idx="937">
                  <c:v>94.728315054835306</c:v>
                </c:pt>
                <c:pt idx="938">
                  <c:v>94.647787407009545</c:v>
                </c:pt>
                <c:pt idx="939">
                  <c:v>94.839519901832773</c:v>
                </c:pt>
                <c:pt idx="940">
                  <c:v>94.752281616688194</c:v>
                </c:pt>
                <c:pt idx="941">
                  <c:v>94.992905897691344</c:v>
                </c:pt>
                <c:pt idx="942">
                  <c:v>94.995781885113701</c:v>
                </c:pt>
                <c:pt idx="943">
                  <c:v>95.538384845463412</c:v>
                </c:pt>
                <c:pt idx="944">
                  <c:v>95.276669990029717</c:v>
                </c:pt>
                <c:pt idx="945">
                  <c:v>95.518252933506972</c:v>
                </c:pt>
                <c:pt idx="946">
                  <c:v>95.436766623207106</c:v>
                </c:pt>
                <c:pt idx="947">
                  <c:v>94.79254544060106</c:v>
                </c:pt>
                <c:pt idx="948">
                  <c:v>95.051384308612413</c:v>
                </c:pt>
                <c:pt idx="949">
                  <c:v>94.806925377712787</c:v>
                </c:pt>
                <c:pt idx="950">
                  <c:v>94.198174706649056</c:v>
                </c:pt>
                <c:pt idx="951">
                  <c:v>94.2250172559243</c:v>
                </c:pt>
                <c:pt idx="952">
                  <c:v>94.452220262289813</c:v>
                </c:pt>
                <c:pt idx="953">
                  <c:v>94.513574660633239</c:v>
                </c:pt>
                <c:pt idx="954">
                  <c:v>95.009203159751266</c:v>
                </c:pt>
                <c:pt idx="955">
                  <c:v>95.234488841168542</c:v>
                </c:pt>
              </c:numCache>
            </c:numRef>
          </c:val>
          <c:smooth val="0"/>
          <c:extLst>
            <c:ext xmlns:c16="http://schemas.microsoft.com/office/drawing/2014/chart" uri="{C3380CC4-5D6E-409C-BE32-E72D297353CC}">
              <c16:uniqueId val="{00000000-3429-4AF4-B29D-1DF7AC935C08}"/>
            </c:ext>
          </c:extLst>
        </c:ser>
        <c:ser>
          <c:idx val="1"/>
          <c:order val="1"/>
          <c:tx>
            <c:strRef>
              <c:f>Sheet1!$C$1</c:f>
              <c:strCache>
                <c:ptCount val="1"/>
                <c:pt idx="0">
                  <c:v>Ռուսական ռուբլի</c:v>
                </c:pt>
              </c:strCache>
            </c:strRef>
          </c:tx>
          <c:spPr>
            <a:ln w="19050" cap="rnd">
              <a:solidFill>
                <a:srgbClr val="1F497D"/>
              </a:solidFill>
              <a:round/>
            </a:ln>
            <a:effectLst/>
          </c:spPr>
          <c:marker>
            <c:symbol val="none"/>
          </c:marker>
          <c:cat>
            <c:numRef>
              <c:f>Sheet1!$A$2:$A$957</c:f>
              <c:numCache>
                <c:formatCode>dd\/mm\/yy</c:formatCode>
                <c:ptCount val="956"/>
                <c:pt idx="0">
                  <c:v>44929</c:v>
                </c:pt>
                <c:pt idx="1">
                  <c:v>44930</c:v>
                </c:pt>
                <c:pt idx="2">
                  <c:v>44931</c:v>
                </c:pt>
                <c:pt idx="3">
                  <c:v>44932</c:v>
                </c:pt>
                <c:pt idx="4">
                  <c:v>44935</c:v>
                </c:pt>
                <c:pt idx="5">
                  <c:v>44936</c:v>
                </c:pt>
                <c:pt idx="6">
                  <c:v>44937</c:v>
                </c:pt>
                <c:pt idx="7">
                  <c:v>44938</c:v>
                </c:pt>
                <c:pt idx="8">
                  <c:v>44939</c:v>
                </c:pt>
                <c:pt idx="9">
                  <c:v>44942</c:v>
                </c:pt>
                <c:pt idx="10">
                  <c:v>44943</c:v>
                </c:pt>
                <c:pt idx="11">
                  <c:v>44944</c:v>
                </c:pt>
                <c:pt idx="12">
                  <c:v>44945</c:v>
                </c:pt>
                <c:pt idx="13">
                  <c:v>44946</c:v>
                </c:pt>
                <c:pt idx="14">
                  <c:v>44949</c:v>
                </c:pt>
                <c:pt idx="15">
                  <c:v>44950</c:v>
                </c:pt>
                <c:pt idx="16">
                  <c:v>44951</c:v>
                </c:pt>
                <c:pt idx="17">
                  <c:v>44952</c:v>
                </c:pt>
                <c:pt idx="18">
                  <c:v>44953</c:v>
                </c:pt>
                <c:pt idx="19">
                  <c:v>44956</c:v>
                </c:pt>
                <c:pt idx="20">
                  <c:v>44957</c:v>
                </c:pt>
                <c:pt idx="21">
                  <c:v>44958</c:v>
                </c:pt>
                <c:pt idx="22">
                  <c:v>44959</c:v>
                </c:pt>
                <c:pt idx="23">
                  <c:v>44960</c:v>
                </c:pt>
                <c:pt idx="24">
                  <c:v>44963</c:v>
                </c:pt>
                <c:pt idx="25">
                  <c:v>44964</c:v>
                </c:pt>
                <c:pt idx="26">
                  <c:v>44965</c:v>
                </c:pt>
                <c:pt idx="27">
                  <c:v>44966</c:v>
                </c:pt>
                <c:pt idx="28">
                  <c:v>44967</c:v>
                </c:pt>
                <c:pt idx="29">
                  <c:v>44970</c:v>
                </c:pt>
                <c:pt idx="30">
                  <c:v>44971</c:v>
                </c:pt>
                <c:pt idx="31">
                  <c:v>44972</c:v>
                </c:pt>
                <c:pt idx="32">
                  <c:v>44973</c:v>
                </c:pt>
                <c:pt idx="33">
                  <c:v>44974</c:v>
                </c:pt>
                <c:pt idx="34">
                  <c:v>44977</c:v>
                </c:pt>
                <c:pt idx="35">
                  <c:v>44978</c:v>
                </c:pt>
                <c:pt idx="36">
                  <c:v>44979</c:v>
                </c:pt>
                <c:pt idx="37">
                  <c:v>44980</c:v>
                </c:pt>
                <c:pt idx="38">
                  <c:v>44981</c:v>
                </c:pt>
                <c:pt idx="39">
                  <c:v>44984</c:v>
                </c:pt>
                <c:pt idx="40">
                  <c:v>44985</c:v>
                </c:pt>
                <c:pt idx="41">
                  <c:v>44986</c:v>
                </c:pt>
                <c:pt idx="42">
                  <c:v>44987</c:v>
                </c:pt>
                <c:pt idx="43">
                  <c:v>44988</c:v>
                </c:pt>
                <c:pt idx="44">
                  <c:v>44991</c:v>
                </c:pt>
                <c:pt idx="45">
                  <c:v>44992</c:v>
                </c:pt>
                <c:pt idx="46">
                  <c:v>44993</c:v>
                </c:pt>
                <c:pt idx="47">
                  <c:v>44994</c:v>
                </c:pt>
                <c:pt idx="48">
                  <c:v>44995</c:v>
                </c:pt>
                <c:pt idx="49">
                  <c:v>44998</c:v>
                </c:pt>
                <c:pt idx="50">
                  <c:v>44999</c:v>
                </c:pt>
                <c:pt idx="51">
                  <c:v>45000</c:v>
                </c:pt>
                <c:pt idx="52">
                  <c:v>45001</c:v>
                </c:pt>
                <c:pt idx="53">
                  <c:v>45002</c:v>
                </c:pt>
                <c:pt idx="54">
                  <c:v>45005</c:v>
                </c:pt>
                <c:pt idx="55">
                  <c:v>45006</c:v>
                </c:pt>
                <c:pt idx="56">
                  <c:v>45007</c:v>
                </c:pt>
                <c:pt idx="57">
                  <c:v>45008</c:v>
                </c:pt>
                <c:pt idx="58">
                  <c:v>45009</c:v>
                </c:pt>
                <c:pt idx="59">
                  <c:v>45012</c:v>
                </c:pt>
                <c:pt idx="60">
                  <c:v>45013</c:v>
                </c:pt>
                <c:pt idx="61">
                  <c:v>45014</c:v>
                </c:pt>
                <c:pt idx="62">
                  <c:v>45015</c:v>
                </c:pt>
                <c:pt idx="63">
                  <c:v>45016</c:v>
                </c:pt>
                <c:pt idx="64">
                  <c:v>45019</c:v>
                </c:pt>
                <c:pt idx="65">
                  <c:v>45020</c:v>
                </c:pt>
                <c:pt idx="66">
                  <c:v>45021</c:v>
                </c:pt>
                <c:pt idx="67">
                  <c:v>45022</c:v>
                </c:pt>
                <c:pt idx="68">
                  <c:v>45023</c:v>
                </c:pt>
                <c:pt idx="69">
                  <c:v>45026</c:v>
                </c:pt>
                <c:pt idx="70">
                  <c:v>45027</c:v>
                </c:pt>
                <c:pt idx="71">
                  <c:v>45028</c:v>
                </c:pt>
                <c:pt idx="72">
                  <c:v>45029</c:v>
                </c:pt>
                <c:pt idx="73">
                  <c:v>45030</c:v>
                </c:pt>
                <c:pt idx="74">
                  <c:v>45033</c:v>
                </c:pt>
                <c:pt idx="75">
                  <c:v>45034</c:v>
                </c:pt>
                <c:pt idx="76">
                  <c:v>45035</c:v>
                </c:pt>
                <c:pt idx="77">
                  <c:v>45036</c:v>
                </c:pt>
                <c:pt idx="78">
                  <c:v>45037</c:v>
                </c:pt>
                <c:pt idx="79">
                  <c:v>45040</c:v>
                </c:pt>
                <c:pt idx="80">
                  <c:v>45041</c:v>
                </c:pt>
                <c:pt idx="81">
                  <c:v>45042</c:v>
                </c:pt>
                <c:pt idx="82">
                  <c:v>45043</c:v>
                </c:pt>
                <c:pt idx="83">
                  <c:v>45044</c:v>
                </c:pt>
                <c:pt idx="84">
                  <c:v>45047</c:v>
                </c:pt>
                <c:pt idx="85">
                  <c:v>45048</c:v>
                </c:pt>
                <c:pt idx="86">
                  <c:v>45049</c:v>
                </c:pt>
                <c:pt idx="87">
                  <c:v>45050</c:v>
                </c:pt>
                <c:pt idx="88">
                  <c:v>45051</c:v>
                </c:pt>
                <c:pt idx="89">
                  <c:v>45054</c:v>
                </c:pt>
                <c:pt idx="90">
                  <c:v>45055</c:v>
                </c:pt>
                <c:pt idx="91">
                  <c:v>45056</c:v>
                </c:pt>
                <c:pt idx="92">
                  <c:v>45057</c:v>
                </c:pt>
                <c:pt idx="93">
                  <c:v>45058</c:v>
                </c:pt>
                <c:pt idx="94">
                  <c:v>45061</c:v>
                </c:pt>
                <c:pt idx="95">
                  <c:v>45062</c:v>
                </c:pt>
                <c:pt idx="96">
                  <c:v>45063</c:v>
                </c:pt>
                <c:pt idx="97">
                  <c:v>45064</c:v>
                </c:pt>
                <c:pt idx="98">
                  <c:v>45065</c:v>
                </c:pt>
                <c:pt idx="99">
                  <c:v>45068</c:v>
                </c:pt>
                <c:pt idx="100">
                  <c:v>45069</c:v>
                </c:pt>
                <c:pt idx="101">
                  <c:v>45070</c:v>
                </c:pt>
                <c:pt idx="102">
                  <c:v>45071</c:v>
                </c:pt>
                <c:pt idx="103">
                  <c:v>45072</c:v>
                </c:pt>
                <c:pt idx="104">
                  <c:v>45075</c:v>
                </c:pt>
                <c:pt idx="105">
                  <c:v>45076</c:v>
                </c:pt>
                <c:pt idx="106">
                  <c:v>45077</c:v>
                </c:pt>
                <c:pt idx="107">
                  <c:v>45078</c:v>
                </c:pt>
                <c:pt idx="108">
                  <c:v>45079</c:v>
                </c:pt>
                <c:pt idx="109">
                  <c:v>45082</c:v>
                </c:pt>
                <c:pt idx="110">
                  <c:v>45083</c:v>
                </c:pt>
                <c:pt idx="111">
                  <c:v>45084</c:v>
                </c:pt>
                <c:pt idx="112">
                  <c:v>45085</c:v>
                </c:pt>
                <c:pt idx="113">
                  <c:v>45086</c:v>
                </c:pt>
                <c:pt idx="114">
                  <c:v>45089</c:v>
                </c:pt>
                <c:pt idx="115">
                  <c:v>45090</c:v>
                </c:pt>
                <c:pt idx="116">
                  <c:v>45091</c:v>
                </c:pt>
                <c:pt idx="117">
                  <c:v>45092</c:v>
                </c:pt>
                <c:pt idx="118">
                  <c:v>45093</c:v>
                </c:pt>
                <c:pt idx="119">
                  <c:v>45096</c:v>
                </c:pt>
                <c:pt idx="120">
                  <c:v>45097</c:v>
                </c:pt>
                <c:pt idx="121">
                  <c:v>45098</c:v>
                </c:pt>
                <c:pt idx="122">
                  <c:v>45099</c:v>
                </c:pt>
                <c:pt idx="123">
                  <c:v>45100</c:v>
                </c:pt>
                <c:pt idx="124">
                  <c:v>45103</c:v>
                </c:pt>
                <c:pt idx="125">
                  <c:v>45104</c:v>
                </c:pt>
                <c:pt idx="126">
                  <c:v>45105</c:v>
                </c:pt>
                <c:pt idx="127">
                  <c:v>45106</c:v>
                </c:pt>
                <c:pt idx="128">
                  <c:v>45107</c:v>
                </c:pt>
                <c:pt idx="129">
                  <c:v>45110</c:v>
                </c:pt>
                <c:pt idx="130">
                  <c:v>45111</c:v>
                </c:pt>
                <c:pt idx="131">
                  <c:v>45112</c:v>
                </c:pt>
                <c:pt idx="132">
                  <c:v>45113</c:v>
                </c:pt>
                <c:pt idx="133">
                  <c:v>45114</c:v>
                </c:pt>
                <c:pt idx="134">
                  <c:v>45117</c:v>
                </c:pt>
                <c:pt idx="135">
                  <c:v>45118</c:v>
                </c:pt>
                <c:pt idx="136">
                  <c:v>45119</c:v>
                </c:pt>
                <c:pt idx="137">
                  <c:v>45120</c:v>
                </c:pt>
                <c:pt idx="138">
                  <c:v>45121</c:v>
                </c:pt>
                <c:pt idx="139">
                  <c:v>45124</c:v>
                </c:pt>
                <c:pt idx="140">
                  <c:v>45125</c:v>
                </c:pt>
                <c:pt idx="141">
                  <c:v>45126</c:v>
                </c:pt>
                <c:pt idx="142">
                  <c:v>45127</c:v>
                </c:pt>
                <c:pt idx="143">
                  <c:v>45128</c:v>
                </c:pt>
                <c:pt idx="144">
                  <c:v>45131</c:v>
                </c:pt>
                <c:pt idx="145">
                  <c:v>45132</c:v>
                </c:pt>
                <c:pt idx="146">
                  <c:v>45133</c:v>
                </c:pt>
                <c:pt idx="147">
                  <c:v>45134</c:v>
                </c:pt>
                <c:pt idx="148">
                  <c:v>45135</c:v>
                </c:pt>
                <c:pt idx="149">
                  <c:v>45138</c:v>
                </c:pt>
                <c:pt idx="150">
                  <c:v>45139</c:v>
                </c:pt>
                <c:pt idx="151">
                  <c:v>45140</c:v>
                </c:pt>
                <c:pt idx="152">
                  <c:v>45141</c:v>
                </c:pt>
                <c:pt idx="153">
                  <c:v>45142</c:v>
                </c:pt>
                <c:pt idx="154">
                  <c:v>45145</c:v>
                </c:pt>
                <c:pt idx="155">
                  <c:v>45146</c:v>
                </c:pt>
                <c:pt idx="156">
                  <c:v>45147</c:v>
                </c:pt>
                <c:pt idx="157">
                  <c:v>45148</c:v>
                </c:pt>
                <c:pt idx="158">
                  <c:v>45149</c:v>
                </c:pt>
                <c:pt idx="159">
                  <c:v>45152</c:v>
                </c:pt>
                <c:pt idx="160">
                  <c:v>45153</c:v>
                </c:pt>
                <c:pt idx="161">
                  <c:v>45154</c:v>
                </c:pt>
                <c:pt idx="162">
                  <c:v>45155</c:v>
                </c:pt>
                <c:pt idx="163">
                  <c:v>45156</c:v>
                </c:pt>
                <c:pt idx="164">
                  <c:v>45159</c:v>
                </c:pt>
                <c:pt idx="165">
                  <c:v>45160</c:v>
                </c:pt>
                <c:pt idx="166">
                  <c:v>45161</c:v>
                </c:pt>
                <c:pt idx="167">
                  <c:v>45162</c:v>
                </c:pt>
                <c:pt idx="168">
                  <c:v>45163</c:v>
                </c:pt>
                <c:pt idx="169">
                  <c:v>45166</c:v>
                </c:pt>
                <c:pt idx="170">
                  <c:v>45167</c:v>
                </c:pt>
                <c:pt idx="171">
                  <c:v>45168</c:v>
                </c:pt>
                <c:pt idx="172">
                  <c:v>45169</c:v>
                </c:pt>
                <c:pt idx="173">
                  <c:v>45170</c:v>
                </c:pt>
                <c:pt idx="174">
                  <c:v>45173</c:v>
                </c:pt>
                <c:pt idx="175">
                  <c:v>45174</c:v>
                </c:pt>
                <c:pt idx="176">
                  <c:v>45175</c:v>
                </c:pt>
                <c:pt idx="177">
                  <c:v>45176</c:v>
                </c:pt>
                <c:pt idx="178">
                  <c:v>45177</c:v>
                </c:pt>
                <c:pt idx="179">
                  <c:v>45180</c:v>
                </c:pt>
                <c:pt idx="180">
                  <c:v>45181</c:v>
                </c:pt>
                <c:pt idx="181">
                  <c:v>45182</c:v>
                </c:pt>
                <c:pt idx="182">
                  <c:v>45183</c:v>
                </c:pt>
                <c:pt idx="183">
                  <c:v>45184</c:v>
                </c:pt>
                <c:pt idx="184">
                  <c:v>45187</c:v>
                </c:pt>
                <c:pt idx="185">
                  <c:v>45188</c:v>
                </c:pt>
                <c:pt idx="186">
                  <c:v>45189</c:v>
                </c:pt>
                <c:pt idx="187">
                  <c:v>45190</c:v>
                </c:pt>
                <c:pt idx="188">
                  <c:v>45191</c:v>
                </c:pt>
                <c:pt idx="189">
                  <c:v>45194</c:v>
                </c:pt>
                <c:pt idx="190">
                  <c:v>45195</c:v>
                </c:pt>
                <c:pt idx="191">
                  <c:v>45196</c:v>
                </c:pt>
                <c:pt idx="192">
                  <c:v>45197</c:v>
                </c:pt>
                <c:pt idx="193">
                  <c:v>45198</c:v>
                </c:pt>
                <c:pt idx="194">
                  <c:v>45201</c:v>
                </c:pt>
                <c:pt idx="195">
                  <c:v>45202</c:v>
                </c:pt>
                <c:pt idx="196">
                  <c:v>45203</c:v>
                </c:pt>
                <c:pt idx="197">
                  <c:v>45204</c:v>
                </c:pt>
                <c:pt idx="198">
                  <c:v>45205</c:v>
                </c:pt>
                <c:pt idx="199">
                  <c:v>45208</c:v>
                </c:pt>
                <c:pt idx="200">
                  <c:v>45209</c:v>
                </c:pt>
                <c:pt idx="201">
                  <c:v>45210</c:v>
                </c:pt>
                <c:pt idx="202">
                  <c:v>45211</c:v>
                </c:pt>
                <c:pt idx="203">
                  <c:v>45212</c:v>
                </c:pt>
                <c:pt idx="204">
                  <c:v>45215</c:v>
                </c:pt>
                <c:pt idx="205">
                  <c:v>45216</c:v>
                </c:pt>
                <c:pt idx="206">
                  <c:v>45217</c:v>
                </c:pt>
                <c:pt idx="207">
                  <c:v>45218</c:v>
                </c:pt>
                <c:pt idx="208">
                  <c:v>45219</c:v>
                </c:pt>
                <c:pt idx="209">
                  <c:v>45222</c:v>
                </c:pt>
                <c:pt idx="210">
                  <c:v>45223</c:v>
                </c:pt>
                <c:pt idx="211">
                  <c:v>45224</c:v>
                </c:pt>
                <c:pt idx="212">
                  <c:v>45225</c:v>
                </c:pt>
                <c:pt idx="213">
                  <c:v>45226</c:v>
                </c:pt>
                <c:pt idx="214">
                  <c:v>45229</c:v>
                </c:pt>
                <c:pt idx="215">
                  <c:v>45230</c:v>
                </c:pt>
                <c:pt idx="216">
                  <c:v>45231</c:v>
                </c:pt>
                <c:pt idx="217">
                  <c:v>45232</c:v>
                </c:pt>
                <c:pt idx="218">
                  <c:v>45233</c:v>
                </c:pt>
                <c:pt idx="219">
                  <c:v>45236</c:v>
                </c:pt>
                <c:pt idx="220">
                  <c:v>45237</c:v>
                </c:pt>
                <c:pt idx="221">
                  <c:v>45238</c:v>
                </c:pt>
                <c:pt idx="222">
                  <c:v>45239</c:v>
                </c:pt>
                <c:pt idx="223">
                  <c:v>45240</c:v>
                </c:pt>
                <c:pt idx="224">
                  <c:v>45243</c:v>
                </c:pt>
                <c:pt idx="225">
                  <c:v>45244</c:v>
                </c:pt>
                <c:pt idx="226">
                  <c:v>45245</c:v>
                </c:pt>
                <c:pt idx="227">
                  <c:v>45246</c:v>
                </c:pt>
                <c:pt idx="228">
                  <c:v>45247</c:v>
                </c:pt>
                <c:pt idx="229">
                  <c:v>45250</c:v>
                </c:pt>
                <c:pt idx="230">
                  <c:v>45251</c:v>
                </c:pt>
                <c:pt idx="231">
                  <c:v>45252</c:v>
                </c:pt>
                <c:pt idx="232">
                  <c:v>45253</c:v>
                </c:pt>
                <c:pt idx="233">
                  <c:v>45254</c:v>
                </c:pt>
                <c:pt idx="234">
                  <c:v>45257</c:v>
                </c:pt>
                <c:pt idx="235">
                  <c:v>45258</c:v>
                </c:pt>
                <c:pt idx="236">
                  <c:v>45259</c:v>
                </c:pt>
                <c:pt idx="237">
                  <c:v>45260</c:v>
                </c:pt>
                <c:pt idx="238">
                  <c:v>45261</c:v>
                </c:pt>
                <c:pt idx="239">
                  <c:v>45264</c:v>
                </c:pt>
                <c:pt idx="240">
                  <c:v>45265</c:v>
                </c:pt>
                <c:pt idx="241">
                  <c:v>45266</c:v>
                </c:pt>
                <c:pt idx="242">
                  <c:v>45267</c:v>
                </c:pt>
                <c:pt idx="243">
                  <c:v>45268</c:v>
                </c:pt>
                <c:pt idx="244">
                  <c:v>45271</c:v>
                </c:pt>
                <c:pt idx="245">
                  <c:v>45272</c:v>
                </c:pt>
                <c:pt idx="246">
                  <c:v>45273</c:v>
                </c:pt>
                <c:pt idx="247">
                  <c:v>45274</c:v>
                </c:pt>
                <c:pt idx="248">
                  <c:v>45275</c:v>
                </c:pt>
                <c:pt idx="249">
                  <c:v>45279</c:v>
                </c:pt>
                <c:pt idx="250">
                  <c:v>45280</c:v>
                </c:pt>
                <c:pt idx="251">
                  <c:v>45281</c:v>
                </c:pt>
                <c:pt idx="252">
                  <c:v>45282</c:v>
                </c:pt>
                <c:pt idx="253">
                  <c:v>45286</c:v>
                </c:pt>
                <c:pt idx="254">
                  <c:v>45287</c:v>
                </c:pt>
                <c:pt idx="255">
                  <c:v>45288</c:v>
                </c:pt>
                <c:pt idx="256">
                  <c:v>45289</c:v>
                </c:pt>
                <c:pt idx="257">
                  <c:v>45293</c:v>
                </c:pt>
                <c:pt idx="258">
                  <c:v>45294</c:v>
                </c:pt>
                <c:pt idx="259">
                  <c:v>45295</c:v>
                </c:pt>
                <c:pt idx="260">
                  <c:v>45296</c:v>
                </c:pt>
                <c:pt idx="261">
                  <c:v>45299</c:v>
                </c:pt>
                <c:pt idx="262">
                  <c:v>45300</c:v>
                </c:pt>
                <c:pt idx="263">
                  <c:v>45301</c:v>
                </c:pt>
                <c:pt idx="264">
                  <c:v>45302</c:v>
                </c:pt>
                <c:pt idx="265">
                  <c:v>45303</c:v>
                </c:pt>
                <c:pt idx="266">
                  <c:v>45306</c:v>
                </c:pt>
                <c:pt idx="267">
                  <c:v>45307</c:v>
                </c:pt>
                <c:pt idx="268">
                  <c:v>45308</c:v>
                </c:pt>
                <c:pt idx="269">
                  <c:v>45309</c:v>
                </c:pt>
                <c:pt idx="270">
                  <c:v>45310</c:v>
                </c:pt>
                <c:pt idx="271">
                  <c:v>45313</c:v>
                </c:pt>
                <c:pt idx="272">
                  <c:v>45314</c:v>
                </c:pt>
                <c:pt idx="273">
                  <c:v>45315</c:v>
                </c:pt>
                <c:pt idx="274">
                  <c:v>45316</c:v>
                </c:pt>
                <c:pt idx="275">
                  <c:v>45317</c:v>
                </c:pt>
                <c:pt idx="276">
                  <c:v>45320</c:v>
                </c:pt>
                <c:pt idx="277">
                  <c:v>45321</c:v>
                </c:pt>
                <c:pt idx="278">
                  <c:v>45322</c:v>
                </c:pt>
                <c:pt idx="279">
                  <c:v>45323</c:v>
                </c:pt>
                <c:pt idx="280">
                  <c:v>45324</c:v>
                </c:pt>
                <c:pt idx="281">
                  <c:v>45327</c:v>
                </c:pt>
                <c:pt idx="282">
                  <c:v>45328</c:v>
                </c:pt>
                <c:pt idx="283">
                  <c:v>45329</c:v>
                </c:pt>
                <c:pt idx="284">
                  <c:v>45330</c:v>
                </c:pt>
                <c:pt idx="285">
                  <c:v>45331</c:v>
                </c:pt>
                <c:pt idx="286">
                  <c:v>45334</c:v>
                </c:pt>
                <c:pt idx="287">
                  <c:v>45335</c:v>
                </c:pt>
                <c:pt idx="288">
                  <c:v>45336</c:v>
                </c:pt>
                <c:pt idx="289">
                  <c:v>45337</c:v>
                </c:pt>
                <c:pt idx="290">
                  <c:v>45338</c:v>
                </c:pt>
                <c:pt idx="291">
                  <c:v>45341</c:v>
                </c:pt>
                <c:pt idx="292">
                  <c:v>45342</c:v>
                </c:pt>
                <c:pt idx="293">
                  <c:v>45343</c:v>
                </c:pt>
                <c:pt idx="294">
                  <c:v>45344</c:v>
                </c:pt>
                <c:pt idx="295">
                  <c:v>45345</c:v>
                </c:pt>
                <c:pt idx="296">
                  <c:v>45348</c:v>
                </c:pt>
                <c:pt idx="297">
                  <c:v>45349</c:v>
                </c:pt>
                <c:pt idx="298">
                  <c:v>45350</c:v>
                </c:pt>
                <c:pt idx="299">
                  <c:v>45351</c:v>
                </c:pt>
                <c:pt idx="300">
                  <c:v>45352</c:v>
                </c:pt>
                <c:pt idx="301">
                  <c:v>45355</c:v>
                </c:pt>
                <c:pt idx="302">
                  <c:v>45356</c:v>
                </c:pt>
                <c:pt idx="303">
                  <c:v>45357</c:v>
                </c:pt>
                <c:pt idx="304">
                  <c:v>45358</c:v>
                </c:pt>
                <c:pt idx="305">
                  <c:v>45359</c:v>
                </c:pt>
                <c:pt idx="306">
                  <c:v>45362</c:v>
                </c:pt>
                <c:pt idx="307">
                  <c:v>45363</c:v>
                </c:pt>
                <c:pt idx="308">
                  <c:v>45364</c:v>
                </c:pt>
                <c:pt idx="309">
                  <c:v>45365</c:v>
                </c:pt>
                <c:pt idx="310">
                  <c:v>45366</c:v>
                </c:pt>
                <c:pt idx="311">
                  <c:v>45369</c:v>
                </c:pt>
                <c:pt idx="312">
                  <c:v>45370</c:v>
                </c:pt>
                <c:pt idx="313">
                  <c:v>45371</c:v>
                </c:pt>
                <c:pt idx="314">
                  <c:v>45372</c:v>
                </c:pt>
                <c:pt idx="315">
                  <c:v>45373</c:v>
                </c:pt>
                <c:pt idx="316">
                  <c:v>45376</c:v>
                </c:pt>
                <c:pt idx="317">
                  <c:v>45377</c:v>
                </c:pt>
                <c:pt idx="318">
                  <c:v>45378</c:v>
                </c:pt>
                <c:pt idx="319">
                  <c:v>45379</c:v>
                </c:pt>
                <c:pt idx="320">
                  <c:v>45383</c:v>
                </c:pt>
                <c:pt idx="321">
                  <c:v>45384</c:v>
                </c:pt>
                <c:pt idx="322">
                  <c:v>45385</c:v>
                </c:pt>
                <c:pt idx="323">
                  <c:v>45386</c:v>
                </c:pt>
                <c:pt idx="324">
                  <c:v>45387</c:v>
                </c:pt>
                <c:pt idx="325">
                  <c:v>45390</c:v>
                </c:pt>
                <c:pt idx="326">
                  <c:v>45391</c:v>
                </c:pt>
                <c:pt idx="327">
                  <c:v>45392</c:v>
                </c:pt>
                <c:pt idx="328">
                  <c:v>45393</c:v>
                </c:pt>
                <c:pt idx="329">
                  <c:v>45394</c:v>
                </c:pt>
                <c:pt idx="330">
                  <c:v>45397</c:v>
                </c:pt>
                <c:pt idx="331">
                  <c:v>45398</c:v>
                </c:pt>
                <c:pt idx="332">
                  <c:v>45399</c:v>
                </c:pt>
                <c:pt idx="333">
                  <c:v>45400</c:v>
                </c:pt>
                <c:pt idx="334">
                  <c:v>45401</c:v>
                </c:pt>
                <c:pt idx="335">
                  <c:v>45404</c:v>
                </c:pt>
                <c:pt idx="336">
                  <c:v>45405</c:v>
                </c:pt>
                <c:pt idx="337">
                  <c:v>45406</c:v>
                </c:pt>
                <c:pt idx="338">
                  <c:v>45407</c:v>
                </c:pt>
                <c:pt idx="339">
                  <c:v>45408</c:v>
                </c:pt>
                <c:pt idx="340">
                  <c:v>45411</c:v>
                </c:pt>
                <c:pt idx="341">
                  <c:v>45412</c:v>
                </c:pt>
                <c:pt idx="342">
                  <c:v>45413</c:v>
                </c:pt>
                <c:pt idx="343">
                  <c:v>45414</c:v>
                </c:pt>
                <c:pt idx="344">
                  <c:v>45415</c:v>
                </c:pt>
                <c:pt idx="345">
                  <c:v>45418</c:v>
                </c:pt>
                <c:pt idx="346">
                  <c:v>45419</c:v>
                </c:pt>
                <c:pt idx="347">
                  <c:v>45420</c:v>
                </c:pt>
                <c:pt idx="348">
                  <c:v>45421</c:v>
                </c:pt>
                <c:pt idx="349">
                  <c:v>45422</c:v>
                </c:pt>
                <c:pt idx="350">
                  <c:v>45425</c:v>
                </c:pt>
                <c:pt idx="351">
                  <c:v>45426</c:v>
                </c:pt>
                <c:pt idx="352">
                  <c:v>45427</c:v>
                </c:pt>
                <c:pt idx="353">
                  <c:v>45428</c:v>
                </c:pt>
                <c:pt idx="354">
                  <c:v>45429</c:v>
                </c:pt>
                <c:pt idx="355">
                  <c:v>45432</c:v>
                </c:pt>
                <c:pt idx="356">
                  <c:v>45433</c:v>
                </c:pt>
                <c:pt idx="357">
                  <c:v>45434</c:v>
                </c:pt>
                <c:pt idx="358">
                  <c:v>45435</c:v>
                </c:pt>
                <c:pt idx="359">
                  <c:v>45436</c:v>
                </c:pt>
                <c:pt idx="360">
                  <c:v>45439</c:v>
                </c:pt>
                <c:pt idx="361">
                  <c:v>45440</c:v>
                </c:pt>
                <c:pt idx="362">
                  <c:v>45441</c:v>
                </c:pt>
                <c:pt idx="363">
                  <c:v>45442</c:v>
                </c:pt>
                <c:pt idx="364">
                  <c:v>45443</c:v>
                </c:pt>
                <c:pt idx="365">
                  <c:v>45446</c:v>
                </c:pt>
                <c:pt idx="366">
                  <c:v>45447</c:v>
                </c:pt>
                <c:pt idx="367">
                  <c:v>45448</c:v>
                </c:pt>
                <c:pt idx="368">
                  <c:v>45449</c:v>
                </c:pt>
                <c:pt idx="369">
                  <c:v>45450</c:v>
                </c:pt>
                <c:pt idx="370">
                  <c:v>45453</c:v>
                </c:pt>
                <c:pt idx="371">
                  <c:v>45454</c:v>
                </c:pt>
                <c:pt idx="372">
                  <c:v>45455</c:v>
                </c:pt>
                <c:pt idx="373">
                  <c:v>45456</c:v>
                </c:pt>
                <c:pt idx="374">
                  <c:v>45457</c:v>
                </c:pt>
                <c:pt idx="375">
                  <c:v>45460</c:v>
                </c:pt>
                <c:pt idx="376">
                  <c:v>45461</c:v>
                </c:pt>
                <c:pt idx="377">
                  <c:v>45462</c:v>
                </c:pt>
                <c:pt idx="378">
                  <c:v>45463</c:v>
                </c:pt>
                <c:pt idx="379">
                  <c:v>45464</c:v>
                </c:pt>
                <c:pt idx="380">
                  <c:v>45467</c:v>
                </c:pt>
                <c:pt idx="381">
                  <c:v>45468</c:v>
                </c:pt>
                <c:pt idx="382">
                  <c:v>45469</c:v>
                </c:pt>
                <c:pt idx="383">
                  <c:v>45470</c:v>
                </c:pt>
                <c:pt idx="384">
                  <c:v>45471</c:v>
                </c:pt>
                <c:pt idx="385">
                  <c:v>45474</c:v>
                </c:pt>
                <c:pt idx="386">
                  <c:v>45475</c:v>
                </c:pt>
                <c:pt idx="387">
                  <c:v>45476</c:v>
                </c:pt>
                <c:pt idx="388">
                  <c:v>45477</c:v>
                </c:pt>
                <c:pt idx="389">
                  <c:v>45478</c:v>
                </c:pt>
                <c:pt idx="390">
                  <c:v>45481</c:v>
                </c:pt>
                <c:pt idx="391">
                  <c:v>45482</c:v>
                </c:pt>
                <c:pt idx="392">
                  <c:v>45483</c:v>
                </c:pt>
                <c:pt idx="393">
                  <c:v>45484</c:v>
                </c:pt>
                <c:pt idx="394">
                  <c:v>45485</c:v>
                </c:pt>
                <c:pt idx="395">
                  <c:v>45488</c:v>
                </c:pt>
                <c:pt idx="396">
                  <c:v>45489</c:v>
                </c:pt>
                <c:pt idx="397">
                  <c:v>45490</c:v>
                </c:pt>
                <c:pt idx="398">
                  <c:v>45491</c:v>
                </c:pt>
                <c:pt idx="399">
                  <c:v>45492</c:v>
                </c:pt>
                <c:pt idx="400">
                  <c:v>45495</c:v>
                </c:pt>
                <c:pt idx="401">
                  <c:v>45496</c:v>
                </c:pt>
                <c:pt idx="402">
                  <c:v>45497</c:v>
                </c:pt>
                <c:pt idx="403">
                  <c:v>45498</c:v>
                </c:pt>
                <c:pt idx="404">
                  <c:v>45499</c:v>
                </c:pt>
                <c:pt idx="405">
                  <c:v>45502</c:v>
                </c:pt>
                <c:pt idx="406">
                  <c:v>45503</c:v>
                </c:pt>
                <c:pt idx="407">
                  <c:v>45504</c:v>
                </c:pt>
                <c:pt idx="408">
                  <c:v>45505</c:v>
                </c:pt>
                <c:pt idx="409">
                  <c:v>45506</c:v>
                </c:pt>
                <c:pt idx="410">
                  <c:v>45509</c:v>
                </c:pt>
                <c:pt idx="411">
                  <c:v>45510</c:v>
                </c:pt>
                <c:pt idx="412">
                  <c:v>45511</c:v>
                </c:pt>
                <c:pt idx="413">
                  <c:v>45512</c:v>
                </c:pt>
                <c:pt idx="414">
                  <c:v>45513</c:v>
                </c:pt>
                <c:pt idx="415">
                  <c:v>45516</c:v>
                </c:pt>
                <c:pt idx="416">
                  <c:v>45517</c:v>
                </c:pt>
                <c:pt idx="417">
                  <c:v>45518</c:v>
                </c:pt>
                <c:pt idx="418">
                  <c:v>45519</c:v>
                </c:pt>
                <c:pt idx="419">
                  <c:v>45520</c:v>
                </c:pt>
                <c:pt idx="420">
                  <c:v>45523</c:v>
                </c:pt>
                <c:pt idx="421">
                  <c:v>45524</c:v>
                </c:pt>
                <c:pt idx="422">
                  <c:v>45525</c:v>
                </c:pt>
                <c:pt idx="423">
                  <c:v>45526</c:v>
                </c:pt>
                <c:pt idx="424">
                  <c:v>45527</c:v>
                </c:pt>
                <c:pt idx="425">
                  <c:v>45530</c:v>
                </c:pt>
                <c:pt idx="426">
                  <c:v>45531</c:v>
                </c:pt>
                <c:pt idx="427">
                  <c:v>45532</c:v>
                </c:pt>
                <c:pt idx="428">
                  <c:v>45533</c:v>
                </c:pt>
                <c:pt idx="429">
                  <c:v>45534</c:v>
                </c:pt>
                <c:pt idx="430">
                  <c:v>45537</c:v>
                </c:pt>
                <c:pt idx="431">
                  <c:v>45538</c:v>
                </c:pt>
                <c:pt idx="432">
                  <c:v>45539</c:v>
                </c:pt>
                <c:pt idx="433">
                  <c:v>45540</c:v>
                </c:pt>
                <c:pt idx="434">
                  <c:v>45541</c:v>
                </c:pt>
                <c:pt idx="435">
                  <c:v>45544</c:v>
                </c:pt>
                <c:pt idx="436">
                  <c:v>45545</c:v>
                </c:pt>
                <c:pt idx="437">
                  <c:v>45546</c:v>
                </c:pt>
                <c:pt idx="438">
                  <c:v>45547</c:v>
                </c:pt>
                <c:pt idx="439">
                  <c:v>45548</c:v>
                </c:pt>
                <c:pt idx="440">
                  <c:v>45551</c:v>
                </c:pt>
                <c:pt idx="441">
                  <c:v>45552</c:v>
                </c:pt>
                <c:pt idx="442">
                  <c:v>45553</c:v>
                </c:pt>
                <c:pt idx="443">
                  <c:v>45554</c:v>
                </c:pt>
                <c:pt idx="444">
                  <c:v>45555</c:v>
                </c:pt>
                <c:pt idx="445">
                  <c:v>45558</c:v>
                </c:pt>
                <c:pt idx="446">
                  <c:v>45559</c:v>
                </c:pt>
                <c:pt idx="447">
                  <c:v>45560</c:v>
                </c:pt>
                <c:pt idx="448">
                  <c:v>45561</c:v>
                </c:pt>
                <c:pt idx="449">
                  <c:v>45562</c:v>
                </c:pt>
                <c:pt idx="450">
                  <c:v>45565</c:v>
                </c:pt>
                <c:pt idx="451">
                  <c:v>45566</c:v>
                </c:pt>
                <c:pt idx="452">
                  <c:v>45567</c:v>
                </c:pt>
                <c:pt idx="453">
                  <c:v>45568</c:v>
                </c:pt>
                <c:pt idx="454">
                  <c:v>45569</c:v>
                </c:pt>
                <c:pt idx="455">
                  <c:v>45572</c:v>
                </c:pt>
                <c:pt idx="456">
                  <c:v>45573</c:v>
                </c:pt>
                <c:pt idx="457">
                  <c:v>45574</c:v>
                </c:pt>
                <c:pt idx="458">
                  <c:v>45575</c:v>
                </c:pt>
                <c:pt idx="459">
                  <c:v>45576</c:v>
                </c:pt>
                <c:pt idx="460">
                  <c:v>45579</c:v>
                </c:pt>
                <c:pt idx="461">
                  <c:v>45580</c:v>
                </c:pt>
                <c:pt idx="462">
                  <c:v>45581</c:v>
                </c:pt>
                <c:pt idx="463">
                  <c:v>45582</c:v>
                </c:pt>
                <c:pt idx="464">
                  <c:v>45583</c:v>
                </c:pt>
                <c:pt idx="465">
                  <c:v>45586</c:v>
                </c:pt>
                <c:pt idx="466">
                  <c:v>45587</c:v>
                </c:pt>
                <c:pt idx="467">
                  <c:v>45588</c:v>
                </c:pt>
                <c:pt idx="468">
                  <c:v>45589</c:v>
                </c:pt>
                <c:pt idx="469">
                  <c:v>45590</c:v>
                </c:pt>
                <c:pt idx="470">
                  <c:v>45593</c:v>
                </c:pt>
                <c:pt idx="471">
                  <c:v>45594</c:v>
                </c:pt>
                <c:pt idx="472">
                  <c:v>45595</c:v>
                </c:pt>
                <c:pt idx="473">
                  <c:v>45596</c:v>
                </c:pt>
                <c:pt idx="474">
                  <c:v>45597</c:v>
                </c:pt>
                <c:pt idx="475">
                  <c:v>45600</c:v>
                </c:pt>
                <c:pt idx="476">
                  <c:v>45601</c:v>
                </c:pt>
                <c:pt idx="477">
                  <c:v>45602</c:v>
                </c:pt>
                <c:pt idx="478">
                  <c:v>45603</c:v>
                </c:pt>
                <c:pt idx="479">
                  <c:v>45604</c:v>
                </c:pt>
                <c:pt idx="480">
                  <c:v>45607</c:v>
                </c:pt>
                <c:pt idx="481">
                  <c:v>45608</c:v>
                </c:pt>
                <c:pt idx="482">
                  <c:v>45609</c:v>
                </c:pt>
                <c:pt idx="483">
                  <c:v>45610</c:v>
                </c:pt>
                <c:pt idx="484">
                  <c:v>45611</c:v>
                </c:pt>
                <c:pt idx="485">
                  <c:v>45614</c:v>
                </c:pt>
                <c:pt idx="486">
                  <c:v>45615</c:v>
                </c:pt>
                <c:pt idx="487">
                  <c:v>45616</c:v>
                </c:pt>
                <c:pt idx="488">
                  <c:v>45617</c:v>
                </c:pt>
                <c:pt idx="489">
                  <c:v>45618</c:v>
                </c:pt>
                <c:pt idx="490">
                  <c:v>45621</c:v>
                </c:pt>
                <c:pt idx="491">
                  <c:v>45622</c:v>
                </c:pt>
                <c:pt idx="492">
                  <c:v>45623</c:v>
                </c:pt>
                <c:pt idx="493">
                  <c:v>45624</c:v>
                </c:pt>
                <c:pt idx="494">
                  <c:v>45625</c:v>
                </c:pt>
                <c:pt idx="495">
                  <c:v>45628</c:v>
                </c:pt>
                <c:pt idx="496">
                  <c:v>45629</c:v>
                </c:pt>
                <c:pt idx="497">
                  <c:v>45630</c:v>
                </c:pt>
                <c:pt idx="498">
                  <c:v>45631</c:v>
                </c:pt>
                <c:pt idx="499">
                  <c:v>45632</c:v>
                </c:pt>
                <c:pt idx="500">
                  <c:v>45635</c:v>
                </c:pt>
                <c:pt idx="501">
                  <c:v>45636</c:v>
                </c:pt>
                <c:pt idx="502">
                  <c:v>45637</c:v>
                </c:pt>
                <c:pt idx="503">
                  <c:v>45638</c:v>
                </c:pt>
                <c:pt idx="504">
                  <c:v>45639</c:v>
                </c:pt>
                <c:pt idx="505">
                  <c:v>45642</c:v>
                </c:pt>
                <c:pt idx="506">
                  <c:v>45643</c:v>
                </c:pt>
                <c:pt idx="507">
                  <c:v>45644</c:v>
                </c:pt>
                <c:pt idx="508">
                  <c:v>45645</c:v>
                </c:pt>
                <c:pt idx="509">
                  <c:v>45646</c:v>
                </c:pt>
                <c:pt idx="510">
                  <c:v>45649</c:v>
                </c:pt>
                <c:pt idx="511">
                  <c:v>45650</c:v>
                </c:pt>
                <c:pt idx="512">
                  <c:v>45652</c:v>
                </c:pt>
                <c:pt idx="513">
                  <c:v>45653</c:v>
                </c:pt>
                <c:pt idx="514">
                  <c:v>45656</c:v>
                </c:pt>
                <c:pt idx="515">
                  <c:v>45657</c:v>
                </c:pt>
                <c:pt idx="516">
                  <c:v>45659</c:v>
                </c:pt>
                <c:pt idx="517">
                  <c:v>45660</c:v>
                </c:pt>
                <c:pt idx="518">
                  <c:v>45663</c:v>
                </c:pt>
                <c:pt idx="519">
                  <c:v>45664</c:v>
                </c:pt>
                <c:pt idx="520">
                  <c:v>45665</c:v>
                </c:pt>
                <c:pt idx="521">
                  <c:v>45666</c:v>
                </c:pt>
                <c:pt idx="522">
                  <c:v>45667</c:v>
                </c:pt>
                <c:pt idx="523">
                  <c:v>45670</c:v>
                </c:pt>
                <c:pt idx="524">
                  <c:v>45671</c:v>
                </c:pt>
                <c:pt idx="525">
                  <c:v>45672</c:v>
                </c:pt>
                <c:pt idx="526">
                  <c:v>45673</c:v>
                </c:pt>
                <c:pt idx="527">
                  <c:v>45674</c:v>
                </c:pt>
                <c:pt idx="528">
                  <c:v>45677</c:v>
                </c:pt>
                <c:pt idx="529">
                  <c:v>45678</c:v>
                </c:pt>
                <c:pt idx="530">
                  <c:v>45679</c:v>
                </c:pt>
                <c:pt idx="531">
                  <c:v>45680</c:v>
                </c:pt>
                <c:pt idx="532">
                  <c:v>45681</c:v>
                </c:pt>
                <c:pt idx="533">
                  <c:v>45684</c:v>
                </c:pt>
                <c:pt idx="534">
                  <c:v>45685</c:v>
                </c:pt>
                <c:pt idx="535">
                  <c:v>45686</c:v>
                </c:pt>
                <c:pt idx="536">
                  <c:v>45687</c:v>
                </c:pt>
                <c:pt idx="537">
                  <c:v>45688</c:v>
                </c:pt>
                <c:pt idx="538">
                  <c:v>45691</c:v>
                </c:pt>
                <c:pt idx="539">
                  <c:v>45692</c:v>
                </c:pt>
                <c:pt idx="540">
                  <c:v>45693</c:v>
                </c:pt>
                <c:pt idx="541">
                  <c:v>45694</c:v>
                </c:pt>
                <c:pt idx="542">
                  <c:v>45695</c:v>
                </c:pt>
                <c:pt idx="543">
                  <c:v>45698</c:v>
                </c:pt>
                <c:pt idx="544">
                  <c:v>45699</c:v>
                </c:pt>
                <c:pt idx="545">
                  <c:v>45700</c:v>
                </c:pt>
                <c:pt idx="546">
                  <c:v>45701</c:v>
                </c:pt>
                <c:pt idx="547">
                  <c:v>45702</c:v>
                </c:pt>
                <c:pt idx="548">
                  <c:v>45705</c:v>
                </c:pt>
                <c:pt idx="549">
                  <c:v>45706</c:v>
                </c:pt>
                <c:pt idx="550">
                  <c:v>45707</c:v>
                </c:pt>
                <c:pt idx="551">
                  <c:v>45708</c:v>
                </c:pt>
                <c:pt idx="552">
                  <c:v>45709</c:v>
                </c:pt>
                <c:pt idx="553">
                  <c:v>45712</c:v>
                </c:pt>
                <c:pt idx="554">
                  <c:v>45713</c:v>
                </c:pt>
                <c:pt idx="555">
                  <c:v>45714</c:v>
                </c:pt>
                <c:pt idx="556">
                  <c:v>45715</c:v>
                </c:pt>
                <c:pt idx="557">
                  <c:v>45716</c:v>
                </c:pt>
                <c:pt idx="558">
                  <c:v>45719</c:v>
                </c:pt>
                <c:pt idx="559">
                  <c:v>45720</c:v>
                </c:pt>
                <c:pt idx="560">
                  <c:v>45721</c:v>
                </c:pt>
                <c:pt idx="561">
                  <c:v>45722</c:v>
                </c:pt>
                <c:pt idx="562">
                  <c:v>45723</c:v>
                </c:pt>
                <c:pt idx="563">
                  <c:v>45726</c:v>
                </c:pt>
                <c:pt idx="564">
                  <c:v>45727</c:v>
                </c:pt>
                <c:pt idx="565">
                  <c:v>45728</c:v>
                </c:pt>
                <c:pt idx="566">
                  <c:v>45729</c:v>
                </c:pt>
                <c:pt idx="567">
                  <c:v>45730</c:v>
                </c:pt>
                <c:pt idx="568">
                  <c:v>45733</c:v>
                </c:pt>
                <c:pt idx="569">
                  <c:v>45734</c:v>
                </c:pt>
                <c:pt idx="570">
                  <c:v>45735</c:v>
                </c:pt>
                <c:pt idx="571">
                  <c:v>45736</c:v>
                </c:pt>
                <c:pt idx="572">
                  <c:v>45737</c:v>
                </c:pt>
                <c:pt idx="573">
                  <c:v>45740</c:v>
                </c:pt>
                <c:pt idx="574">
                  <c:v>45741</c:v>
                </c:pt>
                <c:pt idx="575">
                  <c:v>45742</c:v>
                </c:pt>
                <c:pt idx="576">
                  <c:v>45743</c:v>
                </c:pt>
                <c:pt idx="577">
                  <c:v>45744</c:v>
                </c:pt>
                <c:pt idx="578">
                  <c:v>45747</c:v>
                </c:pt>
                <c:pt idx="579">
                  <c:v>45748</c:v>
                </c:pt>
                <c:pt idx="580">
                  <c:v>45749</c:v>
                </c:pt>
                <c:pt idx="581">
                  <c:v>45750</c:v>
                </c:pt>
                <c:pt idx="582">
                  <c:v>45751</c:v>
                </c:pt>
                <c:pt idx="583">
                  <c:v>45754</c:v>
                </c:pt>
                <c:pt idx="584">
                  <c:v>45755</c:v>
                </c:pt>
                <c:pt idx="585">
                  <c:v>45756</c:v>
                </c:pt>
                <c:pt idx="586">
                  <c:v>45757</c:v>
                </c:pt>
                <c:pt idx="587">
                  <c:v>45758</c:v>
                </c:pt>
                <c:pt idx="588">
                  <c:v>45761</c:v>
                </c:pt>
                <c:pt idx="589">
                  <c:v>45762</c:v>
                </c:pt>
                <c:pt idx="590">
                  <c:v>45763</c:v>
                </c:pt>
                <c:pt idx="591">
                  <c:v>45764</c:v>
                </c:pt>
                <c:pt idx="592">
                  <c:v>45768</c:v>
                </c:pt>
                <c:pt idx="593">
                  <c:v>45769</c:v>
                </c:pt>
                <c:pt idx="594">
                  <c:v>45770</c:v>
                </c:pt>
                <c:pt idx="595">
                  <c:v>45771</c:v>
                </c:pt>
                <c:pt idx="596">
                  <c:v>45772</c:v>
                </c:pt>
                <c:pt idx="597">
                  <c:v>45775</c:v>
                </c:pt>
                <c:pt idx="598">
                  <c:v>45776</c:v>
                </c:pt>
                <c:pt idx="599">
                  <c:v>45777</c:v>
                </c:pt>
                <c:pt idx="600">
                  <c:v>45778</c:v>
                </c:pt>
                <c:pt idx="601">
                  <c:v>45779</c:v>
                </c:pt>
                <c:pt idx="602">
                  <c:v>45782</c:v>
                </c:pt>
                <c:pt idx="603">
                  <c:v>45783</c:v>
                </c:pt>
                <c:pt idx="604">
                  <c:v>45784</c:v>
                </c:pt>
                <c:pt idx="605">
                  <c:v>45785</c:v>
                </c:pt>
                <c:pt idx="606">
                  <c:v>45786</c:v>
                </c:pt>
                <c:pt idx="607">
                  <c:v>45789</c:v>
                </c:pt>
                <c:pt idx="608">
                  <c:v>45790</c:v>
                </c:pt>
                <c:pt idx="609">
                  <c:v>45791</c:v>
                </c:pt>
                <c:pt idx="610">
                  <c:v>45792</c:v>
                </c:pt>
                <c:pt idx="611">
                  <c:v>45793</c:v>
                </c:pt>
                <c:pt idx="612">
                  <c:v>45796</c:v>
                </c:pt>
                <c:pt idx="613">
                  <c:v>45797</c:v>
                </c:pt>
                <c:pt idx="614">
                  <c:v>45798</c:v>
                </c:pt>
                <c:pt idx="615">
                  <c:v>45799</c:v>
                </c:pt>
                <c:pt idx="616">
                  <c:v>45800</c:v>
                </c:pt>
                <c:pt idx="617">
                  <c:v>45803</c:v>
                </c:pt>
                <c:pt idx="618">
                  <c:v>45804</c:v>
                </c:pt>
                <c:pt idx="619">
                  <c:v>45805</c:v>
                </c:pt>
                <c:pt idx="620">
                  <c:v>45806</c:v>
                </c:pt>
                <c:pt idx="621">
                  <c:v>45807</c:v>
                </c:pt>
                <c:pt idx="622">
                  <c:v>45810</c:v>
                </c:pt>
                <c:pt idx="623">
                  <c:v>45811</c:v>
                </c:pt>
                <c:pt idx="624">
                  <c:v>45812</c:v>
                </c:pt>
                <c:pt idx="625">
                  <c:v>45813</c:v>
                </c:pt>
                <c:pt idx="626">
                  <c:v>45814</c:v>
                </c:pt>
                <c:pt idx="627">
                  <c:v>45817</c:v>
                </c:pt>
                <c:pt idx="628">
                  <c:v>45818</c:v>
                </c:pt>
                <c:pt idx="629">
                  <c:v>45819</c:v>
                </c:pt>
                <c:pt idx="630">
                  <c:v>45820</c:v>
                </c:pt>
                <c:pt idx="631">
                  <c:v>45821</c:v>
                </c:pt>
                <c:pt idx="632">
                  <c:v>45824</c:v>
                </c:pt>
                <c:pt idx="633">
                  <c:v>45825</c:v>
                </c:pt>
                <c:pt idx="634">
                  <c:v>45826</c:v>
                </c:pt>
                <c:pt idx="635">
                  <c:v>45827</c:v>
                </c:pt>
                <c:pt idx="636">
                  <c:v>45828</c:v>
                </c:pt>
                <c:pt idx="637">
                  <c:v>45831</c:v>
                </c:pt>
                <c:pt idx="638">
                  <c:v>45832</c:v>
                </c:pt>
                <c:pt idx="639">
                  <c:v>45833</c:v>
                </c:pt>
                <c:pt idx="640" formatCode="m\/d\/yyyy">
                  <c:v>45834</c:v>
                </c:pt>
                <c:pt idx="641" formatCode="m\/d\/yyyy">
                  <c:v>45835</c:v>
                </c:pt>
                <c:pt idx="642" formatCode="m\/d\/yyyy">
                  <c:v>45838</c:v>
                </c:pt>
                <c:pt idx="643" formatCode="m\/d\/yyyy">
                  <c:v>45839</c:v>
                </c:pt>
                <c:pt idx="644" formatCode="m\/d\/yyyy">
                  <c:v>45840</c:v>
                </c:pt>
                <c:pt idx="645" formatCode="m\/d\/yyyy">
                  <c:v>45841</c:v>
                </c:pt>
                <c:pt idx="646" formatCode="m\/d\/yyyy">
                  <c:v>45842</c:v>
                </c:pt>
                <c:pt idx="647" formatCode="m\/d\/yyyy">
                  <c:v>45845</c:v>
                </c:pt>
                <c:pt idx="648" formatCode="m\/d\/yyyy">
                  <c:v>45846</c:v>
                </c:pt>
                <c:pt idx="649" formatCode="m\/d\/yyyy">
                  <c:v>45847</c:v>
                </c:pt>
                <c:pt idx="650" formatCode="m\/d\/yyyy">
                  <c:v>45848</c:v>
                </c:pt>
                <c:pt idx="651" formatCode="m\/d\/yyyy">
                  <c:v>45849</c:v>
                </c:pt>
                <c:pt idx="652" formatCode="m\/d\/yyyy">
                  <c:v>45852</c:v>
                </c:pt>
                <c:pt idx="653" formatCode="m\/d\/yyyy">
                  <c:v>45853</c:v>
                </c:pt>
                <c:pt idx="654" formatCode="m\/d\/yyyy">
                  <c:v>45854</c:v>
                </c:pt>
                <c:pt idx="655" formatCode="m\/d\/yyyy">
                  <c:v>45855</c:v>
                </c:pt>
                <c:pt idx="656" formatCode="m\/d\/yyyy">
                  <c:v>45856</c:v>
                </c:pt>
                <c:pt idx="657" formatCode="m\/d\/yyyy">
                  <c:v>45859</c:v>
                </c:pt>
                <c:pt idx="658" formatCode="m\/d\/yyyy">
                  <c:v>45860</c:v>
                </c:pt>
                <c:pt idx="659" formatCode="m\/d\/yyyy">
                  <c:v>45861</c:v>
                </c:pt>
                <c:pt idx="660" formatCode="m\/d\/yyyy">
                  <c:v>45862</c:v>
                </c:pt>
                <c:pt idx="661" formatCode="m\/d\/yyyy">
                  <c:v>45863</c:v>
                </c:pt>
                <c:pt idx="662" formatCode="m\/d\/yyyy">
                  <c:v>45866</c:v>
                </c:pt>
                <c:pt idx="663" formatCode="m\/d\/yyyy">
                  <c:v>45867</c:v>
                </c:pt>
                <c:pt idx="664" formatCode="m\/d\/yyyy">
                  <c:v>45868</c:v>
                </c:pt>
                <c:pt idx="665" formatCode="m\/d\/yyyy">
                  <c:v>45869</c:v>
                </c:pt>
                <c:pt idx="666" formatCode="m\/d\/yyyy">
                  <c:v>45870</c:v>
                </c:pt>
                <c:pt idx="667" formatCode="m\/d\/yyyy">
                  <c:v>45873</c:v>
                </c:pt>
                <c:pt idx="668" formatCode="m\/d\/yyyy">
                  <c:v>45874</c:v>
                </c:pt>
                <c:pt idx="669" formatCode="m\/d\/yyyy">
                  <c:v>45875</c:v>
                </c:pt>
                <c:pt idx="670" formatCode="m\/d\/yyyy">
                  <c:v>45876</c:v>
                </c:pt>
                <c:pt idx="671" formatCode="m\/d\/yyyy">
                  <c:v>45877</c:v>
                </c:pt>
                <c:pt idx="672" formatCode="m\/d\/yyyy">
                  <c:v>45880</c:v>
                </c:pt>
                <c:pt idx="673" formatCode="m\/d\/yyyy">
                  <c:v>45881</c:v>
                </c:pt>
                <c:pt idx="674" formatCode="m\/d\/yyyy">
                  <c:v>45882</c:v>
                </c:pt>
                <c:pt idx="675" formatCode="m\/d\/yyyy">
                  <c:v>45883</c:v>
                </c:pt>
                <c:pt idx="676" formatCode="m\/d\/yyyy">
                  <c:v>45884</c:v>
                </c:pt>
                <c:pt idx="677" formatCode="m\/d\/yyyy">
                  <c:v>45887</c:v>
                </c:pt>
                <c:pt idx="678" formatCode="m\/d\/yyyy">
                  <c:v>45888</c:v>
                </c:pt>
                <c:pt idx="679" formatCode="m\/d\/yyyy">
                  <c:v>45889</c:v>
                </c:pt>
                <c:pt idx="680" formatCode="m\/d\/yyyy">
                  <c:v>45890</c:v>
                </c:pt>
                <c:pt idx="681" formatCode="m\/d\/yyyy">
                  <c:v>45891</c:v>
                </c:pt>
                <c:pt idx="682" formatCode="m\/d\/yyyy">
                  <c:v>45894</c:v>
                </c:pt>
                <c:pt idx="683" formatCode="m\/d\/yyyy">
                  <c:v>45895</c:v>
                </c:pt>
                <c:pt idx="684" formatCode="m\/d\/yyyy">
                  <c:v>45896</c:v>
                </c:pt>
                <c:pt idx="685" formatCode="m\/d\/yyyy">
                  <c:v>45897</c:v>
                </c:pt>
                <c:pt idx="686" formatCode="m\/d\/yyyy">
                  <c:v>45898</c:v>
                </c:pt>
                <c:pt idx="687" formatCode="m\/d\/yyyy">
                  <c:v>45901</c:v>
                </c:pt>
                <c:pt idx="688" formatCode="m\/d\/yyyy">
                  <c:v>45902</c:v>
                </c:pt>
                <c:pt idx="689" formatCode="m\/d\/yyyy">
                  <c:v>45903</c:v>
                </c:pt>
                <c:pt idx="690" formatCode="m\/d\/yyyy">
                  <c:v>45904</c:v>
                </c:pt>
                <c:pt idx="691" formatCode="m\/d\/yyyy">
                  <c:v>45905</c:v>
                </c:pt>
                <c:pt idx="692" formatCode="m\/d\/yyyy">
                  <c:v>45908</c:v>
                </c:pt>
                <c:pt idx="693" formatCode="m\/d\/yyyy">
                  <c:v>45909</c:v>
                </c:pt>
                <c:pt idx="694" formatCode="m\/d\/yyyy">
                  <c:v>45910</c:v>
                </c:pt>
                <c:pt idx="695" formatCode="m\/d\/yyyy">
                  <c:v>45911</c:v>
                </c:pt>
                <c:pt idx="696" formatCode="m\/d\/yyyy">
                  <c:v>45912</c:v>
                </c:pt>
                <c:pt idx="697" formatCode="m\/d\/yyyy">
                  <c:v>45915</c:v>
                </c:pt>
                <c:pt idx="698" formatCode="m\/d\/yyyy">
                  <c:v>45916</c:v>
                </c:pt>
                <c:pt idx="699" formatCode="m\/d\/yyyy">
                  <c:v>45917</c:v>
                </c:pt>
                <c:pt idx="700" formatCode="m\/d\/yyyy">
                  <c:v>45918</c:v>
                </c:pt>
                <c:pt idx="701" formatCode="m\/d\/yyyy">
                  <c:v>45919</c:v>
                </c:pt>
                <c:pt idx="702" formatCode="m\/d\/yyyy">
                  <c:v>45922</c:v>
                </c:pt>
                <c:pt idx="703" formatCode="m\/d\/yyyy">
                  <c:v>45923</c:v>
                </c:pt>
                <c:pt idx="704" formatCode="m\/d\/yyyy">
                  <c:v>45924</c:v>
                </c:pt>
                <c:pt idx="705" formatCode="m\/d\/yyyy">
                  <c:v>45925</c:v>
                </c:pt>
                <c:pt idx="706" formatCode="m\/d\/yyyy">
                  <c:v>45926</c:v>
                </c:pt>
                <c:pt idx="707" formatCode="m\/d\/yyyy">
                  <c:v>45929</c:v>
                </c:pt>
                <c:pt idx="708" formatCode="m\/d\/yyyy">
                  <c:v>45930</c:v>
                </c:pt>
                <c:pt idx="709" formatCode="m\/d\/yyyy">
                  <c:v>45931</c:v>
                </c:pt>
                <c:pt idx="710" formatCode="m\/d\/yyyy">
                  <c:v>45932</c:v>
                </c:pt>
                <c:pt idx="711" formatCode="m\/d\/yyyy">
                  <c:v>45933</c:v>
                </c:pt>
                <c:pt idx="712" formatCode="m\/d\/yyyy">
                  <c:v>45936</c:v>
                </c:pt>
                <c:pt idx="713" formatCode="m\/d\/yyyy">
                  <c:v>45937</c:v>
                </c:pt>
                <c:pt idx="714" formatCode="m\/d\/yyyy">
                  <c:v>45938</c:v>
                </c:pt>
                <c:pt idx="715" formatCode="m\/d\/yyyy">
                  <c:v>45939</c:v>
                </c:pt>
                <c:pt idx="716" formatCode="m\/d\/yyyy">
                  <c:v>45940</c:v>
                </c:pt>
                <c:pt idx="717" formatCode="m\/d\/yyyy">
                  <c:v>45943</c:v>
                </c:pt>
                <c:pt idx="718" formatCode="m\/d\/yyyy">
                  <c:v>45944</c:v>
                </c:pt>
                <c:pt idx="719" formatCode="m\/d\/yyyy">
                  <c:v>45945</c:v>
                </c:pt>
                <c:pt idx="720" formatCode="m\/d\/yyyy">
                  <c:v>45946</c:v>
                </c:pt>
                <c:pt idx="721" formatCode="m\/d\/yyyy">
                  <c:v>45947</c:v>
                </c:pt>
                <c:pt idx="722" formatCode="m\/d\/yyyy">
                  <c:v>45950</c:v>
                </c:pt>
                <c:pt idx="723" formatCode="m\/d\/yyyy">
                  <c:v>45951</c:v>
                </c:pt>
                <c:pt idx="724" formatCode="m\/d\/yyyy">
                  <c:v>45952</c:v>
                </c:pt>
                <c:pt idx="725" formatCode="m\/d\/yyyy">
                  <c:v>45953</c:v>
                </c:pt>
                <c:pt idx="726" formatCode="m\/d\/yyyy">
                  <c:v>45954</c:v>
                </c:pt>
                <c:pt idx="727" formatCode="m\/d\/yyyy">
                  <c:v>45957</c:v>
                </c:pt>
                <c:pt idx="728" formatCode="m\/d\/yyyy">
                  <c:v>45958</c:v>
                </c:pt>
                <c:pt idx="729" formatCode="m\/d\/yyyy">
                  <c:v>45959</c:v>
                </c:pt>
                <c:pt idx="730" formatCode="m\/d\/yyyy">
                  <c:v>45960</c:v>
                </c:pt>
                <c:pt idx="731" formatCode="m\/d\/yyyy">
                  <c:v>45961</c:v>
                </c:pt>
                <c:pt idx="732" formatCode="m\/d\/yyyy">
                  <c:v>45964</c:v>
                </c:pt>
                <c:pt idx="733" formatCode="m\/d\/yyyy">
                  <c:v>45965</c:v>
                </c:pt>
                <c:pt idx="734" formatCode="m\/d\/yyyy">
                  <c:v>45966</c:v>
                </c:pt>
                <c:pt idx="735" formatCode="m\/d\/yyyy">
                  <c:v>45967</c:v>
                </c:pt>
                <c:pt idx="736" formatCode="m\/d\/yyyy">
                  <c:v>45968</c:v>
                </c:pt>
                <c:pt idx="737" formatCode="m\/d\/yyyy">
                  <c:v>45971</c:v>
                </c:pt>
                <c:pt idx="738" formatCode="m\/d\/yyyy">
                  <c:v>45972</c:v>
                </c:pt>
                <c:pt idx="739" formatCode="m\/d\/yyyy">
                  <c:v>45973</c:v>
                </c:pt>
                <c:pt idx="740" formatCode="m\/d\/yyyy">
                  <c:v>45974</c:v>
                </c:pt>
                <c:pt idx="741" formatCode="m\/d\/yyyy">
                  <c:v>45975</c:v>
                </c:pt>
                <c:pt idx="742" formatCode="m\/d\/yyyy">
                  <c:v>45978</c:v>
                </c:pt>
                <c:pt idx="743" formatCode="m\/d\/yyyy">
                  <c:v>45979</c:v>
                </c:pt>
                <c:pt idx="744" formatCode="m\/d\/yyyy">
                  <c:v>45980</c:v>
                </c:pt>
                <c:pt idx="745" formatCode="m\/d\/yyyy">
                  <c:v>45981</c:v>
                </c:pt>
                <c:pt idx="746" formatCode="m\/d\/yyyy">
                  <c:v>45982</c:v>
                </c:pt>
                <c:pt idx="747" formatCode="m\/d\/yyyy">
                  <c:v>45985</c:v>
                </c:pt>
                <c:pt idx="748" formatCode="m\/d\/yyyy">
                  <c:v>45986</c:v>
                </c:pt>
                <c:pt idx="749" formatCode="m\/d\/yyyy">
                  <c:v>45987</c:v>
                </c:pt>
                <c:pt idx="750" formatCode="m\/d\/yyyy">
                  <c:v>45988</c:v>
                </c:pt>
                <c:pt idx="751" formatCode="m\/d\/yyyy">
                  <c:v>45989</c:v>
                </c:pt>
                <c:pt idx="752" formatCode="m\/d\/yyyy">
                  <c:v>45992</c:v>
                </c:pt>
                <c:pt idx="753" formatCode="m\/d\/yyyy">
                  <c:v>45993</c:v>
                </c:pt>
                <c:pt idx="754" formatCode="m\/d\/yyyy">
                  <c:v>45994</c:v>
                </c:pt>
                <c:pt idx="755" formatCode="m\/d\/yyyy">
                  <c:v>45995</c:v>
                </c:pt>
                <c:pt idx="756" formatCode="m\/d\/yyyy">
                  <c:v>45996</c:v>
                </c:pt>
                <c:pt idx="757" formatCode="m\/d\/yyyy">
                  <c:v>45999</c:v>
                </c:pt>
                <c:pt idx="758" formatCode="m\/d\/yyyy">
                  <c:v>46000</c:v>
                </c:pt>
                <c:pt idx="759" formatCode="m\/d\/yyyy">
                  <c:v>46001</c:v>
                </c:pt>
                <c:pt idx="760" formatCode="m\/d\/yyyy">
                  <c:v>46002</c:v>
                </c:pt>
                <c:pt idx="761" formatCode="m\/d\/yyyy">
                  <c:v>46003</c:v>
                </c:pt>
                <c:pt idx="762" formatCode="m\/d\/yyyy">
                  <c:v>46006</c:v>
                </c:pt>
                <c:pt idx="763" formatCode="m\/d\/yyyy">
                  <c:v>46007</c:v>
                </c:pt>
                <c:pt idx="764" formatCode="m\/d\/yyyy">
                  <c:v>46008</c:v>
                </c:pt>
                <c:pt idx="765" formatCode="m\/d\/yyyy">
                  <c:v>46009</c:v>
                </c:pt>
                <c:pt idx="766" formatCode="m\/d\/yyyy">
                  <c:v>46010</c:v>
                </c:pt>
                <c:pt idx="767" formatCode="m\/d\/yyyy">
                  <c:v>46013</c:v>
                </c:pt>
                <c:pt idx="768" formatCode="m\/d\/yyyy">
                  <c:v>46014</c:v>
                </c:pt>
                <c:pt idx="769" formatCode="m\/d\/yyyy">
                  <c:v>46015</c:v>
                </c:pt>
                <c:pt idx="770" formatCode="m\/d\/yyyy">
                  <c:v>46017</c:v>
                </c:pt>
                <c:pt idx="771" formatCode="m\/d\/yyyy">
                  <c:v>46020</c:v>
                </c:pt>
                <c:pt idx="772" formatCode="m\/d\/yyyy">
                  <c:v>46021</c:v>
                </c:pt>
                <c:pt idx="773" formatCode="m\/d\/yyyy">
                  <c:v>46022</c:v>
                </c:pt>
                <c:pt idx="774" formatCode="m\/d\/yyyy">
                  <c:v>46024</c:v>
                </c:pt>
                <c:pt idx="775" formatCode="m\/d\/yyyy">
                  <c:v>46027</c:v>
                </c:pt>
                <c:pt idx="776" formatCode="m\/d\/yyyy">
                  <c:v>46028</c:v>
                </c:pt>
                <c:pt idx="777" formatCode="m\/d\/yyyy">
                  <c:v>46029</c:v>
                </c:pt>
                <c:pt idx="778" formatCode="m\/d\/yyyy">
                  <c:v>46030</c:v>
                </c:pt>
                <c:pt idx="779" formatCode="m\/d\/yyyy">
                  <c:v>46031</c:v>
                </c:pt>
                <c:pt idx="780" formatCode="m\/d\/yyyy">
                  <c:v>46034</c:v>
                </c:pt>
                <c:pt idx="781" formatCode="m\/d\/yyyy">
                  <c:v>46035</c:v>
                </c:pt>
                <c:pt idx="782" formatCode="m\/d\/yyyy">
                  <c:v>46036</c:v>
                </c:pt>
                <c:pt idx="783" formatCode="m\/d\/yyyy">
                  <c:v>46037</c:v>
                </c:pt>
                <c:pt idx="784" formatCode="m\/d\/yyyy">
                  <c:v>46038</c:v>
                </c:pt>
                <c:pt idx="785" formatCode="m\/d\/yyyy">
                  <c:v>46041</c:v>
                </c:pt>
                <c:pt idx="786" formatCode="m\/d\/yyyy">
                  <c:v>46042</c:v>
                </c:pt>
                <c:pt idx="787" formatCode="m\/d\/yyyy">
                  <c:v>46043</c:v>
                </c:pt>
                <c:pt idx="788" formatCode="m\/d\/yyyy">
                  <c:v>46044</c:v>
                </c:pt>
                <c:pt idx="789" formatCode="m\/d\/yyyy">
                  <c:v>46045</c:v>
                </c:pt>
                <c:pt idx="790" formatCode="m\/d\/yyyy">
                  <c:v>46048</c:v>
                </c:pt>
                <c:pt idx="791" formatCode="m\/d\/yyyy">
                  <c:v>46049</c:v>
                </c:pt>
                <c:pt idx="792" formatCode="m\/d\/yyyy">
                  <c:v>46050</c:v>
                </c:pt>
                <c:pt idx="793" formatCode="m\/d\/yyyy">
                  <c:v>46051</c:v>
                </c:pt>
                <c:pt idx="794" formatCode="m\/d\/yyyy">
                  <c:v>46052</c:v>
                </c:pt>
                <c:pt idx="795" formatCode="m\/d\/yyyy">
                  <c:v>46055</c:v>
                </c:pt>
                <c:pt idx="796" formatCode="m\/d\/yyyy">
                  <c:v>46056</c:v>
                </c:pt>
                <c:pt idx="797" formatCode="m\/d\/yyyy">
                  <c:v>46057</c:v>
                </c:pt>
                <c:pt idx="798" formatCode="m\/d\/yyyy">
                  <c:v>46058</c:v>
                </c:pt>
                <c:pt idx="799" formatCode="m\/d\/yyyy">
                  <c:v>46059</c:v>
                </c:pt>
                <c:pt idx="800" formatCode="m\/d\/yyyy">
                  <c:v>46062</c:v>
                </c:pt>
                <c:pt idx="801" formatCode="m\/d\/yyyy">
                  <c:v>46063</c:v>
                </c:pt>
                <c:pt idx="802" formatCode="m\/d\/yyyy">
                  <c:v>46064</c:v>
                </c:pt>
                <c:pt idx="803" formatCode="m\/d\/yyyy">
                  <c:v>46065</c:v>
                </c:pt>
                <c:pt idx="804" formatCode="m\/d\/yyyy">
                  <c:v>46066</c:v>
                </c:pt>
                <c:pt idx="805" formatCode="m\/d\/yyyy">
                  <c:v>46069</c:v>
                </c:pt>
                <c:pt idx="806" formatCode="m\/d\/yyyy">
                  <c:v>46070</c:v>
                </c:pt>
                <c:pt idx="807" formatCode="m\/d\/yyyy">
                  <c:v>46071</c:v>
                </c:pt>
                <c:pt idx="808" formatCode="m\/d\/yyyy">
                  <c:v>46072</c:v>
                </c:pt>
                <c:pt idx="809" formatCode="m\/d\/yyyy">
                  <c:v>46073</c:v>
                </c:pt>
                <c:pt idx="810" formatCode="m\/d\/yyyy">
                  <c:v>46076</c:v>
                </c:pt>
                <c:pt idx="811" formatCode="m\/d\/yyyy">
                  <c:v>46077</c:v>
                </c:pt>
                <c:pt idx="812" formatCode="m\/d\/yyyy">
                  <c:v>46078</c:v>
                </c:pt>
                <c:pt idx="813" formatCode="m\/d\/yyyy">
                  <c:v>46079</c:v>
                </c:pt>
                <c:pt idx="814" formatCode="m\/d\/yyyy">
                  <c:v>46080</c:v>
                </c:pt>
                <c:pt idx="815" formatCode="m\/d\/yyyy">
                  <c:v>46083</c:v>
                </c:pt>
                <c:pt idx="816" formatCode="m\/d\/yyyy">
                  <c:v>46084</c:v>
                </c:pt>
                <c:pt idx="817" formatCode="m\/d\/yyyy">
                  <c:v>46085</c:v>
                </c:pt>
                <c:pt idx="818" formatCode="m\/d\/yyyy">
                  <c:v>46086</c:v>
                </c:pt>
                <c:pt idx="819" formatCode="m\/d\/yyyy">
                  <c:v>46087</c:v>
                </c:pt>
                <c:pt idx="820" formatCode="m\/d\/yyyy">
                  <c:v>46090</c:v>
                </c:pt>
                <c:pt idx="821" formatCode="m\/d\/yyyy">
                  <c:v>46091</c:v>
                </c:pt>
                <c:pt idx="822" formatCode="m\/d\/yyyy">
                  <c:v>46092</c:v>
                </c:pt>
                <c:pt idx="823" formatCode="m\/d\/yyyy">
                  <c:v>46093</c:v>
                </c:pt>
                <c:pt idx="824" formatCode="m\/d\/yyyy">
                  <c:v>46094</c:v>
                </c:pt>
                <c:pt idx="825" formatCode="m\/d\/yyyy">
                  <c:v>46097</c:v>
                </c:pt>
                <c:pt idx="826" formatCode="m\/d\/yyyy">
                  <c:v>46098</c:v>
                </c:pt>
                <c:pt idx="827" formatCode="m\/d\/yyyy">
                  <c:v>46099</c:v>
                </c:pt>
                <c:pt idx="828" formatCode="m\/d\/yyyy">
                  <c:v>46100</c:v>
                </c:pt>
                <c:pt idx="829" formatCode="m\/d\/yyyy">
                  <c:v>46101</c:v>
                </c:pt>
                <c:pt idx="830" formatCode="m\/d\/yyyy">
                  <c:v>46104</c:v>
                </c:pt>
                <c:pt idx="831" formatCode="m\/d\/yyyy">
                  <c:v>46105</c:v>
                </c:pt>
                <c:pt idx="832" formatCode="m\/d\/yyyy">
                  <c:v>46106</c:v>
                </c:pt>
                <c:pt idx="833" formatCode="m\/d\/yyyy">
                  <c:v>46107</c:v>
                </c:pt>
                <c:pt idx="834" formatCode="m\/d\/yyyy">
                  <c:v>46108</c:v>
                </c:pt>
                <c:pt idx="835" formatCode="m\/d\/yyyy">
                  <c:v>46111</c:v>
                </c:pt>
                <c:pt idx="836" formatCode="m\/d\/yyyy">
                  <c:v>46112</c:v>
                </c:pt>
                <c:pt idx="837" formatCode="m\/d\/yyyy">
                  <c:v>46113</c:v>
                </c:pt>
                <c:pt idx="838" formatCode="m\/d\/yyyy">
                  <c:v>46114</c:v>
                </c:pt>
                <c:pt idx="839" formatCode="m\/d\/yyyy">
                  <c:v>46115</c:v>
                </c:pt>
                <c:pt idx="840" formatCode="m\/d\/yyyy">
                  <c:v>46118</c:v>
                </c:pt>
                <c:pt idx="841" formatCode="m\/d\/yyyy">
                  <c:v>46119</c:v>
                </c:pt>
                <c:pt idx="842" formatCode="m\/d\/yyyy">
                  <c:v>46120</c:v>
                </c:pt>
                <c:pt idx="843" formatCode="m\/d\/yyyy">
                  <c:v>46121</c:v>
                </c:pt>
                <c:pt idx="844" formatCode="m\/d\/yyyy">
                  <c:v>46122</c:v>
                </c:pt>
                <c:pt idx="845" formatCode="m\/d\/yyyy">
                  <c:v>46125</c:v>
                </c:pt>
                <c:pt idx="846" formatCode="m\/d\/yyyy">
                  <c:v>46126</c:v>
                </c:pt>
                <c:pt idx="847" formatCode="m\/d\/yyyy">
                  <c:v>46127</c:v>
                </c:pt>
                <c:pt idx="848" formatCode="m\/d\/yyyy">
                  <c:v>46128</c:v>
                </c:pt>
                <c:pt idx="849" formatCode="m\/d\/yyyy">
                  <c:v>46129</c:v>
                </c:pt>
                <c:pt idx="850" formatCode="m\/d\/yyyy">
                  <c:v>46132</c:v>
                </c:pt>
                <c:pt idx="851" formatCode="m\/d\/yyyy">
                  <c:v>46133</c:v>
                </c:pt>
                <c:pt idx="852" formatCode="m\/d\/yyyy">
                  <c:v>46134</c:v>
                </c:pt>
                <c:pt idx="853" formatCode="m\/d\/yyyy">
                  <c:v>46135</c:v>
                </c:pt>
                <c:pt idx="854" formatCode="m\/d\/yyyy">
                  <c:v>46136</c:v>
                </c:pt>
                <c:pt idx="855" formatCode="m\/d\/yyyy">
                  <c:v>46139</c:v>
                </c:pt>
                <c:pt idx="856" formatCode="m\/d\/yyyy">
                  <c:v>46140</c:v>
                </c:pt>
                <c:pt idx="857" formatCode="m\/d\/yyyy">
                  <c:v>46141</c:v>
                </c:pt>
                <c:pt idx="858" formatCode="m\/d\/yyyy">
                  <c:v>46142</c:v>
                </c:pt>
                <c:pt idx="859" formatCode="m\/d\/yyyy">
                  <c:v>46143</c:v>
                </c:pt>
                <c:pt idx="860" formatCode="m\/d\/yyyy">
                  <c:v>46146</c:v>
                </c:pt>
                <c:pt idx="861" formatCode="m\/d\/yyyy">
                  <c:v>46147</c:v>
                </c:pt>
                <c:pt idx="862" formatCode="m\/d\/yyyy">
                  <c:v>46148</c:v>
                </c:pt>
                <c:pt idx="863" formatCode="m\/d\/yyyy">
                  <c:v>46149</c:v>
                </c:pt>
                <c:pt idx="864" formatCode="m\/d\/yyyy">
                  <c:v>46150</c:v>
                </c:pt>
                <c:pt idx="865" formatCode="m\/d\/yyyy">
                  <c:v>46153</c:v>
                </c:pt>
                <c:pt idx="866" formatCode="m\/d\/yyyy">
                  <c:v>46154</c:v>
                </c:pt>
                <c:pt idx="867" formatCode="m\/d\/yyyy">
                  <c:v>46155</c:v>
                </c:pt>
                <c:pt idx="868" formatCode="m\/d\/yyyy">
                  <c:v>46156</c:v>
                </c:pt>
                <c:pt idx="869" formatCode="m\/d\/yyyy">
                  <c:v>46157</c:v>
                </c:pt>
                <c:pt idx="870" formatCode="m\/d\/yyyy">
                  <c:v>46160</c:v>
                </c:pt>
                <c:pt idx="871" formatCode="m\/d\/yyyy">
                  <c:v>46161</c:v>
                </c:pt>
                <c:pt idx="872" formatCode="m\/d\/yyyy">
                  <c:v>46162</c:v>
                </c:pt>
                <c:pt idx="873" formatCode="m\/d\/yyyy">
                  <c:v>46163</c:v>
                </c:pt>
                <c:pt idx="874" formatCode="m\/d\/yyyy">
                  <c:v>46164</c:v>
                </c:pt>
                <c:pt idx="875" formatCode="m\/d\/yyyy">
                  <c:v>46167</c:v>
                </c:pt>
                <c:pt idx="876" formatCode="m\/d\/yyyy">
                  <c:v>46168</c:v>
                </c:pt>
                <c:pt idx="877" formatCode="m\/d\/yyyy">
                  <c:v>46169</c:v>
                </c:pt>
                <c:pt idx="878" formatCode="m\/d\/yyyy">
                  <c:v>46171</c:v>
                </c:pt>
                <c:pt idx="879" formatCode="m\/d\/yyyy">
                  <c:v>46174</c:v>
                </c:pt>
                <c:pt idx="880" formatCode="m\/d\/yyyy">
                  <c:v>46175</c:v>
                </c:pt>
                <c:pt idx="881" formatCode="m\/d\/yyyy">
                  <c:v>46176</c:v>
                </c:pt>
                <c:pt idx="882" formatCode="m\/d\/yyyy">
                  <c:v>46177</c:v>
                </c:pt>
                <c:pt idx="883" formatCode="m\/d\/yyyy">
                  <c:v>46178</c:v>
                </c:pt>
                <c:pt idx="884" formatCode="m\/d\/yyyy">
                  <c:v>46181</c:v>
                </c:pt>
                <c:pt idx="885" formatCode="m\/d\/yyyy">
                  <c:v>46182</c:v>
                </c:pt>
                <c:pt idx="886" formatCode="m\/d\/yyyy">
                  <c:v>46183</c:v>
                </c:pt>
                <c:pt idx="887" formatCode="m\/d\/yyyy">
                  <c:v>46184</c:v>
                </c:pt>
                <c:pt idx="888" formatCode="m\/d\/yyyy">
                  <c:v>46185</c:v>
                </c:pt>
                <c:pt idx="889" formatCode="m\/d\/yyyy">
                  <c:v>46188</c:v>
                </c:pt>
                <c:pt idx="890" formatCode="m\/d\/yyyy">
                  <c:v>46189</c:v>
                </c:pt>
                <c:pt idx="891" formatCode="m\/d\/yyyy">
                  <c:v>46190</c:v>
                </c:pt>
                <c:pt idx="892" formatCode="m\/d\/yyyy">
                  <c:v>46191</c:v>
                </c:pt>
                <c:pt idx="893" formatCode="m\/d\/yyyy">
                  <c:v>46192</c:v>
                </c:pt>
                <c:pt idx="894" formatCode="m\/d\/yyyy">
                  <c:v>46195</c:v>
                </c:pt>
                <c:pt idx="895" formatCode="m\/d\/yyyy">
                  <c:v>46196</c:v>
                </c:pt>
                <c:pt idx="896" formatCode="m\/d\/yyyy">
                  <c:v>46197</c:v>
                </c:pt>
                <c:pt idx="897" formatCode="m\/d\/yyyy">
                  <c:v>46198</c:v>
                </c:pt>
                <c:pt idx="898" formatCode="m\/d\/yyyy">
                  <c:v>46199</c:v>
                </c:pt>
                <c:pt idx="899" formatCode="m\/d\/yyyy">
                  <c:v>46202</c:v>
                </c:pt>
                <c:pt idx="900" formatCode="m\/d\/yyyy">
                  <c:v>46203</c:v>
                </c:pt>
                <c:pt idx="901" formatCode="m\/d\/yyyy">
                  <c:v>46204</c:v>
                </c:pt>
                <c:pt idx="902" formatCode="m\/d\/yyyy">
                  <c:v>46205</c:v>
                </c:pt>
                <c:pt idx="903" formatCode="m\/d\/yyyy">
                  <c:v>46206</c:v>
                </c:pt>
                <c:pt idx="904" formatCode="m\/d\/yyyy">
                  <c:v>46209</c:v>
                </c:pt>
                <c:pt idx="905" formatCode="m\/d\/yyyy">
                  <c:v>46210</c:v>
                </c:pt>
                <c:pt idx="906" formatCode="m\/d\/yyyy">
                  <c:v>46211</c:v>
                </c:pt>
                <c:pt idx="907" formatCode="m\/d\/yyyy">
                  <c:v>46212</c:v>
                </c:pt>
                <c:pt idx="908" formatCode="m\/d\/yyyy">
                  <c:v>46213</c:v>
                </c:pt>
                <c:pt idx="909" formatCode="m\/d\/yyyy">
                  <c:v>46216</c:v>
                </c:pt>
                <c:pt idx="910" formatCode="m\/d\/yyyy">
                  <c:v>46217</c:v>
                </c:pt>
                <c:pt idx="911" formatCode="m\/d\/yyyy">
                  <c:v>46218</c:v>
                </c:pt>
                <c:pt idx="912" formatCode="m\/d\/yyyy">
                  <c:v>46219</c:v>
                </c:pt>
                <c:pt idx="913" formatCode="m\/d\/yyyy">
                  <c:v>46220</c:v>
                </c:pt>
                <c:pt idx="914" formatCode="m\/d\/yyyy">
                  <c:v>46223</c:v>
                </c:pt>
                <c:pt idx="915" formatCode="m\/d\/yyyy">
                  <c:v>46224</c:v>
                </c:pt>
                <c:pt idx="916" formatCode="m\/d\/yyyy">
                  <c:v>46225</c:v>
                </c:pt>
                <c:pt idx="917" formatCode="m\/d\/yyyy">
                  <c:v>46226</c:v>
                </c:pt>
                <c:pt idx="918" formatCode="m\/d\/yyyy">
                  <c:v>46227</c:v>
                </c:pt>
                <c:pt idx="919" formatCode="m\/d\/yyyy">
                  <c:v>46230</c:v>
                </c:pt>
                <c:pt idx="920" formatCode="m\/d\/yyyy">
                  <c:v>46231</c:v>
                </c:pt>
                <c:pt idx="921" formatCode="m\/d\/yyyy">
                  <c:v>46232</c:v>
                </c:pt>
                <c:pt idx="922" formatCode="m\/d\/yyyy">
                  <c:v>46233</c:v>
                </c:pt>
                <c:pt idx="923" formatCode="m\/d\/yyyy">
                  <c:v>46234</c:v>
                </c:pt>
                <c:pt idx="924" formatCode="m\/d\/yyyy">
                  <c:v>46237</c:v>
                </c:pt>
                <c:pt idx="925" formatCode="m\/d\/yyyy">
                  <c:v>46238</c:v>
                </c:pt>
                <c:pt idx="926" formatCode="m\/d\/yyyy">
                  <c:v>46239</c:v>
                </c:pt>
                <c:pt idx="927" formatCode="m\/d\/yyyy">
                  <c:v>46240</c:v>
                </c:pt>
                <c:pt idx="928" formatCode="m\/d\/yyyy">
                  <c:v>46241</c:v>
                </c:pt>
                <c:pt idx="929" formatCode="m\/d\/yyyy">
                  <c:v>46244</c:v>
                </c:pt>
                <c:pt idx="930" formatCode="m\/d\/yyyy">
                  <c:v>46245</c:v>
                </c:pt>
                <c:pt idx="931" formatCode="m\/d\/yyyy">
                  <c:v>46246</c:v>
                </c:pt>
                <c:pt idx="932" formatCode="m\/d\/yyyy">
                  <c:v>46247</c:v>
                </c:pt>
                <c:pt idx="933" formatCode="m\/d\/yyyy">
                  <c:v>46248</c:v>
                </c:pt>
                <c:pt idx="934" formatCode="m\/d\/yyyy">
                  <c:v>46251</c:v>
                </c:pt>
                <c:pt idx="935" formatCode="m\/d\/yyyy">
                  <c:v>46252</c:v>
                </c:pt>
                <c:pt idx="936" formatCode="m\/d\/yyyy">
                  <c:v>46253</c:v>
                </c:pt>
                <c:pt idx="937" formatCode="m\/d\/yyyy">
                  <c:v>46254</c:v>
                </c:pt>
                <c:pt idx="938" formatCode="m\/d\/yyyy">
                  <c:v>46255</c:v>
                </c:pt>
                <c:pt idx="939" formatCode="m\/d\/yyyy">
                  <c:v>46258</c:v>
                </c:pt>
                <c:pt idx="940" formatCode="m\/d\/yyyy">
                  <c:v>46259</c:v>
                </c:pt>
                <c:pt idx="941" formatCode="m\/d\/yyyy">
                  <c:v>46260</c:v>
                </c:pt>
                <c:pt idx="942" formatCode="m\/d\/yyyy">
                  <c:v>46261</c:v>
                </c:pt>
                <c:pt idx="943" formatCode="m\/d\/yyyy">
                  <c:v>46262</c:v>
                </c:pt>
                <c:pt idx="944" formatCode="m\/d\/yyyy">
                  <c:v>46265</c:v>
                </c:pt>
                <c:pt idx="945" formatCode="m\/d\/yyyy">
                  <c:v>46266</c:v>
                </c:pt>
                <c:pt idx="946" formatCode="m\/d\/yyyy">
                  <c:v>46267</c:v>
                </c:pt>
                <c:pt idx="947" formatCode="m\/d\/yyyy">
                  <c:v>46268</c:v>
                </c:pt>
                <c:pt idx="948" formatCode="m\/d\/yyyy">
                  <c:v>46269</c:v>
                </c:pt>
                <c:pt idx="949" formatCode="m\/d\/yyyy">
                  <c:v>46272</c:v>
                </c:pt>
                <c:pt idx="950" formatCode="m\/d\/yyyy">
                  <c:v>46273</c:v>
                </c:pt>
                <c:pt idx="951" formatCode="m\/d\/yyyy">
                  <c:v>46274</c:v>
                </c:pt>
                <c:pt idx="952" formatCode="m\/d\/yyyy">
                  <c:v>46275</c:v>
                </c:pt>
                <c:pt idx="953" formatCode="m\/d\/yyyy">
                  <c:v>46276</c:v>
                </c:pt>
                <c:pt idx="954" formatCode="m\/d\/yyyy">
                  <c:v>46279</c:v>
                </c:pt>
                <c:pt idx="955" formatCode="m\/d\/yyyy">
                  <c:v>46280</c:v>
                </c:pt>
              </c:numCache>
            </c:numRef>
          </c:cat>
          <c:val>
            <c:numRef>
              <c:f>Sheet1!$C$2:$C$957</c:f>
              <c:numCache>
                <c:formatCode>0.0</c:formatCode>
                <c:ptCount val="956"/>
                <c:pt idx="0">
                  <c:v>100</c:v>
                </c:pt>
                <c:pt idx="1">
                  <c:v>98.831302568922737</c:v>
                </c:pt>
                <c:pt idx="2">
                  <c:v>98.347512975928026</c:v>
                </c:pt>
                <c:pt idx="3">
                  <c:v>100.20733839699776</c:v>
                </c:pt>
                <c:pt idx="4">
                  <c:v>96.619693000946853</c:v>
                </c:pt>
                <c:pt idx="5">
                  <c:v>96.302465253540305</c:v>
                </c:pt>
                <c:pt idx="6">
                  <c:v>94.401863281061026</c:v>
                </c:pt>
                <c:pt idx="7">
                  <c:v>93.675487763578928</c:v>
                </c:pt>
                <c:pt idx="8">
                  <c:v>89.846638699020659</c:v>
                </c:pt>
                <c:pt idx="9">
                  <c:v>95.023878472054236</c:v>
                </c:pt>
                <c:pt idx="10">
                  <c:v>94.678314477057995</c:v>
                </c:pt>
                <c:pt idx="11">
                  <c:v>95.16901534995263</c:v>
                </c:pt>
                <c:pt idx="12">
                  <c:v>95.922344859044415</c:v>
                </c:pt>
                <c:pt idx="13">
                  <c:v>94.332750482061755</c:v>
                </c:pt>
                <c:pt idx="14">
                  <c:v>95.334886067550826</c:v>
                </c:pt>
                <c:pt idx="15">
                  <c:v>95.991457658043672</c:v>
                </c:pt>
                <c:pt idx="16">
                  <c:v>95.687361342446991</c:v>
                </c:pt>
                <c:pt idx="17">
                  <c:v>96.274820133940594</c:v>
                </c:pt>
                <c:pt idx="18">
                  <c:v>96.142814687852052</c:v>
                </c:pt>
                <c:pt idx="19">
                  <c:v>96.619693000946853</c:v>
                </c:pt>
                <c:pt idx="20">
                  <c:v>97.545804507536744</c:v>
                </c:pt>
                <c:pt idx="21">
                  <c:v>96.592739009337137</c:v>
                </c:pt>
                <c:pt idx="22">
                  <c:v>96.82703139794458</c:v>
                </c:pt>
                <c:pt idx="23">
                  <c:v>97.650164834025603</c:v>
                </c:pt>
                <c:pt idx="24">
                  <c:v>98.825082417012808</c:v>
                </c:pt>
                <c:pt idx="25">
                  <c:v>99.219025371308504</c:v>
                </c:pt>
                <c:pt idx="26">
                  <c:v>100.20733839699773</c:v>
                </c:pt>
                <c:pt idx="27">
                  <c:v>100.97449046588936</c:v>
                </c:pt>
                <c:pt idx="28">
                  <c:v>101.05051454478854</c:v>
                </c:pt>
                <c:pt idx="29">
                  <c:v>101.17491758298716</c:v>
                </c:pt>
                <c:pt idx="30">
                  <c:v>101.72781997498114</c:v>
                </c:pt>
                <c:pt idx="31">
                  <c:v>102.28072236697513</c:v>
                </c:pt>
                <c:pt idx="32">
                  <c:v>103.25452170487451</c:v>
                </c:pt>
                <c:pt idx="33">
                  <c:v>102.28072236697513</c:v>
                </c:pt>
                <c:pt idx="34">
                  <c:v>100.55912254390388</c:v>
                </c:pt>
                <c:pt idx="35">
                  <c:v>103.5593091484612</c:v>
                </c:pt>
                <c:pt idx="36">
                  <c:v>104.27117097815344</c:v>
                </c:pt>
                <c:pt idx="37">
                  <c:v>104.66511393244915</c:v>
                </c:pt>
                <c:pt idx="38">
                  <c:v>105.05145447885494</c:v>
                </c:pt>
                <c:pt idx="39">
                  <c:v>103.55930914846121</c:v>
                </c:pt>
                <c:pt idx="40">
                  <c:v>103.73209114595933</c:v>
                </c:pt>
                <c:pt idx="41">
                  <c:v>104.01476249386624</c:v>
                </c:pt>
                <c:pt idx="42">
                  <c:v>103.01262690837717</c:v>
                </c:pt>
                <c:pt idx="43">
                  <c:v>102.83984491087905</c:v>
                </c:pt>
                <c:pt idx="44">
                  <c:v>104.4577755354514</c:v>
                </c:pt>
                <c:pt idx="45">
                  <c:v>104.49233193495104</c:v>
                </c:pt>
                <c:pt idx="46">
                  <c:v>105.11434712594426</c:v>
                </c:pt>
                <c:pt idx="47">
                  <c:v>104.83789592994727</c:v>
                </c:pt>
                <c:pt idx="48">
                  <c:v>105.32168552294199</c:v>
                </c:pt>
                <c:pt idx="49">
                  <c:v>104.4232191359518</c:v>
                </c:pt>
                <c:pt idx="50">
                  <c:v>104.69967033194878</c:v>
                </c:pt>
                <c:pt idx="51">
                  <c:v>105.80547511593672</c:v>
                </c:pt>
                <c:pt idx="52">
                  <c:v>107.18773109592165</c:v>
                </c:pt>
                <c:pt idx="53">
                  <c:v>106.37220006773055</c:v>
                </c:pt>
                <c:pt idx="54">
                  <c:v>105.39701847385118</c:v>
                </c:pt>
                <c:pt idx="55">
                  <c:v>106.77305430192618</c:v>
                </c:pt>
                <c:pt idx="56">
                  <c:v>106.48969182602924</c:v>
                </c:pt>
                <c:pt idx="57">
                  <c:v>105.04523432694501</c:v>
                </c:pt>
                <c:pt idx="58">
                  <c:v>106.8145219813257</c:v>
                </c:pt>
                <c:pt idx="59">
                  <c:v>105.77022758844709</c:v>
                </c:pt>
                <c:pt idx="60">
                  <c:v>105.81169526784663</c:v>
                </c:pt>
                <c:pt idx="61">
                  <c:v>105.50068767235003</c:v>
                </c:pt>
                <c:pt idx="62">
                  <c:v>106.80761070142577</c:v>
                </c:pt>
                <c:pt idx="63">
                  <c:v>107.80974628691487</c:v>
                </c:pt>
                <c:pt idx="64">
                  <c:v>107.33217684583008</c:v>
                </c:pt>
                <c:pt idx="65">
                  <c:v>109.60667906089527</c:v>
                </c:pt>
                <c:pt idx="66">
                  <c:v>110.85070944288169</c:v>
                </c:pt>
                <c:pt idx="67">
                  <c:v>110.85692959479165</c:v>
                </c:pt>
                <c:pt idx="68">
                  <c:v>110.71870399679314</c:v>
                </c:pt>
                <c:pt idx="69">
                  <c:v>112.86120076576981</c:v>
                </c:pt>
                <c:pt idx="70">
                  <c:v>112.09473982486816</c:v>
                </c:pt>
                <c:pt idx="71">
                  <c:v>112.26683069437627</c:v>
                </c:pt>
                <c:pt idx="72">
                  <c:v>112.92409341285909</c:v>
                </c:pt>
                <c:pt idx="73">
                  <c:v>111.34071918778635</c:v>
                </c:pt>
                <c:pt idx="74">
                  <c:v>113.19708896890613</c:v>
                </c:pt>
                <c:pt idx="75">
                  <c:v>113.10378669025714</c:v>
                </c:pt>
                <c:pt idx="76">
                  <c:v>112.92409341285908</c:v>
                </c:pt>
                <c:pt idx="77">
                  <c:v>111.68628318278257</c:v>
                </c:pt>
                <c:pt idx="78">
                  <c:v>111.20249358978785</c:v>
                </c:pt>
                <c:pt idx="79">
                  <c:v>111.26469510888717</c:v>
                </c:pt>
                <c:pt idx="80">
                  <c:v>111.54805758478409</c:v>
                </c:pt>
                <c:pt idx="81">
                  <c:v>113.51155220435268</c:v>
                </c:pt>
                <c:pt idx="82">
                  <c:v>112.78586781486058</c:v>
                </c:pt>
                <c:pt idx="83">
                  <c:v>109.8202376098029</c:v>
                </c:pt>
                <c:pt idx="84">
                  <c:v>110.16580160479913</c:v>
                </c:pt>
                <c:pt idx="85">
                  <c:v>110.72630640468302</c:v>
                </c:pt>
                <c:pt idx="86">
                  <c:v>108.50709442881718</c:v>
                </c:pt>
                <c:pt idx="87">
                  <c:v>108.50087427690725</c:v>
                </c:pt>
                <c:pt idx="88">
                  <c:v>107.54711765071762</c:v>
                </c:pt>
                <c:pt idx="89">
                  <c:v>107.42962589241891</c:v>
                </c:pt>
                <c:pt idx="90">
                  <c:v>107.39161385296933</c:v>
                </c:pt>
                <c:pt idx="91">
                  <c:v>105.18968007685334</c:v>
                </c:pt>
                <c:pt idx="92">
                  <c:v>106.42749030692985</c:v>
                </c:pt>
                <c:pt idx="93">
                  <c:v>105.54906663164942</c:v>
                </c:pt>
                <c:pt idx="94">
                  <c:v>110.26325065138803</c:v>
                </c:pt>
                <c:pt idx="95">
                  <c:v>109.87552784900227</c:v>
                </c:pt>
                <c:pt idx="96">
                  <c:v>110.98893504088014</c:v>
                </c:pt>
                <c:pt idx="97">
                  <c:v>111.12716063887861</c:v>
                </c:pt>
                <c:pt idx="98">
                  <c:v>109.33644801680811</c:v>
                </c:pt>
                <c:pt idx="99">
                  <c:v>111.26538623687711</c:v>
                </c:pt>
                <c:pt idx="100">
                  <c:v>110.78781679579232</c:v>
                </c:pt>
                <c:pt idx="101">
                  <c:v>109.48849617460647</c:v>
                </c:pt>
                <c:pt idx="102">
                  <c:v>110.60881464638426</c:v>
                </c:pt>
                <c:pt idx="103">
                  <c:v>109.19200226689972</c:v>
                </c:pt>
                <c:pt idx="104">
                  <c:v>109.54378641380588</c:v>
                </c:pt>
                <c:pt idx="105">
                  <c:v>107.83670027852448</c:v>
                </c:pt>
                <c:pt idx="106">
                  <c:v>112.71675501586128</c:v>
                </c:pt>
                <c:pt idx="107">
                  <c:v>111.95651422686957</c:v>
                </c:pt>
                <c:pt idx="108">
                  <c:v>111.68006303087259</c:v>
                </c:pt>
                <c:pt idx="109">
                  <c:v>110.02757600680057</c:v>
                </c:pt>
                <c:pt idx="110">
                  <c:v>111.06426799178928</c:v>
                </c:pt>
                <c:pt idx="111">
                  <c:v>111.34071918778626</c:v>
                </c:pt>
                <c:pt idx="112">
                  <c:v>113.34499035876442</c:v>
                </c:pt>
                <c:pt idx="113">
                  <c:v>114.34090579234358</c:v>
                </c:pt>
                <c:pt idx="114">
                  <c:v>115.93050016932627</c:v>
                </c:pt>
                <c:pt idx="115">
                  <c:v>116.03416936782513</c:v>
                </c:pt>
                <c:pt idx="116">
                  <c:v>116.10328216682439</c:v>
                </c:pt>
                <c:pt idx="117">
                  <c:v>115.3775977773323</c:v>
                </c:pt>
                <c:pt idx="118">
                  <c:v>114.03611834875691</c:v>
                </c:pt>
                <c:pt idx="119">
                  <c:v>115.89594376982664</c:v>
                </c:pt>
                <c:pt idx="120">
                  <c:v>114.51990794175164</c:v>
                </c:pt>
                <c:pt idx="121">
                  <c:v>114.24345674575467</c:v>
                </c:pt>
                <c:pt idx="122">
                  <c:v>114.3229364646038</c:v>
                </c:pt>
                <c:pt idx="123">
                  <c:v>115.61949257382966</c:v>
                </c:pt>
                <c:pt idx="124">
                  <c:v>116.66240471072831</c:v>
                </c:pt>
                <c:pt idx="125">
                  <c:v>118.14210973730218</c:v>
                </c:pt>
                <c:pt idx="126">
                  <c:v>118.86779412679428</c:v>
                </c:pt>
                <c:pt idx="127">
                  <c:v>120.05653426958133</c:v>
                </c:pt>
                <c:pt idx="128">
                  <c:v>120.18715745968991</c:v>
                </c:pt>
                <c:pt idx="129">
                  <c:v>123.70569005674157</c:v>
                </c:pt>
                <c:pt idx="130">
                  <c:v>125.77907402671897</c:v>
                </c:pt>
                <c:pt idx="131">
                  <c:v>124.12658700264697</c:v>
                </c:pt>
                <c:pt idx="132">
                  <c:v>126.1246380217152</c:v>
                </c:pt>
                <c:pt idx="133">
                  <c:v>126.13846058151505</c:v>
                </c:pt>
                <c:pt idx="134">
                  <c:v>124.54126379664245</c:v>
                </c:pt>
                <c:pt idx="135">
                  <c:v>123.7119102086515</c:v>
                </c:pt>
                <c:pt idx="136">
                  <c:v>125.08794603672651</c:v>
                </c:pt>
                <c:pt idx="137">
                  <c:v>124.56960004423215</c:v>
                </c:pt>
                <c:pt idx="138">
                  <c:v>124.74238204173027</c:v>
                </c:pt>
                <c:pt idx="139">
                  <c:v>123.50457181165373</c:v>
                </c:pt>
                <c:pt idx="140">
                  <c:v>125.43351003172272</c:v>
                </c:pt>
                <c:pt idx="141">
                  <c:v>126.78120961220802</c:v>
                </c:pt>
                <c:pt idx="142">
                  <c:v>123.57368461065299</c:v>
                </c:pt>
                <c:pt idx="143">
                  <c:v>123.71191020865149</c:v>
                </c:pt>
                <c:pt idx="144">
                  <c:v>125.01883323772724</c:v>
                </c:pt>
                <c:pt idx="145">
                  <c:v>123.36634621365525</c:v>
                </c:pt>
                <c:pt idx="146">
                  <c:v>124.39681804673403</c:v>
                </c:pt>
                <c:pt idx="147">
                  <c:v>125.36439723272346</c:v>
                </c:pt>
                <c:pt idx="148">
                  <c:v>125.86822953742798</c:v>
                </c:pt>
                <c:pt idx="149">
                  <c:v>126.81576601170765</c:v>
                </c:pt>
                <c:pt idx="150">
                  <c:v>127.71423239869785</c:v>
                </c:pt>
                <c:pt idx="151">
                  <c:v>128.97830549239407</c:v>
                </c:pt>
                <c:pt idx="152">
                  <c:v>129.24093412859119</c:v>
                </c:pt>
                <c:pt idx="153">
                  <c:v>131.14153610107047</c:v>
                </c:pt>
                <c:pt idx="154">
                  <c:v>130.79597210607423</c:v>
                </c:pt>
                <c:pt idx="155">
                  <c:v>132.97993655445043</c:v>
                </c:pt>
                <c:pt idx="156">
                  <c:v>133.89982790913041</c:v>
                </c:pt>
                <c:pt idx="157">
                  <c:v>133.15271855194854</c:v>
                </c:pt>
                <c:pt idx="158">
                  <c:v>136.83643073860839</c:v>
                </c:pt>
                <c:pt idx="159">
                  <c:v>136.14599387660593</c:v>
                </c:pt>
                <c:pt idx="160">
                  <c:v>135.46108603852338</c:v>
                </c:pt>
                <c:pt idx="161">
                  <c:v>133.18036367154824</c:v>
                </c:pt>
                <c:pt idx="162">
                  <c:v>128.54980613859871</c:v>
                </c:pt>
                <c:pt idx="163">
                  <c:v>130.20851331458064</c:v>
                </c:pt>
                <c:pt idx="164">
                  <c:v>129.23471397668126</c:v>
                </c:pt>
                <c:pt idx="165">
                  <c:v>129.24093412859119</c:v>
                </c:pt>
                <c:pt idx="166">
                  <c:v>129.92584196667374</c:v>
                </c:pt>
                <c:pt idx="167">
                  <c:v>129.24093412859122</c:v>
                </c:pt>
                <c:pt idx="168">
                  <c:v>131.30809794665871</c:v>
                </c:pt>
                <c:pt idx="169">
                  <c:v>130.61696995666625</c:v>
                </c:pt>
                <c:pt idx="170">
                  <c:v>131.89555673815232</c:v>
                </c:pt>
                <c:pt idx="171">
                  <c:v>132.89769232364139</c:v>
                </c:pt>
                <c:pt idx="172">
                  <c:v>131.14153610107053</c:v>
                </c:pt>
                <c:pt idx="173">
                  <c:v>133.25016759853753</c:v>
                </c:pt>
                <c:pt idx="174">
                  <c:v>133.89982790913047</c:v>
                </c:pt>
                <c:pt idx="175">
                  <c:v>133.98898341983949</c:v>
                </c:pt>
                <c:pt idx="176">
                  <c:v>134.6317324505325</c:v>
                </c:pt>
                <c:pt idx="177">
                  <c:v>134.76995804853098</c:v>
                </c:pt>
                <c:pt idx="178">
                  <c:v>133.73326606354229</c:v>
                </c:pt>
                <c:pt idx="179">
                  <c:v>130.00117491758297</c:v>
                </c:pt>
                <c:pt idx="180">
                  <c:v>132.6903539266437</c:v>
                </c:pt>
                <c:pt idx="181">
                  <c:v>132.96680512264066</c:v>
                </c:pt>
                <c:pt idx="182">
                  <c:v>131.65988209356493</c:v>
                </c:pt>
                <c:pt idx="183">
                  <c:v>132.42012288255665</c:v>
                </c:pt>
                <c:pt idx="184">
                  <c:v>132.62124112764445</c:v>
                </c:pt>
                <c:pt idx="185">
                  <c:v>131.31431809856869</c:v>
                </c:pt>
                <c:pt idx="186">
                  <c:v>132.72491032614332</c:v>
                </c:pt>
                <c:pt idx="187">
                  <c:v>130.20851331458076</c:v>
                </c:pt>
                <c:pt idx="188">
                  <c:v>131.72899489256417</c:v>
                </c:pt>
                <c:pt idx="189">
                  <c:v>131.18300378047013</c:v>
                </c:pt>
                <c:pt idx="190">
                  <c:v>133.51970751463466</c:v>
                </c:pt>
                <c:pt idx="191">
                  <c:v>132.80024327705252</c:v>
                </c:pt>
                <c:pt idx="192">
                  <c:v>133.03591792163996</c:v>
                </c:pt>
                <c:pt idx="193">
                  <c:v>134.07883005853859</c:v>
                </c:pt>
                <c:pt idx="194">
                  <c:v>135.18463484252652</c:v>
                </c:pt>
                <c:pt idx="195">
                  <c:v>136.98156761650694</c:v>
                </c:pt>
                <c:pt idx="196">
                  <c:v>136.56689082251145</c:v>
                </c:pt>
                <c:pt idx="197">
                  <c:v>137.01612401600656</c:v>
                </c:pt>
                <c:pt idx="198">
                  <c:v>139.60163382656839</c:v>
                </c:pt>
                <c:pt idx="199">
                  <c:v>136.15221402851597</c:v>
                </c:pt>
                <c:pt idx="200">
                  <c:v>138.63405464057894</c:v>
                </c:pt>
                <c:pt idx="201">
                  <c:v>137.5344700085009</c:v>
                </c:pt>
                <c:pt idx="202">
                  <c:v>135.07474549211773</c:v>
                </c:pt>
                <c:pt idx="203">
                  <c:v>135.04018909261811</c:v>
                </c:pt>
                <c:pt idx="204">
                  <c:v>134.66006869812227</c:v>
                </c:pt>
                <c:pt idx="205">
                  <c:v>135.48942228611321</c:v>
                </c:pt>
                <c:pt idx="206">
                  <c:v>135.60691404441195</c:v>
                </c:pt>
                <c:pt idx="207">
                  <c:v>132.93155759515111</c:v>
                </c:pt>
                <c:pt idx="208">
                  <c:v>131.93011313765203</c:v>
                </c:pt>
                <c:pt idx="209">
                  <c:v>130.61696995666634</c:v>
                </c:pt>
                <c:pt idx="210">
                  <c:v>129.20015757718176</c:v>
                </c:pt>
                <c:pt idx="211">
                  <c:v>129.92584196667386</c:v>
                </c:pt>
                <c:pt idx="212">
                  <c:v>129.4420523736791</c:v>
                </c:pt>
                <c:pt idx="213">
                  <c:v>130.20229316267083</c:v>
                </c:pt>
                <c:pt idx="214">
                  <c:v>127.9215707956957</c:v>
                </c:pt>
                <c:pt idx="215">
                  <c:v>129.37293957467986</c:v>
                </c:pt>
                <c:pt idx="216">
                  <c:v>127.99068359469493</c:v>
                </c:pt>
                <c:pt idx="217">
                  <c:v>128.92370638118476</c:v>
                </c:pt>
                <c:pt idx="218">
                  <c:v>128.33624758969117</c:v>
                </c:pt>
                <c:pt idx="219">
                  <c:v>128.05979639369417</c:v>
                </c:pt>
                <c:pt idx="220">
                  <c:v>127.29955560470246</c:v>
                </c:pt>
                <c:pt idx="221">
                  <c:v>126.95399160970624</c:v>
                </c:pt>
                <c:pt idx="222">
                  <c:v>126.71209681320889</c:v>
                </c:pt>
                <c:pt idx="223">
                  <c:v>127.54145040119984</c:v>
                </c:pt>
                <c:pt idx="224">
                  <c:v>127.04383824840527</c:v>
                </c:pt>
                <c:pt idx="225">
                  <c:v>125.1225024362262</c:v>
                </c:pt>
                <c:pt idx="226">
                  <c:v>123.63657725774239</c:v>
                </c:pt>
                <c:pt idx="227">
                  <c:v>123.49835165974389</c:v>
                </c:pt>
                <c:pt idx="228">
                  <c:v>124.0201532921882</c:v>
                </c:pt>
                <c:pt idx="229">
                  <c:v>122.39254687575595</c:v>
                </c:pt>
                <c:pt idx="230">
                  <c:v>121.97095880186055</c:v>
                </c:pt>
                <c:pt idx="231">
                  <c:v>122.18520847875821</c:v>
                </c:pt>
                <c:pt idx="232">
                  <c:v>122.42710327525558</c:v>
                </c:pt>
                <c:pt idx="233">
                  <c:v>123.42923886074466</c:v>
                </c:pt>
                <c:pt idx="234">
                  <c:v>123.11823126524803</c:v>
                </c:pt>
                <c:pt idx="235">
                  <c:v>122.84178006925106</c:v>
                </c:pt>
                <c:pt idx="236">
                  <c:v>122.59988527275368</c:v>
                </c:pt>
                <c:pt idx="237">
                  <c:v>124.36226164723449</c:v>
                </c:pt>
                <c:pt idx="238">
                  <c:v>126.09008162221566</c:v>
                </c:pt>
                <c:pt idx="239">
                  <c:v>126.47020201671153</c:v>
                </c:pt>
                <c:pt idx="240">
                  <c:v>124.68294503459099</c:v>
                </c:pt>
                <c:pt idx="241">
                  <c:v>128.06601654560413</c:v>
                </c:pt>
                <c:pt idx="242">
                  <c:v>127.74878879819758</c:v>
                </c:pt>
                <c:pt idx="243">
                  <c:v>127.36866840370172</c:v>
                </c:pt>
                <c:pt idx="244">
                  <c:v>125.1328693560761</c:v>
                </c:pt>
                <c:pt idx="245">
                  <c:v>124.74929332163026</c:v>
                </c:pt>
                <c:pt idx="246">
                  <c:v>123.49835165974389</c:v>
                </c:pt>
                <c:pt idx="247">
                  <c:v>123.74024645624125</c:v>
                </c:pt>
                <c:pt idx="248">
                  <c:v>125.29528443372431</c:v>
                </c:pt>
                <c:pt idx="249">
                  <c:v>125.1225024362262</c:v>
                </c:pt>
                <c:pt idx="250">
                  <c:v>125.05338963722697</c:v>
                </c:pt>
                <c:pt idx="251">
                  <c:v>123.91648409368935</c:v>
                </c:pt>
                <c:pt idx="252">
                  <c:v>128.37080398919082</c:v>
                </c:pt>
                <c:pt idx="253">
                  <c:v>127.33411200420211</c:v>
                </c:pt>
                <c:pt idx="254">
                  <c:v>126.65265980606954</c:v>
                </c:pt>
                <c:pt idx="255">
                  <c:v>126.64298401420965</c:v>
                </c:pt>
                <c:pt idx="256">
                  <c:v>122.32343407675673</c:v>
                </c:pt>
                <c:pt idx="257">
                  <c:v>123.36012606174542</c:v>
                </c:pt>
                <c:pt idx="258">
                  <c:v>124.98427683822771</c:v>
                </c:pt>
                <c:pt idx="259">
                  <c:v>127.16133000670398</c:v>
                </c:pt>
                <c:pt idx="260">
                  <c:v>126.26286361971377</c:v>
                </c:pt>
                <c:pt idx="261">
                  <c:v>125.67540482822017</c:v>
                </c:pt>
                <c:pt idx="262">
                  <c:v>125.64430406867049</c:v>
                </c:pt>
                <c:pt idx="263">
                  <c:v>123.89575025398955</c:v>
                </c:pt>
                <c:pt idx="264">
                  <c:v>123.54327497909341</c:v>
                </c:pt>
                <c:pt idx="265">
                  <c:v>122.32343407675671</c:v>
                </c:pt>
                <c:pt idx="266">
                  <c:v>121.57770697555485</c:v>
                </c:pt>
                <c:pt idx="267">
                  <c:v>121.25218569226838</c:v>
                </c:pt>
                <c:pt idx="268">
                  <c:v>121.77053168476273</c:v>
                </c:pt>
                <c:pt idx="269">
                  <c:v>122.49621607425483</c:v>
                </c:pt>
                <c:pt idx="270">
                  <c:v>123.60202085824278</c:v>
                </c:pt>
                <c:pt idx="271">
                  <c:v>121.87420088326162</c:v>
                </c:pt>
                <c:pt idx="272">
                  <c:v>121.63230608676426</c:v>
                </c:pt>
                <c:pt idx="273">
                  <c:v>122.83998313647709</c:v>
                </c:pt>
                <c:pt idx="274">
                  <c:v>122.66899807175297</c:v>
                </c:pt>
                <c:pt idx="275">
                  <c:v>123.04911846624881</c:v>
                </c:pt>
                <c:pt idx="276">
                  <c:v>124.05125405173791</c:v>
                </c:pt>
                <c:pt idx="277">
                  <c:v>123.39468246124505</c:v>
                </c:pt>
                <c:pt idx="278">
                  <c:v>123.80935925524054</c:v>
                </c:pt>
                <c:pt idx="279">
                  <c:v>124.3277052477349</c:v>
                </c:pt>
                <c:pt idx="280">
                  <c:v>124.97736555832782</c:v>
                </c:pt>
                <c:pt idx="281">
                  <c:v>125.77907402671909</c:v>
                </c:pt>
                <c:pt idx="282">
                  <c:v>125.15705883572588</c:v>
                </c:pt>
                <c:pt idx="283">
                  <c:v>125.11490002833634</c:v>
                </c:pt>
                <c:pt idx="284">
                  <c:v>126.60842761471005</c:v>
                </c:pt>
                <c:pt idx="285">
                  <c:v>126.02096882321646</c:v>
                </c:pt>
                <c:pt idx="286">
                  <c:v>125.7790740267191</c:v>
                </c:pt>
                <c:pt idx="287">
                  <c:v>126.09008162221571</c:v>
                </c:pt>
                <c:pt idx="288">
                  <c:v>126.47020201671158</c:v>
                </c:pt>
                <c:pt idx="289">
                  <c:v>126.67754041370931</c:v>
                </c:pt>
                <c:pt idx="290">
                  <c:v>127.54145040119988</c:v>
                </c:pt>
                <c:pt idx="291">
                  <c:v>127.16133000670403</c:v>
                </c:pt>
                <c:pt idx="292">
                  <c:v>127.64511959969876</c:v>
                </c:pt>
                <c:pt idx="293">
                  <c:v>127.31406929249235</c:v>
                </c:pt>
                <c:pt idx="294">
                  <c:v>127.16133000670403</c:v>
                </c:pt>
                <c:pt idx="295">
                  <c:v>128.6126987856882</c:v>
                </c:pt>
                <c:pt idx="296">
                  <c:v>129.40749597417954</c:v>
                </c:pt>
                <c:pt idx="297">
                  <c:v>126.99338590513584</c:v>
                </c:pt>
                <c:pt idx="298">
                  <c:v>127.19588640620363</c:v>
                </c:pt>
                <c:pt idx="299">
                  <c:v>126.5393148157108</c:v>
                </c:pt>
                <c:pt idx="300">
                  <c:v>126.47020201671155</c:v>
                </c:pt>
                <c:pt idx="301">
                  <c:v>126.74831191988451</c:v>
                </c:pt>
                <c:pt idx="302">
                  <c:v>126.08662598226572</c:v>
                </c:pt>
                <c:pt idx="303">
                  <c:v>125.74451762721944</c:v>
                </c:pt>
                <c:pt idx="304">
                  <c:v>125.44042131162274</c:v>
                </c:pt>
                <c:pt idx="305">
                  <c:v>125.29528443372431</c:v>
                </c:pt>
                <c:pt idx="306">
                  <c:v>125.7091318741318</c:v>
                </c:pt>
                <c:pt idx="307">
                  <c:v>125.77907402671903</c:v>
                </c:pt>
                <c:pt idx="308">
                  <c:v>126.73283065290863</c:v>
                </c:pt>
                <c:pt idx="309">
                  <c:v>126.26286361971376</c:v>
                </c:pt>
                <c:pt idx="310">
                  <c:v>126.5047584162111</c:v>
                </c:pt>
                <c:pt idx="311">
                  <c:v>127.88701439619604</c:v>
                </c:pt>
                <c:pt idx="312">
                  <c:v>126.39625132178227</c:v>
                </c:pt>
                <c:pt idx="313">
                  <c:v>127.50343836175021</c:v>
                </c:pt>
                <c:pt idx="314">
                  <c:v>127.50689400170019</c:v>
                </c:pt>
                <c:pt idx="315">
                  <c:v>126.98854800920583</c:v>
                </c:pt>
                <c:pt idx="316">
                  <c:v>127.33411200420207</c:v>
                </c:pt>
                <c:pt idx="317">
                  <c:v>128.40536038869038</c:v>
                </c:pt>
                <c:pt idx="318">
                  <c:v>127.81790159719679</c:v>
                </c:pt>
                <c:pt idx="319">
                  <c:v>127.78334519769716</c:v>
                </c:pt>
                <c:pt idx="320">
                  <c:v>127.614018840149</c:v>
                </c:pt>
                <c:pt idx="321">
                  <c:v>127.55803747295963</c:v>
                </c:pt>
                <c:pt idx="322">
                  <c:v>127.81790159719681</c:v>
                </c:pt>
                <c:pt idx="323">
                  <c:v>127.57600680069945</c:v>
                </c:pt>
                <c:pt idx="324">
                  <c:v>127.5068940017002</c:v>
                </c:pt>
                <c:pt idx="325">
                  <c:v>127.86973619644623</c:v>
                </c:pt>
                <c:pt idx="326">
                  <c:v>128.02523999419455</c:v>
                </c:pt>
                <c:pt idx="327">
                  <c:v>128.40536038869041</c:v>
                </c:pt>
                <c:pt idx="328">
                  <c:v>128.95826278068438</c:v>
                </c:pt>
                <c:pt idx="329">
                  <c:v>128.36596609326082</c:v>
                </c:pt>
                <c:pt idx="330">
                  <c:v>128.95826278068438</c:v>
                </c:pt>
                <c:pt idx="331">
                  <c:v>129.23471397668138</c:v>
                </c:pt>
                <c:pt idx="332">
                  <c:v>130.13318036367158</c:v>
                </c:pt>
                <c:pt idx="333">
                  <c:v>130.02951116517272</c:v>
                </c:pt>
                <c:pt idx="334">
                  <c:v>129.64869964268686</c:v>
                </c:pt>
                <c:pt idx="335">
                  <c:v>128.57814238618852</c:v>
                </c:pt>
                <c:pt idx="336">
                  <c:v>129.14694072195232</c:v>
                </c:pt>
                <c:pt idx="337">
                  <c:v>128.82003718268587</c:v>
                </c:pt>
                <c:pt idx="338">
                  <c:v>127.57628325189542</c:v>
                </c:pt>
                <c:pt idx="339">
                  <c:v>127.46542632230064</c:v>
                </c:pt>
                <c:pt idx="340">
                  <c:v>126.99545928910575</c:v>
                </c:pt>
                <c:pt idx="341">
                  <c:v>128.99281918018397</c:v>
                </c:pt>
                <c:pt idx="342">
                  <c:v>129.16560117768211</c:v>
                </c:pt>
                <c:pt idx="343">
                  <c:v>128.94098458093458</c:v>
                </c:pt>
                <c:pt idx="344">
                  <c:v>125.95185602421716</c:v>
                </c:pt>
                <c:pt idx="345">
                  <c:v>125.6180412050508</c:v>
                </c:pt>
                <c:pt idx="346">
                  <c:v>125.88619886516787</c:v>
                </c:pt>
                <c:pt idx="347">
                  <c:v>126.40108921771227</c:v>
                </c:pt>
                <c:pt idx="348">
                  <c:v>126.6447809469836</c:v>
                </c:pt>
                <c:pt idx="349">
                  <c:v>127.92157079569571</c:v>
                </c:pt>
                <c:pt idx="350">
                  <c:v>128.09435279319382</c:v>
                </c:pt>
                <c:pt idx="351">
                  <c:v>126.60842761471002</c:v>
                </c:pt>
                <c:pt idx="352">
                  <c:v>126.22830722021415</c:v>
                </c:pt>
                <c:pt idx="353">
                  <c:v>125.43420115971281</c:v>
                </c:pt>
                <c:pt idx="354">
                  <c:v>125.60629202922095</c:v>
                </c:pt>
                <c:pt idx="355">
                  <c:v>125.77907402671906</c:v>
                </c:pt>
                <c:pt idx="356">
                  <c:v>125.31947391337405</c:v>
                </c:pt>
                <c:pt idx="357">
                  <c:v>124.70782564223073</c:v>
                </c:pt>
                <c:pt idx="358">
                  <c:v>124.6732692427311</c:v>
                </c:pt>
                <c:pt idx="359">
                  <c:v>126.64298401420965</c:v>
                </c:pt>
                <c:pt idx="360">
                  <c:v>123.84391565474014</c:v>
                </c:pt>
                <c:pt idx="361">
                  <c:v>122.94544926774994</c:v>
                </c:pt>
                <c:pt idx="362">
                  <c:v>122.42710327525559</c:v>
                </c:pt>
                <c:pt idx="363">
                  <c:v>123.80935925524052</c:v>
                </c:pt>
                <c:pt idx="364">
                  <c:v>124.94972043872811</c:v>
                </c:pt>
                <c:pt idx="365">
                  <c:v>124.92207531912842</c:v>
                </c:pt>
                <c:pt idx="366">
                  <c:v>123.46379526024431</c:v>
                </c:pt>
                <c:pt idx="367">
                  <c:v>122.37526867600619</c:v>
                </c:pt>
                <c:pt idx="368">
                  <c:v>123.08367486574846</c:v>
                </c:pt>
                <c:pt idx="369">
                  <c:v>123.44928157245447</c:v>
                </c:pt>
                <c:pt idx="370">
                  <c:v>122.8417800692511</c:v>
                </c:pt>
                <c:pt idx="371">
                  <c:v>123.36012606174545</c:v>
                </c:pt>
                <c:pt idx="372">
                  <c:v>123.01456206674922</c:v>
                </c:pt>
                <c:pt idx="373">
                  <c:v>121.45952408926617</c:v>
                </c:pt>
                <c:pt idx="374">
                  <c:v>123.86644642721393</c:v>
                </c:pt>
                <c:pt idx="375">
                  <c:v>122.63444167225336</c:v>
                </c:pt>
                <c:pt idx="376">
                  <c:v>118.00388413930384</c:v>
                </c:pt>
                <c:pt idx="377">
                  <c:v>114.22134065007505</c:v>
                </c:pt>
                <c:pt idx="378">
                  <c:v>120.5956141017756</c:v>
                </c:pt>
                <c:pt idx="379">
                  <c:v>123.11823126524808</c:v>
                </c:pt>
                <c:pt idx="380">
                  <c:v>121.63230608676429</c:v>
                </c:pt>
                <c:pt idx="381">
                  <c:v>121.97787008176053</c:v>
                </c:pt>
                <c:pt idx="382">
                  <c:v>121.97787008176053</c:v>
                </c:pt>
                <c:pt idx="383">
                  <c:v>117.48553814680949</c:v>
                </c:pt>
                <c:pt idx="384">
                  <c:v>118.5222301317982</c:v>
                </c:pt>
                <c:pt idx="385">
                  <c:v>119.90448611178313</c:v>
                </c:pt>
                <c:pt idx="386">
                  <c:v>121.42496768976656</c:v>
                </c:pt>
                <c:pt idx="387">
                  <c:v>121.42496768976656</c:v>
                </c:pt>
                <c:pt idx="388">
                  <c:v>123.01456206674925</c:v>
                </c:pt>
                <c:pt idx="389">
                  <c:v>121.63230608676432</c:v>
                </c:pt>
                <c:pt idx="390">
                  <c:v>119.73170411428502</c:v>
                </c:pt>
                <c:pt idx="391">
                  <c:v>119.5589221167869</c:v>
                </c:pt>
                <c:pt idx="392">
                  <c:v>122.11609567975901</c:v>
                </c:pt>
                <c:pt idx="393">
                  <c:v>120.25005010677936</c:v>
                </c:pt>
                <c:pt idx="394">
                  <c:v>121.45952408926618</c:v>
                </c:pt>
                <c:pt idx="395">
                  <c:v>122.11609567975903</c:v>
                </c:pt>
                <c:pt idx="396">
                  <c:v>122.18520847875826</c:v>
                </c:pt>
                <c:pt idx="397">
                  <c:v>122.32343407675675</c:v>
                </c:pt>
                <c:pt idx="398">
                  <c:v>122.18520847875826</c:v>
                </c:pt>
                <c:pt idx="399">
                  <c:v>121.21762929276881</c:v>
                </c:pt>
                <c:pt idx="400">
                  <c:v>121.42496768976655</c:v>
                </c:pt>
                <c:pt idx="401">
                  <c:v>121.42496768976655</c:v>
                </c:pt>
                <c:pt idx="402">
                  <c:v>119.20644684189072</c:v>
                </c:pt>
                <c:pt idx="403">
                  <c:v>117.4855381468095</c:v>
                </c:pt>
                <c:pt idx="404">
                  <c:v>119.00601972479292</c:v>
                </c:pt>
                <c:pt idx="405">
                  <c:v>119.42069651878839</c:v>
                </c:pt>
                <c:pt idx="406">
                  <c:v>118.5222301317982</c:v>
                </c:pt>
                <c:pt idx="407">
                  <c:v>119.08135267570209</c:v>
                </c:pt>
                <c:pt idx="408">
                  <c:v>118.17666613680196</c:v>
                </c:pt>
                <c:pt idx="409">
                  <c:v>118.17666613680194</c:v>
                </c:pt>
                <c:pt idx="410">
                  <c:v>117.31275614931137</c:v>
                </c:pt>
                <c:pt idx="411">
                  <c:v>118.4185609332993</c:v>
                </c:pt>
                <c:pt idx="412">
                  <c:v>118.55678653129779</c:v>
                </c:pt>
                <c:pt idx="413">
                  <c:v>119.84159346469379</c:v>
                </c:pt>
                <c:pt idx="414">
                  <c:v>122.46165967475524</c:v>
                </c:pt>
                <c:pt idx="415">
                  <c:v>125.77907402671907</c:v>
                </c:pt>
                <c:pt idx="416">
                  <c:v>125.08794603672661</c:v>
                </c:pt>
                <c:pt idx="417">
                  <c:v>124.12036685073714</c:v>
                </c:pt>
                <c:pt idx="418">
                  <c:v>122.84178006925109</c:v>
                </c:pt>
                <c:pt idx="419">
                  <c:v>123.63657725774242</c:v>
                </c:pt>
                <c:pt idx="420">
                  <c:v>124.15492325023676</c:v>
                </c:pt>
                <c:pt idx="421">
                  <c:v>125.98641242371681</c:v>
                </c:pt>
                <c:pt idx="422">
                  <c:v>126.47020201671155</c:v>
                </c:pt>
                <c:pt idx="423">
                  <c:v>126.19997097262447</c:v>
                </c:pt>
                <c:pt idx="424">
                  <c:v>126.47020201671154</c:v>
                </c:pt>
                <c:pt idx="425">
                  <c:v>127.16133000670401</c:v>
                </c:pt>
                <c:pt idx="426">
                  <c:v>126.47020201671154</c:v>
                </c:pt>
                <c:pt idx="427">
                  <c:v>126.47020201671155</c:v>
                </c:pt>
                <c:pt idx="428">
                  <c:v>127.16133000670402</c:v>
                </c:pt>
                <c:pt idx="429">
                  <c:v>125.29528443372433</c:v>
                </c:pt>
                <c:pt idx="430">
                  <c:v>124.12036685073714</c:v>
                </c:pt>
                <c:pt idx="431">
                  <c:v>121.34991119005335</c:v>
                </c:pt>
                <c:pt idx="432">
                  <c:v>120.94297502954578</c:v>
                </c:pt>
                <c:pt idx="433">
                  <c:v>121.97787008176051</c:v>
                </c:pt>
                <c:pt idx="434">
                  <c:v>124.88060763972886</c:v>
                </c:pt>
                <c:pt idx="435">
                  <c:v>125.15705883572585</c:v>
                </c:pt>
                <c:pt idx="436">
                  <c:v>125.77907402671907</c:v>
                </c:pt>
                <c:pt idx="437">
                  <c:v>126.57387121521039</c:v>
                </c:pt>
                <c:pt idx="438">
                  <c:v>123.29101326274618</c:v>
                </c:pt>
                <c:pt idx="439">
                  <c:v>124.39681804673414</c:v>
                </c:pt>
                <c:pt idx="440">
                  <c:v>126.33197641871304</c:v>
                </c:pt>
                <c:pt idx="441">
                  <c:v>126.47020201671155</c:v>
                </c:pt>
                <c:pt idx="442">
                  <c:v>129.40749597417954</c:v>
                </c:pt>
                <c:pt idx="443">
                  <c:v>127.40322480320138</c:v>
                </c:pt>
                <c:pt idx="444">
                  <c:v>127.64511959969875</c:v>
                </c:pt>
                <c:pt idx="445">
                  <c:v>126.43564561721192</c:v>
                </c:pt>
                <c:pt idx="446">
                  <c:v>128.26713479069196</c:v>
                </c:pt>
                <c:pt idx="447">
                  <c:v>127.85245799669647</c:v>
                </c:pt>
                <c:pt idx="448">
                  <c:v>128.01487307434471</c:v>
                </c:pt>
                <c:pt idx="449">
                  <c:v>130.37507516016899</c:v>
                </c:pt>
                <c:pt idx="450">
                  <c:v>128.54358598668898</c:v>
                </c:pt>
                <c:pt idx="451">
                  <c:v>132.48301552964602</c:v>
                </c:pt>
                <c:pt idx="452">
                  <c:v>132.20656433364903</c:v>
                </c:pt>
                <c:pt idx="453">
                  <c:v>130.96253395166261</c:v>
                </c:pt>
                <c:pt idx="454">
                  <c:v>131.30809794665882</c:v>
                </c:pt>
                <c:pt idx="455">
                  <c:v>132.96680512264072</c:v>
                </c:pt>
                <c:pt idx="456">
                  <c:v>133.72704591163247</c:v>
                </c:pt>
                <c:pt idx="457">
                  <c:v>134.07260990662871</c:v>
                </c:pt>
                <c:pt idx="458">
                  <c:v>133.51970751463472</c:v>
                </c:pt>
                <c:pt idx="459">
                  <c:v>132.41390273064678</c:v>
                </c:pt>
                <c:pt idx="460">
                  <c:v>132.13745153464978</c:v>
                </c:pt>
                <c:pt idx="461">
                  <c:v>133.66415326454316</c:v>
                </c:pt>
                <c:pt idx="462">
                  <c:v>133.66415326454316</c:v>
                </c:pt>
                <c:pt idx="463">
                  <c:v>133.66415326454316</c:v>
                </c:pt>
                <c:pt idx="464">
                  <c:v>133.66415326454316</c:v>
                </c:pt>
                <c:pt idx="465">
                  <c:v>133.79615871063172</c:v>
                </c:pt>
                <c:pt idx="466">
                  <c:v>132.34478993164754</c:v>
                </c:pt>
                <c:pt idx="467">
                  <c:v>132.69035392664378</c:v>
                </c:pt>
                <c:pt idx="468">
                  <c:v>133.03591792164002</c:v>
                </c:pt>
                <c:pt idx="469">
                  <c:v>134.41817390162495</c:v>
                </c:pt>
                <c:pt idx="470">
                  <c:v>134.28616845553637</c:v>
                </c:pt>
                <c:pt idx="471">
                  <c:v>134.76373789662117</c:v>
                </c:pt>
                <c:pt idx="472">
                  <c:v>133.94060446054013</c:v>
                </c:pt>
                <c:pt idx="473">
                  <c:v>134.59095589912303</c:v>
                </c:pt>
                <c:pt idx="474">
                  <c:v>135.45486588661362</c:v>
                </c:pt>
                <c:pt idx="475">
                  <c:v>135.94487563151827</c:v>
                </c:pt>
                <c:pt idx="476">
                  <c:v>135.17841469061662</c:v>
                </c:pt>
                <c:pt idx="477">
                  <c:v>134.38361750212528</c:v>
                </c:pt>
                <c:pt idx="478">
                  <c:v>135.45486588661362</c:v>
                </c:pt>
                <c:pt idx="479">
                  <c:v>134.90196349461965</c:v>
                </c:pt>
                <c:pt idx="480">
                  <c:v>132.69035392664378</c:v>
                </c:pt>
                <c:pt idx="481">
                  <c:v>135.80042988160989</c:v>
                </c:pt>
                <c:pt idx="482">
                  <c:v>136.14599387660613</c:v>
                </c:pt>
                <c:pt idx="483">
                  <c:v>137.53447000850099</c:v>
                </c:pt>
                <c:pt idx="484">
                  <c:v>138.21937784658354</c:v>
                </c:pt>
                <c:pt idx="485">
                  <c:v>137.8738138515873</c:v>
                </c:pt>
                <c:pt idx="486">
                  <c:v>139.01417503507486</c:v>
                </c:pt>
                <c:pt idx="487">
                  <c:v>139.04873143457448</c:v>
                </c:pt>
                <c:pt idx="488">
                  <c:v>140.01631062056393</c:v>
                </c:pt>
                <c:pt idx="489">
                  <c:v>144.23219135951797</c:v>
                </c:pt>
                <c:pt idx="490">
                  <c:v>143.74840176652324</c:v>
                </c:pt>
                <c:pt idx="491">
                  <c:v>145.82178573650066</c:v>
                </c:pt>
                <c:pt idx="492">
                  <c:v>156.39604398338537</c:v>
                </c:pt>
                <c:pt idx="493">
                  <c:v>149.27742568646295</c:v>
                </c:pt>
                <c:pt idx="494">
                  <c:v>147.20404171648556</c:v>
                </c:pt>
                <c:pt idx="495">
                  <c:v>147.20404171648556</c:v>
                </c:pt>
                <c:pt idx="496">
                  <c:v>145.13065774650818</c:v>
                </c:pt>
                <c:pt idx="497">
                  <c:v>145.13065774650818</c:v>
                </c:pt>
                <c:pt idx="498">
                  <c:v>139.60163382656845</c:v>
                </c:pt>
                <c:pt idx="499">
                  <c:v>138.97961863557521</c:v>
                </c:pt>
                <c:pt idx="500">
                  <c:v>138.21937784658351</c:v>
                </c:pt>
                <c:pt idx="501">
                  <c:v>142.43525858553755</c:v>
                </c:pt>
                <c:pt idx="502">
                  <c:v>145.82178573650066</c:v>
                </c:pt>
                <c:pt idx="503">
                  <c:v>145.13065774650818</c:v>
                </c:pt>
                <c:pt idx="504">
                  <c:v>144.43952975651573</c:v>
                </c:pt>
                <c:pt idx="505">
                  <c:v>143.19549937452928</c:v>
                </c:pt>
                <c:pt idx="506">
                  <c:v>144.57775535451421</c:v>
                </c:pt>
                <c:pt idx="507">
                  <c:v>144.68142455301307</c:v>
                </c:pt>
                <c:pt idx="508">
                  <c:v>143.05727377653079</c:v>
                </c:pt>
                <c:pt idx="509">
                  <c:v>142.36614578653831</c:v>
                </c:pt>
                <c:pt idx="510">
                  <c:v>139.91264142206504</c:v>
                </c:pt>
                <c:pt idx="511">
                  <c:v>138.21937784658348</c:v>
                </c:pt>
                <c:pt idx="512">
                  <c:v>138.22559799849341</c:v>
                </c:pt>
                <c:pt idx="513">
                  <c:v>146.16734973149687</c:v>
                </c:pt>
                <c:pt idx="514">
                  <c:v>152.73306563642529</c:v>
                </c:pt>
                <c:pt idx="515">
                  <c:v>156.87983357638009</c:v>
                </c:pt>
                <c:pt idx="516">
                  <c:v>153.42419362641778</c:v>
                </c:pt>
                <c:pt idx="517">
                  <c:v>152.73306563642529</c:v>
                </c:pt>
                <c:pt idx="518">
                  <c:v>148.5862976964705</c:v>
                </c:pt>
                <c:pt idx="519">
                  <c:v>148.24073370147428</c:v>
                </c:pt>
                <c:pt idx="520">
                  <c:v>144.43952975651573</c:v>
                </c:pt>
                <c:pt idx="521">
                  <c:v>141.32945380154962</c:v>
                </c:pt>
                <c:pt idx="522">
                  <c:v>140.63832581155714</c:v>
                </c:pt>
                <c:pt idx="523">
                  <c:v>142.02058179154207</c:v>
                </c:pt>
                <c:pt idx="524">
                  <c:v>141.95768914445276</c:v>
                </c:pt>
                <c:pt idx="525">
                  <c:v>141.67501779654583</c:v>
                </c:pt>
                <c:pt idx="526">
                  <c:v>141.61212514945649</c:v>
                </c:pt>
                <c:pt idx="527">
                  <c:v>141.6750177965458</c:v>
                </c:pt>
                <c:pt idx="528">
                  <c:v>139.60163382656839</c:v>
                </c:pt>
                <c:pt idx="529">
                  <c:v>137.52824985659097</c:v>
                </c:pt>
                <c:pt idx="530">
                  <c:v>137.18268586159476</c:v>
                </c:pt>
                <c:pt idx="531">
                  <c:v>138.04659584908535</c:v>
                </c:pt>
                <c:pt idx="532">
                  <c:v>135.17841469061662</c:v>
                </c:pt>
                <c:pt idx="533">
                  <c:v>134.59095589912303</c:v>
                </c:pt>
                <c:pt idx="534">
                  <c:v>135.45486588661362</c:v>
                </c:pt>
                <c:pt idx="535">
                  <c:v>137.18268586159479</c:v>
                </c:pt>
                <c:pt idx="536">
                  <c:v>136.14599387660607</c:v>
                </c:pt>
                <c:pt idx="537">
                  <c:v>136.24966307510493</c:v>
                </c:pt>
                <c:pt idx="538">
                  <c:v>137.87381385158724</c:v>
                </c:pt>
                <c:pt idx="539">
                  <c:v>139.18695703257291</c:v>
                </c:pt>
                <c:pt idx="540">
                  <c:v>135.45486588661359</c:v>
                </c:pt>
                <c:pt idx="541">
                  <c:v>133.72704591163242</c:v>
                </c:pt>
                <c:pt idx="542">
                  <c:v>134.07260990662863</c:v>
                </c:pt>
                <c:pt idx="543">
                  <c:v>133.55426391413428</c:v>
                </c:pt>
                <c:pt idx="544">
                  <c:v>133.38148191663615</c:v>
                </c:pt>
                <c:pt idx="545">
                  <c:v>129.9258419666738</c:v>
                </c:pt>
                <c:pt idx="546">
                  <c:v>123.7056900567416</c:v>
                </c:pt>
                <c:pt idx="547">
                  <c:v>125.95185602421712</c:v>
                </c:pt>
                <c:pt idx="548">
                  <c:v>126.47020201671147</c:v>
                </c:pt>
                <c:pt idx="549">
                  <c:v>126.53931481571071</c:v>
                </c:pt>
                <c:pt idx="550">
                  <c:v>123.87847205423971</c:v>
                </c:pt>
                <c:pt idx="551">
                  <c:v>122.56532887325402</c:v>
                </c:pt>
                <c:pt idx="552">
                  <c:v>122.32343407675666</c:v>
                </c:pt>
                <c:pt idx="553">
                  <c:v>121.28674209176795</c:v>
                </c:pt>
                <c:pt idx="554">
                  <c:v>119.69714771478526</c:v>
                </c:pt>
                <c:pt idx="555">
                  <c:v>120.00815531028186</c:v>
                </c:pt>
                <c:pt idx="556">
                  <c:v>121.21762929276869</c:v>
                </c:pt>
                <c:pt idx="557">
                  <c:v>123.53290805924348</c:v>
                </c:pt>
                <c:pt idx="558">
                  <c:v>123.98214125273857</c:v>
                </c:pt>
                <c:pt idx="559">
                  <c:v>124.05125405173783</c:v>
                </c:pt>
                <c:pt idx="560">
                  <c:v>124.94972043872802</c:v>
                </c:pt>
                <c:pt idx="561">
                  <c:v>123.01456206674914</c:v>
                </c:pt>
                <c:pt idx="562">
                  <c:v>124.39681804673407</c:v>
                </c:pt>
                <c:pt idx="563">
                  <c:v>121.11396009426986</c:v>
                </c:pt>
                <c:pt idx="564">
                  <c:v>118.34944813429998</c:v>
                </c:pt>
                <c:pt idx="565">
                  <c:v>120.45738850377698</c:v>
                </c:pt>
                <c:pt idx="566">
                  <c:v>119.21335812179056</c:v>
                </c:pt>
                <c:pt idx="567">
                  <c:v>118.17666613680186</c:v>
                </c:pt>
                <c:pt idx="568">
                  <c:v>115.34304137783273</c:v>
                </c:pt>
                <c:pt idx="569">
                  <c:v>112.99320621185836</c:v>
                </c:pt>
                <c:pt idx="570">
                  <c:v>116.10328216682447</c:v>
                </c:pt>
                <c:pt idx="571">
                  <c:v>117.38186894831053</c:v>
                </c:pt>
                <c:pt idx="572">
                  <c:v>116.79441015681692</c:v>
                </c:pt>
                <c:pt idx="573">
                  <c:v>115.93050016932634</c:v>
                </c:pt>
                <c:pt idx="574">
                  <c:v>116.96719215431504</c:v>
                </c:pt>
                <c:pt idx="575">
                  <c:v>116.20695136532331</c:v>
                </c:pt>
                <c:pt idx="576">
                  <c:v>116.79441015681692</c:v>
                </c:pt>
                <c:pt idx="577">
                  <c:v>117.41642534781013</c:v>
                </c:pt>
                <c:pt idx="578">
                  <c:v>114.72102618683952</c:v>
                </c:pt>
                <c:pt idx="579">
                  <c:v>116.79441015681692</c:v>
                </c:pt>
                <c:pt idx="580">
                  <c:v>116.4488461618207</c:v>
                </c:pt>
                <c:pt idx="581">
                  <c:v>116.24316647199893</c:v>
                </c:pt>
                <c:pt idx="582">
                  <c:v>116.79441015681694</c:v>
                </c:pt>
                <c:pt idx="583">
                  <c:v>119.07513252379206</c:v>
                </c:pt>
                <c:pt idx="584">
                  <c:v>118.66045572979658</c:v>
                </c:pt>
                <c:pt idx="585">
                  <c:v>119.07513252379206</c:v>
                </c:pt>
                <c:pt idx="586">
                  <c:v>115.41215417683199</c:v>
                </c:pt>
                <c:pt idx="587">
                  <c:v>115.06659018183576</c:v>
                </c:pt>
                <c:pt idx="588">
                  <c:v>113.69055435376076</c:v>
                </c:pt>
                <c:pt idx="589">
                  <c:v>115.48126697583125</c:v>
                </c:pt>
                <c:pt idx="590">
                  <c:v>114.72102618683954</c:v>
                </c:pt>
                <c:pt idx="591">
                  <c:v>113.58066500335197</c:v>
                </c:pt>
                <c:pt idx="592">
                  <c:v>111.96273437877959</c:v>
                </c:pt>
                <c:pt idx="593">
                  <c:v>112.68841876827169</c:v>
                </c:pt>
                <c:pt idx="594">
                  <c:v>114.72724633874945</c:v>
                </c:pt>
                <c:pt idx="595">
                  <c:v>115.00369753474645</c:v>
                </c:pt>
                <c:pt idx="596">
                  <c:v>114.20890034625511</c:v>
                </c:pt>
                <c:pt idx="597">
                  <c:v>114.24345674575474</c:v>
                </c:pt>
                <c:pt idx="598">
                  <c:v>113.34499035876453</c:v>
                </c:pt>
                <c:pt idx="599">
                  <c:v>113.34499035876453</c:v>
                </c:pt>
                <c:pt idx="600">
                  <c:v>113.34499035876453</c:v>
                </c:pt>
                <c:pt idx="601">
                  <c:v>114.38168234375324</c:v>
                </c:pt>
                <c:pt idx="602">
                  <c:v>112.39123373257495</c:v>
                </c:pt>
                <c:pt idx="603">
                  <c:v>112.65386236877208</c:v>
                </c:pt>
                <c:pt idx="604">
                  <c:v>111.44438838628525</c:v>
                </c:pt>
                <c:pt idx="605">
                  <c:v>113.91171531055836</c:v>
                </c:pt>
                <c:pt idx="606">
                  <c:v>114.03611834875703</c:v>
                </c:pt>
                <c:pt idx="607">
                  <c:v>111.96273437877963</c:v>
                </c:pt>
                <c:pt idx="608">
                  <c:v>110.37314000179694</c:v>
                </c:pt>
                <c:pt idx="609">
                  <c:v>111.09882439128904</c:v>
                </c:pt>
                <c:pt idx="610">
                  <c:v>110.58047839879471</c:v>
                </c:pt>
                <c:pt idx="611">
                  <c:v>111.96273437877964</c:v>
                </c:pt>
                <c:pt idx="612">
                  <c:v>111.61717038378342</c:v>
                </c:pt>
                <c:pt idx="613">
                  <c:v>111.44438838628531</c:v>
                </c:pt>
                <c:pt idx="614">
                  <c:v>110.23491440379848</c:v>
                </c:pt>
                <c:pt idx="615">
                  <c:v>110.13124520529961</c:v>
                </c:pt>
                <c:pt idx="616">
                  <c:v>109.88935040880224</c:v>
                </c:pt>
                <c:pt idx="617">
                  <c:v>110.24873696359833</c:v>
                </c:pt>
                <c:pt idx="618">
                  <c:v>110.92604239379094</c:v>
                </c:pt>
                <c:pt idx="619">
                  <c:v>110.40769640129659</c:v>
                </c:pt>
                <c:pt idx="620">
                  <c:v>106.29548486084141</c:v>
                </c:pt>
                <c:pt idx="621">
                  <c:v>107.12483844883238</c:v>
                </c:pt>
                <c:pt idx="622">
                  <c:v>109.54378641380602</c:v>
                </c:pt>
                <c:pt idx="623">
                  <c:v>109.16366601931014</c:v>
                </c:pt>
                <c:pt idx="624">
                  <c:v>109.54378641380602</c:v>
                </c:pt>
                <c:pt idx="625">
                  <c:v>106.77927445383614</c:v>
                </c:pt>
                <c:pt idx="626">
                  <c:v>108.99088402181202</c:v>
                </c:pt>
                <c:pt idx="627">
                  <c:v>109.19822241880978</c:v>
                </c:pt>
                <c:pt idx="628">
                  <c:v>108.47253802931768</c:v>
                </c:pt>
                <c:pt idx="629">
                  <c:v>109.88935040880223</c:v>
                </c:pt>
                <c:pt idx="630">
                  <c:v>110.58047839879471</c:v>
                </c:pt>
                <c:pt idx="631">
                  <c:v>110.17962416459906</c:v>
                </c:pt>
                <c:pt idx="632">
                  <c:v>108.6798764263154</c:v>
                </c:pt>
                <c:pt idx="633">
                  <c:v>108.5070944288173</c:v>
                </c:pt>
                <c:pt idx="634">
                  <c:v>108.5070944288173</c:v>
                </c:pt>
                <c:pt idx="635">
                  <c:v>108.33431243131918</c:v>
                </c:pt>
                <c:pt idx="636">
                  <c:v>108.5070944288173</c:v>
                </c:pt>
                <c:pt idx="637">
                  <c:v>108.5070944288173</c:v>
                </c:pt>
                <c:pt idx="638">
                  <c:v>108.33431243131918</c:v>
                </c:pt>
                <c:pt idx="639">
                  <c:v>108.16153043382107</c:v>
                </c:pt>
                <c:pt idx="640">
                  <c:v>108.85265842381355</c:v>
                </c:pt>
                <c:pt idx="641">
                  <c:v>108.50709442881731</c:v>
                </c:pt>
                <c:pt idx="642">
                  <c:v>108.09241763482184</c:v>
                </c:pt>
                <c:pt idx="643">
                  <c:v>108.50709442881731</c:v>
                </c:pt>
                <c:pt idx="644">
                  <c:v>109.09455322031091</c:v>
                </c:pt>
                <c:pt idx="645">
                  <c:v>109.30189161730867</c:v>
                </c:pt>
                <c:pt idx="646">
                  <c:v>108.85265842381357</c:v>
                </c:pt>
                <c:pt idx="647">
                  <c:v>108.78354562481432</c:v>
                </c:pt>
                <c:pt idx="648">
                  <c:v>108.50709442881733</c:v>
                </c:pt>
                <c:pt idx="649">
                  <c:v>108.03712739562245</c:v>
                </c:pt>
                <c:pt idx="650">
                  <c:v>107.19395124783165</c:v>
                </c:pt>
                <c:pt idx="651">
                  <c:v>107.76067619962548</c:v>
                </c:pt>
                <c:pt idx="652">
                  <c:v>107.95419203682336</c:v>
                </c:pt>
                <c:pt idx="653">
                  <c:v>107.91963563732374</c:v>
                </c:pt>
                <c:pt idx="654">
                  <c:v>108.31357859161945</c:v>
                </c:pt>
                <c:pt idx="655">
                  <c:v>107.88507923782412</c:v>
                </c:pt>
                <c:pt idx="656">
                  <c:v>108.79736818461417</c:v>
                </c:pt>
                <c:pt idx="657">
                  <c:v>108.09241763482187</c:v>
                </c:pt>
                <c:pt idx="658">
                  <c:v>108.50709442881734</c:v>
                </c:pt>
                <c:pt idx="659">
                  <c:v>108.36886883081887</c:v>
                </c:pt>
                <c:pt idx="660">
                  <c:v>109.54378641380606</c:v>
                </c:pt>
                <c:pt idx="661">
                  <c:v>109.76494737060365</c:v>
                </c:pt>
                <c:pt idx="662">
                  <c:v>112.44652397177443</c:v>
                </c:pt>
                <c:pt idx="663">
                  <c:v>112.10095997677819</c:v>
                </c:pt>
                <c:pt idx="664">
                  <c:v>111.97655693857955</c:v>
                </c:pt>
                <c:pt idx="665">
                  <c:v>112.10095997677819</c:v>
                </c:pt>
                <c:pt idx="666">
                  <c:v>110.58047839879475</c:v>
                </c:pt>
                <c:pt idx="667">
                  <c:v>110.3385836022974</c:v>
                </c:pt>
                <c:pt idx="668">
                  <c:v>110.58047839879475</c:v>
                </c:pt>
                <c:pt idx="669">
                  <c:v>110.58047839879475</c:v>
                </c:pt>
                <c:pt idx="670">
                  <c:v>109.54378641380606</c:v>
                </c:pt>
                <c:pt idx="671">
                  <c:v>110.58047839879477</c:v>
                </c:pt>
                <c:pt idx="672">
                  <c:v>109.8893504088023</c:v>
                </c:pt>
                <c:pt idx="673">
                  <c:v>109.82023760980306</c:v>
                </c:pt>
                <c:pt idx="674">
                  <c:v>109.82023760980304</c:v>
                </c:pt>
                <c:pt idx="675">
                  <c:v>110.23491440379853</c:v>
                </c:pt>
                <c:pt idx="676">
                  <c:v>110.78781679579249</c:v>
                </c:pt>
                <c:pt idx="677">
                  <c:v>110.93986495359083</c:v>
                </c:pt>
                <c:pt idx="678">
                  <c:v>111.65172678328307</c:v>
                </c:pt>
                <c:pt idx="679">
                  <c:v>111.27160638878719</c:v>
                </c:pt>
                <c:pt idx="680">
                  <c:v>111.37527558728605</c:v>
                </c:pt>
                <c:pt idx="681">
                  <c:v>111.34071918778642</c:v>
                </c:pt>
                <c:pt idx="682">
                  <c:v>111.54805758478416</c:v>
                </c:pt>
                <c:pt idx="683">
                  <c:v>111.27160638878718</c:v>
                </c:pt>
                <c:pt idx="684">
                  <c:v>111.06426799178942</c:v>
                </c:pt>
                <c:pt idx="685">
                  <c:v>111.00897775259004</c:v>
                </c:pt>
                <c:pt idx="686">
                  <c:v>110.44225280079621</c:v>
                </c:pt>
                <c:pt idx="687">
                  <c:v>111.37527558728604</c:v>
                </c:pt>
                <c:pt idx="688">
                  <c:v>111.34071918778641</c:v>
                </c:pt>
                <c:pt idx="689">
                  <c:v>111.96273437877964</c:v>
                </c:pt>
                <c:pt idx="690">
                  <c:v>112.37741117277511</c:v>
                </c:pt>
                <c:pt idx="691">
                  <c:v>112.30829837377587</c:v>
                </c:pt>
                <c:pt idx="692">
                  <c:v>114.00156194925741</c:v>
                </c:pt>
                <c:pt idx="693">
                  <c:v>115.69482552473897</c:v>
                </c:pt>
                <c:pt idx="694">
                  <c:v>116.80063030872691</c:v>
                </c:pt>
                <c:pt idx="695">
                  <c:v>116.80063030872691</c:v>
                </c:pt>
                <c:pt idx="696">
                  <c:v>116.10950231873444</c:v>
                </c:pt>
                <c:pt idx="697">
                  <c:v>114.72724633874952</c:v>
                </c:pt>
                <c:pt idx="698">
                  <c:v>115.00369753474652</c:v>
                </c:pt>
                <c:pt idx="699">
                  <c:v>116.10950231873446</c:v>
                </c:pt>
                <c:pt idx="700">
                  <c:v>115.07281033374576</c:v>
                </c:pt>
                <c:pt idx="701">
                  <c:v>115.41837432874199</c:v>
                </c:pt>
                <c:pt idx="702">
                  <c:v>115.59115632624011</c:v>
                </c:pt>
                <c:pt idx="703">
                  <c:v>115.62571272573973</c:v>
                </c:pt>
                <c:pt idx="704">
                  <c:v>115.76393832373822</c:v>
                </c:pt>
                <c:pt idx="705">
                  <c:v>116.04038951973521</c:v>
                </c:pt>
                <c:pt idx="706">
                  <c:v>115.24559233124387</c:v>
                </c:pt>
                <c:pt idx="707">
                  <c:v>114.83091553724839</c:v>
                </c:pt>
                <c:pt idx="708">
                  <c:v>114.58902074075102</c:v>
                </c:pt>
                <c:pt idx="709">
                  <c:v>114.03611834875706</c:v>
                </c:pt>
                <c:pt idx="710">
                  <c:v>114.10523114775629</c:v>
                </c:pt>
                <c:pt idx="711">
                  <c:v>113.69055435376082</c:v>
                </c:pt>
                <c:pt idx="712">
                  <c:v>114.72724633874951</c:v>
                </c:pt>
                <c:pt idx="713">
                  <c:v>113.44865955726345</c:v>
                </c:pt>
                <c:pt idx="714">
                  <c:v>112.66768492857196</c:v>
                </c:pt>
                <c:pt idx="715">
                  <c:v>112.20462917527699</c:v>
                </c:pt>
                <c:pt idx="716">
                  <c:v>112.82664436627022</c:v>
                </c:pt>
                <c:pt idx="717">
                  <c:v>112.17007277577738</c:v>
                </c:pt>
                <c:pt idx="718">
                  <c:v>109.88935040880223</c:v>
                </c:pt>
                <c:pt idx="719">
                  <c:v>108.71443282581504</c:v>
                </c:pt>
                <c:pt idx="720">
                  <c:v>110.59430095859456</c:v>
                </c:pt>
                <c:pt idx="721">
                  <c:v>112.20462917527701</c:v>
                </c:pt>
                <c:pt idx="722">
                  <c:v>111.75539598178189</c:v>
                </c:pt>
                <c:pt idx="723">
                  <c:v>112.48108037127399</c:v>
                </c:pt>
                <c:pt idx="724">
                  <c:v>112.65386236877211</c:v>
                </c:pt>
                <c:pt idx="725">
                  <c:v>112.32212093357575</c:v>
                </c:pt>
                <c:pt idx="726">
                  <c:v>110.2349144037985</c:v>
                </c:pt>
                <c:pt idx="727">
                  <c:v>109.54378641380603</c:v>
                </c:pt>
                <c:pt idx="728">
                  <c:v>109.54378641380602</c:v>
                </c:pt>
                <c:pt idx="729">
                  <c:v>110.58047839879471</c:v>
                </c:pt>
                <c:pt idx="730">
                  <c:v>110.51136559979548</c:v>
                </c:pt>
                <c:pt idx="731">
                  <c:v>111.68628318278267</c:v>
                </c:pt>
                <c:pt idx="732">
                  <c:v>111.56188014458404</c:v>
                </c:pt>
                <c:pt idx="733">
                  <c:v>111.96273437877969</c:v>
                </c:pt>
                <c:pt idx="734">
                  <c:v>112.44652397177441</c:v>
                </c:pt>
                <c:pt idx="735">
                  <c:v>112.30829837377593</c:v>
                </c:pt>
                <c:pt idx="736">
                  <c:v>111.89362157978046</c:v>
                </c:pt>
                <c:pt idx="737">
                  <c:v>112.30829837377594</c:v>
                </c:pt>
                <c:pt idx="738">
                  <c:v>111.89362157978046</c:v>
                </c:pt>
                <c:pt idx="739">
                  <c:v>112.34285477327556</c:v>
                </c:pt>
                <c:pt idx="740">
                  <c:v>111.54805758478422</c:v>
                </c:pt>
                <c:pt idx="741">
                  <c:v>111.75539598178194</c:v>
                </c:pt>
                <c:pt idx="742">
                  <c:v>112.30829837377593</c:v>
                </c:pt>
                <c:pt idx="743">
                  <c:v>111.90744413958029</c:v>
                </c:pt>
                <c:pt idx="744">
                  <c:v>111.34071918778648</c:v>
                </c:pt>
                <c:pt idx="745">
                  <c:v>110.64959119779401</c:v>
                </c:pt>
                <c:pt idx="746">
                  <c:v>109.33644801680832</c:v>
                </c:pt>
                <c:pt idx="747">
                  <c:v>108.50709442881737</c:v>
                </c:pt>
                <c:pt idx="748">
                  <c:v>109.02544042131171</c:v>
                </c:pt>
                <c:pt idx="749">
                  <c:v>108.50709442881735</c:v>
                </c:pt>
                <c:pt idx="750">
                  <c:v>107.74685363982566</c:v>
                </c:pt>
                <c:pt idx="751">
                  <c:v>107.12483844883243</c:v>
                </c:pt>
                <c:pt idx="752">
                  <c:v>107.43584604432904</c:v>
                </c:pt>
                <c:pt idx="753">
                  <c:v>107.12483844883243</c:v>
                </c:pt>
                <c:pt idx="754">
                  <c:v>107.27688660663078</c:v>
                </c:pt>
                <c:pt idx="755">
                  <c:v>106.7239842146368</c:v>
                </c:pt>
                <c:pt idx="756">
                  <c:v>105.7425824688475</c:v>
                </c:pt>
                <c:pt idx="757">
                  <c:v>105.81169526784674</c:v>
                </c:pt>
                <c:pt idx="758">
                  <c:v>106.71016165483695</c:v>
                </c:pt>
                <c:pt idx="759">
                  <c:v>108.16153043382113</c:v>
                </c:pt>
                <c:pt idx="760">
                  <c:v>110.92604239379101</c:v>
                </c:pt>
                <c:pt idx="761">
                  <c:v>110.64959119779402</c:v>
                </c:pt>
                <c:pt idx="762">
                  <c:v>109.88935040880231</c:v>
                </c:pt>
                <c:pt idx="763">
                  <c:v>109.26733521780909</c:v>
                </c:pt>
                <c:pt idx="764">
                  <c:v>111.27160638878726</c:v>
                </c:pt>
                <c:pt idx="765">
                  <c:v>110.31784976259766</c:v>
                </c:pt>
                <c:pt idx="766">
                  <c:v>111.27160638878726</c:v>
                </c:pt>
                <c:pt idx="767">
                  <c:v>108.92177122281286</c:v>
                </c:pt>
                <c:pt idx="768">
                  <c:v>107.81596643882493</c:v>
                </c:pt>
                <c:pt idx="769">
                  <c:v>109.19822241880986</c:v>
                </c:pt>
                <c:pt idx="770">
                  <c:v>107.20777380763157</c:v>
                </c:pt>
                <c:pt idx="771">
                  <c:v>108.5070944288174</c:v>
                </c:pt>
                <c:pt idx="772">
                  <c:v>109.88935040880233</c:v>
                </c:pt>
                <c:pt idx="773">
                  <c:v>108.85265842381364</c:v>
                </c:pt>
                <c:pt idx="774">
                  <c:v>110.99515519279029</c:v>
                </c:pt>
                <c:pt idx="775">
                  <c:v>111.76921854158186</c:v>
                </c:pt>
                <c:pt idx="776">
                  <c:v>111.27160638878729</c:v>
                </c:pt>
                <c:pt idx="777">
                  <c:v>111.27160638878728</c:v>
                </c:pt>
                <c:pt idx="778">
                  <c:v>110.73252655659316</c:v>
                </c:pt>
                <c:pt idx="779">
                  <c:v>109.19822241880988</c:v>
                </c:pt>
                <c:pt idx="780">
                  <c:v>108.26519963232006</c:v>
                </c:pt>
                <c:pt idx="781">
                  <c:v>108.85265842381365</c:v>
                </c:pt>
                <c:pt idx="782">
                  <c:v>108.50709442881741</c:v>
                </c:pt>
                <c:pt idx="783">
                  <c:v>108.16153043382118</c:v>
                </c:pt>
                <c:pt idx="784">
                  <c:v>107.81596643882496</c:v>
                </c:pt>
                <c:pt idx="785">
                  <c:v>107.12483844883249</c:v>
                </c:pt>
                <c:pt idx="786">
                  <c:v>107.88507923782421</c:v>
                </c:pt>
                <c:pt idx="787">
                  <c:v>106.43371045884003</c:v>
                </c:pt>
                <c:pt idx="788">
                  <c:v>105.05145447885509</c:v>
                </c:pt>
                <c:pt idx="789">
                  <c:v>104.36032648886263</c:v>
                </c:pt>
                <c:pt idx="790">
                  <c:v>105.77713886834719</c:v>
                </c:pt>
                <c:pt idx="791">
                  <c:v>105.39701847385133</c:v>
                </c:pt>
                <c:pt idx="792">
                  <c:v>105.81169526784682</c:v>
                </c:pt>
                <c:pt idx="793">
                  <c:v>104.9961642396557</c:v>
                </c:pt>
                <c:pt idx="794">
                  <c:v>105.05145447885511</c:v>
                </c:pt>
                <c:pt idx="795">
                  <c:v>106.03285622464441</c:v>
                </c:pt>
                <c:pt idx="796">
                  <c:v>106.43371045884004</c:v>
                </c:pt>
                <c:pt idx="797">
                  <c:v>106.10196902364366</c:v>
                </c:pt>
                <c:pt idx="798">
                  <c:v>106.0881464638438</c:v>
                </c:pt>
                <c:pt idx="799">
                  <c:v>106.43371045884004</c:v>
                </c:pt>
                <c:pt idx="800">
                  <c:v>106.43371045884003</c:v>
                </c:pt>
                <c:pt idx="801">
                  <c:v>106.79309701363611</c:v>
                </c:pt>
                <c:pt idx="802">
                  <c:v>106.57193605683851</c:v>
                </c:pt>
                <c:pt idx="803">
                  <c:v>106.74471805433662</c:v>
                </c:pt>
                <c:pt idx="804">
                  <c:v>105.9499208658453</c:v>
                </c:pt>
                <c:pt idx="805">
                  <c:v>106.10196902364363</c:v>
                </c:pt>
                <c:pt idx="806">
                  <c:v>105.5352440718498</c:v>
                </c:pt>
                <c:pt idx="807">
                  <c:v>106.08814646384378</c:v>
                </c:pt>
                <c:pt idx="808">
                  <c:v>106.08814646384378</c:v>
                </c:pt>
                <c:pt idx="809">
                  <c:v>106.05359006434415</c:v>
                </c:pt>
                <c:pt idx="810">
                  <c:v>106.33004126034113</c:v>
                </c:pt>
                <c:pt idx="811">
                  <c:v>105.89463062664589</c:v>
                </c:pt>
                <c:pt idx="812">
                  <c:v>105.96374342564513</c:v>
                </c:pt>
                <c:pt idx="813">
                  <c:v>106.26092846134189</c:v>
                </c:pt>
                <c:pt idx="814">
                  <c:v>106.84838725283548</c:v>
                </c:pt>
                <c:pt idx="815">
                  <c:v>107.09028204933286</c:v>
                </c:pt>
                <c:pt idx="816">
                  <c:v>107.33217684583023</c:v>
                </c:pt>
                <c:pt idx="817">
                  <c:v>107.64318444132682</c:v>
                </c:pt>
                <c:pt idx="818">
                  <c:v>108.74898922531477</c:v>
                </c:pt>
                <c:pt idx="819">
                  <c:v>109.19822241880988</c:v>
                </c:pt>
                <c:pt idx="820">
                  <c:v>108.16153043382117</c:v>
                </c:pt>
                <c:pt idx="821">
                  <c:v>109.26733521780912</c:v>
                </c:pt>
                <c:pt idx="822">
                  <c:v>109.41938337560747</c:v>
                </c:pt>
                <c:pt idx="823">
                  <c:v>109.88935040880234</c:v>
                </c:pt>
                <c:pt idx="824">
                  <c:v>110.71870399679331</c:v>
                </c:pt>
                <c:pt idx="825">
                  <c:v>112.66768492857209</c:v>
                </c:pt>
                <c:pt idx="826">
                  <c:v>113.86333635125905</c:v>
                </c:pt>
                <c:pt idx="827">
                  <c:v>115.93672032123646</c:v>
                </c:pt>
                <c:pt idx="828">
                  <c:v>119.08135267570221</c:v>
                </c:pt>
                <c:pt idx="829">
                  <c:v>114.90002833624777</c:v>
                </c:pt>
                <c:pt idx="830">
                  <c:v>113.24132116026585</c:v>
                </c:pt>
                <c:pt idx="831">
                  <c:v>111.27160638878732</c:v>
                </c:pt>
                <c:pt idx="832">
                  <c:v>111.96273437877979</c:v>
                </c:pt>
                <c:pt idx="833">
                  <c:v>112.48108037127415</c:v>
                </c:pt>
                <c:pt idx="834">
                  <c:v>112.65386236877227</c:v>
                </c:pt>
                <c:pt idx="835">
                  <c:v>112.37741117277528</c:v>
                </c:pt>
                <c:pt idx="836">
                  <c:v>112.37741117277528</c:v>
                </c:pt>
                <c:pt idx="837">
                  <c:v>110.99515519279034</c:v>
                </c:pt>
                <c:pt idx="838">
                  <c:v>110.85692959479185</c:v>
                </c:pt>
                <c:pt idx="839">
                  <c:v>110.59430095859472</c:v>
                </c:pt>
                <c:pt idx="840">
                  <c:v>109.21204497860978</c:v>
                </c:pt>
                <c:pt idx="841">
                  <c:v>108.40342523031859</c:v>
                </c:pt>
                <c:pt idx="842">
                  <c:v>108.57620722781671</c:v>
                </c:pt>
                <c:pt idx="843">
                  <c:v>107.29762044633065</c:v>
                </c:pt>
                <c:pt idx="844">
                  <c:v>106.53737965733895</c:v>
                </c:pt>
                <c:pt idx="845">
                  <c:v>105.13438983765424</c:v>
                </c:pt>
                <c:pt idx="846">
                  <c:v>104.18754449136456</c:v>
                </c:pt>
                <c:pt idx="847">
                  <c:v>105.065277038655</c:v>
                </c:pt>
                <c:pt idx="848">
                  <c:v>105.54906663164971</c:v>
                </c:pt>
                <c:pt idx="849">
                  <c:v>105.05145447885513</c:v>
                </c:pt>
                <c:pt idx="850">
                  <c:v>103.60008569987095</c:v>
                </c:pt>
                <c:pt idx="851">
                  <c:v>103.75213385766928</c:v>
                </c:pt>
                <c:pt idx="852">
                  <c:v>103.80742409686867</c:v>
                </c:pt>
                <c:pt idx="853">
                  <c:v>104.878672481357</c:v>
                </c:pt>
                <c:pt idx="854">
                  <c:v>104.01476249386641</c:v>
                </c:pt>
                <c:pt idx="855">
                  <c:v>103.49641650137205</c:v>
                </c:pt>
                <c:pt idx="856">
                  <c:v>103.89035945566776</c:v>
                </c:pt>
                <c:pt idx="857">
                  <c:v>103.75213385766928</c:v>
                </c:pt>
                <c:pt idx="858">
                  <c:v>103.60008569987095</c:v>
                </c:pt>
                <c:pt idx="859">
                  <c:v>103.60008569987095</c:v>
                </c:pt>
                <c:pt idx="860">
                  <c:v>104.512374646661</c:v>
                </c:pt>
                <c:pt idx="861">
                  <c:v>104.36032648886265</c:v>
                </c:pt>
                <c:pt idx="862">
                  <c:v>103.32363450387395</c:v>
                </c:pt>
                <c:pt idx="863">
                  <c:v>103.18540890587546</c:v>
                </c:pt>
                <c:pt idx="864">
                  <c:v>102.56339371488224</c:v>
                </c:pt>
                <c:pt idx="865">
                  <c:v>101.73404012689126</c:v>
                </c:pt>
                <c:pt idx="866">
                  <c:v>102.02431388268811</c:v>
                </c:pt>
                <c:pt idx="867">
                  <c:v>101.74786268669112</c:v>
                </c:pt>
                <c:pt idx="868">
                  <c:v>101.25025053389655</c:v>
                </c:pt>
                <c:pt idx="869">
                  <c:v>100.69734814190257</c:v>
                </c:pt>
                <c:pt idx="870">
                  <c:v>100.15826830970845</c:v>
                </c:pt>
                <c:pt idx="871">
                  <c:v>98.416625774927439</c:v>
                </c:pt>
                <c:pt idx="872">
                  <c:v>98.845125128722771</c:v>
                </c:pt>
                <c:pt idx="873">
                  <c:v>98.430448334727274</c:v>
                </c:pt>
                <c:pt idx="874">
                  <c:v>98.90041536792215</c:v>
                </c:pt>
                <c:pt idx="875">
                  <c:v>98.983350726721241</c:v>
                </c:pt>
                <c:pt idx="876">
                  <c:v>99.522430558915374</c:v>
                </c:pt>
                <c:pt idx="877">
                  <c:v>98.001948980931957</c:v>
                </c:pt>
                <c:pt idx="878">
                  <c:v>98.140174578930441</c:v>
                </c:pt>
                <c:pt idx="879">
                  <c:v>99.467140319715966</c:v>
                </c:pt>
                <c:pt idx="880">
                  <c:v>100.91850909870016</c:v>
                </c:pt>
                <c:pt idx="881">
                  <c:v>102.02431388268811</c:v>
                </c:pt>
                <c:pt idx="882">
                  <c:v>101.45758893089429</c:v>
                </c:pt>
                <c:pt idx="883">
                  <c:v>101.87226572488976</c:v>
                </c:pt>
                <c:pt idx="884">
                  <c:v>100.87013013940067</c:v>
                </c:pt>
                <c:pt idx="885">
                  <c:v>99.487874159415739</c:v>
                </c:pt>
                <c:pt idx="886">
                  <c:v>99.867994553911615</c:v>
                </c:pt>
                <c:pt idx="887">
                  <c:v>99.881817113711477</c:v>
                </c:pt>
                <c:pt idx="888">
                  <c:v>100.21355854890786</c:v>
                </c:pt>
                <c:pt idx="889">
                  <c:v>100.14444574990861</c:v>
                </c:pt>
                <c:pt idx="890">
                  <c:v>100.21355854890786</c:v>
                </c:pt>
                <c:pt idx="891">
                  <c:v>100.76646094090184</c:v>
                </c:pt>
                <c:pt idx="892">
                  <c:v>101.35391973239543</c:v>
                </c:pt>
                <c:pt idx="893">
                  <c:v>100.90468653890031</c:v>
                </c:pt>
                <c:pt idx="894">
                  <c:v>102.63250651388147</c:v>
                </c:pt>
                <c:pt idx="895">
                  <c:v>102.97807050887771</c:v>
                </c:pt>
                <c:pt idx="896">
                  <c:v>103.53097290087169</c:v>
                </c:pt>
                <c:pt idx="897">
                  <c:v>104.85793864165723</c:v>
                </c:pt>
                <c:pt idx="898">
                  <c:v>109.0254404213118</c:v>
                </c:pt>
                <c:pt idx="899">
                  <c:v>106.43371045884004</c:v>
                </c:pt>
                <c:pt idx="900">
                  <c:v>108.78354562481445</c:v>
                </c:pt>
                <c:pt idx="901">
                  <c:v>107.12483844883252</c:v>
                </c:pt>
                <c:pt idx="902">
                  <c:v>107.12483844883252</c:v>
                </c:pt>
                <c:pt idx="903">
                  <c:v>106.86220981263538</c:v>
                </c:pt>
                <c:pt idx="904">
                  <c:v>106.43371045884005</c:v>
                </c:pt>
                <c:pt idx="905">
                  <c:v>105.68729222964818</c:v>
                </c:pt>
                <c:pt idx="906">
                  <c:v>106.15725926284306</c:v>
                </c:pt>
                <c:pt idx="907">
                  <c:v>105.2726154356527</c:v>
                </c:pt>
                <c:pt idx="908">
                  <c:v>106.43371045884005</c:v>
                </c:pt>
                <c:pt idx="909">
                  <c:v>105.91536446634571</c:v>
                </c:pt>
                <c:pt idx="910">
                  <c:v>107.19395124783178</c:v>
                </c:pt>
                <c:pt idx="911">
                  <c:v>107.12483844883253</c:v>
                </c:pt>
                <c:pt idx="912">
                  <c:v>107.95419203682349</c:v>
                </c:pt>
                <c:pt idx="913">
                  <c:v>108.09241763482198</c:v>
                </c:pt>
                <c:pt idx="914">
                  <c:v>108.61076362731633</c:v>
                </c:pt>
                <c:pt idx="915">
                  <c:v>108.33431243131935</c:v>
                </c:pt>
                <c:pt idx="916">
                  <c:v>107.78141003932538</c:v>
                </c:pt>
                <c:pt idx="917">
                  <c:v>108.2306432328205</c:v>
                </c:pt>
                <c:pt idx="918">
                  <c:v>107.33217684583029</c:v>
                </c:pt>
                <c:pt idx="919">
                  <c:v>107.85052283832465</c:v>
                </c:pt>
                <c:pt idx="920">
                  <c:v>108.72825538561507</c:v>
                </c:pt>
                <c:pt idx="921">
                  <c:v>110.37314000179714</c:v>
                </c:pt>
                <c:pt idx="922">
                  <c:v>110.59430095859473</c:v>
                </c:pt>
                <c:pt idx="923">
                  <c:v>110.04139856660075</c:v>
                </c:pt>
                <c:pt idx="924">
                  <c:v>111.13338079078886</c:v>
                </c:pt>
                <c:pt idx="925">
                  <c:v>112.39123373257515</c:v>
                </c:pt>
                <c:pt idx="926">
                  <c:v>111.92817797928018</c:v>
                </c:pt>
                <c:pt idx="927">
                  <c:v>114.72724633874968</c:v>
                </c:pt>
                <c:pt idx="928">
                  <c:v>113.22058732056611</c:v>
                </c:pt>
                <c:pt idx="929">
                  <c:v>114.04994090855709</c:v>
                </c:pt>
                <c:pt idx="930">
                  <c:v>114.18816650655558</c:v>
                </c:pt>
                <c:pt idx="931">
                  <c:v>114.32639210455406</c:v>
                </c:pt>
                <c:pt idx="932">
                  <c:v>114.83091553724857</c:v>
                </c:pt>
                <c:pt idx="933">
                  <c:v>116.45506631373087</c:v>
                </c:pt>
                <c:pt idx="934">
                  <c:v>117.42264549972033</c:v>
                </c:pt>
                <c:pt idx="935">
                  <c:v>117.50558085851944</c:v>
                </c:pt>
                <c:pt idx="936">
                  <c:v>117.43646805952018</c:v>
                </c:pt>
                <c:pt idx="937">
                  <c:v>115.77776088353828</c:v>
                </c:pt>
                <c:pt idx="938">
                  <c:v>114.31256954475425</c:v>
                </c:pt>
                <c:pt idx="939">
                  <c:v>115.29397129054355</c:v>
                </c:pt>
                <c:pt idx="940">
                  <c:v>115.69482552473919</c:v>
                </c:pt>
                <c:pt idx="941">
                  <c:v>116.62784831122902</c:v>
                </c:pt>
                <c:pt idx="942">
                  <c:v>119.30251363249987</c:v>
                </c:pt>
                <c:pt idx="943">
                  <c:v>119.08135267570229</c:v>
                </c:pt>
                <c:pt idx="944">
                  <c:v>119.28869107270003</c:v>
                </c:pt>
                <c:pt idx="945">
                  <c:v>120.01437546219213</c:v>
                </c:pt>
                <c:pt idx="946">
                  <c:v>120.54654401448632</c:v>
                </c:pt>
                <c:pt idx="947">
                  <c:v>119.77248066569477</c:v>
                </c:pt>
                <c:pt idx="948">
                  <c:v>118.6321194822072</c:v>
                </c:pt>
                <c:pt idx="949">
                  <c:v>118.80490147970531</c:v>
                </c:pt>
                <c:pt idx="950">
                  <c:v>118.66667588170681</c:v>
                </c:pt>
                <c:pt idx="951">
                  <c:v>117.59542749721849</c:v>
                </c:pt>
                <c:pt idx="952">
                  <c:v>116.04038951973546</c:v>
                </c:pt>
                <c:pt idx="953">
                  <c:v>116.28228431623282</c:v>
                </c:pt>
                <c:pt idx="954">
                  <c:v>116.80063030872716</c:v>
                </c:pt>
                <c:pt idx="955">
                  <c:v>116.38595351473168</c:v>
                </c:pt>
              </c:numCache>
            </c:numRef>
          </c:val>
          <c:smooth val="0"/>
          <c:extLst>
            <c:ext xmlns:c16="http://schemas.microsoft.com/office/drawing/2014/chart" uri="{C3380CC4-5D6E-409C-BE32-E72D297353CC}">
              <c16:uniqueId val="{00000001-3429-4AF4-B29D-1DF7AC935C08}"/>
            </c:ext>
          </c:extLst>
        </c:ser>
        <c:ser>
          <c:idx val="3"/>
          <c:order val="2"/>
          <c:tx>
            <c:strRef>
              <c:f>Sheet1!$D$1</c:f>
              <c:strCache>
                <c:ptCount val="1"/>
                <c:pt idx="0">
                  <c:v>ՀՀ դրամ</c:v>
                </c:pt>
              </c:strCache>
            </c:strRef>
          </c:tx>
          <c:spPr>
            <a:ln w="19050" cap="rnd">
              <a:solidFill>
                <a:sysClr val="window" lastClr="FFFFFF">
                  <a:lumMod val="65000"/>
                </a:sysClr>
              </a:solidFill>
              <a:round/>
            </a:ln>
            <a:effectLst/>
          </c:spPr>
          <c:marker>
            <c:symbol val="picture"/>
            <c:spPr>
              <a:ln w="6350">
                <a:noFill/>
              </a:ln>
            </c:spPr>
          </c:marker>
          <c:cat>
            <c:numRef>
              <c:f>Sheet1!$A$2:$A$957</c:f>
              <c:numCache>
                <c:formatCode>dd\/mm\/yy</c:formatCode>
                <c:ptCount val="956"/>
                <c:pt idx="0">
                  <c:v>44929</c:v>
                </c:pt>
                <c:pt idx="1">
                  <c:v>44930</c:v>
                </c:pt>
                <c:pt idx="2">
                  <c:v>44931</c:v>
                </c:pt>
                <c:pt idx="3">
                  <c:v>44932</c:v>
                </c:pt>
                <c:pt idx="4">
                  <c:v>44935</c:v>
                </c:pt>
                <c:pt idx="5">
                  <c:v>44936</c:v>
                </c:pt>
                <c:pt idx="6">
                  <c:v>44937</c:v>
                </c:pt>
                <c:pt idx="7">
                  <c:v>44938</c:v>
                </c:pt>
                <c:pt idx="8">
                  <c:v>44939</c:v>
                </c:pt>
                <c:pt idx="9">
                  <c:v>44942</c:v>
                </c:pt>
                <c:pt idx="10">
                  <c:v>44943</c:v>
                </c:pt>
                <c:pt idx="11">
                  <c:v>44944</c:v>
                </c:pt>
                <c:pt idx="12">
                  <c:v>44945</c:v>
                </c:pt>
                <c:pt idx="13">
                  <c:v>44946</c:v>
                </c:pt>
                <c:pt idx="14">
                  <c:v>44949</c:v>
                </c:pt>
                <c:pt idx="15">
                  <c:v>44950</c:v>
                </c:pt>
                <c:pt idx="16">
                  <c:v>44951</c:v>
                </c:pt>
                <c:pt idx="17">
                  <c:v>44952</c:v>
                </c:pt>
                <c:pt idx="18">
                  <c:v>44953</c:v>
                </c:pt>
                <c:pt idx="19">
                  <c:v>44956</c:v>
                </c:pt>
                <c:pt idx="20">
                  <c:v>44957</c:v>
                </c:pt>
                <c:pt idx="21">
                  <c:v>44958</c:v>
                </c:pt>
                <c:pt idx="22">
                  <c:v>44959</c:v>
                </c:pt>
                <c:pt idx="23">
                  <c:v>44960</c:v>
                </c:pt>
                <c:pt idx="24">
                  <c:v>44963</c:v>
                </c:pt>
                <c:pt idx="25">
                  <c:v>44964</c:v>
                </c:pt>
                <c:pt idx="26">
                  <c:v>44965</c:v>
                </c:pt>
                <c:pt idx="27">
                  <c:v>44966</c:v>
                </c:pt>
                <c:pt idx="28">
                  <c:v>44967</c:v>
                </c:pt>
                <c:pt idx="29">
                  <c:v>44970</c:v>
                </c:pt>
                <c:pt idx="30">
                  <c:v>44971</c:v>
                </c:pt>
                <c:pt idx="31">
                  <c:v>44972</c:v>
                </c:pt>
                <c:pt idx="32">
                  <c:v>44973</c:v>
                </c:pt>
                <c:pt idx="33">
                  <c:v>44974</c:v>
                </c:pt>
                <c:pt idx="34">
                  <c:v>44977</c:v>
                </c:pt>
                <c:pt idx="35">
                  <c:v>44978</c:v>
                </c:pt>
                <c:pt idx="36">
                  <c:v>44979</c:v>
                </c:pt>
                <c:pt idx="37">
                  <c:v>44980</c:v>
                </c:pt>
                <c:pt idx="38">
                  <c:v>44981</c:v>
                </c:pt>
                <c:pt idx="39">
                  <c:v>44984</c:v>
                </c:pt>
                <c:pt idx="40">
                  <c:v>44985</c:v>
                </c:pt>
                <c:pt idx="41">
                  <c:v>44986</c:v>
                </c:pt>
                <c:pt idx="42">
                  <c:v>44987</c:v>
                </c:pt>
                <c:pt idx="43">
                  <c:v>44988</c:v>
                </c:pt>
                <c:pt idx="44">
                  <c:v>44991</c:v>
                </c:pt>
                <c:pt idx="45">
                  <c:v>44992</c:v>
                </c:pt>
                <c:pt idx="46">
                  <c:v>44993</c:v>
                </c:pt>
                <c:pt idx="47">
                  <c:v>44994</c:v>
                </c:pt>
                <c:pt idx="48">
                  <c:v>44995</c:v>
                </c:pt>
                <c:pt idx="49">
                  <c:v>44998</c:v>
                </c:pt>
                <c:pt idx="50">
                  <c:v>44999</c:v>
                </c:pt>
                <c:pt idx="51">
                  <c:v>45000</c:v>
                </c:pt>
                <c:pt idx="52">
                  <c:v>45001</c:v>
                </c:pt>
                <c:pt idx="53">
                  <c:v>45002</c:v>
                </c:pt>
                <c:pt idx="54">
                  <c:v>45005</c:v>
                </c:pt>
                <c:pt idx="55">
                  <c:v>45006</c:v>
                </c:pt>
                <c:pt idx="56">
                  <c:v>45007</c:v>
                </c:pt>
                <c:pt idx="57">
                  <c:v>45008</c:v>
                </c:pt>
                <c:pt idx="58">
                  <c:v>45009</c:v>
                </c:pt>
                <c:pt idx="59">
                  <c:v>45012</c:v>
                </c:pt>
                <c:pt idx="60">
                  <c:v>45013</c:v>
                </c:pt>
                <c:pt idx="61">
                  <c:v>45014</c:v>
                </c:pt>
                <c:pt idx="62">
                  <c:v>45015</c:v>
                </c:pt>
                <c:pt idx="63">
                  <c:v>45016</c:v>
                </c:pt>
                <c:pt idx="64">
                  <c:v>45019</c:v>
                </c:pt>
                <c:pt idx="65">
                  <c:v>45020</c:v>
                </c:pt>
                <c:pt idx="66">
                  <c:v>45021</c:v>
                </c:pt>
                <c:pt idx="67">
                  <c:v>45022</c:v>
                </c:pt>
                <c:pt idx="68">
                  <c:v>45023</c:v>
                </c:pt>
                <c:pt idx="69">
                  <c:v>45026</c:v>
                </c:pt>
                <c:pt idx="70">
                  <c:v>45027</c:v>
                </c:pt>
                <c:pt idx="71">
                  <c:v>45028</c:v>
                </c:pt>
                <c:pt idx="72">
                  <c:v>45029</c:v>
                </c:pt>
                <c:pt idx="73">
                  <c:v>45030</c:v>
                </c:pt>
                <c:pt idx="74">
                  <c:v>45033</c:v>
                </c:pt>
                <c:pt idx="75">
                  <c:v>45034</c:v>
                </c:pt>
                <c:pt idx="76">
                  <c:v>45035</c:v>
                </c:pt>
                <c:pt idx="77">
                  <c:v>45036</c:v>
                </c:pt>
                <c:pt idx="78">
                  <c:v>45037</c:v>
                </c:pt>
                <c:pt idx="79">
                  <c:v>45040</c:v>
                </c:pt>
                <c:pt idx="80">
                  <c:v>45041</c:v>
                </c:pt>
                <c:pt idx="81">
                  <c:v>45042</c:v>
                </c:pt>
                <c:pt idx="82">
                  <c:v>45043</c:v>
                </c:pt>
                <c:pt idx="83">
                  <c:v>45044</c:v>
                </c:pt>
                <c:pt idx="84">
                  <c:v>45047</c:v>
                </c:pt>
                <c:pt idx="85">
                  <c:v>45048</c:v>
                </c:pt>
                <c:pt idx="86">
                  <c:v>45049</c:v>
                </c:pt>
                <c:pt idx="87">
                  <c:v>45050</c:v>
                </c:pt>
                <c:pt idx="88">
                  <c:v>45051</c:v>
                </c:pt>
                <c:pt idx="89">
                  <c:v>45054</c:v>
                </c:pt>
                <c:pt idx="90">
                  <c:v>45055</c:v>
                </c:pt>
                <c:pt idx="91">
                  <c:v>45056</c:v>
                </c:pt>
                <c:pt idx="92">
                  <c:v>45057</c:v>
                </c:pt>
                <c:pt idx="93">
                  <c:v>45058</c:v>
                </c:pt>
                <c:pt idx="94">
                  <c:v>45061</c:v>
                </c:pt>
                <c:pt idx="95">
                  <c:v>45062</c:v>
                </c:pt>
                <c:pt idx="96">
                  <c:v>45063</c:v>
                </c:pt>
                <c:pt idx="97">
                  <c:v>45064</c:v>
                </c:pt>
                <c:pt idx="98">
                  <c:v>45065</c:v>
                </c:pt>
                <c:pt idx="99">
                  <c:v>45068</c:v>
                </c:pt>
                <c:pt idx="100">
                  <c:v>45069</c:v>
                </c:pt>
                <c:pt idx="101">
                  <c:v>45070</c:v>
                </c:pt>
                <c:pt idx="102">
                  <c:v>45071</c:v>
                </c:pt>
                <c:pt idx="103">
                  <c:v>45072</c:v>
                </c:pt>
                <c:pt idx="104">
                  <c:v>45075</c:v>
                </c:pt>
                <c:pt idx="105">
                  <c:v>45076</c:v>
                </c:pt>
                <c:pt idx="106">
                  <c:v>45077</c:v>
                </c:pt>
                <c:pt idx="107">
                  <c:v>45078</c:v>
                </c:pt>
                <c:pt idx="108">
                  <c:v>45079</c:v>
                </c:pt>
                <c:pt idx="109">
                  <c:v>45082</c:v>
                </c:pt>
                <c:pt idx="110">
                  <c:v>45083</c:v>
                </c:pt>
                <c:pt idx="111">
                  <c:v>45084</c:v>
                </c:pt>
                <c:pt idx="112">
                  <c:v>45085</c:v>
                </c:pt>
                <c:pt idx="113">
                  <c:v>45086</c:v>
                </c:pt>
                <c:pt idx="114">
                  <c:v>45089</c:v>
                </c:pt>
                <c:pt idx="115">
                  <c:v>45090</c:v>
                </c:pt>
                <c:pt idx="116">
                  <c:v>45091</c:v>
                </c:pt>
                <c:pt idx="117">
                  <c:v>45092</c:v>
                </c:pt>
                <c:pt idx="118">
                  <c:v>45093</c:v>
                </c:pt>
                <c:pt idx="119">
                  <c:v>45096</c:v>
                </c:pt>
                <c:pt idx="120">
                  <c:v>45097</c:v>
                </c:pt>
                <c:pt idx="121">
                  <c:v>45098</c:v>
                </c:pt>
                <c:pt idx="122">
                  <c:v>45099</c:v>
                </c:pt>
                <c:pt idx="123">
                  <c:v>45100</c:v>
                </c:pt>
                <c:pt idx="124">
                  <c:v>45103</c:v>
                </c:pt>
                <c:pt idx="125">
                  <c:v>45104</c:v>
                </c:pt>
                <c:pt idx="126">
                  <c:v>45105</c:v>
                </c:pt>
                <c:pt idx="127">
                  <c:v>45106</c:v>
                </c:pt>
                <c:pt idx="128">
                  <c:v>45107</c:v>
                </c:pt>
                <c:pt idx="129">
                  <c:v>45110</c:v>
                </c:pt>
                <c:pt idx="130">
                  <c:v>45111</c:v>
                </c:pt>
                <c:pt idx="131">
                  <c:v>45112</c:v>
                </c:pt>
                <c:pt idx="132">
                  <c:v>45113</c:v>
                </c:pt>
                <c:pt idx="133">
                  <c:v>45114</c:v>
                </c:pt>
                <c:pt idx="134">
                  <c:v>45117</c:v>
                </c:pt>
                <c:pt idx="135">
                  <c:v>45118</c:v>
                </c:pt>
                <c:pt idx="136">
                  <c:v>45119</c:v>
                </c:pt>
                <c:pt idx="137">
                  <c:v>45120</c:v>
                </c:pt>
                <c:pt idx="138">
                  <c:v>45121</c:v>
                </c:pt>
                <c:pt idx="139">
                  <c:v>45124</c:v>
                </c:pt>
                <c:pt idx="140">
                  <c:v>45125</c:v>
                </c:pt>
                <c:pt idx="141">
                  <c:v>45126</c:v>
                </c:pt>
                <c:pt idx="142">
                  <c:v>45127</c:v>
                </c:pt>
                <c:pt idx="143">
                  <c:v>45128</c:v>
                </c:pt>
                <c:pt idx="144">
                  <c:v>45131</c:v>
                </c:pt>
                <c:pt idx="145">
                  <c:v>45132</c:v>
                </c:pt>
                <c:pt idx="146">
                  <c:v>45133</c:v>
                </c:pt>
                <c:pt idx="147">
                  <c:v>45134</c:v>
                </c:pt>
                <c:pt idx="148">
                  <c:v>45135</c:v>
                </c:pt>
                <c:pt idx="149">
                  <c:v>45138</c:v>
                </c:pt>
                <c:pt idx="150">
                  <c:v>45139</c:v>
                </c:pt>
                <c:pt idx="151">
                  <c:v>45140</c:v>
                </c:pt>
                <c:pt idx="152">
                  <c:v>45141</c:v>
                </c:pt>
                <c:pt idx="153">
                  <c:v>45142</c:v>
                </c:pt>
                <c:pt idx="154">
                  <c:v>45145</c:v>
                </c:pt>
                <c:pt idx="155">
                  <c:v>45146</c:v>
                </c:pt>
                <c:pt idx="156">
                  <c:v>45147</c:v>
                </c:pt>
                <c:pt idx="157">
                  <c:v>45148</c:v>
                </c:pt>
                <c:pt idx="158">
                  <c:v>45149</c:v>
                </c:pt>
                <c:pt idx="159">
                  <c:v>45152</c:v>
                </c:pt>
                <c:pt idx="160">
                  <c:v>45153</c:v>
                </c:pt>
                <c:pt idx="161">
                  <c:v>45154</c:v>
                </c:pt>
                <c:pt idx="162">
                  <c:v>45155</c:v>
                </c:pt>
                <c:pt idx="163">
                  <c:v>45156</c:v>
                </c:pt>
                <c:pt idx="164">
                  <c:v>45159</c:v>
                </c:pt>
                <c:pt idx="165">
                  <c:v>45160</c:v>
                </c:pt>
                <c:pt idx="166">
                  <c:v>45161</c:v>
                </c:pt>
                <c:pt idx="167">
                  <c:v>45162</c:v>
                </c:pt>
                <c:pt idx="168">
                  <c:v>45163</c:v>
                </c:pt>
                <c:pt idx="169">
                  <c:v>45166</c:v>
                </c:pt>
                <c:pt idx="170">
                  <c:v>45167</c:v>
                </c:pt>
                <c:pt idx="171">
                  <c:v>45168</c:v>
                </c:pt>
                <c:pt idx="172">
                  <c:v>45169</c:v>
                </c:pt>
                <c:pt idx="173">
                  <c:v>45170</c:v>
                </c:pt>
                <c:pt idx="174">
                  <c:v>45173</c:v>
                </c:pt>
                <c:pt idx="175">
                  <c:v>45174</c:v>
                </c:pt>
                <c:pt idx="176">
                  <c:v>45175</c:v>
                </c:pt>
                <c:pt idx="177">
                  <c:v>45176</c:v>
                </c:pt>
                <c:pt idx="178">
                  <c:v>45177</c:v>
                </c:pt>
                <c:pt idx="179">
                  <c:v>45180</c:v>
                </c:pt>
                <c:pt idx="180">
                  <c:v>45181</c:v>
                </c:pt>
                <c:pt idx="181">
                  <c:v>45182</c:v>
                </c:pt>
                <c:pt idx="182">
                  <c:v>45183</c:v>
                </c:pt>
                <c:pt idx="183">
                  <c:v>45184</c:v>
                </c:pt>
                <c:pt idx="184">
                  <c:v>45187</c:v>
                </c:pt>
                <c:pt idx="185">
                  <c:v>45188</c:v>
                </c:pt>
                <c:pt idx="186">
                  <c:v>45189</c:v>
                </c:pt>
                <c:pt idx="187">
                  <c:v>45190</c:v>
                </c:pt>
                <c:pt idx="188">
                  <c:v>45191</c:v>
                </c:pt>
                <c:pt idx="189">
                  <c:v>45194</c:v>
                </c:pt>
                <c:pt idx="190">
                  <c:v>45195</c:v>
                </c:pt>
                <c:pt idx="191">
                  <c:v>45196</c:v>
                </c:pt>
                <c:pt idx="192">
                  <c:v>45197</c:v>
                </c:pt>
                <c:pt idx="193">
                  <c:v>45198</c:v>
                </c:pt>
                <c:pt idx="194">
                  <c:v>45201</c:v>
                </c:pt>
                <c:pt idx="195">
                  <c:v>45202</c:v>
                </c:pt>
                <c:pt idx="196">
                  <c:v>45203</c:v>
                </c:pt>
                <c:pt idx="197">
                  <c:v>45204</c:v>
                </c:pt>
                <c:pt idx="198">
                  <c:v>45205</c:v>
                </c:pt>
                <c:pt idx="199">
                  <c:v>45208</c:v>
                </c:pt>
                <c:pt idx="200">
                  <c:v>45209</c:v>
                </c:pt>
                <c:pt idx="201">
                  <c:v>45210</c:v>
                </c:pt>
                <c:pt idx="202">
                  <c:v>45211</c:v>
                </c:pt>
                <c:pt idx="203">
                  <c:v>45212</c:v>
                </c:pt>
                <c:pt idx="204">
                  <c:v>45215</c:v>
                </c:pt>
                <c:pt idx="205">
                  <c:v>45216</c:v>
                </c:pt>
                <c:pt idx="206">
                  <c:v>45217</c:v>
                </c:pt>
                <c:pt idx="207">
                  <c:v>45218</c:v>
                </c:pt>
                <c:pt idx="208">
                  <c:v>45219</c:v>
                </c:pt>
                <c:pt idx="209">
                  <c:v>45222</c:v>
                </c:pt>
                <c:pt idx="210">
                  <c:v>45223</c:v>
                </c:pt>
                <c:pt idx="211">
                  <c:v>45224</c:v>
                </c:pt>
                <c:pt idx="212">
                  <c:v>45225</c:v>
                </c:pt>
                <c:pt idx="213">
                  <c:v>45226</c:v>
                </c:pt>
                <c:pt idx="214">
                  <c:v>45229</c:v>
                </c:pt>
                <c:pt idx="215">
                  <c:v>45230</c:v>
                </c:pt>
                <c:pt idx="216">
                  <c:v>45231</c:v>
                </c:pt>
                <c:pt idx="217">
                  <c:v>45232</c:v>
                </c:pt>
                <c:pt idx="218">
                  <c:v>45233</c:v>
                </c:pt>
                <c:pt idx="219">
                  <c:v>45236</c:v>
                </c:pt>
                <c:pt idx="220">
                  <c:v>45237</c:v>
                </c:pt>
                <c:pt idx="221">
                  <c:v>45238</c:v>
                </c:pt>
                <c:pt idx="222">
                  <c:v>45239</c:v>
                </c:pt>
                <c:pt idx="223">
                  <c:v>45240</c:v>
                </c:pt>
                <c:pt idx="224">
                  <c:v>45243</c:v>
                </c:pt>
                <c:pt idx="225">
                  <c:v>45244</c:v>
                </c:pt>
                <c:pt idx="226">
                  <c:v>45245</c:v>
                </c:pt>
                <c:pt idx="227">
                  <c:v>45246</c:v>
                </c:pt>
                <c:pt idx="228">
                  <c:v>45247</c:v>
                </c:pt>
                <c:pt idx="229">
                  <c:v>45250</c:v>
                </c:pt>
                <c:pt idx="230">
                  <c:v>45251</c:v>
                </c:pt>
                <c:pt idx="231">
                  <c:v>45252</c:v>
                </c:pt>
                <c:pt idx="232">
                  <c:v>45253</c:v>
                </c:pt>
                <c:pt idx="233">
                  <c:v>45254</c:v>
                </c:pt>
                <c:pt idx="234">
                  <c:v>45257</c:v>
                </c:pt>
                <c:pt idx="235">
                  <c:v>45258</c:v>
                </c:pt>
                <c:pt idx="236">
                  <c:v>45259</c:v>
                </c:pt>
                <c:pt idx="237">
                  <c:v>45260</c:v>
                </c:pt>
                <c:pt idx="238">
                  <c:v>45261</c:v>
                </c:pt>
                <c:pt idx="239">
                  <c:v>45264</c:v>
                </c:pt>
                <c:pt idx="240">
                  <c:v>45265</c:v>
                </c:pt>
                <c:pt idx="241">
                  <c:v>45266</c:v>
                </c:pt>
                <c:pt idx="242">
                  <c:v>45267</c:v>
                </c:pt>
                <c:pt idx="243">
                  <c:v>45268</c:v>
                </c:pt>
                <c:pt idx="244">
                  <c:v>45271</c:v>
                </c:pt>
                <c:pt idx="245">
                  <c:v>45272</c:v>
                </c:pt>
                <c:pt idx="246">
                  <c:v>45273</c:v>
                </c:pt>
                <c:pt idx="247">
                  <c:v>45274</c:v>
                </c:pt>
                <c:pt idx="248">
                  <c:v>45275</c:v>
                </c:pt>
                <c:pt idx="249">
                  <c:v>45279</c:v>
                </c:pt>
                <c:pt idx="250">
                  <c:v>45280</c:v>
                </c:pt>
                <c:pt idx="251">
                  <c:v>45281</c:v>
                </c:pt>
                <c:pt idx="252">
                  <c:v>45282</c:v>
                </c:pt>
                <c:pt idx="253">
                  <c:v>45286</c:v>
                </c:pt>
                <c:pt idx="254">
                  <c:v>45287</c:v>
                </c:pt>
                <c:pt idx="255">
                  <c:v>45288</c:v>
                </c:pt>
                <c:pt idx="256">
                  <c:v>45289</c:v>
                </c:pt>
                <c:pt idx="257">
                  <c:v>45293</c:v>
                </c:pt>
                <c:pt idx="258">
                  <c:v>45294</c:v>
                </c:pt>
                <c:pt idx="259">
                  <c:v>45295</c:v>
                </c:pt>
                <c:pt idx="260">
                  <c:v>45296</c:v>
                </c:pt>
                <c:pt idx="261">
                  <c:v>45299</c:v>
                </c:pt>
                <c:pt idx="262">
                  <c:v>45300</c:v>
                </c:pt>
                <c:pt idx="263">
                  <c:v>45301</c:v>
                </c:pt>
                <c:pt idx="264">
                  <c:v>45302</c:v>
                </c:pt>
                <c:pt idx="265">
                  <c:v>45303</c:v>
                </c:pt>
                <c:pt idx="266">
                  <c:v>45306</c:v>
                </c:pt>
                <c:pt idx="267">
                  <c:v>45307</c:v>
                </c:pt>
                <c:pt idx="268">
                  <c:v>45308</c:v>
                </c:pt>
                <c:pt idx="269">
                  <c:v>45309</c:v>
                </c:pt>
                <c:pt idx="270">
                  <c:v>45310</c:v>
                </c:pt>
                <c:pt idx="271">
                  <c:v>45313</c:v>
                </c:pt>
                <c:pt idx="272">
                  <c:v>45314</c:v>
                </c:pt>
                <c:pt idx="273">
                  <c:v>45315</c:v>
                </c:pt>
                <c:pt idx="274">
                  <c:v>45316</c:v>
                </c:pt>
                <c:pt idx="275">
                  <c:v>45317</c:v>
                </c:pt>
                <c:pt idx="276">
                  <c:v>45320</c:v>
                </c:pt>
                <c:pt idx="277">
                  <c:v>45321</c:v>
                </c:pt>
                <c:pt idx="278">
                  <c:v>45322</c:v>
                </c:pt>
                <c:pt idx="279">
                  <c:v>45323</c:v>
                </c:pt>
                <c:pt idx="280">
                  <c:v>45324</c:v>
                </c:pt>
                <c:pt idx="281">
                  <c:v>45327</c:v>
                </c:pt>
                <c:pt idx="282">
                  <c:v>45328</c:v>
                </c:pt>
                <c:pt idx="283">
                  <c:v>45329</c:v>
                </c:pt>
                <c:pt idx="284">
                  <c:v>45330</c:v>
                </c:pt>
                <c:pt idx="285">
                  <c:v>45331</c:v>
                </c:pt>
                <c:pt idx="286">
                  <c:v>45334</c:v>
                </c:pt>
                <c:pt idx="287">
                  <c:v>45335</c:v>
                </c:pt>
                <c:pt idx="288">
                  <c:v>45336</c:v>
                </c:pt>
                <c:pt idx="289">
                  <c:v>45337</c:v>
                </c:pt>
                <c:pt idx="290">
                  <c:v>45338</c:v>
                </c:pt>
                <c:pt idx="291">
                  <c:v>45341</c:v>
                </c:pt>
                <c:pt idx="292">
                  <c:v>45342</c:v>
                </c:pt>
                <c:pt idx="293">
                  <c:v>45343</c:v>
                </c:pt>
                <c:pt idx="294">
                  <c:v>45344</c:v>
                </c:pt>
                <c:pt idx="295">
                  <c:v>45345</c:v>
                </c:pt>
                <c:pt idx="296">
                  <c:v>45348</c:v>
                </c:pt>
                <c:pt idx="297">
                  <c:v>45349</c:v>
                </c:pt>
                <c:pt idx="298">
                  <c:v>45350</c:v>
                </c:pt>
                <c:pt idx="299">
                  <c:v>45351</c:v>
                </c:pt>
                <c:pt idx="300">
                  <c:v>45352</c:v>
                </c:pt>
                <c:pt idx="301">
                  <c:v>45355</c:v>
                </c:pt>
                <c:pt idx="302">
                  <c:v>45356</c:v>
                </c:pt>
                <c:pt idx="303">
                  <c:v>45357</c:v>
                </c:pt>
                <c:pt idx="304">
                  <c:v>45358</c:v>
                </c:pt>
                <c:pt idx="305">
                  <c:v>45359</c:v>
                </c:pt>
                <c:pt idx="306">
                  <c:v>45362</c:v>
                </c:pt>
                <c:pt idx="307">
                  <c:v>45363</c:v>
                </c:pt>
                <c:pt idx="308">
                  <c:v>45364</c:v>
                </c:pt>
                <c:pt idx="309">
                  <c:v>45365</c:v>
                </c:pt>
                <c:pt idx="310">
                  <c:v>45366</c:v>
                </c:pt>
                <c:pt idx="311">
                  <c:v>45369</c:v>
                </c:pt>
                <c:pt idx="312">
                  <c:v>45370</c:v>
                </c:pt>
                <c:pt idx="313">
                  <c:v>45371</c:v>
                </c:pt>
                <c:pt idx="314">
                  <c:v>45372</c:v>
                </c:pt>
                <c:pt idx="315">
                  <c:v>45373</c:v>
                </c:pt>
                <c:pt idx="316">
                  <c:v>45376</c:v>
                </c:pt>
                <c:pt idx="317">
                  <c:v>45377</c:v>
                </c:pt>
                <c:pt idx="318">
                  <c:v>45378</c:v>
                </c:pt>
                <c:pt idx="319">
                  <c:v>45379</c:v>
                </c:pt>
                <c:pt idx="320">
                  <c:v>45383</c:v>
                </c:pt>
                <c:pt idx="321">
                  <c:v>45384</c:v>
                </c:pt>
                <c:pt idx="322">
                  <c:v>45385</c:v>
                </c:pt>
                <c:pt idx="323">
                  <c:v>45386</c:v>
                </c:pt>
                <c:pt idx="324">
                  <c:v>45387</c:v>
                </c:pt>
                <c:pt idx="325">
                  <c:v>45390</c:v>
                </c:pt>
                <c:pt idx="326">
                  <c:v>45391</c:v>
                </c:pt>
                <c:pt idx="327">
                  <c:v>45392</c:v>
                </c:pt>
                <c:pt idx="328">
                  <c:v>45393</c:v>
                </c:pt>
                <c:pt idx="329">
                  <c:v>45394</c:v>
                </c:pt>
                <c:pt idx="330">
                  <c:v>45397</c:v>
                </c:pt>
                <c:pt idx="331">
                  <c:v>45398</c:v>
                </c:pt>
                <c:pt idx="332">
                  <c:v>45399</c:v>
                </c:pt>
                <c:pt idx="333">
                  <c:v>45400</c:v>
                </c:pt>
                <c:pt idx="334">
                  <c:v>45401</c:v>
                </c:pt>
                <c:pt idx="335">
                  <c:v>45404</c:v>
                </c:pt>
                <c:pt idx="336">
                  <c:v>45405</c:v>
                </c:pt>
                <c:pt idx="337">
                  <c:v>45406</c:v>
                </c:pt>
                <c:pt idx="338">
                  <c:v>45407</c:v>
                </c:pt>
                <c:pt idx="339">
                  <c:v>45408</c:v>
                </c:pt>
                <c:pt idx="340">
                  <c:v>45411</c:v>
                </c:pt>
                <c:pt idx="341">
                  <c:v>45412</c:v>
                </c:pt>
                <c:pt idx="342">
                  <c:v>45413</c:v>
                </c:pt>
                <c:pt idx="343">
                  <c:v>45414</c:v>
                </c:pt>
                <c:pt idx="344">
                  <c:v>45415</c:v>
                </c:pt>
                <c:pt idx="345">
                  <c:v>45418</c:v>
                </c:pt>
                <c:pt idx="346">
                  <c:v>45419</c:v>
                </c:pt>
                <c:pt idx="347">
                  <c:v>45420</c:v>
                </c:pt>
                <c:pt idx="348">
                  <c:v>45421</c:v>
                </c:pt>
                <c:pt idx="349">
                  <c:v>45422</c:v>
                </c:pt>
                <c:pt idx="350">
                  <c:v>45425</c:v>
                </c:pt>
                <c:pt idx="351">
                  <c:v>45426</c:v>
                </c:pt>
                <c:pt idx="352">
                  <c:v>45427</c:v>
                </c:pt>
                <c:pt idx="353">
                  <c:v>45428</c:v>
                </c:pt>
                <c:pt idx="354">
                  <c:v>45429</c:v>
                </c:pt>
                <c:pt idx="355">
                  <c:v>45432</c:v>
                </c:pt>
                <c:pt idx="356">
                  <c:v>45433</c:v>
                </c:pt>
                <c:pt idx="357">
                  <c:v>45434</c:v>
                </c:pt>
                <c:pt idx="358">
                  <c:v>45435</c:v>
                </c:pt>
                <c:pt idx="359">
                  <c:v>45436</c:v>
                </c:pt>
                <c:pt idx="360">
                  <c:v>45439</c:v>
                </c:pt>
                <c:pt idx="361">
                  <c:v>45440</c:v>
                </c:pt>
                <c:pt idx="362">
                  <c:v>45441</c:v>
                </c:pt>
                <c:pt idx="363">
                  <c:v>45442</c:v>
                </c:pt>
                <c:pt idx="364">
                  <c:v>45443</c:v>
                </c:pt>
                <c:pt idx="365">
                  <c:v>45446</c:v>
                </c:pt>
                <c:pt idx="366">
                  <c:v>45447</c:v>
                </c:pt>
                <c:pt idx="367">
                  <c:v>45448</c:v>
                </c:pt>
                <c:pt idx="368">
                  <c:v>45449</c:v>
                </c:pt>
                <c:pt idx="369">
                  <c:v>45450</c:v>
                </c:pt>
                <c:pt idx="370">
                  <c:v>45453</c:v>
                </c:pt>
                <c:pt idx="371">
                  <c:v>45454</c:v>
                </c:pt>
                <c:pt idx="372">
                  <c:v>45455</c:v>
                </c:pt>
                <c:pt idx="373">
                  <c:v>45456</c:v>
                </c:pt>
                <c:pt idx="374">
                  <c:v>45457</c:v>
                </c:pt>
                <c:pt idx="375">
                  <c:v>45460</c:v>
                </c:pt>
                <c:pt idx="376">
                  <c:v>45461</c:v>
                </c:pt>
                <c:pt idx="377">
                  <c:v>45462</c:v>
                </c:pt>
                <c:pt idx="378">
                  <c:v>45463</c:v>
                </c:pt>
                <c:pt idx="379">
                  <c:v>45464</c:v>
                </c:pt>
                <c:pt idx="380">
                  <c:v>45467</c:v>
                </c:pt>
                <c:pt idx="381">
                  <c:v>45468</c:v>
                </c:pt>
                <c:pt idx="382">
                  <c:v>45469</c:v>
                </c:pt>
                <c:pt idx="383">
                  <c:v>45470</c:v>
                </c:pt>
                <c:pt idx="384">
                  <c:v>45471</c:v>
                </c:pt>
                <c:pt idx="385">
                  <c:v>45474</c:v>
                </c:pt>
                <c:pt idx="386">
                  <c:v>45475</c:v>
                </c:pt>
                <c:pt idx="387">
                  <c:v>45476</c:v>
                </c:pt>
                <c:pt idx="388">
                  <c:v>45477</c:v>
                </c:pt>
                <c:pt idx="389">
                  <c:v>45478</c:v>
                </c:pt>
                <c:pt idx="390">
                  <c:v>45481</c:v>
                </c:pt>
                <c:pt idx="391">
                  <c:v>45482</c:v>
                </c:pt>
                <c:pt idx="392">
                  <c:v>45483</c:v>
                </c:pt>
                <c:pt idx="393">
                  <c:v>45484</c:v>
                </c:pt>
                <c:pt idx="394">
                  <c:v>45485</c:v>
                </c:pt>
                <c:pt idx="395">
                  <c:v>45488</c:v>
                </c:pt>
                <c:pt idx="396">
                  <c:v>45489</c:v>
                </c:pt>
                <c:pt idx="397">
                  <c:v>45490</c:v>
                </c:pt>
                <c:pt idx="398">
                  <c:v>45491</c:v>
                </c:pt>
                <c:pt idx="399">
                  <c:v>45492</c:v>
                </c:pt>
                <c:pt idx="400">
                  <c:v>45495</c:v>
                </c:pt>
                <c:pt idx="401">
                  <c:v>45496</c:v>
                </c:pt>
                <c:pt idx="402">
                  <c:v>45497</c:v>
                </c:pt>
                <c:pt idx="403">
                  <c:v>45498</c:v>
                </c:pt>
                <c:pt idx="404">
                  <c:v>45499</c:v>
                </c:pt>
                <c:pt idx="405">
                  <c:v>45502</c:v>
                </c:pt>
                <c:pt idx="406">
                  <c:v>45503</c:v>
                </c:pt>
                <c:pt idx="407">
                  <c:v>45504</c:v>
                </c:pt>
                <c:pt idx="408">
                  <c:v>45505</c:v>
                </c:pt>
                <c:pt idx="409">
                  <c:v>45506</c:v>
                </c:pt>
                <c:pt idx="410">
                  <c:v>45509</c:v>
                </c:pt>
                <c:pt idx="411">
                  <c:v>45510</c:v>
                </c:pt>
                <c:pt idx="412">
                  <c:v>45511</c:v>
                </c:pt>
                <c:pt idx="413">
                  <c:v>45512</c:v>
                </c:pt>
                <c:pt idx="414">
                  <c:v>45513</c:v>
                </c:pt>
                <c:pt idx="415">
                  <c:v>45516</c:v>
                </c:pt>
                <c:pt idx="416">
                  <c:v>45517</c:v>
                </c:pt>
                <c:pt idx="417">
                  <c:v>45518</c:v>
                </c:pt>
                <c:pt idx="418">
                  <c:v>45519</c:v>
                </c:pt>
                <c:pt idx="419">
                  <c:v>45520</c:v>
                </c:pt>
                <c:pt idx="420">
                  <c:v>45523</c:v>
                </c:pt>
                <c:pt idx="421">
                  <c:v>45524</c:v>
                </c:pt>
                <c:pt idx="422">
                  <c:v>45525</c:v>
                </c:pt>
                <c:pt idx="423">
                  <c:v>45526</c:v>
                </c:pt>
                <c:pt idx="424">
                  <c:v>45527</c:v>
                </c:pt>
                <c:pt idx="425">
                  <c:v>45530</c:v>
                </c:pt>
                <c:pt idx="426">
                  <c:v>45531</c:v>
                </c:pt>
                <c:pt idx="427">
                  <c:v>45532</c:v>
                </c:pt>
                <c:pt idx="428">
                  <c:v>45533</c:v>
                </c:pt>
                <c:pt idx="429">
                  <c:v>45534</c:v>
                </c:pt>
                <c:pt idx="430">
                  <c:v>45537</c:v>
                </c:pt>
                <c:pt idx="431">
                  <c:v>45538</c:v>
                </c:pt>
                <c:pt idx="432">
                  <c:v>45539</c:v>
                </c:pt>
                <c:pt idx="433">
                  <c:v>45540</c:v>
                </c:pt>
                <c:pt idx="434">
                  <c:v>45541</c:v>
                </c:pt>
                <c:pt idx="435">
                  <c:v>45544</c:v>
                </c:pt>
                <c:pt idx="436">
                  <c:v>45545</c:v>
                </c:pt>
                <c:pt idx="437">
                  <c:v>45546</c:v>
                </c:pt>
                <c:pt idx="438">
                  <c:v>45547</c:v>
                </c:pt>
                <c:pt idx="439">
                  <c:v>45548</c:v>
                </c:pt>
                <c:pt idx="440">
                  <c:v>45551</c:v>
                </c:pt>
                <c:pt idx="441">
                  <c:v>45552</c:v>
                </c:pt>
                <c:pt idx="442">
                  <c:v>45553</c:v>
                </c:pt>
                <c:pt idx="443">
                  <c:v>45554</c:v>
                </c:pt>
                <c:pt idx="444">
                  <c:v>45555</c:v>
                </c:pt>
                <c:pt idx="445">
                  <c:v>45558</c:v>
                </c:pt>
                <c:pt idx="446">
                  <c:v>45559</c:v>
                </c:pt>
                <c:pt idx="447">
                  <c:v>45560</c:v>
                </c:pt>
                <c:pt idx="448">
                  <c:v>45561</c:v>
                </c:pt>
                <c:pt idx="449">
                  <c:v>45562</c:v>
                </c:pt>
                <c:pt idx="450">
                  <c:v>45565</c:v>
                </c:pt>
                <c:pt idx="451">
                  <c:v>45566</c:v>
                </c:pt>
                <c:pt idx="452">
                  <c:v>45567</c:v>
                </c:pt>
                <c:pt idx="453">
                  <c:v>45568</c:v>
                </c:pt>
                <c:pt idx="454">
                  <c:v>45569</c:v>
                </c:pt>
                <c:pt idx="455">
                  <c:v>45572</c:v>
                </c:pt>
                <c:pt idx="456">
                  <c:v>45573</c:v>
                </c:pt>
                <c:pt idx="457">
                  <c:v>45574</c:v>
                </c:pt>
                <c:pt idx="458">
                  <c:v>45575</c:v>
                </c:pt>
                <c:pt idx="459">
                  <c:v>45576</c:v>
                </c:pt>
                <c:pt idx="460">
                  <c:v>45579</c:v>
                </c:pt>
                <c:pt idx="461">
                  <c:v>45580</c:v>
                </c:pt>
                <c:pt idx="462">
                  <c:v>45581</c:v>
                </c:pt>
                <c:pt idx="463">
                  <c:v>45582</c:v>
                </c:pt>
                <c:pt idx="464">
                  <c:v>45583</c:v>
                </c:pt>
                <c:pt idx="465">
                  <c:v>45586</c:v>
                </c:pt>
                <c:pt idx="466">
                  <c:v>45587</c:v>
                </c:pt>
                <c:pt idx="467">
                  <c:v>45588</c:v>
                </c:pt>
                <c:pt idx="468">
                  <c:v>45589</c:v>
                </c:pt>
                <c:pt idx="469">
                  <c:v>45590</c:v>
                </c:pt>
                <c:pt idx="470">
                  <c:v>45593</c:v>
                </c:pt>
                <c:pt idx="471">
                  <c:v>45594</c:v>
                </c:pt>
                <c:pt idx="472">
                  <c:v>45595</c:v>
                </c:pt>
                <c:pt idx="473">
                  <c:v>45596</c:v>
                </c:pt>
                <c:pt idx="474">
                  <c:v>45597</c:v>
                </c:pt>
                <c:pt idx="475">
                  <c:v>45600</c:v>
                </c:pt>
                <c:pt idx="476">
                  <c:v>45601</c:v>
                </c:pt>
                <c:pt idx="477">
                  <c:v>45602</c:v>
                </c:pt>
                <c:pt idx="478">
                  <c:v>45603</c:v>
                </c:pt>
                <c:pt idx="479">
                  <c:v>45604</c:v>
                </c:pt>
                <c:pt idx="480">
                  <c:v>45607</c:v>
                </c:pt>
                <c:pt idx="481">
                  <c:v>45608</c:v>
                </c:pt>
                <c:pt idx="482">
                  <c:v>45609</c:v>
                </c:pt>
                <c:pt idx="483">
                  <c:v>45610</c:v>
                </c:pt>
                <c:pt idx="484">
                  <c:v>45611</c:v>
                </c:pt>
                <c:pt idx="485">
                  <c:v>45614</c:v>
                </c:pt>
                <c:pt idx="486">
                  <c:v>45615</c:v>
                </c:pt>
                <c:pt idx="487">
                  <c:v>45616</c:v>
                </c:pt>
                <c:pt idx="488">
                  <c:v>45617</c:v>
                </c:pt>
                <c:pt idx="489">
                  <c:v>45618</c:v>
                </c:pt>
                <c:pt idx="490">
                  <c:v>45621</c:v>
                </c:pt>
                <c:pt idx="491">
                  <c:v>45622</c:v>
                </c:pt>
                <c:pt idx="492">
                  <c:v>45623</c:v>
                </c:pt>
                <c:pt idx="493">
                  <c:v>45624</c:v>
                </c:pt>
                <c:pt idx="494">
                  <c:v>45625</c:v>
                </c:pt>
                <c:pt idx="495">
                  <c:v>45628</c:v>
                </c:pt>
                <c:pt idx="496">
                  <c:v>45629</c:v>
                </c:pt>
                <c:pt idx="497">
                  <c:v>45630</c:v>
                </c:pt>
                <c:pt idx="498">
                  <c:v>45631</c:v>
                </c:pt>
                <c:pt idx="499">
                  <c:v>45632</c:v>
                </c:pt>
                <c:pt idx="500">
                  <c:v>45635</c:v>
                </c:pt>
                <c:pt idx="501">
                  <c:v>45636</c:v>
                </c:pt>
                <c:pt idx="502">
                  <c:v>45637</c:v>
                </c:pt>
                <c:pt idx="503">
                  <c:v>45638</c:v>
                </c:pt>
                <c:pt idx="504">
                  <c:v>45639</c:v>
                </c:pt>
                <c:pt idx="505">
                  <c:v>45642</c:v>
                </c:pt>
                <c:pt idx="506">
                  <c:v>45643</c:v>
                </c:pt>
                <c:pt idx="507">
                  <c:v>45644</c:v>
                </c:pt>
                <c:pt idx="508">
                  <c:v>45645</c:v>
                </c:pt>
                <c:pt idx="509">
                  <c:v>45646</c:v>
                </c:pt>
                <c:pt idx="510">
                  <c:v>45649</c:v>
                </c:pt>
                <c:pt idx="511">
                  <c:v>45650</c:v>
                </c:pt>
                <c:pt idx="512">
                  <c:v>45652</c:v>
                </c:pt>
                <c:pt idx="513">
                  <c:v>45653</c:v>
                </c:pt>
                <c:pt idx="514">
                  <c:v>45656</c:v>
                </c:pt>
                <c:pt idx="515">
                  <c:v>45657</c:v>
                </c:pt>
                <c:pt idx="516">
                  <c:v>45659</c:v>
                </c:pt>
                <c:pt idx="517">
                  <c:v>45660</c:v>
                </c:pt>
                <c:pt idx="518">
                  <c:v>45663</c:v>
                </c:pt>
                <c:pt idx="519">
                  <c:v>45664</c:v>
                </c:pt>
                <c:pt idx="520">
                  <c:v>45665</c:v>
                </c:pt>
                <c:pt idx="521">
                  <c:v>45666</c:v>
                </c:pt>
                <c:pt idx="522">
                  <c:v>45667</c:v>
                </c:pt>
                <c:pt idx="523">
                  <c:v>45670</c:v>
                </c:pt>
                <c:pt idx="524">
                  <c:v>45671</c:v>
                </c:pt>
                <c:pt idx="525">
                  <c:v>45672</c:v>
                </c:pt>
                <c:pt idx="526">
                  <c:v>45673</c:v>
                </c:pt>
                <c:pt idx="527">
                  <c:v>45674</c:v>
                </c:pt>
                <c:pt idx="528">
                  <c:v>45677</c:v>
                </c:pt>
                <c:pt idx="529">
                  <c:v>45678</c:v>
                </c:pt>
                <c:pt idx="530">
                  <c:v>45679</c:v>
                </c:pt>
                <c:pt idx="531">
                  <c:v>45680</c:v>
                </c:pt>
                <c:pt idx="532">
                  <c:v>45681</c:v>
                </c:pt>
                <c:pt idx="533">
                  <c:v>45684</c:v>
                </c:pt>
                <c:pt idx="534">
                  <c:v>45685</c:v>
                </c:pt>
                <c:pt idx="535">
                  <c:v>45686</c:v>
                </c:pt>
                <c:pt idx="536">
                  <c:v>45687</c:v>
                </c:pt>
                <c:pt idx="537">
                  <c:v>45688</c:v>
                </c:pt>
                <c:pt idx="538">
                  <c:v>45691</c:v>
                </c:pt>
                <c:pt idx="539">
                  <c:v>45692</c:v>
                </c:pt>
                <c:pt idx="540">
                  <c:v>45693</c:v>
                </c:pt>
                <c:pt idx="541">
                  <c:v>45694</c:v>
                </c:pt>
                <c:pt idx="542">
                  <c:v>45695</c:v>
                </c:pt>
                <c:pt idx="543">
                  <c:v>45698</c:v>
                </c:pt>
                <c:pt idx="544">
                  <c:v>45699</c:v>
                </c:pt>
                <c:pt idx="545">
                  <c:v>45700</c:v>
                </c:pt>
                <c:pt idx="546">
                  <c:v>45701</c:v>
                </c:pt>
                <c:pt idx="547">
                  <c:v>45702</c:v>
                </c:pt>
                <c:pt idx="548">
                  <c:v>45705</c:v>
                </c:pt>
                <c:pt idx="549">
                  <c:v>45706</c:v>
                </c:pt>
                <c:pt idx="550">
                  <c:v>45707</c:v>
                </c:pt>
                <c:pt idx="551">
                  <c:v>45708</c:v>
                </c:pt>
                <c:pt idx="552">
                  <c:v>45709</c:v>
                </c:pt>
                <c:pt idx="553">
                  <c:v>45712</c:v>
                </c:pt>
                <c:pt idx="554">
                  <c:v>45713</c:v>
                </c:pt>
                <c:pt idx="555">
                  <c:v>45714</c:v>
                </c:pt>
                <c:pt idx="556">
                  <c:v>45715</c:v>
                </c:pt>
                <c:pt idx="557">
                  <c:v>45716</c:v>
                </c:pt>
                <c:pt idx="558">
                  <c:v>45719</c:v>
                </c:pt>
                <c:pt idx="559">
                  <c:v>45720</c:v>
                </c:pt>
                <c:pt idx="560">
                  <c:v>45721</c:v>
                </c:pt>
                <c:pt idx="561">
                  <c:v>45722</c:v>
                </c:pt>
                <c:pt idx="562">
                  <c:v>45723</c:v>
                </c:pt>
                <c:pt idx="563">
                  <c:v>45726</c:v>
                </c:pt>
                <c:pt idx="564">
                  <c:v>45727</c:v>
                </c:pt>
                <c:pt idx="565">
                  <c:v>45728</c:v>
                </c:pt>
                <c:pt idx="566">
                  <c:v>45729</c:v>
                </c:pt>
                <c:pt idx="567">
                  <c:v>45730</c:v>
                </c:pt>
                <c:pt idx="568">
                  <c:v>45733</c:v>
                </c:pt>
                <c:pt idx="569">
                  <c:v>45734</c:v>
                </c:pt>
                <c:pt idx="570">
                  <c:v>45735</c:v>
                </c:pt>
                <c:pt idx="571">
                  <c:v>45736</c:v>
                </c:pt>
                <c:pt idx="572">
                  <c:v>45737</c:v>
                </c:pt>
                <c:pt idx="573">
                  <c:v>45740</c:v>
                </c:pt>
                <c:pt idx="574">
                  <c:v>45741</c:v>
                </c:pt>
                <c:pt idx="575">
                  <c:v>45742</c:v>
                </c:pt>
                <c:pt idx="576">
                  <c:v>45743</c:v>
                </c:pt>
                <c:pt idx="577">
                  <c:v>45744</c:v>
                </c:pt>
                <c:pt idx="578">
                  <c:v>45747</c:v>
                </c:pt>
                <c:pt idx="579">
                  <c:v>45748</c:v>
                </c:pt>
                <c:pt idx="580">
                  <c:v>45749</c:v>
                </c:pt>
                <c:pt idx="581">
                  <c:v>45750</c:v>
                </c:pt>
                <c:pt idx="582">
                  <c:v>45751</c:v>
                </c:pt>
                <c:pt idx="583">
                  <c:v>45754</c:v>
                </c:pt>
                <c:pt idx="584">
                  <c:v>45755</c:v>
                </c:pt>
                <c:pt idx="585">
                  <c:v>45756</c:v>
                </c:pt>
                <c:pt idx="586">
                  <c:v>45757</c:v>
                </c:pt>
                <c:pt idx="587">
                  <c:v>45758</c:v>
                </c:pt>
                <c:pt idx="588">
                  <c:v>45761</c:v>
                </c:pt>
                <c:pt idx="589">
                  <c:v>45762</c:v>
                </c:pt>
                <c:pt idx="590">
                  <c:v>45763</c:v>
                </c:pt>
                <c:pt idx="591">
                  <c:v>45764</c:v>
                </c:pt>
                <c:pt idx="592">
                  <c:v>45768</c:v>
                </c:pt>
                <c:pt idx="593">
                  <c:v>45769</c:v>
                </c:pt>
                <c:pt idx="594">
                  <c:v>45770</c:v>
                </c:pt>
                <c:pt idx="595">
                  <c:v>45771</c:v>
                </c:pt>
                <c:pt idx="596">
                  <c:v>45772</c:v>
                </c:pt>
                <c:pt idx="597">
                  <c:v>45775</c:v>
                </c:pt>
                <c:pt idx="598">
                  <c:v>45776</c:v>
                </c:pt>
                <c:pt idx="599">
                  <c:v>45777</c:v>
                </c:pt>
                <c:pt idx="600">
                  <c:v>45778</c:v>
                </c:pt>
                <c:pt idx="601">
                  <c:v>45779</c:v>
                </c:pt>
                <c:pt idx="602">
                  <c:v>45782</c:v>
                </c:pt>
                <c:pt idx="603">
                  <c:v>45783</c:v>
                </c:pt>
                <c:pt idx="604">
                  <c:v>45784</c:v>
                </c:pt>
                <c:pt idx="605">
                  <c:v>45785</c:v>
                </c:pt>
                <c:pt idx="606">
                  <c:v>45786</c:v>
                </c:pt>
                <c:pt idx="607">
                  <c:v>45789</c:v>
                </c:pt>
                <c:pt idx="608">
                  <c:v>45790</c:v>
                </c:pt>
                <c:pt idx="609">
                  <c:v>45791</c:v>
                </c:pt>
                <c:pt idx="610">
                  <c:v>45792</c:v>
                </c:pt>
                <c:pt idx="611">
                  <c:v>45793</c:v>
                </c:pt>
                <c:pt idx="612">
                  <c:v>45796</c:v>
                </c:pt>
                <c:pt idx="613">
                  <c:v>45797</c:v>
                </c:pt>
                <c:pt idx="614">
                  <c:v>45798</c:v>
                </c:pt>
                <c:pt idx="615">
                  <c:v>45799</c:v>
                </c:pt>
                <c:pt idx="616">
                  <c:v>45800</c:v>
                </c:pt>
                <c:pt idx="617">
                  <c:v>45803</c:v>
                </c:pt>
                <c:pt idx="618">
                  <c:v>45804</c:v>
                </c:pt>
                <c:pt idx="619">
                  <c:v>45805</c:v>
                </c:pt>
                <c:pt idx="620">
                  <c:v>45806</c:v>
                </c:pt>
                <c:pt idx="621">
                  <c:v>45807</c:v>
                </c:pt>
                <c:pt idx="622">
                  <c:v>45810</c:v>
                </c:pt>
                <c:pt idx="623">
                  <c:v>45811</c:v>
                </c:pt>
                <c:pt idx="624">
                  <c:v>45812</c:v>
                </c:pt>
                <c:pt idx="625">
                  <c:v>45813</c:v>
                </c:pt>
                <c:pt idx="626">
                  <c:v>45814</c:v>
                </c:pt>
                <c:pt idx="627">
                  <c:v>45817</c:v>
                </c:pt>
                <c:pt idx="628">
                  <c:v>45818</c:v>
                </c:pt>
                <c:pt idx="629">
                  <c:v>45819</c:v>
                </c:pt>
                <c:pt idx="630">
                  <c:v>45820</c:v>
                </c:pt>
                <c:pt idx="631">
                  <c:v>45821</c:v>
                </c:pt>
                <c:pt idx="632">
                  <c:v>45824</c:v>
                </c:pt>
                <c:pt idx="633">
                  <c:v>45825</c:v>
                </c:pt>
                <c:pt idx="634">
                  <c:v>45826</c:v>
                </c:pt>
                <c:pt idx="635">
                  <c:v>45827</c:v>
                </c:pt>
                <c:pt idx="636">
                  <c:v>45828</c:v>
                </c:pt>
                <c:pt idx="637">
                  <c:v>45831</c:v>
                </c:pt>
                <c:pt idx="638">
                  <c:v>45832</c:v>
                </c:pt>
                <c:pt idx="639">
                  <c:v>45833</c:v>
                </c:pt>
                <c:pt idx="640" formatCode="m\/d\/yyyy">
                  <c:v>45834</c:v>
                </c:pt>
                <c:pt idx="641" formatCode="m\/d\/yyyy">
                  <c:v>45835</c:v>
                </c:pt>
                <c:pt idx="642" formatCode="m\/d\/yyyy">
                  <c:v>45838</c:v>
                </c:pt>
                <c:pt idx="643" formatCode="m\/d\/yyyy">
                  <c:v>45839</c:v>
                </c:pt>
                <c:pt idx="644" formatCode="m\/d\/yyyy">
                  <c:v>45840</c:v>
                </c:pt>
                <c:pt idx="645" formatCode="m\/d\/yyyy">
                  <c:v>45841</c:v>
                </c:pt>
                <c:pt idx="646" formatCode="m\/d\/yyyy">
                  <c:v>45842</c:v>
                </c:pt>
                <c:pt idx="647" formatCode="m\/d\/yyyy">
                  <c:v>45845</c:v>
                </c:pt>
                <c:pt idx="648" formatCode="m\/d\/yyyy">
                  <c:v>45846</c:v>
                </c:pt>
                <c:pt idx="649" formatCode="m\/d\/yyyy">
                  <c:v>45847</c:v>
                </c:pt>
                <c:pt idx="650" formatCode="m\/d\/yyyy">
                  <c:v>45848</c:v>
                </c:pt>
                <c:pt idx="651" formatCode="m\/d\/yyyy">
                  <c:v>45849</c:v>
                </c:pt>
                <c:pt idx="652" formatCode="m\/d\/yyyy">
                  <c:v>45852</c:v>
                </c:pt>
                <c:pt idx="653" formatCode="m\/d\/yyyy">
                  <c:v>45853</c:v>
                </c:pt>
                <c:pt idx="654" formatCode="m\/d\/yyyy">
                  <c:v>45854</c:v>
                </c:pt>
                <c:pt idx="655" formatCode="m\/d\/yyyy">
                  <c:v>45855</c:v>
                </c:pt>
                <c:pt idx="656" formatCode="m\/d\/yyyy">
                  <c:v>45856</c:v>
                </c:pt>
                <c:pt idx="657" formatCode="m\/d\/yyyy">
                  <c:v>45859</c:v>
                </c:pt>
                <c:pt idx="658" formatCode="m\/d\/yyyy">
                  <c:v>45860</c:v>
                </c:pt>
                <c:pt idx="659" formatCode="m\/d\/yyyy">
                  <c:v>45861</c:v>
                </c:pt>
                <c:pt idx="660" formatCode="m\/d\/yyyy">
                  <c:v>45862</c:v>
                </c:pt>
                <c:pt idx="661" formatCode="m\/d\/yyyy">
                  <c:v>45863</c:v>
                </c:pt>
                <c:pt idx="662" formatCode="m\/d\/yyyy">
                  <c:v>45866</c:v>
                </c:pt>
                <c:pt idx="663" formatCode="m\/d\/yyyy">
                  <c:v>45867</c:v>
                </c:pt>
                <c:pt idx="664" formatCode="m\/d\/yyyy">
                  <c:v>45868</c:v>
                </c:pt>
                <c:pt idx="665" formatCode="m\/d\/yyyy">
                  <c:v>45869</c:v>
                </c:pt>
                <c:pt idx="666" formatCode="m\/d\/yyyy">
                  <c:v>45870</c:v>
                </c:pt>
                <c:pt idx="667" formatCode="m\/d\/yyyy">
                  <c:v>45873</c:v>
                </c:pt>
                <c:pt idx="668" formatCode="m\/d\/yyyy">
                  <c:v>45874</c:v>
                </c:pt>
                <c:pt idx="669" formatCode="m\/d\/yyyy">
                  <c:v>45875</c:v>
                </c:pt>
                <c:pt idx="670" formatCode="m\/d\/yyyy">
                  <c:v>45876</c:v>
                </c:pt>
                <c:pt idx="671" formatCode="m\/d\/yyyy">
                  <c:v>45877</c:v>
                </c:pt>
                <c:pt idx="672" formatCode="m\/d\/yyyy">
                  <c:v>45880</c:v>
                </c:pt>
                <c:pt idx="673" formatCode="m\/d\/yyyy">
                  <c:v>45881</c:v>
                </c:pt>
                <c:pt idx="674" formatCode="m\/d\/yyyy">
                  <c:v>45882</c:v>
                </c:pt>
                <c:pt idx="675" formatCode="m\/d\/yyyy">
                  <c:v>45883</c:v>
                </c:pt>
                <c:pt idx="676" formatCode="m\/d\/yyyy">
                  <c:v>45884</c:v>
                </c:pt>
                <c:pt idx="677" formatCode="m\/d\/yyyy">
                  <c:v>45887</c:v>
                </c:pt>
                <c:pt idx="678" formatCode="m\/d\/yyyy">
                  <c:v>45888</c:v>
                </c:pt>
                <c:pt idx="679" formatCode="m\/d\/yyyy">
                  <c:v>45889</c:v>
                </c:pt>
                <c:pt idx="680" formatCode="m\/d\/yyyy">
                  <c:v>45890</c:v>
                </c:pt>
                <c:pt idx="681" formatCode="m\/d\/yyyy">
                  <c:v>45891</c:v>
                </c:pt>
                <c:pt idx="682" formatCode="m\/d\/yyyy">
                  <c:v>45894</c:v>
                </c:pt>
                <c:pt idx="683" formatCode="m\/d\/yyyy">
                  <c:v>45895</c:v>
                </c:pt>
                <c:pt idx="684" formatCode="m\/d\/yyyy">
                  <c:v>45896</c:v>
                </c:pt>
                <c:pt idx="685" formatCode="m\/d\/yyyy">
                  <c:v>45897</c:v>
                </c:pt>
                <c:pt idx="686" formatCode="m\/d\/yyyy">
                  <c:v>45898</c:v>
                </c:pt>
                <c:pt idx="687" formatCode="m\/d\/yyyy">
                  <c:v>45901</c:v>
                </c:pt>
                <c:pt idx="688" formatCode="m\/d\/yyyy">
                  <c:v>45902</c:v>
                </c:pt>
                <c:pt idx="689" formatCode="m\/d\/yyyy">
                  <c:v>45903</c:v>
                </c:pt>
                <c:pt idx="690" formatCode="m\/d\/yyyy">
                  <c:v>45904</c:v>
                </c:pt>
                <c:pt idx="691" formatCode="m\/d\/yyyy">
                  <c:v>45905</c:v>
                </c:pt>
                <c:pt idx="692" formatCode="m\/d\/yyyy">
                  <c:v>45908</c:v>
                </c:pt>
                <c:pt idx="693" formatCode="m\/d\/yyyy">
                  <c:v>45909</c:v>
                </c:pt>
                <c:pt idx="694" formatCode="m\/d\/yyyy">
                  <c:v>45910</c:v>
                </c:pt>
                <c:pt idx="695" formatCode="m\/d\/yyyy">
                  <c:v>45911</c:v>
                </c:pt>
                <c:pt idx="696" formatCode="m\/d\/yyyy">
                  <c:v>45912</c:v>
                </c:pt>
                <c:pt idx="697" formatCode="m\/d\/yyyy">
                  <c:v>45915</c:v>
                </c:pt>
                <c:pt idx="698" formatCode="m\/d\/yyyy">
                  <c:v>45916</c:v>
                </c:pt>
                <c:pt idx="699" formatCode="m\/d\/yyyy">
                  <c:v>45917</c:v>
                </c:pt>
                <c:pt idx="700" formatCode="m\/d\/yyyy">
                  <c:v>45918</c:v>
                </c:pt>
                <c:pt idx="701" formatCode="m\/d\/yyyy">
                  <c:v>45919</c:v>
                </c:pt>
                <c:pt idx="702" formatCode="m\/d\/yyyy">
                  <c:v>45922</c:v>
                </c:pt>
                <c:pt idx="703" formatCode="m\/d\/yyyy">
                  <c:v>45923</c:v>
                </c:pt>
                <c:pt idx="704" formatCode="m\/d\/yyyy">
                  <c:v>45924</c:v>
                </c:pt>
                <c:pt idx="705" formatCode="m\/d\/yyyy">
                  <c:v>45925</c:v>
                </c:pt>
                <c:pt idx="706" formatCode="m\/d\/yyyy">
                  <c:v>45926</c:v>
                </c:pt>
                <c:pt idx="707" formatCode="m\/d\/yyyy">
                  <c:v>45929</c:v>
                </c:pt>
                <c:pt idx="708" formatCode="m\/d\/yyyy">
                  <c:v>45930</c:v>
                </c:pt>
                <c:pt idx="709" formatCode="m\/d\/yyyy">
                  <c:v>45931</c:v>
                </c:pt>
                <c:pt idx="710" formatCode="m\/d\/yyyy">
                  <c:v>45932</c:v>
                </c:pt>
                <c:pt idx="711" formatCode="m\/d\/yyyy">
                  <c:v>45933</c:v>
                </c:pt>
                <c:pt idx="712" formatCode="m\/d\/yyyy">
                  <c:v>45936</c:v>
                </c:pt>
                <c:pt idx="713" formatCode="m\/d\/yyyy">
                  <c:v>45937</c:v>
                </c:pt>
                <c:pt idx="714" formatCode="m\/d\/yyyy">
                  <c:v>45938</c:v>
                </c:pt>
                <c:pt idx="715" formatCode="m\/d\/yyyy">
                  <c:v>45939</c:v>
                </c:pt>
                <c:pt idx="716" formatCode="m\/d\/yyyy">
                  <c:v>45940</c:v>
                </c:pt>
                <c:pt idx="717" formatCode="m\/d\/yyyy">
                  <c:v>45943</c:v>
                </c:pt>
                <c:pt idx="718" formatCode="m\/d\/yyyy">
                  <c:v>45944</c:v>
                </c:pt>
                <c:pt idx="719" formatCode="m\/d\/yyyy">
                  <c:v>45945</c:v>
                </c:pt>
                <c:pt idx="720" formatCode="m\/d\/yyyy">
                  <c:v>45946</c:v>
                </c:pt>
                <c:pt idx="721" formatCode="m\/d\/yyyy">
                  <c:v>45947</c:v>
                </c:pt>
                <c:pt idx="722" formatCode="m\/d\/yyyy">
                  <c:v>45950</c:v>
                </c:pt>
                <c:pt idx="723" formatCode="m\/d\/yyyy">
                  <c:v>45951</c:v>
                </c:pt>
                <c:pt idx="724" formatCode="m\/d\/yyyy">
                  <c:v>45952</c:v>
                </c:pt>
                <c:pt idx="725" formatCode="m\/d\/yyyy">
                  <c:v>45953</c:v>
                </c:pt>
                <c:pt idx="726" formatCode="m\/d\/yyyy">
                  <c:v>45954</c:v>
                </c:pt>
                <c:pt idx="727" formatCode="m\/d\/yyyy">
                  <c:v>45957</c:v>
                </c:pt>
                <c:pt idx="728" formatCode="m\/d\/yyyy">
                  <c:v>45958</c:v>
                </c:pt>
                <c:pt idx="729" formatCode="m\/d\/yyyy">
                  <c:v>45959</c:v>
                </c:pt>
                <c:pt idx="730" formatCode="m\/d\/yyyy">
                  <c:v>45960</c:v>
                </c:pt>
                <c:pt idx="731" formatCode="m\/d\/yyyy">
                  <c:v>45961</c:v>
                </c:pt>
                <c:pt idx="732" formatCode="m\/d\/yyyy">
                  <c:v>45964</c:v>
                </c:pt>
                <c:pt idx="733" formatCode="m\/d\/yyyy">
                  <c:v>45965</c:v>
                </c:pt>
                <c:pt idx="734" formatCode="m\/d\/yyyy">
                  <c:v>45966</c:v>
                </c:pt>
                <c:pt idx="735" formatCode="m\/d\/yyyy">
                  <c:v>45967</c:v>
                </c:pt>
                <c:pt idx="736" formatCode="m\/d\/yyyy">
                  <c:v>45968</c:v>
                </c:pt>
                <c:pt idx="737" formatCode="m\/d\/yyyy">
                  <c:v>45971</c:v>
                </c:pt>
                <c:pt idx="738" formatCode="m\/d\/yyyy">
                  <c:v>45972</c:v>
                </c:pt>
                <c:pt idx="739" formatCode="m\/d\/yyyy">
                  <c:v>45973</c:v>
                </c:pt>
                <c:pt idx="740" formatCode="m\/d\/yyyy">
                  <c:v>45974</c:v>
                </c:pt>
                <c:pt idx="741" formatCode="m\/d\/yyyy">
                  <c:v>45975</c:v>
                </c:pt>
                <c:pt idx="742" formatCode="m\/d\/yyyy">
                  <c:v>45978</c:v>
                </c:pt>
                <c:pt idx="743" formatCode="m\/d\/yyyy">
                  <c:v>45979</c:v>
                </c:pt>
                <c:pt idx="744" formatCode="m\/d\/yyyy">
                  <c:v>45980</c:v>
                </c:pt>
                <c:pt idx="745" formatCode="m\/d\/yyyy">
                  <c:v>45981</c:v>
                </c:pt>
                <c:pt idx="746" formatCode="m\/d\/yyyy">
                  <c:v>45982</c:v>
                </c:pt>
                <c:pt idx="747" formatCode="m\/d\/yyyy">
                  <c:v>45985</c:v>
                </c:pt>
                <c:pt idx="748" formatCode="m\/d\/yyyy">
                  <c:v>45986</c:v>
                </c:pt>
                <c:pt idx="749" formatCode="m\/d\/yyyy">
                  <c:v>45987</c:v>
                </c:pt>
                <c:pt idx="750" formatCode="m\/d\/yyyy">
                  <c:v>45988</c:v>
                </c:pt>
                <c:pt idx="751" formatCode="m\/d\/yyyy">
                  <c:v>45989</c:v>
                </c:pt>
                <c:pt idx="752" formatCode="m\/d\/yyyy">
                  <c:v>45992</c:v>
                </c:pt>
                <c:pt idx="753" formatCode="m\/d\/yyyy">
                  <c:v>45993</c:v>
                </c:pt>
                <c:pt idx="754" formatCode="m\/d\/yyyy">
                  <c:v>45994</c:v>
                </c:pt>
                <c:pt idx="755" formatCode="m\/d\/yyyy">
                  <c:v>45995</c:v>
                </c:pt>
                <c:pt idx="756" formatCode="m\/d\/yyyy">
                  <c:v>45996</c:v>
                </c:pt>
                <c:pt idx="757" formatCode="m\/d\/yyyy">
                  <c:v>45999</c:v>
                </c:pt>
                <c:pt idx="758" formatCode="m\/d\/yyyy">
                  <c:v>46000</c:v>
                </c:pt>
                <c:pt idx="759" formatCode="m\/d\/yyyy">
                  <c:v>46001</c:v>
                </c:pt>
                <c:pt idx="760" formatCode="m\/d\/yyyy">
                  <c:v>46002</c:v>
                </c:pt>
                <c:pt idx="761" formatCode="m\/d\/yyyy">
                  <c:v>46003</c:v>
                </c:pt>
                <c:pt idx="762" formatCode="m\/d\/yyyy">
                  <c:v>46006</c:v>
                </c:pt>
                <c:pt idx="763" formatCode="m\/d\/yyyy">
                  <c:v>46007</c:v>
                </c:pt>
                <c:pt idx="764" formatCode="m\/d\/yyyy">
                  <c:v>46008</c:v>
                </c:pt>
                <c:pt idx="765" formatCode="m\/d\/yyyy">
                  <c:v>46009</c:v>
                </c:pt>
                <c:pt idx="766" formatCode="m\/d\/yyyy">
                  <c:v>46010</c:v>
                </c:pt>
                <c:pt idx="767" formatCode="m\/d\/yyyy">
                  <c:v>46013</c:v>
                </c:pt>
                <c:pt idx="768" formatCode="m\/d\/yyyy">
                  <c:v>46014</c:v>
                </c:pt>
                <c:pt idx="769" formatCode="m\/d\/yyyy">
                  <c:v>46015</c:v>
                </c:pt>
                <c:pt idx="770" formatCode="m\/d\/yyyy">
                  <c:v>46017</c:v>
                </c:pt>
                <c:pt idx="771" formatCode="m\/d\/yyyy">
                  <c:v>46020</c:v>
                </c:pt>
                <c:pt idx="772" formatCode="m\/d\/yyyy">
                  <c:v>46021</c:v>
                </c:pt>
                <c:pt idx="773" formatCode="m\/d\/yyyy">
                  <c:v>46022</c:v>
                </c:pt>
                <c:pt idx="774" formatCode="m\/d\/yyyy">
                  <c:v>46024</c:v>
                </c:pt>
                <c:pt idx="775" formatCode="m\/d\/yyyy">
                  <c:v>46027</c:v>
                </c:pt>
                <c:pt idx="776" formatCode="m\/d\/yyyy">
                  <c:v>46028</c:v>
                </c:pt>
                <c:pt idx="777" formatCode="m\/d\/yyyy">
                  <c:v>46029</c:v>
                </c:pt>
                <c:pt idx="778" formatCode="m\/d\/yyyy">
                  <c:v>46030</c:v>
                </c:pt>
                <c:pt idx="779" formatCode="m\/d\/yyyy">
                  <c:v>46031</c:v>
                </c:pt>
                <c:pt idx="780" formatCode="m\/d\/yyyy">
                  <c:v>46034</c:v>
                </c:pt>
                <c:pt idx="781" formatCode="m\/d\/yyyy">
                  <c:v>46035</c:v>
                </c:pt>
                <c:pt idx="782" formatCode="m\/d\/yyyy">
                  <c:v>46036</c:v>
                </c:pt>
                <c:pt idx="783" formatCode="m\/d\/yyyy">
                  <c:v>46037</c:v>
                </c:pt>
                <c:pt idx="784" formatCode="m\/d\/yyyy">
                  <c:v>46038</c:v>
                </c:pt>
                <c:pt idx="785" formatCode="m\/d\/yyyy">
                  <c:v>46041</c:v>
                </c:pt>
                <c:pt idx="786" formatCode="m\/d\/yyyy">
                  <c:v>46042</c:v>
                </c:pt>
                <c:pt idx="787" formatCode="m\/d\/yyyy">
                  <c:v>46043</c:v>
                </c:pt>
                <c:pt idx="788" formatCode="m\/d\/yyyy">
                  <c:v>46044</c:v>
                </c:pt>
                <c:pt idx="789" formatCode="m\/d\/yyyy">
                  <c:v>46045</c:v>
                </c:pt>
                <c:pt idx="790" formatCode="m\/d\/yyyy">
                  <c:v>46048</c:v>
                </c:pt>
                <c:pt idx="791" formatCode="m\/d\/yyyy">
                  <c:v>46049</c:v>
                </c:pt>
                <c:pt idx="792" formatCode="m\/d\/yyyy">
                  <c:v>46050</c:v>
                </c:pt>
                <c:pt idx="793" formatCode="m\/d\/yyyy">
                  <c:v>46051</c:v>
                </c:pt>
                <c:pt idx="794" formatCode="m\/d\/yyyy">
                  <c:v>46052</c:v>
                </c:pt>
                <c:pt idx="795" formatCode="m\/d\/yyyy">
                  <c:v>46055</c:v>
                </c:pt>
                <c:pt idx="796" formatCode="m\/d\/yyyy">
                  <c:v>46056</c:v>
                </c:pt>
                <c:pt idx="797" formatCode="m\/d\/yyyy">
                  <c:v>46057</c:v>
                </c:pt>
                <c:pt idx="798" formatCode="m\/d\/yyyy">
                  <c:v>46058</c:v>
                </c:pt>
                <c:pt idx="799" formatCode="m\/d\/yyyy">
                  <c:v>46059</c:v>
                </c:pt>
                <c:pt idx="800" formatCode="m\/d\/yyyy">
                  <c:v>46062</c:v>
                </c:pt>
                <c:pt idx="801" formatCode="m\/d\/yyyy">
                  <c:v>46063</c:v>
                </c:pt>
                <c:pt idx="802" formatCode="m\/d\/yyyy">
                  <c:v>46064</c:v>
                </c:pt>
                <c:pt idx="803" formatCode="m\/d\/yyyy">
                  <c:v>46065</c:v>
                </c:pt>
                <c:pt idx="804" formatCode="m\/d\/yyyy">
                  <c:v>46066</c:v>
                </c:pt>
                <c:pt idx="805" formatCode="m\/d\/yyyy">
                  <c:v>46069</c:v>
                </c:pt>
                <c:pt idx="806" formatCode="m\/d\/yyyy">
                  <c:v>46070</c:v>
                </c:pt>
                <c:pt idx="807" formatCode="m\/d\/yyyy">
                  <c:v>46071</c:v>
                </c:pt>
                <c:pt idx="808" formatCode="m\/d\/yyyy">
                  <c:v>46072</c:v>
                </c:pt>
                <c:pt idx="809" formatCode="m\/d\/yyyy">
                  <c:v>46073</c:v>
                </c:pt>
                <c:pt idx="810" formatCode="m\/d\/yyyy">
                  <c:v>46076</c:v>
                </c:pt>
                <c:pt idx="811" formatCode="m\/d\/yyyy">
                  <c:v>46077</c:v>
                </c:pt>
                <c:pt idx="812" formatCode="m\/d\/yyyy">
                  <c:v>46078</c:v>
                </c:pt>
                <c:pt idx="813" formatCode="m\/d\/yyyy">
                  <c:v>46079</c:v>
                </c:pt>
                <c:pt idx="814" formatCode="m\/d\/yyyy">
                  <c:v>46080</c:v>
                </c:pt>
                <c:pt idx="815" formatCode="m\/d\/yyyy">
                  <c:v>46083</c:v>
                </c:pt>
                <c:pt idx="816" formatCode="m\/d\/yyyy">
                  <c:v>46084</c:v>
                </c:pt>
                <c:pt idx="817" formatCode="m\/d\/yyyy">
                  <c:v>46085</c:v>
                </c:pt>
                <c:pt idx="818" formatCode="m\/d\/yyyy">
                  <c:v>46086</c:v>
                </c:pt>
                <c:pt idx="819" formatCode="m\/d\/yyyy">
                  <c:v>46087</c:v>
                </c:pt>
                <c:pt idx="820" formatCode="m\/d\/yyyy">
                  <c:v>46090</c:v>
                </c:pt>
                <c:pt idx="821" formatCode="m\/d\/yyyy">
                  <c:v>46091</c:v>
                </c:pt>
                <c:pt idx="822" formatCode="m\/d\/yyyy">
                  <c:v>46092</c:v>
                </c:pt>
                <c:pt idx="823" formatCode="m\/d\/yyyy">
                  <c:v>46093</c:v>
                </c:pt>
                <c:pt idx="824" formatCode="m\/d\/yyyy">
                  <c:v>46094</c:v>
                </c:pt>
                <c:pt idx="825" formatCode="m\/d\/yyyy">
                  <c:v>46097</c:v>
                </c:pt>
                <c:pt idx="826" formatCode="m\/d\/yyyy">
                  <c:v>46098</c:v>
                </c:pt>
                <c:pt idx="827" formatCode="m\/d\/yyyy">
                  <c:v>46099</c:v>
                </c:pt>
                <c:pt idx="828" formatCode="m\/d\/yyyy">
                  <c:v>46100</c:v>
                </c:pt>
                <c:pt idx="829" formatCode="m\/d\/yyyy">
                  <c:v>46101</c:v>
                </c:pt>
                <c:pt idx="830" formatCode="m\/d\/yyyy">
                  <c:v>46104</c:v>
                </c:pt>
                <c:pt idx="831" formatCode="m\/d\/yyyy">
                  <c:v>46105</c:v>
                </c:pt>
                <c:pt idx="832" formatCode="m\/d\/yyyy">
                  <c:v>46106</c:v>
                </c:pt>
                <c:pt idx="833" formatCode="m\/d\/yyyy">
                  <c:v>46107</c:v>
                </c:pt>
                <c:pt idx="834" formatCode="m\/d\/yyyy">
                  <c:v>46108</c:v>
                </c:pt>
                <c:pt idx="835" formatCode="m\/d\/yyyy">
                  <c:v>46111</c:v>
                </c:pt>
                <c:pt idx="836" formatCode="m\/d\/yyyy">
                  <c:v>46112</c:v>
                </c:pt>
                <c:pt idx="837" formatCode="m\/d\/yyyy">
                  <c:v>46113</c:v>
                </c:pt>
                <c:pt idx="838" formatCode="m\/d\/yyyy">
                  <c:v>46114</c:v>
                </c:pt>
                <c:pt idx="839" formatCode="m\/d\/yyyy">
                  <c:v>46115</c:v>
                </c:pt>
                <c:pt idx="840" formatCode="m\/d\/yyyy">
                  <c:v>46118</c:v>
                </c:pt>
                <c:pt idx="841" formatCode="m\/d\/yyyy">
                  <c:v>46119</c:v>
                </c:pt>
                <c:pt idx="842" formatCode="m\/d\/yyyy">
                  <c:v>46120</c:v>
                </c:pt>
                <c:pt idx="843" formatCode="m\/d\/yyyy">
                  <c:v>46121</c:v>
                </c:pt>
                <c:pt idx="844" formatCode="m\/d\/yyyy">
                  <c:v>46122</c:v>
                </c:pt>
                <c:pt idx="845" formatCode="m\/d\/yyyy">
                  <c:v>46125</c:v>
                </c:pt>
                <c:pt idx="846" formatCode="m\/d\/yyyy">
                  <c:v>46126</c:v>
                </c:pt>
                <c:pt idx="847" formatCode="m\/d\/yyyy">
                  <c:v>46127</c:v>
                </c:pt>
                <c:pt idx="848" formatCode="m\/d\/yyyy">
                  <c:v>46128</c:v>
                </c:pt>
                <c:pt idx="849" formatCode="m\/d\/yyyy">
                  <c:v>46129</c:v>
                </c:pt>
                <c:pt idx="850" formatCode="m\/d\/yyyy">
                  <c:v>46132</c:v>
                </c:pt>
                <c:pt idx="851" formatCode="m\/d\/yyyy">
                  <c:v>46133</c:v>
                </c:pt>
                <c:pt idx="852" formatCode="m\/d\/yyyy">
                  <c:v>46134</c:v>
                </c:pt>
                <c:pt idx="853" formatCode="m\/d\/yyyy">
                  <c:v>46135</c:v>
                </c:pt>
                <c:pt idx="854" formatCode="m\/d\/yyyy">
                  <c:v>46136</c:v>
                </c:pt>
                <c:pt idx="855" formatCode="m\/d\/yyyy">
                  <c:v>46139</c:v>
                </c:pt>
                <c:pt idx="856" formatCode="m\/d\/yyyy">
                  <c:v>46140</c:v>
                </c:pt>
                <c:pt idx="857" formatCode="m\/d\/yyyy">
                  <c:v>46141</c:v>
                </c:pt>
                <c:pt idx="858" formatCode="m\/d\/yyyy">
                  <c:v>46142</c:v>
                </c:pt>
                <c:pt idx="859" formatCode="m\/d\/yyyy">
                  <c:v>46143</c:v>
                </c:pt>
                <c:pt idx="860" formatCode="m\/d\/yyyy">
                  <c:v>46146</c:v>
                </c:pt>
                <c:pt idx="861" formatCode="m\/d\/yyyy">
                  <c:v>46147</c:v>
                </c:pt>
                <c:pt idx="862" formatCode="m\/d\/yyyy">
                  <c:v>46148</c:v>
                </c:pt>
                <c:pt idx="863" formatCode="m\/d\/yyyy">
                  <c:v>46149</c:v>
                </c:pt>
                <c:pt idx="864" formatCode="m\/d\/yyyy">
                  <c:v>46150</c:v>
                </c:pt>
                <c:pt idx="865" formatCode="m\/d\/yyyy">
                  <c:v>46153</c:v>
                </c:pt>
                <c:pt idx="866" formatCode="m\/d\/yyyy">
                  <c:v>46154</c:v>
                </c:pt>
                <c:pt idx="867" formatCode="m\/d\/yyyy">
                  <c:v>46155</c:v>
                </c:pt>
                <c:pt idx="868" formatCode="m\/d\/yyyy">
                  <c:v>46156</c:v>
                </c:pt>
                <c:pt idx="869" formatCode="m\/d\/yyyy">
                  <c:v>46157</c:v>
                </c:pt>
                <c:pt idx="870" formatCode="m\/d\/yyyy">
                  <c:v>46160</c:v>
                </c:pt>
                <c:pt idx="871" formatCode="m\/d\/yyyy">
                  <c:v>46161</c:v>
                </c:pt>
                <c:pt idx="872" formatCode="m\/d\/yyyy">
                  <c:v>46162</c:v>
                </c:pt>
                <c:pt idx="873" formatCode="m\/d\/yyyy">
                  <c:v>46163</c:v>
                </c:pt>
                <c:pt idx="874" formatCode="m\/d\/yyyy">
                  <c:v>46164</c:v>
                </c:pt>
                <c:pt idx="875" formatCode="m\/d\/yyyy">
                  <c:v>46167</c:v>
                </c:pt>
                <c:pt idx="876" formatCode="m\/d\/yyyy">
                  <c:v>46168</c:v>
                </c:pt>
                <c:pt idx="877" formatCode="m\/d\/yyyy">
                  <c:v>46169</c:v>
                </c:pt>
                <c:pt idx="878" formatCode="m\/d\/yyyy">
                  <c:v>46171</c:v>
                </c:pt>
                <c:pt idx="879" formatCode="m\/d\/yyyy">
                  <c:v>46174</c:v>
                </c:pt>
                <c:pt idx="880" formatCode="m\/d\/yyyy">
                  <c:v>46175</c:v>
                </c:pt>
                <c:pt idx="881" formatCode="m\/d\/yyyy">
                  <c:v>46176</c:v>
                </c:pt>
                <c:pt idx="882" formatCode="m\/d\/yyyy">
                  <c:v>46177</c:v>
                </c:pt>
                <c:pt idx="883" formatCode="m\/d\/yyyy">
                  <c:v>46178</c:v>
                </c:pt>
                <c:pt idx="884" formatCode="m\/d\/yyyy">
                  <c:v>46181</c:v>
                </c:pt>
                <c:pt idx="885" formatCode="m\/d\/yyyy">
                  <c:v>46182</c:v>
                </c:pt>
                <c:pt idx="886" formatCode="m\/d\/yyyy">
                  <c:v>46183</c:v>
                </c:pt>
                <c:pt idx="887" formatCode="m\/d\/yyyy">
                  <c:v>46184</c:v>
                </c:pt>
                <c:pt idx="888" formatCode="m\/d\/yyyy">
                  <c:v>46185</c:v>
                </c:pt>
                <c:pt idx="889" formatCode="m\/d\/yyyy">
                  <c:v>46188</c:v>
                </c:pt>
                <c:pt idx="890" formatCode="m\/d\/yyyy">
                  <c:v>46189</c:v>
                </c:pt>
                <c:pt idx="891" formatCode="m\/d\/yyyy">
                  <c:v>46190</c:v>
                </c:pt>
                <c:pt idx="892" formatCode="m\/d\/yyyy">
                  <c:v>46191</c:v>
                </c:pt>
                <c:pt idx="893" formatCode="m\/d\/yyyy">
                  <c:v>46192</c:v>
                </c:pt>
                <c:pt idx="894" formatCode="m\/d\/yyyy">
                  <c:v>46195</c:v>
                </c:pt>
                <c:pt idx="895" formatCode="m\/d\/yyyy">
                  <c:v>46196</c:v>
                </c:pt>
                <c:pt idx="896" formatCode="m\/d\/yyyy">
                  <c:v>46197</c:v>
                </c:pt>
                <c:pt idx="897" formatCode="m\/d\/yyyy">
                  <c:v>46198</c:v>
                </c:pt>
                <c:pt idx="898" formatCode="m\/d\/yyyy">
                  <c:v>46199</c:v>
                </c:pt>
                <c:pt idx="899" formatCode="m\/d\/yyyy">
                  <c:v>46202</c:v>
                </c:pt>
                <c:pt idx="900" formatCode="m\/d\/yyyy">
                  <c:v>46203</c:v>
                </c:pt>
                <c:pt idx="901" formatCode="m\/d\/yyyy">
                  <c:v>46204</c:v>
                </c:pt>
                <c:pt idx="902" formatCode="m\/d\/yyyy">
                  <c:v>46205</c:v>
                </c:pt>
                <c:pt idx="903" formatCode="m\/d\/yyyy">
                  <c:v>46206</c:v>
                </c:pt>
                <c:pt idx="904" formatCode="m\/d\/yyyy">
                  <c:v>46209</c:v>
                </c:pt>
                <c:pt idx="905" formatCode="m\/d\/yyyy">
                  <c:v>46210</c:v>
                </c:pt>
                <c:pt idx="906" formatCode="m\/d\/yyyy">
                  <c:v>46211</c:v>
                </c:pt>
                <c:pt idx="907" formatCode="m\/d\/yyyy">
                  <c:v>46212</c:v>
                </c:pt>
                <c:pt idx="908" formatCode="m\/d\/yyyy">
                  <c:v>46213</c:v>
                </c:pt>
                <c:pt idx="909" formatCode="m\/d\/yyyy">
                  <c:v>46216</c:v>
                </c:pt>
                <c:pt idx="910" formatCode="m\/d\/yyyy">
                  <c:v>46217</c:v>
                </c:pt>
                <c:pt idx="911" formatCode="m\/d\/yyyy">
                  <c:v>46218</c:v>
                </c:pt>
                <c:pt idx="912" formatCode="m\/d\/yyyy">
                  <c:v>46219</c:v>
                </c:pt>
                <c:pt idx="913" formatCode="m\/d\/yyyy">
                  <c:v>46220</c:v>
                </c:pt>
                <c:pt idx="914" formatCode="m\/d\/yyyy">
                  <c:v>46223</c:v>
                </c:pt>
                <c:pt idx="915" formatCode="m\/d\/yyyy">
                  <c:v>46224</c:v>
                </c:pt>
                <c:pt idx="916" formatCode="m\/d\/yyyy">
                  <c:v>46225</c:v>
                </c:pt>
                <c:pt idx="917" formatCode="m\/d\/yyyy">
                  <c:v>46226</c:v>
                </c:pt>
                <c:pt idx="918" formatCode="m\/d\/yyyy">
                  <c:v>46227</c:v>
                </c:pt>
                <c:pt idx="919" formatCode="m\/d\/yyyy">
                  <c:v>46230</c:v>
                </c:pt>
                <c:pt idx="920" formatCode="m\/d\/yyyy">
                  <c:v>46231</c:v>
                </c:pt>
                <c:pt idx="921" formatCode="m\/d\/yyyy">
                  <c:v>46232</c:v>
                </c:pt>
                <c:pt idx="922" formatCode="m\/d\/yyyy">
                  <c:v>46233</c:v>
                </c:pt>
                <c:pt idx="923" formatCode="m\/d\/yyyy">
                  <c:v>46234</c:v>
                </c:pt>
                <c:pt idx="924" formatCode="m\/d\/yyyy">
                  <c:v>46237</c:v>
                </c:pt>
                <c:pt idx="925" formatCode="m\/d\/yyyy">
                  <c:v>46238</c:v>
                </c:pt>
                <c:pt idx="926" formatCode="m\/d\/yyyy">
                  <c:v>46239</c:v>
                </c:pt>
                <c:pt idx="927" formatCode="m\/d\/yyyy">
                  <c:v>46240</c:v>
                </c:pt>
                <c:pt idx="928" formatCode="m\/d\/yyyy">
                  <c:v>46241</c:v>
                </c:pt>
                <c:pt idx="929" formatCode="m\/d\/yyyy">
                  <c:v>46244</c:v>
                </c:pt>
                <c:pt idx="930" formatCode="m\/d\/yyyy">
                  <c:v>46245</c:v>
                </c:pt>
                <c:pt idx="931" formatCode="m\/d\/yyyy">
                  <c:v>46246</c:v>
                </c:pt>
                <c:pt idx="932" formatCode="m\/d\/yyyy">
                  <c:v>46247</c:v>
                </c:pt>
                <c:pt idx="933" formatCode="m\/d\/yyyy">
                  <c:v>46248</c:v>
                </c:pt>
                <c:pt idx="934" formatCode="m\/d\/yyyy">
                  <c:v>46251</c:v>
                </c:pt>
                <c:pt idx="935" formatCode="m\/d\/yyyy">
                  <c:v>46252</c:v>
                </c:pt>
                <c:pt idx="936" formatCode="m\/d\/yyyy">
                  <c:v>46253</c:v>
                </c:pt>
                <c:pt idx="937" formatCode="m\/d\/yyyy">
                  <c:v>46254</c:v>
                </c:pt>
                <c:pt idx="938" formatCode="m\/d\/yyyy">
                  <c:v>46255</c:v>
                </c:pt>
                <c:pt idx="939" formatCode="m\/d\/yyyy">
                  <c:v>46258</c:v>
                </c:pt>
                <c:pt idx="940" formatCode="m\/d\/yyyy">
                  <c:v>46259</c:v>
                </c:pt>
                <c:pt idx="941" formatCode="m\/d\/yyyy">
                  <c:v>46260</c:v>
                </c:pt>
                <c:pt idx="942" formatCode="m\/d\/yyyy">
                  <c:v>46261</c:v>
                </c:pt>
                <c:pt idx="943" formatCode="m\/d\/yyyy">
                  <c:v>46262</c:v>
                </c:pt>
                <c:pt idx="944" formatCode="m\/d\/yyyy">
                  <c:v>46265</c:v>
                </c:pt>
                <c:pt idx="945" formatCode="m\/d\/yyyy">
                  <c:v>46266</c:v>
                </c:pt>
                <c:pt idx="946" formatCode="m\/d\/yyyy">
                  <c:v>46267</c:v>
                </c:pt>
                <c:pt idx="947" formatCode="m\/d\/yyyy">
                  <c:v>46268</c:v>
                </c:pt>
                <c:pt idx="948" formatCode="m\/d\/yyyy">
                  <c:v>46269</c:v>
                </c:pt>
                <c:pt idx="949" formatCode="m\/d\/yyyy">
                  <c:v>46272</c:v>
                </c:pt>
                <c:pt idx="950" formatCode="m\/d\/yyyy">
                  <c:v>46273</c:v>
                </c:pt>
                <c:pt idx="951" formatCode="m\/d\/yyyy">
                  <c:v>46274</c:v>
                </c:pt>
                <c:pt idx="952" formatCode="m\/d\/yyyy">
                  <c:v>46275</c:v>
                </c:pt>
                <c:pt idx="953" formatCode="m\/d\/yyyy">
                  <c:v>46276</c:v>
                </c:pt>
                <c:pt idx="954" formatCode="m\/d\/yyyy">
                  <c:v>46279</c:v>
                </c:pt>
                <c:pt idx="955" formatCode="m\/d\/yyyy">
                  <c:v>46280</c:v>
                </c:pt>
              </c:numCache>
            </c:numRef>
          </c:cat>
          <c:val>
            <c:numRef>
              <c:f>Sheet1!$D$2:$D$957</c:f>
              <c:numCache>
                <c:formatCode>0.0</c:formatCode>
                <c:ptCount val="956"/>
                <c:pt idx="0">
                  <c:v>100</c:v>
                </c:pt>
                <c:pt idx="1">
                  <c:v>100.28457453566075</c:v>
                </c:pt>
                <c:pt idx="2">
                  <c:v>100.23375765429276</c:v>
                </c:pt>
                <c:pt idx="3">
                  <c:v>100.61742510862108</c:v>
                </c:pt>
                <c:pt idx="4">
                  <c:v>100.61742510862108</c:v>
                </c:pt>
                <c:pt idx="5">
                  <c:v>100.34555479330233</c:v>
                </c:pt>
                <c:pt idx="6">
                  <c:v>100.4954645933379</c:v>
                </c:pt>
                <c:pt idx="7">
                  <c:v>100.74446731204107</c:v>
                </c:pt>
                <c:pt idx="8">
                  <c:v>100.61742510862109</c:v>
                </c:pt>
                <c:pt idx="9">
                  <c:v>100.61742510862109</c:v>
                </c:pt>
                <c:pt idx="10">
                  <c:v>100.61742510862109</c:v>
                </c:pt>
                <c:pt idx="11">
                  <c:v>100.74446731204107</c:v>
                </c:pt>
                <c:pt idx="12">
                  <c:v>100.62250679675789</c:v>
                </c:pt>
                <c:pt idx="13">
                  <c:v>100.5539040069111</c:v>
                </c:pt>
                <c:pt idx="14">
                  <c:v>100.55898569504789</c:v>
                </c:pt>
                <c:pt idx="15">
                  <c:v>100.52595472215872</c:v>
                </c:pt>
                <c:pt idx="16">
                  <c:v>100.49038290520113</c:v>
                </c:pt>
                <c:pt idx="17">
                  <c:v>100.6225067967579</c:v>
                </c:pt>
                <c:pt idx="18">
                  <c:v>100.52849556622712</c:v>
                </c:pt>
                <c:pt idx="19">
                  <c:v>100.6504560815103</c:v>
                </c:pt>
                <c:pt idx="20">
                  <c:v>100.6504560815103</c:v>
                </c:pt>
                <c:pt idx="21">
                  <c:v>100.6809462103311</c:v>
                </c:pt>
                <c:pt idx="22">
                  <c:v>100.68094621033109</c:v>
                </c:pt>
                <c:pt idx="23">
                  <c:v>100.77749828493027</c:v>
                </c:pt>
                <c:pt idx="24">
                  <c:v>100.77749828493027</c:v>
                </c:pt>
                <c:pt idx="25">
                  <c:v>100.77749828493027</c:v>
                </c:pt>
                <c:pt idx="26">
                  <c:v>100.77749828493027</c:v>
                </c:pt>
                <c:pt idx="27">
                  <c:v>100.80798841375108</c:v>
                </c:pt>
                <c:pt idx="28">
                  <c:v>100.55390400691113</c:v>
                </c:pt>
                <c:pt idx="29">
                  <c:v>100.6809462103311</c:v>
                </c:pt>
                <c:pt idx="30">
                  <c:v>100.58693497980033</c:v>
                </c:pt>
                <c:pt idx="31">
                  <c:v>100.49038290520114</c:v>
                </c:pt>
                <c:pt idx="32">
                  <c:v>100.49038290520113</c:v>
                </c:pt>
                <c:pt idx="33">
                  <c:v>99.987295779658012</c:v>
                </c:pt>
                <c:pt idx="34">
                  <c:v>99.827222603348844</c:v>
                </c:pt>
                <c:pt idx="35">
                  <c:v>99.827222603348844</c:v>
                </c:pt>
                <c:pt idx="36">
                  <c:v>99.519780471072508</c:v>
                </c:pt>
                <c:pt idx="37">
                  <c:v>99.214879182864564</c:v>
                </c:pt>
                <c:pt idx="38">
                  <c:v>99.347003074421323</c:v>
                </c:pt>
                <c:pt idx="39">
                  <c:v>98.945549711614206</c:v>
                </c:pt>
                <c:pt idx="40">
                  <c:v>98.854079325151829</c:v>
                </c:pt>
                <c:pt idx="41">
                  <c:v>98.915059582793432</c:v>
                </c:pt>
                <c:pt idx="42">
                  <c:v>98.841375104809842</c:v>
                </c:pt>
                <c:pt idx="43">
                  <c:v>98.826130040399434</c:v>
                </c:pt>
                <c:pt idx="44">
                  <c:v>98.627944203064274</c:v>
                </c:pt>
                <c:pt idx="45">
                  <c:v>98.709251213253054</c:v>
                </c:pt>
                <c:pt idx="46">
                  <c:v>98.73720049800545</c:v>
                </c:pt>
                <c:pt idx="47">
                  <c:v>98.737200498005436</c:v>
                </c:pt>
                <c:pt idx="48">
                  <c:v>98.709251213253026</c:v>
                </c:pt>
                <c:pt idx="49">
                  <c:v>98.630485047132638</c:v>
                </c:pt>
                <c:pt idx="50">
                  <c:v>98.696546992911024</c:v>
                </c:pt>
                <c:pt idx="51">
                  <c:v>98.785476535305023</c:v>
                </c:pt>
                <c:pt idx="52">
                  <c:v>98.686383616637428</c:v>
                </c:pt>
                <c:pt idx="53">
                  <c:v>98.744823030210611</c:v>
                </c:pt>
                <c:pt idx="54">
                  <c:v>98.655893487816627</c:v>
                </c:pt>
                <c:pt idx="55">
                  <c:v>98.706710369184634</c:v>
                </c:pt>
                <c:pt idx="56">
                  <c:v>98.673679396295441</c:v>
                </c:pt>
                <c:pt idx="57">
                  <c:v>98.627944203064246</c:v>
                </c:pt>
                <c:pt idx="58">
                  <c:v>98.668597708158629</c:v>
                </c:pt>
                <c:pt idx="59">
                  <c:v>98.602535762380256</c:v>
                </c:pt>
                <c:pt idx="60">
                  <c:v>98.719414589526636</c:v>
                </c:pt>
                <c:pt idx="61">
                  <c:v>98.658434331885061</c:v>
                </c:pt>
                <c:pt idx="62">
                  <c:v>98.638107579337856</c:v>
                </c:pt>
                <c:pt idx="63">
                  <c:v>98.660975175953453</c:v>
                </c:pt>
                <c:pt idx="64">
                  <c:v>98.660975175953439</c:v>
                </c:pt>
                <c:pt idx="65">
                  <c:v>98.706710369184634</c:v>
                </c:pt>
                <c:pt idx="66">
                  <c:v>98.622862514927448</c:v>
                </c:pt>
                <c:pt idx="67">
                  <c:v>98.666056864090237</c:v>
                </c:pt>
                <c:pt idx="68">
                  <c:v>98.638107579337841</c:v>
                </c:pt>
                <c:pt idx="69">
                  <c:v>98.638107579337841</c:v>
                </c:pt>
                <c:pt idx="70">
                  <c:v>98.645730111543045</c:v>
                </c:pt>
                <c:pt idx="71">
                  <c:v>98.64573011154306</c:v>
                </c:pt>
                <c:pt idx="72">
                  <c:v>98.64573011154306</c:v>
                </c:pt>
                <c:pt idx="73">
                  <c:v>98.577127321696267</c:v>
                </c:pt>
                <c:pt idx="74">
                  <c:v>98.63556673526945</c:v>
                </c:pt>
                <c:pt idx="75">
                  <c:v>98.569504789491063</c:v>
                </c:pt>
                <c:pt idx="76">
                  <c:v>98.528851284396666</c:v>
                </c:pt>
                <c:pt idx="77">
                  <c:v>98.495820311507472</c:v>
                </c:pt>
                <c:pt idx="78">
                  <c:v>98.384023172497891</c:v>
                </c:pt>
                <c:pt idx="79">
                  <c:v>98.450085118276291</c:v>
                </c:pt>
                <c:pt idx="80">
                  <c:v>98.450085118276306</c:v>
                </c:pt>
                <c:pt idx="81">
                  <c:v>98.137561297863158</c:v>
                </c:pt>
                <c:pt idx="82">
                  <c:v>98.414513301318692</c:v>
                </c:pt>
                <c:pt idx="83">
                  <c:v>98.185837335162745</c:v>
                </c:pt>
                <c:pt idx="84">
                  <c:v>98.23919506059913</c:v>
                </c:pt>
                <c:pt idx="85">
                  <c:v>98.23919506059913</c:v>
                </c:pt>
                <c:pt idx="86">
                  <c:v>98.292552786035529</c:v>
                </c:pt>
                <c:pt idx="87">
                  <c:v>98.325583758924722</c:v>
                </c:pt>
                <c:pt idx="88">
                  <c:v>98.409431613181908</c:v>
                </c:pt>
                <c:pt idx="89">
                  <c:v>98.165510582615553</c:v>
                </c:pt>
                <c:pt idx="90">
                  <c:v>98.188378179231137</c:v>
                </c:pt>
                <c:pt idx="91">
                  <c:v>98.188378179231137</c:v>
                </c:pt>
                <c:pt idx="92">
                  <c:v>98.178214802957541</c:v>
                </c:pt>
                <c:pt idx="93">
                  <c:v>98.584749853901471</c:v>
                </c:pt>
                <c:pt idx="94">
                  <c:v>98.33066544706152</c:v>
                </c:pt>
                <c:pt idx="95">
                  <c:v>98.389104860634717</c:v>
                </c:pt>
                <c:pt idx="96">
                  <c:v>98.165510582615553</c:v>
                </c:pt>
                <c:pt idx="97">
                  <c:v>98.155347206341958</c:v>
                </c:pt>
                <c:pt idx="98">
                  <c:v>98.338287979266724</c:v>
                </c:pt>
                <c:pt idx="99">
                  <c:v>98.183296491094367</c:v>
                </c:pt>
                <c:pt idx="100">
                  <c:v>98.307797850445951</c:v>
                </c:pt>
                <c:pt idx="101">
                  <c:v>98.140102141931592</c:v>
                </c:pt>
                <c:pt idx="102">
                  <c:v>98.140102141931592</c:v>
                </c:pt>
                <c:pt idx="103">
                  <c:v>98.178214802957569</c:v>
                </c:pt>
                <c:pt idx="104">
                  <c:v>98.208704931778371</c:v>
                </c:pt>
                <c:pt idx="105">
                  <c:v>97.822496633381647</c:v>
                </c:pt>
                <c:pt idx="106">
                  <c:v>98.208704931778371</c:v>
                </c:pt>
                <c:pt idx="107">
                  <c:v>98.234113372462375</c:v>
                </c:pt>
                <c:pt idx="108">
                  <c:v>98.325583758924751</c:v>
                </c:pt>
                <c:pt idx="109">
                  <c:v>98.386564016566339</c:v>
                </c:pt>
                <c:pt idx="110">
                  <c:v>98.401809080976719</c:v>
                </c:pt>
                <c:pt idx="111">
                  <c:v>98.340828823335144</c:v>
                </c:pt>
                <c:pt idx="112">
                  <c:v>98.267144345351568</c:v>
                </c:pt>
                <c:pt idx="113">
                  <c:v>98.330665447061563</c:v>
                </c:pt>
                <c:pt idx="114">
                  <c:v>98.076581040221612</c:v>
                </c:pt>
                <c:pt idx="115">
                  <c:v>98.178214802957584</c:v>
                </c:pt>
                <c:pt idx="116">
                  <c:v>98.384023172497933</c:v>
                </c:pt>
                <c:pt idx="117">
                  <c:v>98.229031684325577</c:v>
                </c:pt>
                <c:pt idx="118">
                  <c:v>98.213786619915169</c:v>
                </c:pt>
                <c:pt idx="119">
                  <c:v>98.213786619915169</c:v>
                </c:pt>
                <c:pt idx="120">
                  <c:v>98.145183830068362</c:v>
                </c:pt>
                <c:pt idx="121">
                  <c:v>98.350992199608726</c:v>
                </c:pt>
                <c:pt idx="122">
                  <c:v>98.117234545315966</c:v>
                </c:pt>
                <c:pt idx="123">
                  <c:v>98.112152857179154</c:v>
                </c:pt>
                <c:pt idx="124">
                  <c:v>98.356073887745509</c:v>
                </c:pt>
                <c:pt idx="125">
                  <c:v>98.216327463983532</c:v>
                </c:pt>
                <c:pt idx="126">
                  <c:v>98.256980969077915</c:v>
                </c:pt>
                <c:pt idx="127">
                  <c:v>98.211245775846734</c:v>
                </c:pt>
                <c:pt idx="128">
                  <c:v>98.157888050410349</c:v>
                </c:pt>
                <c:pt idx="129">
                  <c:v>98.091826104631977</c:v>
                </c:pt>
                <c:pt idx="130">
                  <c:v>98.325583758924736</c:v>
                </c:pt>
                <c:pt idx="131">
                  <c:v>98.325583758924736</c:v>
                </c:pt>
                <c:pt idx="132">
                  <c:v>98.140102141931564</c:v>
                </c:pt>
                <c:pt idx="133">
                  <c:v>98.147724674136754</c:v>
                </c:pt>
                <c:pt idx="134">
                  <c:v>98.203623243641559</c:v>
                </c:pt>
                <c:pt idx="135">
                  <c:v>98.353533043677132</c:v>
                </c:pt>
                <c:pt idx="136">
                  <c:v>98.373859796224338</c:v>
                </c:pt>
                <c:pt idx="137">
                  <c:v>98.14264298599997</c:v>
                </c:pt>
                <c:pt idx="138">
                  <c:v>99.143735548949365</c:v>
                </c:pt>
                <c:pt idx="139">
                  <c:v>98.079121884289975</c:v>
                </c:pt>
                <c:pt idx="140">
                  <c:v>98.112152857179169</c:v>
                </c:pt>
                <c:pt idx="141">
                  <c:v>98.150265518205174</c:v>
                </c:pt>
                <c:pt idx="142">
                  <c:v>98.401809080976719</c:v>
                </c:pt>
                <c:pt idx="143">
                  <c:v>98.150265518205174</c:v>
                </c:pt>
                <c:pt idx="144">
                  <c:v>98.198541555504761</c:v>
                </c:pt>
                <c:pt idx="145">
                  <c:v>98.353533043677118</c:v>
                </c:pt>
                <c:pt idx="146">
                  <c:v>98.264603501283148</c:v>
                </c:pt>
                <c:pt idx="147">
                  <c:v>98.178214802957541</c:v>
                </c:pt>
                <c:pt idx="148">
                  <c:v>98.168051426683959</c:v>
                </c:pt>
                <c:pt idx="149">
                  <c:v>98.132479609726374</c:v>
                </c:pt>
                <c:pt idx="150">
                  <c:v>98.112152857179154</c:v>
                </c:pt>
                <c:pt idx="151">
                  <c:v>98.12231623345275</c:v>
                </c:pt>
                <c:pt idx="152">
                  <c:v>98.295093630103921</c:v>
                </c:pt>
                <c:pt idx="153">
                  <c:v>98.295093630103935</c:v>
                </c:pt>
                <c:pt idx="154">
                  <c:v>98.15026551820516</c:v>
                </c:pt>
                <c:pt idx="155">
                  <c:v>98.099448636837167</c:v>
                </c:pt>
                <c:pt idx="156">
                  <c:v>98.193459867367949</c:v>
                </c:pt>
                <c:pt idx="157">
                  <c:v>98.094366948700369</c:v>
                </c:pt>
                <c:pt idx="158">
                  <c:v>98.089285260563571</c:v>
                </c:pt>
                <c:pt idx="159">
                  <c:v>98.076581040221569</c:v>
                </c:pt>
                <c:pt idx="160">
                  <c:v>98.23157252839394</c:v>
                </c:pt>
                <c:pt idx="161">
                  <c:v>98.244276748735928</c:v>
                </c:pt>
                <c:pt idx="162">
                  <c:v>98.254440125009523</c:v>
                </c:pt>
                <c:pt idx="163">
                  <c:v>98.114693701247546</c:v>
                </c:pt>
                <c:pt idx="164">
                  <c:v>98.109612013110748</c:v>
                </c:pt>
                <c:pt idx="165">
                  <c:v>98.203623243641545</c:v>
                </c:pt>
                <c:pt idx="166">
                  <c:v>98.023223314785199</c:v>
                </c:pt>
                <c:pt idx="167">
                  <c:v>98.279848565693541</c:v>
                </c:pt>
                <c:pt idx="168">
                  <c:v>98.066417663947973</c:v>
                </c:pt>
                <c:pt idx="169">
                  <c:v>98.071499352084786</c:v>
                </c:pt>
                <c:pt idx="170">
                  <c:v>98.074040196153177</c:v>
                </c:pt>
                <c:pt idx="171">
                  <c:v>98.11469370124756</c:v>
                </c:pt>
                <c:pt idx="172">
                  <c:v>98.071499352084786</c:v>
                </c:pt>
                <c:pt idx="173">
                  <c:v>98.020682470716778</c:v>
                </c:pt>
                <c:pt idx="174">
                  <c:v>98.051172599537566</c:v>
                </c:pt>
                <c:pt idx="175">
                  <c:v>98.051172599537566</c:v>
                </c:pt>
                <c:pt idx="176">
                  <c:v>98.028305002921982</c:v>
                </c:pt>
                <c:pt idx="177">
                  <c:v>98.03338669105878</c:v>
                </c:pt>
                <c:pt idx="178">
                  <c:v>97.995274030032789</c:v>
                </c:pt>
                <c:pt idx="179">
                  <c:v>97.987651497827585</c:v>
                </c:pt>
                <c:pt idx="180">
                  <c:v>98.101989480905573</c:v>
                </c:pt>
                <c:pt idx="181">
                  <c:v>98.035927535127172</c:v>
                </c:pt>
                <c:pt idx="182">
                  <c:v>98.135020453794766</c:v>
                </c:pt>
                <c:pt idx="183">
                  <c:v>98.203623243641545</c:v>
                </c:pt>
                <c:pt idx="184">
                  <c:v>98.165510582615568</c:v>
                </c:pt>
                <c:pt idx="185">
                  <c:v>98.028305002921982</c:v>
                </c:pt>
                <c:pt idx="186">
                  <c:v>98.112152857179169</c:v>
                </c:pt>
                <c:pt idx="187">
                  <c:v>98.165510582615568</c:v>
                </c:pt>
                <c:pt idx="188">
                  <c:v>98.165510582615568</c:v>
                </c:pt>
                <c:pt idx="189">
                  <c:v>98.391645704703123</c:v>
                </c:pt>
                <c:pt idx="190">
                  <c:v>98.45770765048151</c:v>
                </c:pt>
                <c:pt idx="191">
                  <c:v>98.511065375917894</c:v>
                </c:pt>
                <c:pt idx="192">
                  <c:v>98.734659653937044</c:v>
                </c:pt>
                <c:pt idx="193">
                  <c:v>99.31651294560055</c:v>
                </c:pt>
                <c:pt idx="194">
                  <c:v>100.6809462103311</c:v>
                </c:pt>
                <c:pt idx="195">
                  <c:v>103.38694514317659</c:v>
                </c:pt>
                <c:pt idx="196">
                  <c:v>107.08387326269789</c:v>
                </c:pt>
                <c:pt idx="197">
                  <c:v>109.03778235129712</c:v>
                </c:pt>
                <c:pt idx="198">
                  <c:v>106.33940595065683</c:v>
                </c:pt>
                <c:pt idx="199">
                  <c:v>104.20509693320123</c:v>
                </c:pt>
                <c:pt idx="200">
                  <c:v>102.67550880402473</c:v>
                </c:pt>
                <c:pt idx="201">
                  <c:v>101.00363340701783</c:v>
                </c:pt>
                <c:pt idx="202">
                  <c:v>100.41923927128595</c:v>
                </c:pt>
                <c:pt idx="203">
                  <c:v>101.05190944431742</c:v>
                </c:pt>
                <c:pt idx="204">
                  <c:v>102.1952892750972</c:v>
                </c:pt>
                <c:pt idx="205">
                  <c:v>101.94374571232565</c:v>
                </c:pt>
                <c:pt idx="206">
                  <c:v>102.04792031913003</c:v>
                </c:pt>
                <c:pt idx="207">
                  <c:v>102.05808369540364</c:v>
                </c:pt>
                <c:pt idx="208">
                  <c:v>102.09619635642962</c:v>
                </c:pt>
                <c:pt idx="209">
                  <c:v>102.00472596996723</c:v>
                </c:pt>
                <c:pt idx="210">
                  <c:v>102.1952892750972</c:v>
                </c:pt>
                <c:pt idx="211">
                  <c:v>102.23086109205479</c:v>
                </c:pt>
                <c:pt idx="212">
                  <c:v>102.24356531239677</c:v>
                </c:pt>
                <c:pt idx="213">
                  <c:v>102.26389206494397</c:v>
                </c:pt>
                <c:pt idx="214">
                  <c:v>102.28167797342277</c:v>
                </c:pt>
                <c:pt idx="215">
                  <c:v>102.20799349543918</c:v>
                </c:pt>
                <c:pt idx="216">
                  <c:v>102.39601595650075</c:v>
                </c:pt>
                <c:pt idx="217">
                  <c:v>102.24102446832836</c:v>
                </c:pt>
                <c:pt idx="218">
                  <c:v>102.23594278019156</c:v>
                </c:pt>
                <c:pt idx="219">
                  <c:v>102.19783011916557</c:v>
                </c:pt>
                <c:pt idx="220">
                  <c:v>102.22832024798636</c:v>
                </c:pt>
                <c:pt idx="221">
                  <c:v>102.30962725817515</c:v>
                </c:pt>
                <c:pt idx="222">
                  <c:v>102.27151459714915</c:v>
                </c:pt>
                <c:pt idx="223">
                  <c:v>102.31470894631195</c:v>
                </c:pt>
                <c:pt idx="224">
                  <c:v>102.29184134969636</c:v>
                </c:pt>
                <c:pt idx="225">
                  <c:v>102.39347511243234</c:v>
                </c:pt>
                <c:pt idx="226">
                  <c:v>102.44429199380033</c:v>
                </c:pt>
                <c:pt idx="227">
                  <c:v>102.37568920395356</c:v>
                </c:pt>
                <c:pt idx="228">
                  <c:v>102.32487232258556</c:v>
                </c:pt>
                <c:pt idx="229">
                  <c:v>102.24610615646517</c:v>
                </c:pt>
                <c:pt idx="230">
                  <c:v>102.18766674289198</c:v>
                </c:pt>
                <c:pt idx="231">
                  <c:v>102.28167797342276</c:v>
                </c:pt>
                <c:pt idx="232">
                  <c:v>102.24610615646516</c:v>
                </c:pt>
                <c:pt idx="233">
                  <c:v>102.24610615646516</c:v>
                </c:pt>
                <c:pt idx="234">
                  <c:v>102.18766674289196</c:v>
                </c:pt>
                <c:pt idx="235">
                  <c:v>102.22069771578116</c:v>
                </c:pt>
                <c:pt idx="236">
                  <c:v>102.21561602764437</c:v>
                </c:pt>
                <c:pt idx="237">
                  <c:v>102.26897375308076</c:v>
                </c:pt>
                <c:pt idx="238">
                  <c:v>102.30708641410675</c:v>
                </c:pt>
                <c:pt idx="239">
                  <c:v>102.36552582767993</c:v>
                </c:pt>
                <c:pt idx="240">
                  <c:v>102.40872017684272</c:v>
                </c:pt>
                <c:pt idx="241">
                  <c:v>102.38331173615872</c:v>
                </c:pt>
                <c:pt idx="242">
                  <c:v>102.42142439718471</c:v>
                </c:pt>
                <c:pt idx="243">
                  <c:v>102.3960159565007</c:v>
                </c:pt>
                <c:pt idx="244">
                  <c:v>102.45699621414229</c:v>
                </c:pt>
                <c:pt idx="245">
                  <c:v>102.53322153619428</c:v>
                </c:pt>
                <c:pt idx="246">
                  <c:v>102.53322153619428</c:v>
                </c:pt>
                <c:pt idx="247">
                  <c:v>102.68059049216144</c:v>
                </c:pt>
                <c:pt idx="248">
                  <c:v>102.79746931930781</c:v>
                </c:pt>
                <c:pt idx="249">
                  <c:v>102.98041009223259</c:v>
                </c:pt>
                <c:pt idx="250">
                  <c:v>103.14556495667856</c:v>
                </c:pt>
                <c:pt idx="251">
                  <c:v>103.10999313972097</c:v>
                </c:pt>
                <c:pt idx="252">
                  <c:v>103.04139034987418</c:v>
                </c:pt>
                <c:pt idx="253">
                  <c:v>103.06171710242137</c:v>
                </c:pt>
                <c:pt idx="254">
                  <c:v>102.77714256676062</c:v>
                </c:pt>
                <c:pt idx="255">
                  <c:v>102.95500165154857</c:v>
                </c:pt>
                <c:pt idx="256">
                  <c:v>102.94991996341179</c:v>
                </c:pt>
                <c:pt idx="257">
                  <c:v>102.94229743120657</c:v>
                </c:pt>
                <c:pt idx="258">
                  <c:v>102.85082704474419</c:v>
                </c:pt>
                <c:pt idx="259">
                  <c:v>102.85082704474419</c:v>
                </c:pt>
                <c:pt idx="260">
                  <c:v>102.97532840409575</c:v>
                </c:pt>
                <c:pt idx="261">
                  <c:v>103.01090022105335</c:v>
                </c:pt>
                <c:pt idx="262">
                  <c:v>102.96008333968535</c:v>
                </c:pt>
                <c:pt idx="263">
                  <c:v>103.15826917702051</c:v>
                </c:pt>
                <c:pt idx="264">
                  <c:v>103.05917625835293</c:v>
                </c:pt>
                <c:pt idx="265">
                  <c:v>103.02614528546374</c:v>
                </c:pt>
                <c:pt idx="266">
                  <c:v>102.90672561424896</c:v>
                </c:pt>
                <c:pt idx="267">
                  <c:v>102.99311431257455</c:v>
                </c:pt>
                <c:pt idx="268">
                  <c:v>102.99311431257455</c:v>
                </c:pt>
                <c:pt idx="269">
                  <c:v>103.05917625835293</c:v>
                </c:pt>
                <c:pt idx="270">
                  <c:v>103.02868612953213</c:v>
                </c:pt>
                <c:pt idx="271">
                  <c:v>102.96770587189054</c:v>
                </c:pt>
                <c:pt idx="272">
                  <c:v>103.01090022105333</c:v>
                </c:pt>
                <c:pt idx="273">
                  <c:v>102.94229743120654</c:v>
                </c:pt>
                <c:pt idx="274">
                  <c:v>102.93467489900135</c:v>
                </c:pt>
                <c:pt idx="275">
                  <c:v>103.09474807531052</c:v>
                </c:pt>
                <c:pt idx="276">
                  <c:v>102.70345808877698</c:v>
                </c:pt>
                <c:pt idx="277">
                  <c:v>102.55100744467303</c:v>
                </c:pt>
                <c:pt idx="278">
                  <c:v>103.03122697360054</c:v>
                </c:pt>
                <c:pt idx="279">
                  <c:v>103.03122697360054</c:v>
                </c:pt>
                <c:pt idx="280">
                  <c:v>103.03122697360054</c:v>
                </c:pt>
                <c:pt idx="281">
                  <c:v>103.15826917702051</c:v>
                </c:pt>
                <c:pt idx="282">
                  <c:v>103.15826917702051</c:v>
                </c:pt>
                <c:pt idx="283">
                  <c:v>103.2217902787305</c:v>
                </c:pt>
                <c:pt idx="284">
                  <c:v>103.15826917702051</c:v>
                </c:pt>
                <c:pt idx="285">
                  <c:v>103.15826917702051</c:v>
                </c:pt>
                <c:pt idx="286">
                  <c:v>103.2217902787305</c:v>
                </c:pt>
                <c:pt idx="287">
                  <c:v>103.15826917702051</c:v>
                </c:pt>
                <c:pt idx="288">
                  <c:v>103.15826917702051</c:v>
                </c:pt>
                <c:pt idx="289">
                  <c:v>102.70853977691381</c:v>
                </c:pt>
                <c:pt idx="290">
                  <c:v>103.09474807531053</c:v>
                </c:pt>
                <c:pt idx="291">
                  <c:v>103.15826917702051</c:v>
                </c:pt>
                <c:pt idx="292">
                  <c:v>103.09474807531052</c:v>
                </c:pt>
                <c:pt idx="293">
                  <c:v>103.15826917702051</c:v>
                </c:pt>
                <c:pt idx="294">
                  <c:v>103.15826917702051</c:v>
                </c:pt>
                <c:pt idx="295">
                  <c:v>103.2217902787305</c:v>
                </c:pt>
                <c:pt idx="296">
                  <c:v>103.2217902787305</c:v>
                </c:pt>
                <c:pt idx="297">
                  <c:v>103.15826917702051</c:v>
                </c:pt>
                <c:pt idx="298">
                  <c:v>103.06171710242134</c:v>
                </c:pt>
                <c:pt idx="299">
                  <c:v>103.22179027873051</c:v>
                </c:pt>
                <c:pt idx="300">
                  <c:v>103.15826917702053</c:v>
                </c:pt>
                <c:pt idx="301">
                  <c:v>103.22179027873051</c:v>
                </c:pt>
                <c:pt idx="302">
                  <c:v>102.71362146505059</c:v>
                </c:pt>
                <c:pt idx="303">
                  <c:v>102.58657926163063</c:v>
                </c:pt>
                <c:pt idx="304">
                  <c:v>102.61706939045143</c:v>
                </c:pt>
                <c:pt idx="305">
                  <c:v>102.58657926163063</c:v>
                </c:pt>
                <c:pt idx="306">
                  <c:v>102.52305815992064</c:v>
                </c:pt>
                <c:pt idx="307">
                  <c:v>102.39601595650065</c:v>
                </c:pt>
                <c:pt idx="308">
                  <c:v>102.39601595650065</c:v>
                </c:pt>
                <c:pt idx="309">
                  <c:v>102.33249485479067</c:v>
                </c:pt>
                <c:pt idx="310">
                  <c:v>102.33249485479067</c:v>
                </c:pt>
                <c:pt idx="311">
                  <c:v>102.33249485479067</c:v>
                </c:pt>
                <c:pt idx="312">
                  <c:v>102.26897375308069</c:v>
                </c:pt>
                <c:pt idx="313">
                  <c:v>102.26897375308067</c:v>
                </c:pt>
                <c:pt idx="314">
                  <c:v>101.95644993266752</c:v>
                </c:pt>
                <c:pt idx="315">
                  <c:v>101.57532332240758</c:v>
                </c:pt>
                <c:pt idx="316">
                  <c:v>101.24755443758404</c:v>
                </c:pt>
                <c:pt idx="317">
                  <c:v>101.06461366465928</c:v>
                </c:pt>
                <c:pt idx="318">
                  <c:v>101.06461366465929</c:v>
                </c:pt>
                <c:pt idx="319">
                  <c:v>100.63012932896298</c:v>
                </c:pt>
                <c:pt idx="320">
                  <c:v>100.28965622379744</c:v>
                </c:pt>
                <c:pt idx="321">
                  <c:v>99.92631552201631</c:v>
                </c:pt>
                <c:pt idx="322">
                  <c:v>99.593464949055999</c:v>
                </c:pt>
                <c:pt idx="323">
                  <c:v>99.728129684681164</c:v>
                </c:pt>
                <c:pt idx="324">
                  <c:v>99.021775033666103</c:v>
                </c:pt>
                <c:pt idx="325">
                  <c:v>98.734659653936944</c:v>
                </c:pt>
                <c:pt idx="326">
                  <c:v>98.704169525116157</c:v>
                </c:pt>
                <c:pt idx="327">
                  <c:v>98.848997637014918</c:v>
                </c:pt>
                <c:pt idx="328">
                  <c:v>98.993825748913679</c:v>
                </c:pt>
                <c:pt idx="329">
                  <c:v>99.474045277841185</c:v>
                </c:pt>
                <c:pt idx="330">
                  <c:v>99.463881901567575</c:v>
                </c:pt>
                <c:pt idx="331">
                  <c:v>99.461341057499169</c:v>
                </c:pt>
                <c:pt idx="332">
                  <c:v>100.06860278984665</c:v>
                </c:pt>
                <c:pt idx="333">
                  <c:v>100.80798841375091</c:v>
                </c:pt>
                <c:pt idx="334">
                  <c:v>100.55644485097936</c:v>
                </c:pt>
                <c:pt idx="335">
                  <c:v>100.388749142465</c:v>
                </c:pt>
                <c:pt idx="336">
                  <c:v>100.12704220341985</c:v>
                </c:pt>
                <c:pt idx="337">
                  <c:v>99.753538125365125</c:v>
                </c:pt>
                <c:pt idx="338">
                  <c:v>99.461341057499169</c:v>
                </c:pt>
                <c:pt idx="339">
                  <c:v>99.10308204385484</c:v>
                </c:pt>
                <c:pt idx="340">
                  <c:v>99.10054119978642</c:v>
                </c:pt>
                <c:pt idx="341">
                  <c:v>98.737200498005294</c:v>
                </c:pt>
                <c:pt idx="342">
                  <c:v>98.605076606448506</c:v>
                </c:pt>
                <c:pt idx="343">
                  <c:v>98.536473816601728</c:v>
                </c:pt>
                <c:pt idx="344">
                  <c:v>98.71179205732129</c:v>
                </c:pt>
                <c:pt idx="345">
                  <c:v>98.584749853901315</c:v>
                </c:pt>
                <c:pt idx="346">
                  <c:v>98.411972457250144</c:v>
                </c:pt>
                <c:pt idx="347">
                  <c:v>98.965876464161241</c:v>
                </c:pt>
                <c:pt idx="348">
                  <c:v>98.559341413217311</c:v>
                </c:pt>
                <c:pt idx="349">
                  <c:v>98.587290697969706</c:v>
                </c:pt>
                <c:pt idx="350">
                  <c:v>98.71179205732129</c:v>
                </c:pt>
                <c:pt idx="351">
                  <c:v>98.587290697969721</c:v>
                </c:pt>
                <c:pt idx="352">
                  <c:v>98.493279467438938</c:v>
                </c:pt>
                <c:pt idx="353">
                  <c:v>98.505983687780954</c:v>
                </c:pt>
                <c:pt idx="354">
                  <c:v>98.462789338618165</c:v>
                </c:pt>
                <c:pt idx="355">
                  <c:v>98.607617450516926</c:v>
                </c:pt>
                <c:pt idx="356">
                  <c:v>98.483116091165371</c:v>
                </c:pt>
                <c:pt idx="357">
                  <c:v>98.577127321696153</c:v>
                </c:pt>
                <c:pt idx="358">
                  <c:v>98.645730111542946</c:v>
                </c:pt>
                <c:pt idx="359">
                  <c:v>98.678761084432139</c:v>
                </c:pt>
                <c:pt idx="360">
                  <c:v>98.478034403028573</c:v>
                </c:pt>
                <c:pt idx="361">
                  <c:v>98.52631044032816</c:v>
                </c:pt>
                <c:pt idx="362">
                  <c:v>98.52631044032816</c:v>
                </c:pt>
                <c:pt idx="363">
                  <c:v>98.592372386106547</c:v>
                </c:pt>
                <c:pt idx="364">
                  <c:v>98.457707650481382</c:v>
                </c:pt>
                <c:pt idx="365">
                  <c:v>98.660975175953354</c:v>
                </c:pt>
                <c:pt idx="366">
                  <c:v>98.427217521660594</c:v>
                </c:pt>
                <c:pt idx="367">
                  <c:v>98.462789338618194</c:v>
                </c:pt>
                <c:pt idx="368">
                  <c:v>98.417054145387013</c:v>
                </c:pt>
                <c:pt idx="369">
                  <c:v>98.627944203064175</c:v>
                </c:pt>
                <c:pt idx="370">
                  <c:v>98.511065375917781</c:v>
                </c:pt>
                <c:pt idx="371">
                  <c:v>98.467871026754992</c:v>
                </c:pt>
                <c:pt idx="372">
                  <c:v>98.478034403028573</c:v>
                </c:pt>
                <c:pt idx="373">
                  <c:v>98.485656935233777</c:v>
                </c:pt>
                <c:pt idx="374">
                  <c:v>98.594913230174967</c:v>
                </c:pt>
                <c:pt idx="375">
                  <c:v>98.709251213252941</c:v>
                </c:pt>
                <c:pt idx="376">
                  <c:v>98.782935691236517</c:v>
                </c:pt>
                <c:pt idx="377">
                  <c:v>98.770231470894529</c:v>
                </c:pt>
                <c:pt idx="378">
                  <c:v>98.732118809868524</c:v>
                </c:pt>
                <c:pt idx="379">
                  <c:v>98.625403358995754</c:v>
                </c:pt>
                <c:pt idx="380">
                  <c:v>98.716873745458116</c:v>
                </c:pt>
                <c:pt idx="381">
                  <c:v>98.597454074243345</c:v>
                </c:pt>
                <c:pt idx="382">
                  <c:v>98.635566735269322</c:v>
                </c:pt>
                <c:pt idx="383">
                  <c:v>98.668597708158515</c:v>
                </c:pt>
                <c:pt idx="384">
                  <c:v>98.61523998272213</c:v>
                </c:pt>
                <c:pt idx="385">
                  <c:v>98.62540335899574</c:v>
                </c:pt>
                <c:pt idx="386">
                  <c:v>98.599994918311737</c:v>
                </c:pt>
                <c:pt idx="387">
                  <c:v>98.62540335899574</c:v>
                </c:pt>
                <c:pt idx="388">
                  <c:v>98.645730111542932</c:v>
                </c:pt>
                <c:pt idx="389">
                  <c:v>98.645730111542917</c:v>
                </c:pt>
                <c:pt idx="390">
                  <c:v>98.711792057321304</c:v>
                </c:pt>
                <c:pt idx="391">
                  <c:v>98.554259725080527</c:v>
                </c:pt>
                <c:pt idx="392">
                  <c:v>98.587290697969721</c:v>
                </c:pt>
                <c:pt idx="393">
                  <c:v>98.587290697969735</c:v>
                </c:pt>
                <c:pt idx="394">
                  <c:v>98.699087836979317</c:v>
                </c:pt>
                <c:pt idx="395">
                  <c:v>98.584749853901343</c:v>
                </c:pt>
                <c:pt idx="396">
                  <c:v>98.536473816601742</c:v>
                </c:pt>
                <c:pt idx="397">
                  <c:v>98.577127321696139</c:v>
                </c:pt>
                <c:pt idx="398">
                  <c:v>98.643189267474511</c:v>
                </c:pt>
                <c:pt idx="399">
                  <c:v>98.582209009832923</c:v>
                </c:pt>
                <c:pt idx="400">
                  <c:v>98.678761084432097</c:v>
                </c:pt>
                <c:pt idx="401">
                  <c:v>98.52122875219132</c:v>
                </c:pt>
                <c:pt idx="402">
                  <c:v>98.561882257285717</c:v>
                </c:pt>
                <c:pt idx="403">
                  <c:v>98.68384277256888</c:v>
                </c:pt>
                <c:pt idx="404">
                  <c:v>98.556800569148919</c:v>
                </c:pt>
                <c:pt idx="405">
                  <c:v>98.686383616637301</c:v>
                </c:pt>
                <c:pt idx="406">
                  <c:v>98.495820311507345</c:v>
                </c:pt>
                <c:pt idx="407">
                  <c:v>98.681301928500517</c:v>
                </c:pt>
                <c:pt idx="408">
                  <c:v>98.610158294585347</c:v>
                </c:pt>
                <c:pt idx="409">
                  <c:v>98.54155550473854</c:v>
                </c:pt>
                <c:pt idx="410">
                  <c:v>98.546637192875338</c:v>
                </c:pt>
                <c:pt idx="411">
                  <c:v>98.528851284396538</c:v>
                </c:pt>
                <c:pt idx="412">
                  <c:v>98.638107579337714</c:v>
                </c:pt>
                <c:pt idx="413">
                  <c:v>98.516147064054536</c:v>
                </c:pt>
                <c:pt idx="414">
                  <c:v>98.709251213252898</c:v>
                </c:pt>
                <c:pt idx="415">
                  <c:v>98.640648423406105</c:v>
                </c:pt>
                <c:pt idx="416">
                  <c:v>98.650811799679701</c:v>
                </c:pt>
                <c:pt idx="417">
                  <c:v>98.742282186142077</c:v>
                </c:pt>
                <c:pt idx="418">
                  <c:v>98.691465304774084</c:v>
                </c:pt>
                <c:pt idx="419">
                  <c:v>98.650811799679673</c:v>
                </c:pt>
                <c:pt idx="420">
                  <c:v>98.615239982722073</c:v>
                </c:pt>
                <c:pt idx="421">
                  <c:v>98.625403358995683</c:v>
                </c:pt>
                <c:pt idx="422">
                  <c:v>98.61015829458529</c:v>
                </c:pt>
                <c:pt idx="423">
                  <c:v>98.676220240363676</c:v>
                </c:pt>
                <c:pt idx="424">
                  <c:v>98.584749853901286</c:v>
                </c:pt>
                <c:pt idx="425">
                  <c:v>98.594913230174896</c:v>
                </c:pt>
                <c:pt idx="426">
                  <c:v>98.612699138653682</c:v>
                </c:pt>
                <c:pt idx="427">
                  <c:v>98.539014660670091</c:v>
                </c:pt>
                <c:pt idx="428">
                  <c:v>98.561882257285689</c:v>
                </c:pt>
                <c:pt idx="429">
                  <c:v>98.546637192875295</c:v>
                </c:pt>
                <c:pt idx="430">
                  <c:v>98.4653301826865</c:v>
                </c:pt>
                <c:pt idx="431">
                  <c:v>98.4653301826865</c:v>
                </c:pt>
                <c:pt idx="432">
                  <c:v>98.427217521660523</c:v>
                </c:pt>
                <c:pt idx="433">
                  <c:v>98.711792057321261</c:v>
                </c:pt>
                <c:pt idx="434">
                  <c:v>98.406890769113332</c:v>
                </c:pt>
                <c:pt idx="435">
                  <c:v>98.353533043676933</c:v>
                </c:pt>
                <c:pt idx="436">
                  <c:v>98.368778108087326</c:v>
                </c:pt>
                <c:pt idx="437">
                  <c:v>98.38656401656614</c:v>
                </c:pt>
                <c:pt idx="438">
                  <c:v>98.399268236908114</c:v>
                </c:pt>
                <c:pt idx="439">
                  <c:v>98.399268236908114</c:v>
                </c:pt>
                <c:pt idx="440">
                  <c:v>98.399268236908114</c:v>
                </c:pt>
                <c:pt idx="441">
                  <c:v>98.378941484360922</c:v>
                </c:pt>
                <c:pt idx="442">
                  <c:v>98.485656935233706</c:v>
                </c:pt>
                <c:pt idx="443">
                  <c:v>98.353533043676933</c:v>
                </c:pt>
                <c:pt idx="444">
                  <c:v>98.521228752191291</c:v>
                </c:pt>
                <c:pt idx="445">
                  <c:v>98.399268236908114</c:v>
                </c:pt>
                <c:pt idx="446">
                  <c:v>98.541555504738497</c:v>
                </c:pt>
                <c:pt idx="447">
                  <c:v>98.422135833523726</c:v>
                </c:pt>
                <c:pt idx="448">
                  <c:v>98.457707650481325</c:v>
                </c:pt>
                <c:pt idx="449">
                  <c:v>98.445003430139323</c:v>
                </c:pt>
                <c:pt idx="450">
                  <c:v>98.411972457250144</c:v>
                </c:pt>
                <c:pt idx="451">
                  <c:v>98.40434992504494</c:v>
                </c:pt>
                <c:pt idx="452">
                  <c:v>98.358614731813745</c:v>
                </c:pt>
                <c:pt idx="453">
                  <c:v>98.376400640292545</c:v>
                </c:pt>
                <c:pt idx="454">
                  <c:v>98.343369667403365</c:v>
                </c:pt>
                <c:pt idx="455">
                  <c:v>98.328124602992972</c:v>
                </c:pt>
                <c:pt idx="456">
                  <c:v>98.312879538582578</c:v>
                </c:pt>
                <c:pt idx="457">
                  <c:v>98.437380897934162</c:v>
                </c:pt>
                <c:pt idx="458">
                  <c:v>98.345910511471772</c:v>
                </c:pt>
                <c:pt idx="459">
                  <c:v>98.368778108087355</c:v>
                </c:pt>
                <c:pt idx="460">
                  <c:v>98.368778108087355</c:v>
                </c:pt>
                <c:pt idx="461">
                  <c:v>98.363696419950571</c:v>
                </c:pt>
                <c:pt idx="462">
                  <c:v>98.381482328429371</c:v>
                </c:pt>
                <c:pt idx="463">
                  <c:v>98.401809080976548</c:v>
                </c:pt>
                <c:pt idx="464">
                  <c:v>98.450085118276149</c:v>
                </c:pt>
                <c:pt idx="465">
                  <c:v>98.394186548771359</c:v>
                </c:pt>
                <c:pt idx="466">
                  <c:v>98.371318952155775</c:v>
                </c:pt>
                <c:pt idx="467">
                  <c:v>98.384023172497763</c:v>
                </c:pt>
                <c:pt idx="468">
                  <c:v>98.500901999644142</c:v>
                </c:pt>
                <c:pt idx="469">
                  <c:v>98.330665447061378</c:v>
                </c:pt>
                <c:pt idx="470">
                  <c:v>98.394186548771359</c:v>
                </c:pt>
                <c:pt idx="471">
                  <c:v>98.363696419950571</c:v>
                </c:pt>
                <c:pt idx="472">
                  <c:v>98.345910511471786</c:v>
                </c:pt>
                <c:pt idx="473">
                  <c:v>98.343369667403394</c:v>
                </c:pt>
                <c:pt idx="474">
                  <c:v>98.488197779302169</c:v>
                </c:pt>
                <c:pt idx="475">
                  <c:v>98.373859796224195</c:v>
                </c:pt>
                <c:pt idx="476">
                  <c:v>98.353533043677004</c:v>
                </c:pt>
                <c:pt idx="477">
                  <c:v>98.391645704703009</c:v>
                </c:pt>
                <c:pt idx="478">
                  <c:v>98.422135833523797</c:v>
                </c:pt>
                <c:pt idx="479">
                  <c:v>98.389104860634589</c:v>
                </c:pt>
                <c:pt idx="480">
                  <c:v>98.424676677592174</c:v>
                </c:pt>
                <c:pt idx="481">
                  <c:v>98.422135833523782</c:v>
                </c:pt>
                <c:pt idx="482">
                  <c:v>98.422135833523782</c:v>
                </c:pt>
                <c:pt idx="483">
                  <c:v>98.495820311507359</c:v>
                </c:pt>
                <c:pt idx="484">
                  <c:v>98.493279467438953</c:v>
                </c:pt>
                <c:pt idx="485">
                  <c:v>98.648270955611324</c:v>
                </c:pt>
                <c:pt idx="486">
                  <c:v>98.810884975988898</c:v>
                </c:pt>
                <c:pt idx="487">
                  <c:v>98.831211728536104</c:v>
                </c:pt>
                <c:pt idx="488">
                  <c:v>98.887110298040881</c:v>
                </c:pt>
                <c:pt idx="489">
                  <c:v>98.953172243819267</c:v>
                </c:pt>
                <c:pt idx="490">
                  <c:v>99.031938409939642</c:v>
                </c:pt>
                <c:pt idx="491">
                  <c:v>99.128490484538816</c:v>
                </c:pt>
                <c:pt idx="492">
                  <c:v>99.31651294560038</c:v>
                </c:pt>
                <c:pt idx="493">
                  <c:v>99.507076250730336</c:v>
                </c:pt>
                <c:pt idx="494">
                  <c:v>100.61742510862094</c:v>
                </c:pt>
                <c:pt idx="495">
                  <c:v>100.61742510862094</c:v>
                </c:pt>
                <c:pt idx="496">
                  <c:v>101.18911502401083</c:v>
                </c:pt>
                <c:pt idx="497">
                  <c:v>101.44319943085078</c:v>
                </c:pt>
                <c:pt idx="498">
                  <c:v>102.20545265137063</c:v>
                </c:pt>
                <c:pt idx="499">
                  <c:v>102.30200472596982</c:v>
                </c:pt>
                <c:pt idx="500">
                  <c:v>101.82432604111072</c:v>
                </c:pt>
                <c:pt idx="501">
                  <c:v>100.56152653911616</c:v>
                </c:pt>
                <c:pt idx="502">
                  <c:v>100.33030972889181</c:v>
                </c:pt>
                <c:pt idx="503">
                  <c:v>100.19818583733503</c:v>
                </c:pt>
                <c:pt idx="504">
                  <c:v>100.19818583733503</c:v>
                </c:pt>
                <c:pt idx="505">
                  <c:v>100.11179713900944</c:v>
                </c:pt>
                <c:pt idx="506">
                  <c:v>99.855171888101083</c:v>
                </c:pt>
                <c:pt idx="507">
                  <c:v>100.25916609497659</c:v>
                </c:pt>
                <c:pt idx="508">
                  <c:v>100.2667886271818</c:v>
                </c:pt>
                <c:pt idx="509">
                  <c:v>100.34047310516539</c:v>
                </c:pt>
                <c:pt idx="510">
                  <c:v>100.37604492212299</c:v>
                </c:pt>
                <c:pt idx="511">
                  <c:v>100.51070965774817</c:v>
                </c:pt>
                <c:pt idx="512">
                  <c:v>101.58548669868118</c:v>
                </c:pt>
                <c:pt idx="513">
                  <c:v>100.63267017303137</c:v>
                </c:pt>
                <c:pt idx="514">
                  <c:v>100.73938562390416</c:v>
                </c:pt>
                <c:pt idx="515">
                  <c:v>100.75971237645136</c:v>
                </c:pt>
                <c:pt idx="516">
                  <c:v>100.75971237645136</c:v>
                </c:pt>
                <c:pt idx="517">
                  <c:v>100.74446731204095</c:v>
                </c:pt>
                <c:pt idx="518">
                  <c:v>101.53975150545</c:v>
                </c:pt>
                <c:pt idx="519">
                  <c:v>101.53975150545</c:v>
                </c:pt>
                <c:pt idx="520">
                  <c:v>101.5702416342708</c:v>
                </c:pt>
                <c:pt idx="521">
                  <c:v>100.73684477983578</c:v>
                </c:pt>
                <c:pt idx="522">
                  <c:v>101.57024163427081</c:v>
                </c:pt>
                <c:pt idx="523">
                  <c:v>101.63376273598081</c:v>
                </c:pt>
                <c:pt idx="524">
                  <c:v>101.50926137662924</c:v>
                </c:pt>
                <c:pt idx="525">
                  <c:v>101.66679370887002</c:v>
                </c:pt>
                <c:pt idx="526">
                  <c:v>101.7608049394008</c:v>
                </c:pt>
                <c:pt idx="527">
                  <c:v>101.82432604111078</c:v>
                </c:pt>
                <c:pt idx="528">
                  <c:v>101.7608049394008</c:v>
                </c:pt>
                <c:pt idx="529">
                  <c:v>101.7353964987168</c:v>
                </c:pt>
                <c:pt idx="530">
                  <c:v>101.92087811570997</c:v>
                </c:pt>
                <c:pt idx="531">
                  <c:v>101.95136824453076</c:v>
                </c:pt>
                <c:pt idx="532">
                  <c:v>101.88784714282076</c:v>
                </c:pt>
                <c:pt idx="533">
                  <c:v>101.83194857331597</c:v>
                </c:pt>
                <c:pt idx="534">
                  <c:v>101.77350915974279</c:v>
                </c:pt>
                <c:pt idx="535">
                  <c:v>101.77350915974277</c:v>
                </c:pt>
                <c:pt idx="536">
                  <c:v>101.69728383769078</c:v>
                </c:pt>
                <c:pt idx="537">
                  <c:v>101.64900780039119</c:v>
                </c:pt>
                <c:pt idx="538">
                  <c:v>100.96043905785493</c:v>
                </c:pt>
                <c:pt idx="539">
                  <c:v>100.86896867139255</c:v>
                </c:pt>
                <c:pt idx="540">
                  <c:v>100.79782503747735</c:v>
                </c:pt>
                <c:pt idx="541">
                  <c:v>100.76479406458814</c:v>
                </c:pt>
                <c:pt idx="542">
                  <c:v>101.50926137662921</c:v>
                </c:pt>
                <c:pt idx="543">
                  <c:v>101.50926137662921</c:v>
                </c:pt>
                <c:pt idx="544">
                  <c:v>100.72159971542536</c:v>
                </c:pt>
                <c:pt idx="545">
                  <c:v>100.75463068831455</c:v>
                </c:pt>
                <c:pt idx="546">
                  <c:v>100.75971237645135</c:v>
                </c:pt>
                <c:pt idx="547">
                  <c:v>100.9985517188809</c:v>
                </c:pt>
                <c:pt idx="548">
                  <c:v>100.74700815610935</c:v>
                </c:pt>
                <c:pt idx="549">
                  <c:v>100.71651802728856</c:v>
                </c:pt>
                <c:pt idx="550">
                  <c:v>100.67586452219417</c:v>
                </c:pt>
                <c:pt idx="551">
                  <c:v>100.54628147470579</c:v>
                </c:pt>
                <c:pt idx="552">
                  <c:v>100.44210686790142</c:v>
                </c:pt>
                <c:pt idx="553">
                  <c:v>100.21343090174545</c:v>
                </c:pt>
                <c:pt idx="554">
                  <c:v>100.08384785425707</c:v>
                </c:pt>
                <c:pt idx="555">
                  <c:v>99.994918311863088</c:v>
                </c:pt>
                <c:pt idx="556">
                  <c:v>99.984754935589493</c:v>
                </c:pt>
                <c:pt idx="557">
                  <c:v>99.921233833879498</c:v>
                </c:pt>
                <c:pt idx="558">
                  <c:v>99.94410143049511</c:v>
                </c:pt>
                <c:pt idx="559">
                  <c:v>99.982214091521101</c:v>
                </c:pt>
                <c:pt idx="560">
                  <c:v>100.07368447798349</c:v>
                </c:pt>
                <c:pt idx="561">
                  <c:v>100.18548161699307</c:v>
                </c:pt>
                <c:pt idx="562">
                  <c:v>100.25662525090826</c:v>
                </c:pt>
                <c:pt idx="563">
                  <c:v>100.25662525090826</c:v>
                </c:pt>
                <c:pt idx="564">
                  <c:v>100.51070965774822</c:v>
                </c:pt>
                <c:pt idx="565">
                  <c:v>100.52341387809022</c:v>
                </c:pt>
                <c:pt idx="566">
                  <c:v>99.961887338973924</c:v>
                </c:pt>
                <c:pt idx="567">
                  <c:v>99.961887338973938</c:v>
                </c:pt>
                <c:pt idx="568">
                  <c:v>99.535025535482831</c:v>
                </c:pt>
                <c:pt idx="569">
                  <c:v>99.535025535482831</c:v>
                </c:pt>
                <c:pt idx="570">
                  <c:v>99.489290342251635</c:v>
                </c:pt>
                <c:pt idx="571">
                  <c:v>99.491831186320042</c:v>
                </c:pt>
                <c:pt idx="572">
                  <c:v>99.667149427039604</c:v>
                </c:pt>
                <c:pt idx="573">
                  <c:v>99.855171888101182</c:v>
                </c:pt>
                <c:pt idx="574">
                  <c:v>99.557893132098428</c:v>
                </c:pt>
                <c:pt idx="575">
                  <c:v>99.550270599893238</c:v>
                </c:pt>
                <c:pt idx="576">
                  <c:v>99.550270599893238</c:v>
                </c:pt>
                <c:pt idx="577">
                  <c:v>99.55281144396163</c:v>
                </c:pt>
                <c:pt idx="578">
                  <c:v>99.496912874456839</c:v>
                </c:pt>
                <c:pt idx="579">
                  <c:v>99.491831186320056</c:v>
                </c:pt>
                <c:pt idx="580">
                  <c:v>99.372411515105284</c:v>
                </c:pt>
                <c:pt idx="581">
                  <c:v>99.372411515105284</c:v>
                </c:pt>
                <c:pt idx="582">
                  <c:v>99.428310084610075</c:v>
                </c:pt>
                <c:pt idx="583">
                  <c:v>99.4029016439261</c:v>
                </c:pt>
                <c:pt idx="584">
                  <c:v>99.382574891378894</c:v>
                </c:pt>
                <c:pt idx="585">
                  <c:v>99.349543918489701</c:v>
                </c:pt>
                <c:pt idx="586">
                  <c:v>99.545188911756455</c:v>
                </c:pt>
                <c:pt idx="587">
                  <c:v>99.367329826968486</c:v>
                </c:pt>
                <c:pt idx="588">
                  <c:v>99.36478898290008</c:v>
                </c:pt>
                <c:pt idx="589">
                  <c:v>99.326676321874089</c:v>
                </c:pt>
                <c:pt idx="590">
                  <c:v>99.2656960642325</c:v>
                </c:pt>
                <c:pt idx="591">
                  <c:v>99.415605864268073</c:v>
                </c:pt>
                <c:pt idx="592">
                  <c:v>99.321594633737291</c:v>
                </c:pt>
                <c:pt idx="593">
                  <c:v>99.222501715069711</c:v>
                </c:pt>
                <c:pt idx="594">
                  <c:v>99.222501715069711</c:v>
                </c:pt>
                <c:pt idx="595">
                  <c:v>98.981121528571762</c:v>
                </c:pt>
                <c:pt idx="596">
                  <c:v>98.981121528571762</c:v>
                </c:pt>
                <c:pt idx="597">
                  <c:v>99.17676652183853</c:v>
                </c:pt>
                <c:pt idx="598">
                  <c:v>99.17676652183853</c:v>
                </c:pt>
                <c:pt idx="599">
                  <c:v>99.17676652183853</c:v>
                </c:pt>
                <c:pt idx="600">
                  <c:v>99.077673603170965</c:v>
                </c:pt>
                <c:pt idx="601">
                  <c:v>99.077673603170965</c:v>
                </c:pt>
                <c:pt idx="602">
                  <c:v>98.943008867545785</c:v>
                </c:pt>
                <c:pt idx="603">
                  <c:v>98.955713087887773</c:v>
                </c:pt>
                <c:pt idx="604">
                  <c:v>98.955713087887773</c:v>
                </c:pt>
                <c:pt idx="605">
                  <c:v>98.909977894656592</c:v>
                </c:pt>
                <c:pt idx="606">
                  <c:v>98.902355362451402</c:v>
                </c:pt>
                <c:pt idx="607">
                  <c:v>98.902355362451402</c:v>
                </c:pt>
                <c:pt idx="608">
                  <c:v>98.965876464161397</c:v>
                </c:pt>
                <c:pt idx="609">
                  <c:v>98.605076606448662</c:v>
                </c:pt>
                <c:pt idx="610">
                  <c:v>98.965876464161397</c:v>
                </c:pt>
                <c:pt idx="611">
                  <c:v>98.315420382651112</c:v>
                </c:pt>
                <c:pt idx="612">
                  <c:v>98.160428894478741</c:v>
                </c:pt>
                <c:pt idx="613">
                  <c:v>98.127397921589534</c:v>
                </c:pt>
                <c:pt idx="614">
                  <c:v>97.802169880834398</c:v>
                </c:pt>
                <c:pt idx="615">
                  <c:v>98.203623243641516</c:v>
                </c:pt>
                <c:pt idx="616">
                  <c:v>97.680209365551207</c:v>
                </c:pt>
                <c:pt idx="617">
                  <c:v>97.680209365551207</c:v>
                </c:pt>
                <c:pt idx="618">
                  <c:v>97.680209365551207</c:v>
                </c:pt>
                <c:pt idx="619">
                  <c:v>97.680209365551207</c:v>
                </c:pt>
                <c:pt idx="620">
                  <c:v>97.680209365551207</c:v>
                </c:pt>
                <c:pt idx="621">
                  <c:v>97.680209365551207</c:v>
                </c:pt>
                <c:pt idx="622">
                  <c:v>97.553167162131231</c:v>
                </c:pt>
                <c:pt idx="623">
                  <c:v>97.553167162131231</c:v>
                </c:pt>
                <c:pt idx="624">
                  <c:v>97.553167162131231</c:v>
                </c:pt>
                <c:pt idx="625">
                  <c:v>97.553167162131231</c:v>
                </c:pt>
                <c:pt idx="626">
                  <c:v>97.441370023121664</c:v>
                </c:pt>
                <c:pt idx="627">
                  <c:v>97.370226389206479</c:v>
                </c:pt>
                <c:pt idx="628">
                  <c:v>97.339736260385692</c:v>
                </c:pt>
                <c:pt idx="629">
                  <c:v>97.441370023121664</c:v>
                </c:pt>
                <c:pt idx="630">
                  <c:v>97.377848921411683</c:v>
                </c:pt>
                <c:pt idx="631">
                  <c:v>97.43628833498488</c:v>
                </c:pt>
                <c:pt idx="632">
                  <c:v>97.372767233274885</c:v>
                </c:pt>
                <c:pt idx="633">
                  <c:v>97.507431968900065</c:v>
                </c:pt>
                <c:pt idx="634">
                  <c:v>97.639555860456838</c:v>
                </c:pt>
                <c:pt idx="635">
                  <c:v>97.680209365551235</c:v>
                </c:pt>
                <c:pt idx="636">
                  <c:v>97.441370023121678</c:v>
                </c:pt>
                <c:pt idx="637">
                  <c:v>97.94953883680158</c:v>
                </c:pt>
                <c:pt idx="638">
                  <c:v>98.096907792768747</c:v>
                </c:pt>
                <c:pt idx="639">
                  <c:v>97.980028965622381</c:v>
                </c:pt>
                <c:pt idx="640">
                  <c:v>97.896181111365209</c:v>
                </c:pt>
                <c:pt idx="641">
                  <c:v>97.799629036766035</c:v>
                </c:pt>
                <c:pt idx="642">
                  <c:v>97.949538836801594</c:v>
                </c:pt>
                <c:pt idx="643">
                  <c:v>97.687831897756453</c:v>
                </c:pt>
                <c:pt idx="644">
                  <c:v>97.903803643570399</c:v>
                </c:pt>
                <c:pt idx="645">
                  <c:v>97.697995274030049</c:v>
                </c:pt>
                <c:pt idx="646">
                  <c:v>97.685291053688061</c:v>
                </c:pt>
                <c:pt idx="647">
                  <c:v>97.695454429961657</c:v>
                </c:pt>
                <c:pt idx="648">
                  <c:v>97.596361511294077</c:v>
                </c:pt>
                <c:pt idx="649">
                  <c:v>97.616688263841269</c:v>
                </c:pt>
                <c:pt idx="650">
                  <c:v>97.522677033310487</c:v>
                </c:pt>
                <c:pt idx="651">
                  <c:v>97.441370023121692</c:v>
                </c:pt>
                <c:pt idx="652">
                  <c:v>97.54554462992607</c:v>
                </c:pt>
                <c:pt idx="653">
                  <c:v>97.603984043499239</c:v>
                </c:pt>
                <c:pt idx="654">
                  <c:v>97.598902355362441</c:v>
                </c:pt>
                <c:pt idx="655">
                  <c:v>97.558248850268043</c:v>
                </c:pt>
                <c:pt idx="656">
                  <c:v>97.598902355362441</c:v>
                </c:pt>
                <c:pt idx="657">
                  <c:v>97.62685164011485</c:v>
                </c:pt>
                <c:pt idx="658">
                  <c:v>97.525217877378864</c:v>
                </c:pt>
                <c:pt idx="659">
                  <c:v>97.525217877378864</c:v>
                </c:pt>
                <c:pt idx="660">
                  <c:v>97.543003785857664</c:v>
                </c:pt>
                <c:pt idx="661">
                  <c:v>97.502350280763295</c:v>
                </c:pt>
                <c:pt idx="662">
                  <c:v>97.553167162131288</c:v>
                </c:pt>
                <c:pt idx="663">
                  <c:v>97.509972812968499</c:v>
                </c:pt>
                <c:pt idx="664">
                  <c:v>97.527758721447299</c:v>
                </c:pt>
                <c:pt idx="665">
                  <c:v>97.527758721447285</c:v>
                </c:pt>
                <c:pt idx="666">
                  <c:v>97.522677033310487</c:v>
                </c:pt>
                <c:pt idx="667">
                  <c:v>97.454074243463708</c:v>
                </c:pt>
                <c:pt idx="668">
                  <c:v>97.4566150875321</c:v>
                </c:pt>
                <c:pt idx="669">
                  <c:v>97.576034758746871</c:v>
                </c:pt>
                <c:pt idx="670">
                  <c:v>97.487105216352887</c:v>
                </c:pt>
                <c:pt idx="671">
                  <c:v>97.441370023121692</c:v>
                </c:pt>
                <c:pt idx="672">
                  <c:v>97.46423761973729</c:v>
                </c:pt>
                <c:pt idx="673">
                  <c:v>97.461696775668884</c:v>
                </c:pt>
                <c:pt idx="674">
                  <c:v>97.520136189242081</c:v>
                </c:pt>
                <c:pt idx="675">
                  <c:v>97.456615087532086</c:v>
                </c:pt>
                <c:pt idx="676">
                  <c:v>97.441370023121678</c:v>
                </c:pt>
                <c:pt idx="677">
                  <c:v>97.339736260385692</c:v>
                </c:pt>
                <c:pt idx="678">
                  <c:v>97.382930609548481</c:v>
                </c:pt>
                <c:pt idx="679">
                  <c:v>97.306705287496513</c:v>
                </c:pt>
                <c:pt idx="680">
                  <c:v>97.441370023121678</c:v>
                </c:pt>
                <c:pt idx="681">
                  <c:v>97.060243412861752</c:v>
                </c:pt>
                <c:pt idx="682">
                  <c:v>97.217775745102529</c:v>
                </c:pt>
                <c:pt idx="683">
                  <c:v>97.268592626470522</c:v>
                </c:pt>
                <c:pt idx="684">
                  <c:v>97.16695886373455</c:v>
                </c:pt>
                <c:pt idx="685">
                  <c:v>97.123764514571761</c:v>
                </c:pt>
                <c:pt idx="686">
                  <c:v>97.306705287496527</c:v>
                </c:pt>
                <c:pt idx="687">
                  <c:v>97.192367304418525</c:v>
                </c:pt>
                <c:pt idx="688">
                  <c:v>97.215234901034137</c:v>
                </c:pt>
                <c:pt idx="689">
                  <c:v>97.233020809512936</c:v>
                </c:pt>
                <c:pt idx="690">
                  <c:v>97.225398277307733</c:v>
                </c:pt>
                <c:pt idx="691">
                  <c:v>97.123764514571747</c:v>
                </c:pt>
                <c:pt idx="692">
                  <c:v>97.25588840612852</c:v>
                </c:pt>
                <c:pt idx="693">
                  <c:v>97.187285616281741</c:v>
                </c:pt>
                <c:pt idx="694">
                  <c:v>97.301623599359715</c:v>
                </c:pt>
                <c:pt idx="695">
                  <c:v>97.18474477221335</c:v>
                </c:pt>
                <c:pt idx="696">
                  <c:v>97.250806717991736</c:v>
                </c:pt>
                <c:pt idx="697">
                  <c:v>97.433747490916502</c:v>
                </c:pt>
                <c:pt idx="698">
                  <c:v>97.344817948522504</c:v>
                </c:pt>
                <c:pt idx="699">
                  <c:v>97.060243412861766</c:v>
                </c:pt>
                <c:pt idx="700">
                  <c:v>97.299082755291323</c:v>
                </c:pt>
                <c:pt idx="701">
                  <c:v>97.210153212897339</c:v>
                </c:pt>
                <c:pt idx="702">
                  <c:v>97.27621515867574</c:v>
                </c:pt>
                <c:pt idx="703">
                  <c:v>97.42866580277969</c:v>
                </c:pt>
                <c:pt idx="704">
                  <c:v>97.27621515867574</c:v>
                </c:pt>
                <c:pt idx="705">
                  <c:v>97.314327819701731</c:v>
                </c:pt>
                <c:pt idx="706">
                  <c:v>97.433747490916517</c:v>
                </c:pt>
                <c:pt idx="707">
                  <c:v>97.24064334171814</c:v>
                </c:pt>
                <c:pt idx="708">
                  <c:v>97.250806717991736</c:v>
                </c:pt>
                <c:pt idx="709">
                  <c:v>97.192367304418553</c:v>
                </c:pt>
                <c:pt idx="710">
                  <c:v>97.248265873923344</c:v>
                </c:pt>
                <c:pt idx="711">
                  <c:v>97.400716518027309</c:v>
                </c:pt>
                <c:pt idx="712">
                  <c:v>97.253347562060142</c:v>
                </c:pt>
                <c:pt idx="713">
                  <c:v>97.207612368828947</c:v>
                </c:pt>
                <c:pt idx="714">
                  <c:v>97.207612368828947</c:v>
                </c:pt>
                <c:pt idx="715">
                  <c:v>97.25080671799175</c:v>
                </c:pt>
                <c:pt idx="716">
                  <c:v>97.199989836623772</c:v>
                </c:pt>
                <c:pt idx="717">
                  <c:v>97.233020809512965</c:v>
                </c:pt>
                <c:pt idx="718">
                  <c:v>97.205071524760569</c:v>
                </c:pt>
                <c:pt idx="719">
                  <c:v>97.255888406128562</c:v>
                </c:pt>
                <c:pt idx="720">
                  <c:v>97.230479965444573</c:v>
                </c:pt>
                <c:pt idx="721">
                  <c:v>97.182203928144986</c:v>
                </c:pt>
                <c:pt idx="722">
                  <c:v>97.210153212897367</c:v>
                </c:pt>
                <c:pt idx="723">
                  <c:v>97.187285616281784</c:v>
                </c:pt>
                <c:pt idx="724">
                  <c:v>97.194908148486974</c:v>
                </c:pt>
                <c:pt idx="725">
                  <c:v>97.189826460350176</c:v>
                </c:pt>
                <c:pt idx="726">
                  <c:v>97.197448992555394</c:v>
                </c:pt>
                <c:pt idx="727">
                  <c:v>97.327032040043761</c:v>
                </c:pt>
                <c:pt idx="728">
                  <c:v>97.238102497649777</c:v>
                </c:pt>
                <c:pt idx="729">
                  <c:v>97.258429250196968</c:v>
                </c:pt>
                <c:pt idx="730">
                  <c:v>97.217775745102585</c:v>
                </c:pt>
                <c:pt idx="731">
                  <c:v>97.243184185786589</c:v>
                </c:pt>
                <c:pt idx="732">
                  <c:v>97.225398277307775</c:v>
                </c:pt>
                <c:pt idx="733">
                  <c:v>97.314327819701759</c:v>
                </c:pt>
                <c:pt idx="734">
                  <c:v>97.199989836623772</c:v>
                </c:pt>
                <c:pt idx="735">
                  <c:v>97.205071524760569</c:v>
                </c:pt>
                <c:pt idx="736">
                  <c:v>97.182203928144986</c:v>
                </c:pt>
                <c:pt idx="737">
                  <c:v>97.197448992555394</c:v>
                </c:pt>
                <c:pt idx="738">
                  <c:v>97.215234901034179</c:v>
                </c:pt>
                <c:pt idx="739">
                  <c:v>97.192367304418568</c:v>
                </c:pt>
                <c:pt idx="740">
                  <c:v>97.314327819701745</c:v>
                </c:pt>
                <c:pt idx="741">
                  <c:v>97.131387046776979</c:v>
                </c:pt>
                <c:pt idx="742">
                  <c:v>97.090733541682596</c:v>
                </c:pt>
                <c:pt idx="743">
                  <c:v>96.989099778946624</c:v>
                </c:pt>
                <c:pt idx="744">
                  <c:v>97.441370023121721</c:v>
                </c:pt>
                <c:pt idx="745">
                  <c:v>96.925578677236629</c:v>
                </c:pt>
                <c:pt idx="746">
                  <c:v>97.072947633203782</c:v>
                </c:pt>
                <c:pt idx="747">
                  <c:v>97.072947633203782</c:v>
                </c:pt>
                <c:pt idx="748">
                  <c:v>96.958609650125808</c:v>
                </c:pt>
                <c:pt idx="749">
                  <c:v>96.884925172142218</c:v>
                </c:pt>
                <c:pt idx="750">
                  <c:v>96.836649134842617</c:v>
                </c:pt>
                <c:pt idx="751">
                  <c:v>96.836649134842617</c:v>
                </c:pt>
                <c:pt idx="752">
                  <c:v>96.915415300963005</c:v>
                </c:pt>
                <c:pt idx="753">
                  <c:v>96.854435043321416</c:v>
                </c:pt>
                <c:pt idx="754">
                  <c:v>96.867139263663418</c:v>
                </c:pt>
                <c:pt idx="755">
                  <c:v>96.856975887389822</c:v>
                </c:pt>
                <c:pt idx="756">
                  <c:v>96.841730822979414</c:v>
                </c:pt>
                <c:pt idx="757">
                  <c:v>96.933201209441791</c:v>
                </c:pt>
                <c:pt idx="758">
                  <c:v>96.945905429783792</c:v>
                </c:pt>
                <c:pt idx="759">
                  <c:v>96.973854714536202</c:v>
                </c:pt>
                <c:pt idx="760">
                  <c:v>97.014508219630585</c:v>
                </c:pt>
                <c:pt idx="761">
                  <c:v>97.019589907767383</c:v>
                </c:pt>
                <c:pt idx="762">
                  <c:v>97.001803999288583</c:v>
                </c:pt>
                <c:pt idx="763">
                  <c:v>96.984018090809784</c:v>
                </c:pt>
                <c:pt idx="764">
                  <c:v>96.933201209441791</c:v>
                </c:pt>
                <c:pt idx="765">
                  <c:v>96.95098711792059</c:v>
                </c:pt>
                <c:pt idx="766">
                  <c:v>96.928119521305007</c:v>
                </c:pt>
                <c:pt idx="767">
                  <c:v>96.925578677236601</c:v>
                </c:pt>
                <c:pt idx="768">
                  <c:v>96.933201209441791</c:v>
                </c:pt>
                <c:pt idx="769">
                  <c:v>96.945905429783792</c:v>
                </c:pt>
                <c:pt idx="770">
                  <c:v>96.923037833168195</c:v>
                </c:pt>
                <c:pt idx="771">
                  <c:v>96.925578677236601</c:v>
                </c:pt>
                <c:pt idx="772">
                  <c:v>96.923037833168195</c:v>
                </c:pt>
                <c:pt idx="773">
                  <c:v>96.895088548415814</c:v>
                </c:pt>
                <c:pt idx="774">
                  <c:v>96.897629392484205</c:v>
                </c:pt>
                <c:pt idx="775">
                  <c:v>96.897629392484205</c:v>
                </c:pt>
                <c:pt idx="776">
                  <c:v>96.945905429783792</c:v>
                </c:pt>
                <c:pt idx="777">
                  <c:v>96.945905429783792</c:v>
                </c:pt>
                <c:pt idx="778">
                  <c:v>96.806159006021815</c:v>
                </c:pt>
                <c:pt idx="779">
                  <c:v>96.905251924689395</c:v>
                </c:pt>
                <c:pt idx="780">
                  <c:v>96.8595167314582</c:v>
                </c:pt>
                <c:pt idx="781">
                  <c:v>96.844271667047806</c:v>
                </c:pt>
                <c:pt idx="782">
                  <c:v>96.762964656859026</c:v>
                </c:pt>
                <c:pt idx="783">
                  <c:v>96.806159006021829</c:v>
                </c:pt>
                <c:pt idx="784">
                  <c:v>96.404705643214712</c:v>
                </c:pt>
                <c:pt idx="785">
                  <c:v>96.549533755113487</c:v>
                </c:pt>
                <c:pt idx="786">
                  <c:v>96.270040907589532</c:v>
                </c:pt>
                <c:pt idx="787">
                  <c:v>96.351347917778327</c:v>
                </c:pt>
                <c:pt idx="788">
                  <c:v>96.806159006021844</c:v>
                </c:pt>
                <c:pt idx="789">
                  <c:v>96.297990192341942</c:v>
                </c:pt>
                <c:pt idx="790">
                  <c:v>96.315776100820742</c:v>
                </c:pt>
                <c:pt idx="791">
                  <c:v>96.262418375384343</c:v>
                </c:pt>
                <c:pt idx="792">
                  <c:v>96.262418375384343</c:v>
                </c:pt>
                <c:pt idx="793">
                  <c:v>96.262418375384343</c:v>
                </c:pt>
                <c:pt idx="794">
                  <c:v>96.323398633025931</c:v>
                </c:pt>
                <c:pt idx="795">
                  <c:v>96.206519805879552</c:v>
                </c:pt>
                <c:pt idx="796">
                  <c:v>96.305612724547117</c:v>
                </c:pt>
                <c:pt idx="797">
                  <c:v>96.155702924511559</c:v>
                </c:pt>
                <c:pt idx="798">
                  <c:v>96.297990192341928</c:v>
                </c:pt>
                <c:pt idx="799">
                  <c:v>96.046446629570369</c:v>
                </c:pt>
                <c:pt idx="800">
                  <c:v>95.96768046344998</c:v>
                </c:pt>
                <c:pt idx="801">
                  <c:v>95.965139619381574</c:v>
                </c:pt>
                <c:pt idx="802">
                  <c:v>96.036283253296759</c:v>
                </c:pt>
                <c:pt idx="803">
                  <c:v>96.013415656681161</c:v>
                </c:pt>
                <c:pt idx="804">
                  <c:v>95.934649490560773</c:v>
                </c:pt>
                <c:pt idx="805">
                  <c:v>95.77457631425159</c:v>
                </c:pt>
                <c:pt idx="806">
                  <c:v>95.960057931244748</c:v>
                </c:pt>
                <c:pt idx="807">
                  <c:v>95.746627029499194</c:v>
                </c:pt>
                <c:pt idx="808">
                  <c:v>95.965139619381546</c:v>
                </c:pt>
                <c:pt idx="809">
                  <c:v>95.662779175242008</c:v>
                </c:pt>
                <c:pt idx="810">
                  <c:v>95.744086185430803</c:v>
                </c:pt>
                <c:pt idx="811">
                  <c:v>95.782198846456808</c:v>
                </c:pt>
                <c:pt idx="812">
                  <c:v>96.003252280407551</c:v>
                </c:pt>
                <c:pt idx="813">
                  <c:v>95.769494626114792</c:v>
                </c:pt>
                <c:pt idx="814">
                  <c:v>95.792362222730389</c:v>
                </c:pt>
                <c:pt idx="815">
                  <c:v>95.789821378661983</c:v>
                </c:pt>
                <c:pt idx="816">
                  <c:v>95.759331249841182</c:v>
                </c:pt>
                <c:pt idx="817">
                  <c:v>95.787280534593577</c:v>
                </c:pt>
                <c:pt idx="818">
                  <c:v>96.008333968544349</c:v>
                </c:pt>
                <c:pt idx="819">
                  <c:v>95.939731178697556</c:v>
                </c:pt>
                <c:pt idx="820">
                  <c:v>95.868587544782372</c:v>
                </c:pt>
                <c:pt idx="821">
                  <c:v>95.863505856645588</c:v>
                </c:pt>
                <c:pt idx="822">
                  <c:v>95.89399598546639</c:v>
                </c:pt>
                <c:pt idx="823">
                  <c:v>95.85842416850879</c:v>
                </c:pt>
                <c:pt idx="824">
                  <c:v>95.901618517671594</c:v>
                </c:pt>
                <c:pt idx="825">
                  <c:v>95.927026958355597</c:v>
                </c:pt>
                <c:pt idx="826">
                  <c:v>95.927026958355597</c:v>
                </c:pt>
                <c:pt idx="827">
                  <c:v>95.906700205808392</c:v>
                </c:pt>
                <c:pt idx="828">
                  <c:v>95.888914297329606</c:v>
                </c:pt>
                <c:pt idx="829">
                  <c:v>95.916863582082001</c:v>
                </c:pt>
                <c:pt idx="830">
                  <c:v>95.916863582082001</c:v>
                </c:pt>
                <c:pt idx="831">
                  <c:v>95.916863582082001</c:v>
                </c:pt>
                <c:pt idx="832">
                  <c:v>95.871128388850806</c:v>
                </c:pt>
                <c:pt idx="833">
                  <c:v>95.840638260030005</c:v>
                </c:pt>
                <c:pt idx="834">
                  <c:v>95.881291765124402</c:v>
                </c:pt>
                <c:pt idx="835">
                  <c:v>95.835556571893207</c:v>
                </c:pt>
                <c:pt idx="836">
                  <c:v>95.927026958355597</c:v>
                </c:pt>
                <c:pt idx="837">
                  <c:v>95.830474883756409</c:v>
                </c:pt>
                <c:pt idx="838">
                  <c:v>95.848260792235209</c:v>
                </c:pt>
                <c:pt idx="839">
                  <c:v>95.779658002388402</c:v>
                </c:pt>
                <c:pt idx="840">
                  <c:v>95.7847396905252</c:v>
                </c:pt>
                <c:pt idx="841">
                  <c:v>95.916863582081973</c:v>
                </c:pt>
                <c:pt idx="842">
                  <c:v>95.655156643036833</c:v>
                </c:pt>
                <c:pt idx="843">
                  <c:v>95.617043982010827</c:v>
                </c:pt>
                <c:pt idx="844">
                  <c:v>95.550982036232455</c:v>
                </c:pt>
                <c:pt idx="845">
                  <c:v>95.467134181975268</c:v>
                </c:pt>
                <c:pt idx="846">
                  <c:v>95.467134181975283</c:v>
                </c:pt>
                <c:pt idx="847">
                  <c:v>95.329928602281711</c:v>
                </c:pt>
                <c:pt idx="848">
                  <c:v>95.149528673425337</c:v>
                </c:pt>
                <c:pt idx="849">
                  <c:v>95.068221663236542</c:v>
                </c:pt>
                <c:pt idx="850">
                  <c:v>94.979292120842544</c:v>
                </c:pt>
                <c:pt idx="851">
                  <c:v>94.979292120842558</c:v>
                </c:pt>
                <c:pt idx="852">
                  <c:v>94.669309144497817</c:v>
                </c:pt>
                <c:pt idx="853">
                  <c:v>94.615951419061432</c:v>
                </c:pt>
                <c:pt idx="854">
                  <c:v>94.47620499529944</c:v>
                </c:pt>
                <c:pt idx="855">
                  <c:v>94.476204995299426</c:v>
                </c:pt>
                <c:pt idx="856">
                  <c:v>94.407602205452648</c:v>
                </c:pt>
                <c:pt idx="857">
                  <c:v>94.36694870035825</c:v>
                </c:pt>
                <c:pt idx="858">
                  <c:v>94.36694870035825</c:v>
                </c:pt>
                <c:pt idx="859">
                  <c:v>94.313590974921851</c:v>
                </c:pt>
                <c:pt idx="860">
                  <c:v>94.209416368117459</c:v>
                </c:pt>
                <c:pt idx="861">
                  <c:v>94.209416368117473</c:v>
                </c:pt>
                <c:pt idx="862">
                  <c:v>94.123027669791895</c:v>
                </c:pt>
                <c:pt idx="863">
                  <c:v>94.011230530782314</c:v>
                </c:pt>
                <c:pt idx="864">
                  <c:v>93.828289757857533</c:v>
                </c:pt>
                <c:pt idx="865">
                  <c:v>93.759686968010755</c:v>
                </c:pt>
                <c:pt idx="866">
                  <c:v>93.630103920522387</c:v>
                </c:pt>
                <c:pt idx="867">
                  <c:v>93.660594049343189</c:v>
                </c:pt>
                <c:pt idx="868">
                  <c:v>93.663134893411581</c:v>
                </c:pt>
                <c:pt idx="869">
                  <c:v>93.701247554437572</c:v>
                </c:pt>
                <c:pt idx="870">
                  <c:v>93.630103920522401</c:v>
                </c:pt>
                <c:pt idx="871">
                  <c:v>93.513225093376022</c:v>
                </c:pt>
                <c:pt idx="872">
                  <c:v>93.556419442538811</c:v>
                </c:pt>
                <c:pt idx="873">
                  <c:v>93.470030744213233</c:v>
                </c:pt>
                <c:pt idx="874">
                  <c:v>93.495439184897236</c:v>
                </c:pt>
                <c:pt idx="875">
                  <c:v>93.505602561170832</c:v>
                </c:pt>
                <c:pt idx="876">
                  <c:v>93.436999771324054</c:v>
                </c:pt>
                <c:pt idx="877">
                  <c:v>93.515765937444428</c:v>
                </c:pt>
                <c:pt idx="878">
                  <c:v>93.548796910333621</c:v>
                </c:pt>
                <c:pt idx="879">
                  <c:v>93.59199125949641</c:v>
                </c:pt>
                <c:pt idx="880">
                  <c:v>93.637726452727577</c:v>
                </c:pt>
                <c:pt idx="881">
                  <c:v>93.635185608659171</c:v>
                </c:pt>
                <c:pt idx="882">
                  <c:v>93.652971517137971</c:v>
                </c:pt>
                <c:pt idx="883">
                  <c:v>93.640267296795997</c:v>
                </c:pt>
                <c:pt idx="884">
                  <c:v>93.637726452727591</c:v>
                </c:pt>
                <c:pt idx="885">
                  <c:v>93.6173997001804</c:v>
                </c:pt>
                <c:pt idx="886">
                  <c:v>93.614858856112008</c:v>
                </c:pt>
                <c:pt idx="887">
                  <c:v>93.60977716797521</c:v>
                </c:pt>
                <c:pt idx="888">
                  <c:v>93.548796910333607</c:v>
                </c:pt>
                <c:pt idx="889">
                  <c:v>93.518306781512806</c:v>
                </c:pt>
                <c:pt idx="890">
                  <c:v>93.556419442538783</c:v>
                </c:pt>
                <c:pt idx="891">
                  <c:v>93.518306781512806</c:v>
                </c:pt>
                <c:pt idx="892">
                  <c:v>93.551337754401999</c:v>
                </c:pt>
                <c:pt idx="893">
                  <c:v>93.541174378128389</c:v>
                </c:pt>
                <c:pt idx="894">
                  <c:v>93.520847625581197</c:v>
                </c:pt>
                <c:pt idx="895">
                  <c:v>93.523388469649603</c:v>
                </c:pt>
                <c:pt idx="896">
                  <c:v>93.485275808623612</c:v>
                </c:pt>
                <c:pt idx="897">
                  <c:v>93.569123662880784</c:v>
                </c:pt>
                <c:pt idx="898">
                  <c:v>93.533551845923185</c:v>
                </c:pt>
                <c:pt idx="899">
                  <c:v>93.518306781512777</c:v>
                </c:pt>
                <c:pt idx="900">
                  <c:v>93.475112432349988</c:v>
                </c:pt>
                <c:pt idx="901">
                  <c:v>93.515765937444399</c:v>
                </c:pt>
                <c:pt idx="902">
                  <c:v>93.553878598470391</c:v>
                </c:pt>
                <c:pt idx="903">
                  <c:v>93.449703991666027</c:v>
                </c:pt>
                <c:pt idx="904">
                  <c:v>93.368396981477247</c:v>
                </c:pt>
                <c:pt idx="905">
                  <c:v>93.368396981477247</c:v>
                </c:pt>
                <c:pt idx="906">
                  <c:v>93.322661788246052</c:v>
                </c:pt>
                <c:pt idx="907">
                  <c:v>93.279467439083248</c:v>
                </c:pt>
                <c:pt idx="908">
                  <c:v>93.345529384861621</c:v>
                </c:pt>
                <c:pt idx="909">
                  <c:v>93.170211144142044</c:v>
                </c:pt>
                <c:pt idx="910">
                  <c:v>93.18291536448406</c:v>
                </c:pt>
                <c:pt idx="911">
                  <c:v>93.312498411972442</c:v>
                </c:pt>
                <c:pt idx="912">
                  <c:v>93.139721015321271</c:v>
                </c:pt>
                <c:pt idx="913">
                  <c:v>93.210864649236456</c:v>
                </c:pt>
                <c:pt idx="914">
                  <c:v>92.977106994943696</c:v>
                </c:pt>
                <c:pt idx="915">
                  <c:v>93.167670300073667</c:v>
                </c:pt>
                <c:pt idx="916">
                  <c:v>93.221028025510051</c:v>
                </c:pt>
                <c:pt idx="917">
                  <c:v>92.982188683080494</c:v>
                </c:pt>
                <c:pt idx="918">
                  <c:v>92.961861930533303</c:v>
                </c:pt>
                <c:pt idx="919">
                  <c:v>93.177833676347262</c:v>
                </c:pt>
                <c:pt idx="920">
                  <c:v>93.132098483116081</c:v>
                </c:pt>
                <c:pt idx="921">
                  <c:v>93.045709784790489</c:v>
                </c:pt>
                <c:pt idx="922">
                  <c:v>93.154966079731679</c:v>
                </c:pt>
                <c:pt idx="923">
                  <c:v>93.045709784790489</c:v>
                </c:pt>
                <c:pt idx="924">
                  <c:v>92.989811215285698</c:v>
                </c:pt>
                <c:pt idx="925">
                  <c:v>93.251518154330839</c:v>
                </c:pt>
                <c:pt idx="926">
                  <c:v>93.030464720380081</c:v>
                </c:pt>
                <c:pt idx="927">
                  <c:v>93.058414005132477</c:v>
                </c:pt>
                <c:pt idx="928">
                  <c:v>93.038087252585285</c:v>
                </c:pt>
                <c:pt idx="929">
                  <c:v>92.964402774601695</c:v>
                </c:pt>
                <c:pt idx="930">
                  <c:v>93.012678811901296</c:v>
                </c:pt>
                <c:pt idx="931">
                  <c:v>92.972025306806913</c:v>
                </c:pt>
                <c:pt idx="932">
                  <c:v>92.959321086464925</c:v>
                </c:pt>
                <c:pt idx="933">
                  <c:v>92.949157710191329</c:v>
                </c:pt>
                <c:pt idx="934">
                  <c:v>92.867850700002549</c:v>
                </c:pt>
                <c:pt idx="935">
                  <c:v>92.804329598292568</c:v>
                </c:pt>
                <c:pt idx="936">
                  <c:v>92.730645120308978</c:v>
                </c:pt>
                <c:pt idx="937">
                  <c:v>92.80687044236096</c:v>
                </c:pt>
                <c:pt idx="938">
                  <c:v>92.781462001676985</c:v>
                </c:pt>
                <c:pt idx="939">
                  <c:v>92.837360571181776</c:v>
                </c:pt>
                <c:pt idx="940">
                  <c:v>92.63917473384663</c:v>
                </c:pt>
                <c:pt idx="941">
                  <c:v>92.62901135757302</c:v>
                </c:pt>
                <c:pt idx="942">
                  <c:v>92.606143760957437</c:v>
                </c:pt>
                <c:pt idx="943">
                  <c:v>92.568031099931432</c:v>
                </c:pt>
                <c:pt idx="944">
                  <c:v>92.606143760957437</c:v>
                </c:pt>
                <c:pt idx="945">
                  <c:v>92.552786035521038</c:v>
                </c:pt>
                <c:pt idx="946">
                  <c:v>92.522295906700236</c:v>
                </c:pt>
                <c:pt idx="947">
                  <c:v>92.535000127042238</c:v>
                </c:pt>
                <c:pt idx="948">
                  <c:v>92.44861142871666</c:v>
                </c:pt>
                <c:pt idx="949">
                  <c:v>92.410498767690655</c:v>
                </c:pt>
                <c:pt idx="950">
                  <c:v>92.395253703280261</c:v>
                </c:pt>
                <c:pt idx="951">
                  <c:v>92.380008638869867</c:v>
                </c:pt>
                <c:pt idx="952">
                  <c:v>92.458774804990242</c:v>
                </c:pt>
                <c:pt idx="953">
                  <c:v>92.303783316817857</c:v>
                </c:pt>
                <c:pt idx="954">
                  <c:v>92.303783316817857</c:v>
                </c:pt>
                <c:pt idx="955">
                  <c:v>92.532459282973818</c:v>
                </c:pt>
              </c:numCache>
            </c:numRef>
          </c:val>
          <c:smooth val="0"/>
          <c:extLst>
            <c:ext xmlns:c16="http://schemas.microsoft.com/office/drawing/2014/chart" uri="{C3380CC4-5D6E-409C-BE32-E72D297353CC}">
              <c16:uniqueId val="{00000002-3429-4AF4-B29D-1DF7AC935C08}"/>
            </c:ext>
          </c:extLst>
        </c:ser>
        <c:ser>
          <c:idx val="2"/>
          <c:order val="3"/>
          <c:tx>
            <c:strRef>
              <c:f>Sheet1!$E$1</c:f>
              <c:strCache>
                <c:ptCount val="1"/>
                <c:pt idx="0">
                  <c:v>Զարգացող երկրների արժույթ</c:v>
                </c:pt>
              </c:strCache>
            </c:strRef>
          </c:tx>
          <c:spPr>
            <a:ln w="19050">
              <a:solidFill>
                <a:srgbClr val="ED7D31">
                  <a:lumMod val="60000"/>
                  <a:lumOff val="40000"/>
                </a:srgbClr>
              </a:solidFill>
            </a:ln>
          </c:spPr>
          <c:marker>
            <c:symbol val="none"/>
          </c:marker>
          <c:cat>
            <c:numRef>
              <c:f>Sheet1!$A$2:$A$957</c:f>
              <c:numCache>
                <c:formatCode>dd\/mm\/yy</c:formatCode>
                <c:ptCount val="956"/>
                <c:pt idx="0">
                  <c:v>44929</c:v>
                </c:pt>
                <c:pt idx="1">
                  <c:v>44930</c:v>
                </c:pt>
                <c:pt idx="2">
                  <c:v>44931</c:v>
                </c:pt>
                <c:pt idx="3">
                  <c:v>44932</c:v>
                </c:pt>
                <c:pt idx="4">
                  <c:v>44935</c:v>
                </c:pt>
                <c:pt idx="5">
                  <c:v>44936</c:v>
                </c:pt>
                <c:pt idx="6">
                  <c:v>44937</c:v>
                </c:pt>
                <c:pt idx="7">
                  <c:v>44938</c:v>
                </c:pt>
                <c:pt idx="8">
                  <c:v>44939</c:v>
                </c:pt>
                <c:pt idx="9">
                  <c:v>44942</c:v>
                </c:pt>
                <c:pt idx="10">
                  <c:v>44943</c:v>
                </c:pt>
                <c:pt idx="11">
                  <c:v>44944</c:v>
                </c:pt>
                <c:pt idx="12">
                  <c:v>44945</c:v>
                </c:pt>
                <c:pt idx="13">
                  <c:v>44946</c:v>
                </c:pt>
                <c:pt idx="14">
                  <c:v>44949</c:v>
                </c:pt>
                <c:pt idx="15">
                  <c:v>44950</c:v>
                </c:pt>
                <c:pt idx="16">
                  <c:v>44951</c:v>
                </c:pt>
                <c:pt idx="17">
                  <c:v>44952</c:v>
                </c:pt>
                <c:pt idx="18">
                  <c:v>44953</c:v>
                </c:pt>
                <c:pt idx="19">
                  <c:v>44956</c:v>
                </c:pt>
                <c:pt idx="20">
                  <c:v>44957</c:v>
                </c:pt>
                <c:pt idx="21">
                  <c:v>44958</c:v>
                </c:pt>
                <c:pt idx="22">
                  <c:v>44959</c:v>
                </c:pt>
                <c:pt idx="23">
                  <c:v>44960</c:v>
                </c:pt>
                <c:pt idx="24">
                  <c:v>44963</c:v>
                </c:pt>
                <c:pt idx="25">
                  <c:v>44964</c:v>
                </c:pt>
                <c:pt idx="26">
                  <c:v>44965</c:v>
                </c:pt>
                <c:pt idx="27">
                  <c:v>44966</c:v>
                </c:pt>
                <c:pt idx="28">
                  <c:v>44967</c:v>
                </c:pt>
                <c:pt idx="29">
                  <c:v>44970</c:v>
                </c:pt>
                <c:pt idx="30">
                  <c:v>44971</c:v>
                </c:pt>
                <c:pt idx="31">
                  <c:v>44972</c:v>
                </c:pt>
                <c:pt idx="32">
                  <c:v>44973</c:v>
                </c:pt>
                <c:pt idx="33">
                  <c:v>44974</c:v>
                </c:pt>
                <c:pt idx="34">
                  <c:v>44977</c:v>
                </c:pt>
                <c:pt idx="35">
                  <c:v>44978</c:v>
                </c:pt>
                <c:pt idx="36">
                  <c:v>44979</c:v>
                </c:pt>
                <c:pt idx="37">
                  <c:v>44980</c:v>
                </c:pt>
                <c:pt idx="38">
                  <c:v>44981</c:v>
                </c:pt>
                <c:pt idx="39">
                  <c:v>44984</c:v>
                </c:pt>
                <c:pt idx="40">
                  <c:v>44985</c:v>
                </c:pt>
                <c:pt idx="41">
                  <c:v>44986</c:v>
                </c:pt>
                <c:pt idx="42">
                  <c:v>44987</c:v>
                </c:pt>
                <c:pt idx="43">
                  <c:v>44988</c:v>
                </c:pt>
                <c:pt idx="44">
                  <c:v>44991</c:v>
                </c:pt>
                <c:pt idx="45">
                  <c:v>44992</c:v>
                </c:pt>
                <c:pt idx="46">
                  <c:v>44993</c:v>
                </c:pt>
                <c:pt idx="47">
                  <c:v>44994</c:v>
                </c:pt>
                <c:pt idx="48">
                  <c:v>44995</c:v>
                </c:pt>
                <c:pt idx="49">
                  <c:v>44998</c:v>
                </c:pt>
                <c:pt idx="50">
                  <c:v>44999</c:v>
                </c:pt>
                <c:pt idx="51">
                  <c:v>45000</c:v>
                </c:pt>
                <c:pt idx="52">
                  <c:v>45001</c:v>
                </c:pt>
                <c:pt idx="53">
                  <c:v>45002</c:v>
                </c:pt>
                <c:pt idx="54">
                  <c:v>45005</c:v>
                </c:pt>
                <c:pt idx="55">
                  <c:v>45006</c:v>
                </c:pt>
                <c:pt idx="56">
                  <c:v>45007</c:v>
                </c:pt>
                <c:pt idx="57">
                  <c:v>45008</c:v>
                </c:pt>
                <c:pt idx="58">
                  <c:v>45009</c:v>
                </c:pt>
                <c:pt idx="59">
                  <c:v>45012</c:v>
                </c:pt>
                <c:pt idx="60">
                  <c:v>45013</c:v>
                </c:pt>
                <c:pt idx="61">
                  <c:v>45014</c:v>
                </c:pt>
                <c:pt idx="62">
                  <c:v>45015</c:v>
                </c:pt>
                <c:pt idx="63">
                  <c:v>45016</c:v>
                </c:pt>
                <c:pt idx="64">
                  <c:v>45019</c:v>
                </c:pt>
                <c:pt idx="65">
                  <c:v>45020</c:v>
                </c:pt>
                <c:pt idx="66">
                  <c:v>45021</c:v>
                </c:pt>
                <c:pt idx="67">
                  <c:v>45022</c:v>
                </c:pt>
                <c:pt idx="68">
                  <c:v>45023</c:v>
                </c:pt>
                <c:pt idx="69">
                  <c:v>45026</c:v>
                </c:pt>
                <c:pt idx="70">
                  <c:v>45027</c:v>
                </c:pt>
                <c:pt idx="71">
                  <c:v>45028</c:v>
                </c:pt>
                <c:pt idx="72">
                  <c:v>45029</c:v>
                </c:pt>
                <c:pt idx="73">
                  <c:v>45030</c:v>
                </c:pt>
                <c:pt idx="74">
                  <c:v>45033</c:v>
                </c:pt>
                <c:pt idx="75">
                  <c:v>45034</c:v>
                </c:pt>
                <c:pt idx="76">
                  <c:v>45035</c:v>
                </c:pt>
                <c:pt idx="77">
                  <c:v>45036</c:v>
                </c:pt>
                <c:pt idx="78">
                  <c:v>45037</c:v>
                </c:pt>
                <c:pt idx="79">
                  <c:v>45040</c:v>
                </c:pt>
                <c:pt idx="80">
                  <c:v>45041</c:v>
                </c:pt>
                <c:pt idx="81">
                  <c:v>45042</c:v>
                </c:pt>
                <c:pt idx="82">
                  <c:v>45043</c:v>
                </c:pt>
                <c:pt idx="83">
                  <c:v>45044</c:v>
                </c:pt>
                <c:pt idx="84">
                  <c:v>45047</c:v>
                </c:pt>
                <c:pt idx="85">
                  <c:v>45048</c:v>
                </c:pt>
                <c:pt idx="86">
                  <c:v>45049</c:v>
                </c:pt>
                <c:pt idx="87">
                  <c:v>45050</c:v>
                </c:pt>
                <c:pt idx="88">
                  <c:v>45051</c:v>
                </c:pt>
                <c:pt idx="89">
                  <c:v>45054</c:v>
                </c:pt>
                <c:pt idx="90">
                  <c:v>45055</c:v>
                </c:pt>
                <c:pt idx="91">
                  <c:v>45056</c:v>
                </c:pt>
                <c:pt idx="92">
                  <c:v>45057</c:v>
                </c:pt>
                <c:pt idx="93">
                  <c:v>45058</c:v>
                </c:pt>
                <c:pt idx="94">
                  <c:v>45061</c:v>
                </c:pt>
                <c:pt idx="95">
                  <c:v>45062</c:v>
                </c:pt>
                <c:pt idx="96">
                  <c:v>45063</c:v>
                </c:pt>
                <c:pt idx="97">
                  <c:v>45064</c:v>
                </c:pt>
                <c:pt idx="98">
                  <c:v>45065</c:v>
                </c:pt>
                <c:pt idx="99">
                  <c:v>45068</c:v>
                </c:pt>
                <c:pt idx="100">
                  <c:v>45069</c:v>
                </c:pt>
                <c:pt idx="101">
                  <c:v>45070</c:v>
                </c:pt>
                <c:pt idx="102">
                  <c:v>45071</c:v>
                </c:pt>
                <c:pt idx="103">
                  <c:v>45072</c:v>
                </c:pt>
                <c:pt idx="104">
                  <c:v>45075</c:v>
                </c:pt>
                <c:pt idx="105">
                  <c:v>45076</c:v>
                </c:pt>
                <c:pt idx="106">
                  <c:v>45077</c:v>
                </c:pt>
                <c:pt idx="107">
                  <c:v>45078</c:v>
                </c:pt>
                <c:pt idx="108">
                  <c:v>45079</c:v>
                </c:pt>
                <c:pt idx="109">
                  <c:v>45082</c:v>
                </c:pt>
                <c:pt idx="110">
                  <c:v>45083</c:v>
                </c:pt>
                <c:pt idx="111">
                  <c:v>45084</c:v>
                </c:pt>
                <c:pt idx="112">
                  <c:v>45085</c:v>
                </c:pt>
                <c:pt idx="113">
                  <c:v>45086</c:v>
                </c:pt>
                <c:pt idx="114">
                  <c:v>45089</c:v>
                </c:pt>
                <c:pt idx="115">
                  <c:v>45090</c:v>
                </c:pt>
                <c:pt idx="116">
                  <c:v>45091</c:v>
                </c:pt>
                <c:pt idx="117">
                  <c:v>45092</c:v>
                </c:pt>
                <c:pt idx="118">
                  <c:v>45093</c:v>
                </c:pt>
                <c:pt idx="119">
                  <c:v>45096</c:v>
                </c:pt>
                <c:pt idx="120">
                  <c:v>45097</c:v>
                </c:pt>
                <c:pt idx="121">
                  <c:v>45098</c:v>
                </c:pt>
                <c:pt idx="122">
                  <c:v>45099</c:v>
                </c:pt>
                <c:pt idx="123">
                  <c:v>45100</c:v>
                </c:pt>
                <c:pt idx="124">
                  <c:v>45103</c:v>
                </c:pt>
                <c:pt idx="125">
                  <c:v>45104</c:v>
                </c:pt>
                <c:pt idx="126">
                  <c:v>45105</c:v>
                </c:pt>
                <c:pt idx="127">
                  <c:v>45106</c:v>
                </c:pt>
                <c:pt idx="128">
                  <c:v>45107</c:v>
                </c:pt>
                <c:pt idx="129">
                  <c:v>45110</c:v>
                </c:pt>
                <c:pt idx="130">
                  <c:v>45111</c:v>
                </c:pt>
                <c:pt idx="131">
                  <c:v>45112</c:v>
                </c:pt>
                <c:pt idx="132">
                  <c:v>45113</c:v>
                </c:pt>
                <c:pt idx="133">
                  <c:v>45114</c:v>
                </c:pt>
                <c:pt idx="134">
                  <c:v>45117</c:v>
                </c:pt>
                <c:pt idx="135">
                  <c:v>45118</c:v>
                </c:pt>
                <c:pt idx="136">
                  <c:v>45119</c:v>
                </c:pt>
                <c:pt idx="137">
                  <c:v>45120</c:v>
                </c:pt>
                <c:pt idx="138">
                  <c:v>45121</c:v>
                </c:pt>
                <c:pt idx="139">
                  <c:v>45124</c:v>
                </c:pt>
                <c:pt idx="140">
                  <c:v>45125</c:v>
                </c:pt>
                <c:pt idx="141">
                  <c:v>45126</c:v>
                </c:pt>
                <c:pt idx="142">
                  <c:v>45127</c:v>
                </c:pt>
                <c:pt idx="143">
                  <c:v>45128</c:v>
                </c:pt>
                <c:pt idx="144">
                  <c:v>45131</c:v>
                </c:pt>
                <c:pt idx="145">
                  <c:v>45132</c:v>
                </c:pt>
                <c:pt idx="146">
                  <c:v>45133</c:v>
                </c:pt>
                <c:pt idx="147">
                  <c:v>45134</c:v>
                </c:pt>
                <c:pt idx="148">
                  <c:v>45135</c:v>
                </c:pt>
                <c:pt idx="149">
                  <c:v>45138</c:v>
                </c:pt>
                <c:pt idx="150">
                  <c:v>45139</c:v>
                </c:pt>
                <c:pt idx="151">
                  <c:v>45140</c:v>
                </c:pt>
                <c:pt idx="152">
                  <c:v>45141</c:v>
                </c:pt>
                <c:pt idx="153">
                  <c:v>45142</c:v>
                </c:pt>
                <c:pt idx="154">
                  <c:v>45145</c:v>
                </c:pt>
                <c:pt idx="155">
                  <c:v>45146</c:v>
                </c:pt>
                <c:pt idx="156">
                  <c:v>45147</c:v>
                </c:pt>
                <c:pt idx="157">
                  <c:v>45148</c:v>
                </c:pt>
                <c:pt idx="158">
                  <c:v>45149</c:v>
                </c:pt>
                <c:pt idx="159">
                  <c:v>45152</c:v>
                </c:pt>
                <c:pt idx="160">
                  <c:v>45153</c:v>
                </c:pt>
                <c:pt idx="161">
                  <c:v>45154</c:v>
                </c:pt>
                <c:pt idx="162">
                  <c:v>45155</c:v>
                </c:pt>
                <c:pt idx="163">
                  <c:v>45156</c:v>
                </c:pt>
                <c:pt idx="164">
                  <c:v>45159</c:v>
                </c:pt>
                <c:pt idx="165">
                  <c:v>45160</c:v>
                </c:pt>
                <c:pt idx="166">
                  <c:v>45161</c:v>
                </c:pt>
                <c:pt idx="167">
                  <c:v>45162</c:v>
                </c:pt>
                <c:pt idx="168">
                  <c:v>45163</c:v>
                </c:pt>
                <c:pt idx="169">
                  <c:v>45166</c:v>
                </c:pt>
                <c:pt idx="170">
                  <c:v>45167</c:v>
                </c:pt>
                <c:pt idx="171">
                  <c:v>45168</c:v>
                </c:pt>
                <c:pt idx="172">
                  <c:v>45169</c:v>
                </c:pt>
                <c:pt idx="173">
                  <c:v>45170</c:v>
                </c:pt>
                <c:pt idx="174">
                  <c:v>45173</c:v>
                </c:pt>
                <c:pt idx="175">
                  <c:v>45174</c:v>
                </c:pt>
                <c:pt idx="176">
                  <c:v>45175</c:v>
                </c:pt>
                <c:pt idx="177">
                  <c:v>45176</c:v>
                </c:pt>
                <c:pt idx="178">
                  <c:v>45177</c:v>
                </c:pt>
                <c:pt idx="179">
                  <c:v>45180</c:v>
                </c:pt>
                <c:pt idx="180">
                  <c:v>45181</c:v>
                </c:pt>
                <c:pt idx="181">
                  <c:v>45182</c:v>
                </c:pt>
                <c:pt idx="182">
                  <c:v>45183</c:v>
                </c:pt>
                <c:pt idx="183">
                  <c:v>45184</c:v>
                </c:pt>
                <c:pt idx="184">
                  <c:v>45187</c:v>
                </c:pt>
                <c:pt idx="185">
                  <c:v>45188</c:v>
                </c:pt>
                <c:pt idx="186">
                  <c:v>45189</c:v>
                </c:pt>
                <c:pt idx="187">
                  <c:v>45190</c:v>
                </c:pt>
                <c:pt idx="188">
                  <c:v>45191</c:v>
                </c:pt>
                <c:pt idx="189">
                  <c:v>45194</c:v>
                </c:pt>
                <c:pt idx="190">
                  <c:v>45195</c:v>
                </c:pt>
                <c:pt idx="191">
                  <c:v>45196</c:v>
                </c:pt>
                <c:pt idx="192">
                  <c:v>45197</c:v>
                </c:pt>
                <c:pt idx="193">
                  <c:v>45198</c:v>
                </c:pt>
                <c:pt idx="194">
                  <c:v>45201</c:v>
                </c:pt>
                <c:pt idx="195">
                  <c:v>45202</c:v>
                </c:pt>
                <c:pt idx="196">
                  <c:v>45203</c:v>
                </c:pt>
                <c:pt idx="197">
                  <c:v>45204</c:v>
                </c:pt>
                <c:pt idx="198">
                  <c:v>45205</c:v>
                </c:pt>
                <c:pt idx="199">
                  <c:v>45208</c:v>
                </c:pt>
                <c:pt idx="200">
                  <c:v>45209</c:v>
                </c:pt>
                <c:pt idx="201">
                  <c:v>45210</c:v>
                </c:pt>
                <c:pt idx="202">
                  <c:v>45211</c:v>
                </c:pt>
                <c:pt idx="203">
                  <c:v>45212</c:v>
                </c:pt>
                <c:pt idx="204">
                  <c:v>45215</c:v>
                </c:pt>
                <c:pt idx="205">
                  <c:v>45216</c:v>
                </c:pt>
                <c:pt idx="206">
                  <c:v>45217</c:v>
                </c:pt>
                <c:pt idx="207">
                  <c:v>45218</c:v>
                </c:pt>
                <c:pt idx="208">
                  <c:v>45219</c:v>
                </c:pt>
                <c:pt idx="209">
                  <c:v>45222</c:v>
                </c:pt>
                <c:pt idx="210">
                  <c:v>45223</c:v>
                </c:pt>
                <c:pt idx="211">
                  <c:v>45224</c:v>
                </c:pt>
                <c:pt idx="212">
                  <c:v>45225</c:v>
                </c:pt>
                <c:pt idx="213">
                  <c:v>45226</c:v>
                </c:pt>
                <c:pt idx="214">
                  <c:v>45229</c:v>
                </c:pt>
                <c:pt idx="215">
                  <c:v>45230</c:v>
                </c:pt>
                <c:pt idx="216">
                  <c:v>45231</c:v>
                </c:pt>
                <c:pt idx="217">
                  <c:v>45232</c:v>
                </c:pt>
                <c:pt idx="218">
                  <c:v>45233</c:v>
                </c:pt>
                <c:pt idx="219">
                  <c:v>45236</c:v>
                </c:pt>
                <c:pt idx="220">
                  <c:v>45237</c:v>
                </c:pt>
                <c:pt idx="221">
                  <c:v>45238</c:v>
                </c:pt>
                <c:pt idx="222">
                  <c:v>45239</c:v>
                </c:pt>
                <c:pt idx="223">
                  <c:v>45240</c:v>
                </c:pt>
                <c:pt idx="224">
                  <c:v>45243</c:v>
                </c:pt>
                <c:pt idx="225">
                  <c:v>45244</c:v>
                </c:pt>
                <c:pt idx="226">
                  <c:v>45245</c:v>
                </c:pt>
                <c:pt idx="227">
                  <c:v>45246</c:v>
                </c:pt>
                <c:pt idx="228">
                  <c:v>45247</c:v>
                </c:pt>
                <c:pt idx="229">
                  <c:v>45250</c:v>
                </c:pt>
                <c:pt idx="230">
                  <c:v>45251</c:v>
                </c:pt>
                <c:pt idx="231">
                  <c:v>45252</c:v>
                </c:pt>
                <c:pt idx="232">
                  <c:v>45253</c:v>
                </c:pt>
                <c:pt idx="233">
                  <c:v>45254</c:v>
                </c:pt>
                <c:pt idx="234">
                  <c:v>45257</c:v>
                </c:pt>
                <c:pt idx="235">
                  <c:v>45258</c:v>
                </c:pt>
                <c:pt idx="236">
                  <c:v>45259</c:v>
                </c:pt>
                <c:pt idx="237">
                  <c:v>45260</c:v>
                </c:pt>
                <c:pt idx="238">
                  <c:v>45261</c:v>
                </c:pt>
                <c:pt idx="239">
                  <c:v>45264</c:v>
                </c:pt>
                <c:pt idx="240">
                  <c:v>45265</c:v>
                </c:pt>
                <c:pt idx="241">
                  <c:v>45266</c:v>
                </c:pt>
                <c:pt idx="242">
                  <c:v>45267</c:v>
                </c:pt>
                <c:pt idx="243">
                  <c:v>45268</c:v>
                </c:pt>
                <c:pt idx="244">
                  <c:v>45271</c:v>
                </c:pt>
                <c:pt idx="245">
                  <c:v>45272</c:v>
                </c:pt>
                <c:pt idx="246">
                  <c:v>45273</c:v>
                </c:pt>
                <c:pt idx="247">
                  <c:v>45274</c:v>
                </c:pt>
                <c:pt idx="248">
                  <c:v>45275</c:v>
                </c:pt>
                <c:pt idx="249">
                  <c:v>45279</c:v>
                </c:pt>
                <c:pt idx="250">
                  <c:v>45280</c:v>
                </c:pt>
                <c:pt idx="251">
                  <c:v>45281</c:v>
                </c:pt>
                <c:pt idx="252">
                  <c:v>45282</c:v>
                </c:pt>
                <c:pt idx="253">
                  <c:v>45286</c:v>
                </c:pt>
                <c:pt idx="254">
                  <c:v>45287</c:v>
                </c:pt>
                <c:pt idx="255">
                  <c:v>45288</c:v>
                </c:pt>
                <c:pt idx="256">
                  <c:v>45289</c:v>
                </c:pt>
                <c:pt idx="257">
                  <c:v>45293</c:v>
                </c:pt>
                <c:pt idx="258">
                  <c:v>45294</c:v>
                </c:pt>
                <c:pt idx="259">
                  <c:v>45295</c:v>
                </c:pt>
                <c:pt idx="260">
                  <c:v>45296</c:v>
                </c:pt>
                <c:pt idx="261">
                  <c:v>45299</c:v>
                </c:pt>
                <c:pt idx="262">
                  <c:v>45300</c:v>
                </c:pt>
                <c:pt idx="263">
                  <c:v>45301</c:v>
                </c:pt>
                <c:pt idx="264">
                  <c:v>45302</c:v>
                </c:pt>
                <c:pt idx="265">
                  <c:v>45303</c:v>
                </c:pt>
                <c:pt idx="266">
                  <c:v>45306</c:v>
                </c:pt>
                <c:pt idx="267">
                  <c:v>45307</c:v>
                </c:pt>
                <c:pt idx="268">
                  <c:v>45308</c:v>
                </c:pt>
                <c:pt idx="269">
                  <c:v>45309</c:v>
                </c:pt>
                <c:pt idx="270">
                  <c:v>45310</c:v>
                </c:pt>
                <c:pt idx="271">
                  <c:v>45313</c:v>
                </c:pt>
                <c:pt idx="272">
                  <c:v>45314</c:v>
                </c:pt>
                <c:pt idx="273">
                  <c:v>45315</c:v>
                </c:pt>
                <c:pt idx="274">
                  <c:v>45316</c:v>
                </c:pt>
                <c:pt idx="275">
                  <c:v>45317</c:v>
                </c:pt>
                <c:pt idx="276">
                  <c:v>45320</c:v>
                </c:pt>
                <c:pt idx="277">
                  <c:v>45321</c:v>
                </c:pt>
                <c:pt idx="278">
                  <c:v>45322</c:v>
                </c:pt>
                <c:pt idx="279">
                  <c:v>45323</c:v>
                </c:pt>
                <c:pt idx="280">
                  <c:v>45324</c:v>
                </c:pt>
                <c:pt idx="281">
                  <c:v>45327</c:v>
                </c:pt>
                <c:pt idx="282">
                  <c:v>45328</c:v>
                </c:pt>
                <c:pt idx="283">
                  <c:v>45329</c:v>
                </c:pt>
                <c:pt idx="284">
                  <c:v>45330</c:v>
                </c:pt>
                <c:pt idx="285">
                  <c:v>45331</c:v>
                </c:pt>
                <c:pt idx="286">
                  <c:v>45334</c:v>
                </c:pt>
                <c:pt idx="287">
                  <c:v>45335</c:v>
                </c:pt>
                <c:pt idx="288">
                  <c:v>45336</c:v>
                </c:pt>
                <c:pt idx="289">
                  <c:v>45337</c:v>
                </c:pt>
                <c:pt idx="290">
                  <c:v>45338</c:v>
                </c:pt>
                <c:pt idx="291">
                  <c:v>45341</c:v>
                </c:pt>
                <c:pt idx="292">
                  <c:v>45342</c:v>
                </c:pt>
                <c:pt idx="293">
                  <c:v>45343</c:v>
                </c:pt>
                <c:pt idx="294">
                  <c:v>45344</c:v>
                </c:pt>
                <c:pt idx="295">
                  <c:v>45345</c:v>
                </c:pt>
                <c:pt idx="296">
                  <c:v>45348</c:v>
                </c:pt>
                <c:pt idx="297">
                  <c:v>45349</c:v>
                </c:pt>
                <c:pt idx="298">
                  <c:v>45350</c:v>
                </c:pt>
                <c:pt idx="299">
                  <c:v>45351</c:v>
                </c:pt>
                <c:pt idx="300">
                  <c:v>45352</c:v>
                </c:pt>
                <c:pt idx="301">
                  <c:v>45355</c:v>
                </c:pt>
                <c:pt idx="302">
                  <c:v>45356</c:v>
                </c:pt>
                <c:pt idx="303">
                  <c:v>45357</c:v>
                </c:pt>
                <c:pt idx="304">
                  <c:v>45358</c:v>
                </c:pt>
                <c:pt idx="305">
                  <c:v>45359</c:v>
                </c:pt>
                <c:pt idx="306">
                  <c:v>45362</c:v>
                </c:pt>
                <c:pt idx="307">
                  <c:v>45363</c:v>
                </c:pt>
                <c:pt idx="308">
                  <c:v>45364</c:v>
                </c:pt>
                <c:pt idx="309">
                  <c:v>45365</c:v>
                </c:pt>
                <c:pt idx="310">
                  <c:v>45366</c:v>
                </c:pt>
                <c:pt idx="311">
                  <c:v>45369</c:v>
                </c:pt>
                <c:pt idx="312">
                  <c:v>45370</c:v>
                </c:pt>
                <c:pt idx="313">
                  <c:v>45371</c:v>
                </c:pt>
                <c:pt idx="314">
                  <c:v>45372</c:v>
                </c:pt>
                <c:pt idx="315">
                  <c:v>45373</c:v>
                </c:pt>
                <c:pt idx="316">
                  <c:v>45376</c:v>
                </c:pt>
                <c:pt idx="317">
                  <c:v>45377</c:v>
                </c:pt>
                <c:pt idx="318">
                  <c:v>45378</c:v>
                </c:pt>
                <c:pt idx="319">
                  <c:v>45379</c:v>
                </c:pt>
                <c:pt idx="320">
                  <c:v>45383</c:v>
                </c:pt>
                <c:pt idx="321">
                  <c:v>45384</c:v>
                </c:pt>
                <c:pt idx="322">
                  <c:v>45385</c:v>
                </c:pt>
                <c:pt idx="323">
                  <c:v>45386</c:v>
                </c:pt>
                <c:pt idx="324">
                  <c:v>45387</c:v>
                </c:pt>
                <c:pt idx="325">
                  <c:v>45390</c:v>
                </c:pt>
                <c:pt idx="326">
                  <c:v>45391</c:v>
                </c:pt>
                <c:pt idx="327">
                  <c:v>45392</c:v>
                </c:pt>
                <c:pt idx="328">
                  <c:v>45393</c:v>
                </c:pt>
                <c:pt idx="329">
                  <c:v>45394</c:v>
                </c:pt>
                <c:pt idx="330">
                  <c:v>45397</c:v>
                </c:pt>
                <c:pt idx="331">
                  <c:v>45398</c:v>
                </c:pt>
                <c:pt idx="332">
                  <c:v>45399</c:v>
                </c:pt>
                <c:pt idx="333">
                  <c:v>45400</c:v>
                </c:pt>
                <c:pt idx="334">
                  <c:v>45401</c:v>
                </c:pt>
                <c:pt idx="335">
                  <c:v>45404</c:v>
                </c:pt>
                <c:pt idx="336">
                  <c:v>45405</c:v>
                </c:pt>
                <c:pt idx="337">
                  <c:v>45406</c:v>
                </c:pt>
                <c:pt idx="338">
                  <c:v>45407</c:v>
                </c:pt>
                <c:pt idx="339">
                  <c:v>45408</c:v>
                </c:pt>
                <c:pt idx="340">
                  <c:v>45411</c:v>
                </c:pt>
                <c:pt idx="341">
                  <c:v>45412</c:v>
                </c:pt>
                <c:pt idx="342">
                  <c:v>45413</c:v>
                </c:pt>
                <c:pt idx="343">
                  <c:v>45414</c:v>
                </c:pt>
                <c:pt idx="344">
                  <c:v>45415</c:v>
                </c:pt>
                <c:pt idx="345">
                  <c:v>45418</c:v>
                </c:pt>
                <c:pt idx="346">
                  <c:v>45419</c:v>
                </c:pt>
                <c:pt idx="347">
                  <c:v>45420</c:v>
                </c:pt>
                <c:pt idx="348">
                  <c:v>45421</c:v>
                </c:pt>
                <c:pt idx="349">
                  <c:v>45422</c:v>
                </c:pt>
                <c:pt idx="350">
                  <c:v>45425</c:v>
                </c:pt>
                <c:pt idx="351">
                  <c:v>45426</c:v>
                </c:pt>
                <c:pt idx="352">
                  <c:v>45427</c:v>
                </c:pt>
                <c:pt idx="353">
                  <c:v>45428</c:v>
                </c:pt>
                <c:pt idx="354">
                  <c:v>45429</c:v>
                </c:pt>
                <c:pt idx="355">
                  <c:v>45432</c:v>
                </c:pt>
                <c:pt idx="356">
                  <c:v>45433</c:v>
                </c:pt>
                <c:pt idx="357">
                  <c:v>45434</c:v>
                </c:pt>
                <c:pt idx="358">
                  <c:v>45435</c:v>
                </c:pt>
                <c:pt idx="359">
                  <c:v>45436</c:v>
                </c:pt>
                <c:pt idx="360">
                  <c:v>45439</c:v>
                </c:pt>
                <c:pt idx="361">
                  <c:v>45440</c:v>
                </c:pt>
                <c:pt idx="362">
                  <c:v>45441</c:v>
                </c:pt>
                <c:pt idx="363">
                  <c:v>45442</c:v>
                </c:pt>
                <c:pt idx="364">
                  <c:v>45443</c:v>
                </c:pt>
                <c:pt idx="365">
                  <c:v>45446</c:v>
                </c:pt>
                <c:pt idx="366">
                  <c:v>45447</c:v>
                </c:pt>
                <c:pt idx="367">
                  <c:v>45448</c:v>
                </c:pt>
                <c:pt idx="368">
                  <c:v>45449</c:v>
                </c:pt>
                <c:pt idx="369">
                  <c:v>45450</c:v>
                </c:pt>
                <c:pt idx="370">
                  <c:v>45453</c:v>
                </c:pt>
                <c:pt idx="371">
                  <c:v>45454</c:v>
                </c:pt>
                <c:pt idx="372">
                  <c:v>45455</c:v>
                </c:pt>
                <c:pt idx="373">
                  <c:v>45456</c:v>
                </c:pt>
                <c:pt idx="374">
                  <c:v>45457</c:v>
                </c:pt>
                <c:pt idx="375">
                  <c:v>45460</c:v>
                </c:pt>
                <c:pt idx="376">
                  <c:v>45461</c:v>
                </c:pt>
                <c:pt idx="377">
                  <c:v>45462</c:v>
                </c:pt>
                <c:pt idx="378">
                  <c:v>45463</c:v>
                </c:pt>
                <c:pt idx="379">
                  <c:v>45464</c:v>
                </c:pt>
                <c:pt idx="380">
                  <c:v>45467</c:v>
                </c:pt>
                <c:pt idx="381">
                  <c:v>45468</c:v>
                </c:pt>
                <c:pt idx="382">
                  <c:v>45469</c:v>
                </c:pt>
                <c:pt idx="383">
                  <c:v>45470</c:v>
                </c:pt>
                <c:pt idx="384">
                  <c:v>45471</c:v>
                </c:pt>
                <c:pt idx="385">
                  <c:v>45474</c:v>
                </c:pt>
                <c:pt idx="386">
                  <c:v>45475</c:v>
                </c:pt>
                <c:pt idx="387">
                  <c:v>45476</c:v>
                </c:pt>
                <c:pt idx="388">
                  <c:v>45477</c:v>
                </c:pt>
                <c:pt idx="389">
                  <c:v>45478</c:v>
                </c:pt>
                <c:pt idx="390">
                  <c:v>45481</c:v>
                </c:pt>
                <c:pt idx="391">
                  <c:v>45482</c:v>
                </c:pt>
                <c:pt idx="392">
                  <c:v>45483</c:v>
                </c:pt>
                <c:pt idx="393">
                  <c:v>45484</c:v>
                </c:pt>
                <c:pt idx="394">
                  <c:v>45485</c:v>
                </c:pt>
                <c:pt idx="395">
                  <c:v>45488</c:v>
                </c:pt>
                <c:pt idx="396">
                  <c:v>45489</c:v>
                </c:pt>
                <c:pt idx="397">
                  <c:v>45490</c:v>
                </c:pt>
                <c:pt idx="398">
                  <c:v>45491</c:v>
                </c:pt>
                <c:pt idx="399">
                  <c:v>45492</c:v>
                </c:pt>
                <c:pt idx="400">
                  <c:v>45495</c:v>
                </c:pt>
                <c:pt idx="401">
                  <c:v>45496</c:v>
                </c:pt>
                <c:pt idx="402">
                  <c:v>45497</c:v>
                </c:pt>
                <c:pt idx="403">
                  <c:v>45498</c:v>
                </c:pt>
                <c:pt idx="404">
                  <c:v>45499</c:v>
                </c:pt>
                <c:pt idx="405">
                  <c:v>45502</c:v>
                </c:pt>
                <c:pt idx="406">
                  <c:v>45503</c:v>
                </c:pt>
                <c:pt idx="407">
                  <c:v>45504</c:v>
                </c:pt>
                <c:pt idx="408">
                  <c:v>45505</c:v>
                </c:pt>
                <c:pt idx="409">
                  <c:v>45506</c:v>
                </c:pt>
                <c:pt idx="410">
                  <c:v>45509</c:v>
                </c:pt>
                <c:pt idx="411">
                  <c:v>45510</c:v>
                </c:pt>
                <c:pt idx="412">
                  <c:v>45511</c:v>
                </c:pt>
                <c:pt idx="413">
                  <c:v>45512</c:v>
                </c:pt>
                <c:pt idx="414">
                  <c:v>45513</c:v>
                </c:pt>
                <c:pt idx="415">
                  <c:v>45516</c:v>
                </c:pt>
                <c:pt idx="416">
                  <c:v>45517</c:v>
                </c:pt>
                <c:pt idx="417">
                  <c:v>45518</c:v>
                </c:pt>
                <c:pt idx="418">
                  <c:v>45519</c:v>
                </c:pt>
                <c:pt idx="419">
                  <c:v>45520</c:v>
                </c:pt>
                <c:pt idx="420">
                  <c:v>45523</c:v>
                </c:pt>
                <c:pt idx="421">
                  <c:v>45524</c:v>
                </c:pt>
                <c:pt idx="422">
                  <c:v>45525</c:v>
                </c:pt>
                <c:pt idx="423">
                  <c:v>45526</c:v>
                </c:pt>
                <c:pt idx="424">
                  <c:v>45527</c:v>
                </c:pt>
                <c:pt idx="425">
                  <c:v>45530</c:v>
                </c:pt>
                <c:pt idx="426">
                  <c:v>45531</c:v>
                </c:pt>
                <c:pt idx="427">
                  <c:v>45532</c:v>
                </c:pt>
                <c:pt idx="428">
                  <c:v>45533</c:v>
                </c:pt>
                <c:pt idx="429">
                  <c:v>45534</c:v>
                </c:pt>
                <c:pt idx="430">
                  <c:v>45537</c:v>
                </c:pt>
                <c:pt idx="431">
                  <c:v>45538</c:v>
                </c:pt>
                <c:pt idx="432">
                  <c:v>45539</c:v>
                </c:pt>
                <c:pt idx="433">
                  <c:v>45540</c:v>
                </c:pt>
                <c:pt idx="434">
                  <c:v>45541</c:v>
                </c:pt>
                <c:pt idx="435">
                  <c:v>45544</c:v>
                </c:pt>
                <c:pt idx="436">
                  <c:v>45545</c:v>
                </c:pt>
                <c:pt idx="437">
                  <c:v>45546</c:v>
                </c:pt>
                <c:pt idx="438">
                  <c:v>45547</c:v>
                </c:pt>
                <c:pt idx="439">
                  <c:v>45548</c:v>
                </c:pt>
                <c:pt idx="440">
                  <c:v>45551</c:v>
                </c:pt>
                <c:pt idx="441">
                  <c:v>45552</c:v>
                </c:pt>
                <c:pt idx="442">
                  <c:v>45553</c:v>
                </c:pt>
                <c:pt idx="443">
                  <c:v>45554</c:v>
                </c:pt>
                <c:pt idx="444">
                  <c:v>45555</c:v>
                </c:pt>
                <c:pt idx="445">
                  <c:v>45558</c:v>
                </c:pt>
                <c:pt idx="446">
                  <c:v>45559</c:v>
                </c:pt>
                <c:pt idx="447">
                  <c:v>45560</c:v>
                </c:pt>
                <c:pt idx="448">
                  <c:v>45561</c:v>
                </c:pt>
                <c:pt idx="449">
                  <c:v>45562</c:v>
                </c:pt>
                <c:pt idx="450">
                  <c:v>45565</c:v>
                </c:pt>
                <c:pt idx="451">
                  <c:v>45566</c:v>
                </c:pt>
                <c:pt idx="452">
                  <c:v>45567</c:v>
                </c:pt>
                <c:pt idx="453">
                  <c:v>45568</c:v>
                </c:pt>
                <c:pt idx="454">
                  <c:v>45569</c:v>
                </c:pt>
                <c:pt idx="455">
                  <c:v>45572</c:v>
                </c:pt>
                <c:pt idx="456">
                  <c:v>45573</c:v>
                </c:pt>
                <c:pt idx="457">
                  <c:v>45574</c:v>
                </c:pt>
                <c:pt idx="458">
                  <c:v>45575</c:v>
                </c:pt>
                <c:pt idx="459">
                  <c:v>45576</c:v>
                </c:pt>
                <c:pt idx="460">
                  <c:v>45579</c:v>
                </c:pt>
                <c:pt idx="461">
                  <c:v>45580</c:v>
                </c:pt>
                <c:pt idx="462">
                  <c:v>45581</c:v>
                </c:pt>
                <c:pt idx="463">
                  <c:v>45582</c:v>
                </c:pt>
                <c:pt idx="464">
                  <c:v>45583</c:v>
                </c:pt>
                <c:pt idx="465">
                  <c:v>45586</c:v>
                </c:pt>
                <c:pt idx="466">
                  <c:v>45587</c:v>
                </c:pt>
                <c:pt idx="467">
                  <c:v>45588</c:v>
                </c:pt>
                <c:pt idx="468">
                  <c:v>45589</c:v>
                </c:pt>
                <c:pt idx="469">
                  <c:v>45590</c:v>
                </c:pt>
                <c:pt idx="470">
                  <c:v>45593</c:v>
                </c:pt>
                <c:pt idx="471">
                  <c:v>45594</c:v>
                </c:pt>
                <c:pt idx="472">
                  <c:v>45595</c:v>
                </c:pt>
                <c:pt idx="473">
                  <c:v>45596</c:v>
                </c:pt>
                <c:pt idx="474">
                  <c:v>45597</c:v>
                </c:pt>
                <c:pt idx="475">
                  <c:v>45600</c:v>
                </c:pt>
                <c:pt idx="476">
                  <c:v>45601</c:v>
                </c:pt>
                <c:pt idx="477">
                  <c:v>45602</c:v>
                </c:pt>
                <c:pt idx="478">
                  <c:v>45603</c:v>
                </c:pt>
                <c:pt idx="479">
                  <c:v>45604</c:v>
                </c:pt>
                <c:pt idx="480">
                  <c:v>45607</c:v>
                </c:pt>
                <c:pt idx="481">
                  <c:v>45608</c:v>
                </c:pt>
                <c:pt idx="482">
                  <c:v>45609</c:v>
                </c:pt>
                <c:pt idx="483">
                  <c:v>45610</c:v>
                </c:pt>
                <c:pt idx="484">
                  <c:v>45611</c:v>
                </c:pt>
                <c:pt idx="485">
                  <c:v>45614</c:v>
                </c:pt>
                <c:pt idx="486">
                  <c:v>45615</c:v>
                </c:pt>
                <c:pt idx="487">
                  <c:v>45616</c:v>
                </c:pt>
                <c:pt idx="488">
                  <c:v>45617</c:v>
                </c:pt>
                <c:pt idx="489">
                  <c:v>45618</c:v>
                </c:pt>
                <c:pt idx="490">
                  <c:v>45621</c:v>
                </c:pt>
                <c:pt idx="491">
                  <c:v>45622</c:v>
                </c:pt>
                <c:pt idx="492">
                  <c:v>45623</c:v>
                </c:pt>
                <c:pt idx="493">
                  <c:v>45624</c:v>
                </c:pt>
                <c:pt idx="494">
                  <c:v>45625</c:v>
                </c:pt>
                <c:pt idx="495">
                  <c:v>45628</c:v>
                </c:pt>
                <c:pt idx="496">
                  <c:v>45629</c:v>
                </c:pt>
                <c:pt idx="497">
                  <c:v>45630</c:v>
                </c:pt>
                <c:pt idx="498">
                  <c:v>45631</c:v>
                </c:pt>
                <c:pt idx="499">
                  <c:v>45632</c:v>
                </c:pt>
                <c:pt idx="500">
                  <c:v>45635</c:v>
                </c:pt>
                <c:pt idx="501">
                  <c:v>45636</c:v>
                </c:pt>
                <c:pt idx="502">
                  <c:v>45637</c:v>
                </c:pt>
                <c:pt idx="503">
                  <c:v>45638</c:v>
                </c:pt>
                <c:pt idx="504">
                  <c:v>45639</c:v>
                </c:pt>
                <c:pt idx="505">
                  <c:v>45642</c:v>
                </c:pt>
                <c:pt idx="506">
                  <c:v>45643</c:v>
                </c:pt>
                <c:pt idx="507">
                  <c:v>45644</c:v>
                </c:pt>
                <c:pt idx="508">
                  <c:v>45645</c:v>
                </c:pt>
                <c:pt idx="509">
                  <c:v>45646</c:v>
                </c:pt>
                <c:pt idx="510">
                  <c:v>45649</c:v>
                </c:pt>
                <c:pt idx="511">
                  <c:v>45650</c:v>
                </c:pt>
                <c:pt idx="512">
                  <c:v>45652</c:v>
                </c:pt>
                <c:pt idx="513">
                  <c:v>45653</c:v>
                </c:pt>
                <c:pt idx="514">
                  <c:v>45656</c:v>
                </c:pt>
                <c:pt idx="515">
                  <c:v>45657</c:v>
                </c:pt>
                <c:pt idx="516">
                  <c:v>45659</c:v>
                </c:pt>
                <c:pt idx="517">
                  <c:v>45660</c:v>
                </c:pt>
                <c:pt idx="518">
                  <c:v>45663</c:v>
                </c:pt>
                <c:pt idx="519">
                  <c:v>45664</c:v>
                </c:pt>
                <c:pt idx="520">
                  <c:v>45665</c:v>
                </c:pt>
                <c:pt idx="521">
                  <c:v>45666</c:v>
                </c:pt>
                <c:pt idx="522">
                  <c:v>45667</c:v>
                </c:pt>
                <c:pt idx="523">
                  <c:v>45670</c:v>
                </c:pt>
                <c:pt idx="524">
                  <c:v>45671</c:v>
                </c:pt>
                <c:pt idx="525">
                  <c:v>45672</c:v>
                </c:pt>
                <c:pt idx="526">
                  <c:v>45673</c:v>
                </c:pt>
                <c:pt idx="527">
                  <c:v>45674</c:v>
                </c:pt>
                <c:pt idx="528">
                  <c:v>45677</c:v>
                </c:pt>
                <c:pt idx="529">
                  <c:v>45678</c:v>
                </c:pt>
                <c:pt idx="530">
                  <c:v>45679</c:v>
                </c:pt>
                <c:pt idx="531">
                  <c:v>45680</c:v>
                </c:pt>
                <c:pt idx="532">
                  <c:v>45681</c:v>
                </c:pt>
                <c:pt idx="533">
                  <c:v>45684</c:v>
                </c:pt>
                <c:pt idx="534">
                  <c:v>45685</c:v>
                </c:pt>
                <c:pt idx="535">
                  <c:v>45686</c:v>
                </c:pt>
                <c:pt idx="536">
                  <c:v>45687</c:v>
                </c:pt>
                <c:pt idx="537">
                  <c:v>45688</c:v>
                </c:pt>
                <c:pt idx="538">
                  <c:v>45691</c:v>
                </c:pt>
                <c:pt idx="539">
                  <c:v>45692</c:v>
                </c:pt>
                <c:pt idx="540">
                  <c:v>45693</c:v>
                </c:pt>
                <c:pt idx="541">
                  <c:v>45694</c:v>
                </c:pt>
                <c:pt idx="542">
                  <c:v>45695</c:v>
                </c:pt>
                <c:pt idx="543">
                  <c:v>45698</c:v>
                </c:pt>
                <c:pt idx="544">
                  <c:v>45699</c:v>
                </c:pt>
                <c:pt idx="545">
                  <c:v>45700</c:v>
                </c:pt>
                <c:pt idx="546">
                  <c:v>45701</c:v>
                </c:pt>
                <c:pt idx="547">
                  <c:v>45702</c:v>
                </c:pt>
                <c:pt idx="548">
                  <c:v>45705</c:v>
                </c:pt>
                <c:pt idx="549">
                  <c:v>45706</c:v>
                </c:pt>
                <c:pt idx="550">
                  <c:v>45707</c:v>
                </c:pt>
                <c:pt idx="551">
                  <c:v>45708</c:v>
                </c:pt>
                <c:pt idx="552">
                  <c:v>45709</c:v>
                </c:pt>
                <c:pt idx="553">
                  <c:v>45712</c:v>
                </c:pt>
                <c:pt idx="554">
                  <c:v>45713</c:v>
                </c:pt>
                <c:pt idx="555">
                  <c:v>45714</c:v>
                </c:pt>
                <c:pt idx="556">
                  <c:v>45715</c:v>
                </c:pt>
                <c:pt idx="557">
                  <c:v>45716</c:v>
                </c:pt>
                <c:pt idx="558">
                  <c:v>45719</c:v>
                </c:pt>
                <c:pt idx="559">
                  <c:v>45720</c:v>
                </c:pt>
                <c:pt idx="560">
                  <c:v>45721</c:v>
                </c:pt>
                <c:pt idx="561">
                  <c:v>45722</c:v>
                </c:pt>
                <c:pt idx="562">
                  <c:v>45723</c:v>
                </c:pt>
                <c:pt idx="563">
                  <c:v>45726</c:v>
                </c:pt>
                <c:pt idx="564">
                  <c:v>45727</c:v>
                </c:pt>
                <c:pt idx="565">
                  <c:v>45728</c:v>
                </c:pt>
                <c:pt idx="566">
                  <c:v>45729</c:v>
                </c:pt>
                <c:pt idx="567">
                  <c:v>45730</c:v>
                </c:pt>
                <c:pt idx="568">
                  <c:v>45733</c:v>
                </c:pt>
                <c:pt idx="569">
                  <c:v>45734</c:v>
                </c:pt>
                <c:pt idx="570">
                  <c:v>45735</c:v>
                </c:pt>
                <c:pt idx="571">
                  <c:v>45736</c:v>
                </c:pt>
                <c:pt idx="572">
                  <c:v>45737</c:v>
                </c:pt>
                <c:pt idx="573">
                  <c:v>45740</c:v>
                </c:pt>
                <c:pt idx="574">
                  <c:v>45741</c:v>
                </c:pt>
                <c:pt idx="575">
                  <c:v>45742</c:v>
                </c:pt>
                <c:pt idx="576">
                  <c:v>45743</c:v>
                </c:pt>
                <c:pt idx="577">
                  <c:v>45744</c:v>
                </c:pt>
                <c:pt idx="578">
                  <c:v>45747</c:v>
                </c:pt>
                <c:pt idx="579">
                  <c:v>45748</c:v>
                </c:pt>
                <c:pt idx="580">
                  <c:v>45749</c:v>
                </c:pt>
                <c:pt idx="581">
                  <c:v>45750</c:v>
                </c:pt>
                <c:pt idx="582">
                  <c:v>45751</c:v>
                </c:pt>
                <c:pt idx="583">
                  <c:v>45754</c:v>
                </c:pt>
                <c:pt idx="584">
                  <c:v>45755</c:v>
                </c:pt>
                <c:pt idx="585">
                  <c:v>45756</c:v>
                </c:pt>
                <c:pt idx="586">
                  <c:v>45757</c:v>
                </c:pt>
                <c:pt idx="587">
                  <c:v>45758</c:v>
                </c:pt>
                <c:pt idx="588">
                  <c:v>45761</c:v>
                </c:pt>
                <c:pt idx="589">
                  <c:v>45762</c:v>
                </c:pt>
                <c:pt idx="590">
                  <c:v>45763</c:v>
                </c:pt>
                <c:pt idx="591">
                  <c:v>45764</c:v>
                </c:pt>
                <c:pt idx="592">
                  <c:v>45768</c:v>
                </c:pt>
                <c:pt idx="593">
                  <c:v>45769</c:v>
                </c:pt>
                <c:pt idx="594">
                  <c:v>45770</c:v>
                </c:pt>
                <c:pt idx="595">
                  <c:v>45771</c:v>
                </c:pt>
                <c:pt idx="596">
                  <c:v>45772</c:v>
                </c:pt>
                <c:pt idx="597">
                  <c:v>45775</c:v>
                </c:pt>
                <c:pt idx="598">
                  <c:v>45776</c:v>
                </c:pt>
                <c:pt idx="599">
                  <c:v>45777</c:v>
                </c:pt>
                <c:pt idx="600">
                  <c:v>45778</c:v>
                </c:pt>
                <c:pt idx="601">
                  <c:v>45779</c:v>
                </c:pt>
                <c:pt idx="602">
                  <c:v>45782</c:v>
                </c:pt>
                <c:pt idx="603">
                  <c:v>45783</c:v>
                </c:pt>
                <c:pt idx="604">
                  <c:v>45784</c:v>
                </c:pt>
                <c:pt idx="605">
                  <c:v>45785</c:v>
                </c:pt>
                <c:pt idx="606">
                  <c:v>45786</c:v>
                </c:pt>
                <c:pt idx="607">
                  <c:v>45789</c:v>
                </c:pt>
                <c:pt idx="608">
                  <c:v>45790</c:v>
                </c:pt>
                <c:pt idx="609">
                  <c:v>45791</c:v>
                </c:pt>
                <c:pt idx="610">
                  <c:v>45792</c:v>
                </c:pt>
                <c:pt idx="611">
                  <c:v>45793</c:v>
                </c:pt>
                <c:pt idx="612">
                  <c:v>45796</c:v>
                </c:pt>
                <c:pt idx="613">
                  <c:v>45797</c:v>
                </c:pt>
                <c:pt idx="614">
                  <c:v>45798</c:v>
                </c:pt>
                <c:pt idx="615">
                  <c:v>45799</c:v>
                </c:pt>
                <c:pt idx="616">
                  <c:v>45800</c:v>
                </c:pt>
                <c:pt idx="617">
                  <c:v>45803</c:v>
                </c:pt>
                <c:pt idx="618">
                  <c:v>45804</c:v>
                </c:pt>
                <c:pt idx="619">
                  <c:v>45805</c:v>
                </c:pt>
                <c:pt idx="620">
                  <c:v>45806</c:v>
                </c:pt>
                <c:pt idx="621">
                  <c:v>45807</c:v>
                </c:pt>
                <c:pt idx="622">
                  <c:v>45810</c:v>
                </c:pt>
                <c:pt idx="623">
                  <c:v>45811</c:v>
                </c:pt>
                <c:pt idx="624">
                  <c:v>45812</c:v>
                </c:pt>
                <c:pt idx="625">
                  <c:v>45813</c:v>
                </c:pt>
                <c:pt idx="626">
                  <c:v>45814</c:v>
                </c:pt>
                <c:pt idx="627">
                  <c:v>45817</c:v>
                </c:pt>
                <c:pt idx="628">
                  <c:v>45818</c:v>
                </c:pt>
                <c:pt idx="629">
                  <c:v>45819</c:v>
                </c:pt>
                <c:pt idx="630">
                  <c:v>45820</c:v>
                </c:pt>
                <c:pt idx="631">
                  <c:v>45821</c:v>
                </c:pt>
                <c:pt idx="632">
                  <c:v>45824</c:v>
                </c:pt>
                <c:pt idx="633">
                  <c:v>45825</c:v>
                </c:pt>
                <c:pt idx="634">
                  <c:v>45826</c:v>
                </c:pt>
                <c:pt idx="635">
                  <c:v>45827</c:v>
                </c:pt>
                <c:pt idx="636">
                  <c:v>45828</c:v>
                </c:pt>
                <c:pt idx="637">
                  <c:v>45831</c:v>
                </c:pt>
                <c:pt idx="638">
                  <c:v>45832</c:v>
                </c:pt>
                <c:pt idx="639">
                  <c:v>45833</c:v>
                </c:pt>
                <c:pt idx="640" formatCode="m\/d\/yyyy">
                  <c:v>45834</c:v>
                </c:pt>
                <c:pt idx="641" formatCode="m\/d\/yyyy">
                  <c:v>45835</c:v>
                </c:pt>
                <c:pt idx="642" formatCode="m\/d\/yyyy">
                  <c:v>45838</c:v>
                </c:pt>
                <c:pt idx="643" formatCode="m\/d\/yyyy">
                  <c:v>45839</c:v>
                </c:pt>
                <c:pt idx="644" formatCode="m\/d\/yyyy">
                  <c:v>45840</c:v>
                </c:pt>
                <c:pt idx="645" formatCode="m\/d\/yyyy">
                  <c:v>45841</c:v>
                </c:pt>
                <c:pt idx="646" formatCode="m\/d\/yyyy">
                  <c:v>45842</c:v>
                </c:pt>
                <c:pt idx="647" formatCode="m\/d\/yyyy">
                  <c:v>45845</c:v>
                </c:pt>
                <c:pt idx="648" formatCode="m\/d\/yyyy">
                  <c:v>45846</c:v>
                </c:pt>
                <c:pt idx="649" formatCode="m\/d\/yyyy">
                  <c:v>45847</c:v>
                </c:pt>
                <c:pt idx="650" formatCode="m\/d\/yyyy">
                  <c:v>45848</c:v>
                </c:pt>
                <c:pt idx="651" formatCode="m\/d\/yyyy">
                  <c:v>45849</c:v>
                </c:pt>
                <c:pt idx="652" formatCode="m\/d\/yyyy">
                  <c:v>45852</c:v>
                </c:pt>
                <c:pt idx="653" formatCode="m\/d\/yyyy">
                  <c:v>45853</c:v>
                </c:pt>
                <c:pt idx="654" formatCode="m\/d\/yyyy">
                  <c:v>45854</c:v>
                </c:pt>
                <c:pt idx="655" formatCode="m\/d\/yyyy">
                  <c:v>45855</c:v>
                </c:pt>
                <c:pt idx="656" formatCode="m\/d\/yyyy">
                  <c:v>45856</c:v>
                </c:pt>
                <c:pt idx="657" formatCode="m\/d\/yyyy">
                  <c:v>45859</c:v>
                </c:pt>
                <c:pt idx="658" formatCode="m\/d\/yyyy">
                  <c:v>45860</c:v>
                </c:pt>
                <c:pt idx="659" formatCode="m\/d\/yyyy">
                  <c:v>45861</c:v>
                </c:pt>
                <c:pt idx="660" formatCode="m\/d\/yyyy">
                  <c:v>45862</c:v>
                </c:pt>
                <c:pt idx="661" formatCode="m\/d\/yyyy">
                  <c:v>45863</c:v>
                </c:pt>
                <c:pt idx="662" formatCode="m\/d\/yyyy">
                  <c:v>45866</c:v>
                </c:pt>
                <c:pt idx="663" formatCode="m\/d\/yyyy">
                  <c:v>45867</c:v>
                </c:pt>
                <c:pt idx="664" formatCode="m\/d\/yyyy">
                  <c:v>45868</c:v>
                </c:pt>
                <c:pt idx="665" formatCode="m\/d\/yyyy">
                  <c:v>45869</c:v>
                </c:pt>
                <c:pt idx="666" formatCode="m\/d\/yyyy">
                  <c:v>45870</c:v>
                </c:pt>
                <c:pt idx="667" formatCode="m\/d\/yyyy">
                  <c:v>45873</c:v>
                </c:pt>
                <c:pt idx="668" formatCode="m\/d\/yyyy">
                  <c:v>45874</c:v>
                </c:pt>
                <c:pt idx="669" formatCode="m\/d\/yyyy">
                  <c:v>45875</c:v>
                </c:pt>
                <c:pt idx="670" formatCode="m\/d\/yyyy">
                  <c:v>45876</c:v>
                </c:pt>
                <c:pt idx="671" formatCode="m\/d\/yyyy">
                  <c:v>45877</c:v>
                </c:pt>
                <c:pt idx="672" formatCode="m\/d\/yyyy">
                  <c:v>45880</c:v>
                </c:pt>
                <c:pt idx="673" formatCode="m\/d\/yyyy">
                  <c:v>45881</c:v>
                </c:pt>
                <c:pt idx="674" formatCode="m\/d\/yyyy">
                  <c:v>45882</c:v>
                </c:pt>
                <c:pt idx="675" formatCode="m\/d\/yyyy">
                  <c:v>45883</c:v>
                </c:pt>
                <c:pt idx="676" formatCode="m\/d\/yyyy">
                  <c:v>45884</c:v>
                </c:pt>
                <c:pt idx="677" formatCode="m\/d\/yyyy">
                  <c:v>45887</c:v>
                </c:pt>
                <c:pt idx="678" formatCode="m\/d\/yyyy">
                  <c:v>45888</c:v>
                </c:pt>
                <c:pt idx="679" formatCode="m\/d\/yyyy">
                  <c:v>45889</c:v>
                </c:pt>
                <c:pt idx="680" formatCode="m\/d\/yyyy">
                  <c:v>45890</c:v>
                </c:pt>
                <c:pt idx="681" formatCode="m\/d\/yyyy">
                  <c:v>45891</c:v>
                </c:pt>
                <c:pt idx="682" formatCode="m\/d\/yyyy">
                  <c:v>45894</c:v>
                </c:pt>
                <c:pt idx="683" formatCode="m\/d\/yyyy">
                  <c:v>45895</c:v>
                </c:pt>
                <c:pt idx="684" formatCode="m\/d\/yyyy">
                  <c:v>45896</c:v>
                </c:pt>
                <c:pt idx="685" formatCode="m\/d\/yyyy">
                  <c:v>45897</c:v>
                </c:pt>
                <c:pt idx="686" formatCode="m\/d\/yyyy">
                  <c:v>45898</c:v>
                </c:pt>
                <c:pt idx="687" formatCode="m\/d\/yyyy">
                  <c:v>45901</c:v>
                </c:pt>
                <c:pt idx="688" formatCode="m\/d\/yyyy">
                  <c:v>45902</c:v>
                </c:pt>
                <c:pt idx="689" formatCode="m\/d\/yyyy">
                  <c:v>45903</c:v>
                </c:pt>
                <c:pt idx="690" formatCode="m\/d\/yyyy">
                  <c:v>45904</c:v>
                </c:pt>
                <c:pt idx="691" formatCode="m\/d\/yyyy">
                  <c:v>45905</c:v>
                </c:pt>
                <c:pt idx="692" formatCode="m\/d\/yyyy">
                  <c:v>45908</c:v>
                </c:pt>
                <c:pt idx="693" formatCode="m\/d\/yyyy">
                  <c:v>45909</c:v>
                </c:pt>
                <c:pt idx="694" formatCode="m\/d\/yyyy">
                  <c:v>45910</c:v>
                </c:pt>
                <c:pt idx="695" formatCode="m\/d\/yyyy">
                  <c:v>45911</c:v>
                </c:pt>
                <c:pt idx="696" formatCode="m\/d\/yyyy">
                  <c:v>45912</c:v>
                </c:pt>
                <c:pt idx="697" formatCode="m\/d\/yyyy">
                  <c:v>45915</c:v>
                </c:pt>
                <c:pt idx="698" formatCode="m\/d\/yyyy">
                  <c:v>45916</c:v>
                </c:pt>
                <c:pt idx="699" formatCode="m\/d\/yyyy">
                  <c:v>45917</c:v>
                </c:pt>
                <c:pt idx="700" formatCode="m\/d\/yyyy">
                  <c:v>45918</c:v>
                </c:pt>
                <c:pt idx="701" formatCode="m\/d\/yyyy">
                  <c:v>45919</c:v>
                </c:pt>
                <c:pt idx="702" formatCode="m\/d\/yyyy">
                  <c:v>45922</c:v>
                </c:pt>
                <c:pt idx="703" formatCode="m\/d\/yyyy">
                  <c:v>45923</c:v>
                </c:pt>
                <c:pt idx="704" formatCode="m\/d\/yyyy">
                  <c:v>45924</c:v>
                </c:pt>
                <c:pt idx="705" formatCode="m\/d\/yyyy">
                  <c:v>45925</c:v>
                </c:pt>
                <c:pt idx="706" formatCode="m\/d\/yyyy">
                  <c:v>45926</c:v>
                </c:pt>
                <c:pt idx="707" formatCode="m\/d\/yyyy">
                  <c:v>45929</c:v>
                </c:pt>
                <c:pt idx="708" formatCode="m\/d\/yyyy">
                  <c:v>45930</c:v>
                </c:pt>
                <c:pt idx="709" formatCode="m\/d\/yyyy">
                  <c:v>45931</c:v>
                </c:pt>
                <c:pt idx="710" formatCode="m\/d\/yyyy">
                  <c:v>45932</c:v>
                </c:pt>
                <c:pt idx="711" formatCode="m\/d\/yyyy">
                  <c:v>45933</c:v>
                </c:pt>
                <c:pt idx="712" formatCode="m\/d\/yyyy">
                  <c:v>45936</c:v>
                </c:pt>
                <c:pt idx="713" formatCode="m\/d\/yyyy">
                  <c:v>45937</c:v>
                </c:pt>
                <c:pt idx="714" formatCode="m\/d\/yyyy">
                  <c:v>45938</c:v>
                </c:pt>
                <c:pt idx="715" formatCode="m\/d\/yyyy">
                  <c:v>45939</c:v>
                </c:pt>
                <c:pt idx="716" formatCode="m\/d\/yyyy">
                  <c:v>45940</c:v>
                </c:pt>
                <c:pt idx="717" formatCode="m\/d\/yyyy">
                  <c:v>45943</c:v>
                </c:pt>
                <c:pt idx="718" formatCode="m\/d\/yyyy">
                  <c:v>45944</c:v>
                </c:pt>
                <c:pt idx="719" formatCode="m\/d\/yyyy">
                  <c:v>45945</c:v>
                </c:pt>
                <c:pt idx="720" formatCode="m\/d\/yyyy">
                  <c:v>45946</c:v>
                </c:pt>
                <c:pt idx="721" formatCode="m\/d\/yyyy">
                  <c:v>45947</c:v>
                </c:pt>
                <c:pt idx="722" formatCode="m\/d\/yyyy">
                  <c:v>45950</c:v>
                </c:pt>
                <c:pt idx="723" formatCode="m\/d\/yyyy">
                  <c:v>45951</c:v>
                </c:pt>
                <c:pt idx="724" formatCode="m\/d\/yyyy">
                  <c:v>45952</c:v>
                </c:pt>
                <c:pt idx="725" formatCode="m\/d\/yyyy">
                  <c:v>45953</c:v>
                </c:pt>
                <c:pt idx="726" formatCode="m\/d\/yyyy">
                  <c:v>45954</c:v>
                </c:pt>
                <c:pt idx="727" formatCode="m\/d\/yyyy">
                  <c:v>45957</c:v>
                </c:pt>
                <c:pt idx="728" formatCode="m\/d\/yyyy">
                  <c:v>45958</c:v>
                </c:pt>
                <c:pt idx="729" formatCode="m\/d\/yyyy">
                  <c:v>45959</c:v>
                </c:pt>
                <c:pt idx="730" formatCode="m\/d\/yyyy">
                  <c:v>45960</c:v>
                </c:pt>
                <c:pt idx="731" formatCode="m\/d\/yyyy">
                  <c:v>45961</c:v>
                </c:pt>
                <c:pt idx="732" formatCode="m\/d\/yyyy">
                  <c:v>45964</c:v>
                </c:pt>
                <c:pt idx="733" formatCode="m\/d\/yyyy">
                  <c:v>45965</c:v>
                </c:pt>
                <c:pt idx="734" formatCode="m\/d\/yyyy">
                  <c:v>45966</c:v>
                </c:pt>
                <c:pt idx="735" formatCode="m\/d\/yyyy">
                  <c:v>45967</c:v>
                </c:pt>
                <c:pt idx="736" formatCode="m\/d\/yyyy">
                  <c:v>45968</c:v>
                </c:pt>
                <c:pt idx="737" formatCode="m\/d\/yyyy">
                  <c:v>45971</c:v>
                </c:pt>
                <c:pt idx="738" formatCode="m\/d\/yyyy">
                  <c:v>45972</c:v>
                </c:pt>
                <c:pt idx="739" formatCode="m\/d\/yyyy">
                  <c:v>45973</c:v>
                </c:pt>
                <c:pt idx="740" formatCode="m\/d\/yyyy">
                  <c:v>45974</c:v>
                </c:pt>
                <c:pt idx="741" formatCode="m\/d\/yyyy">
                  <c:v>45975</c:v>
                </c:pt>
                <c:pt idx="742" formatCode="m\/d\/yyyy">
                  <c:v>45978</c:v>
                </c:pt>
                <c:pt idx="743" formatCode="m\/d\/yyyy">
                  <c:v>45979</c:v>
                </c:pt>
                <c:pt idx="744" formatCode="m\/d\/yyyy">
                  <c:v>45980</c:v>
                </c:pt>
                <c:pt idx="745" formatCode="m\/d\/yyyy">
                  <c:v>45981</c:v>
                </c:pt>
                <c:pt idx="746" formatCode="m\/d\/yyyy">
                  <c:v>45982</c:v>
                </c:pt>
                <c:pt idx="747" formatCode="m\/d\/yyyy">
                  <c:v>45985</c:v>
                </c:pt>
                <c:pt idx="748" formatCode="m\/d\/yyyy">
                  <c:v>45986</c:v>
                </c:pt>
                <c:pt idx="749" formatCode="m\/d\/yyyy">
                  <c:v>45987</c:v>
                </c:pt>
                <c:pt idx="750" formatCode="m\/d\/yyyy">
                  <c:v>45988</c:v>
                </c:pt>
                <c:pt idx="751" formatCode="m\/d\/yyyy">
                  <c:v>45989</c:v>
                </c:pt>
                <c:pt idx="752" formatCode="m\/d\/yyyy">
                  <c:v>45992</c:v>
                </c:pt>
                <c:pt idx="753" formatCode="m\/d\/yyyy">
                  <c:v>45993</c:v>
                </c:pt>
                <c:pt idx="754" formatCode="m\/d\/yyyy">
                  <c:v>45994</c:v>
                </c:pt>
                <c:pt idx="755" formatCode="m\/d\/yyyy">
                  <c:v>45995</c:v>
                </c:pt>
                <c:pt idx="756" formatCode="m\/d\/yyyy">
                  <c:v>45996</c:v>
                </c:pt>
                <c:pt idx="757" formatCode="m\/d\/yyyy">
                  <c:v>45999</c:v>
                </c:pt>
                <c:pt idx="758" formatCode="m\/d\/yyyy">
                  <c:v>46000</c:v>
                </c:pt>
                <c:pt idx="759" formatCode="m\/d\/yyyy">
                  <c:v>46001</c:v>
                </c:pt>
                <c:pt idx="760" formatCode="m\/d\/yyyy">
                  <c:v>46002</c:v>
                </c:pt>
                <c:pt idx="761" formatCode="m\/d\/yyyy">
                  <c:v>46003</c:v>
                </c:pt>
                <c:pt idx="762" formatCode="m\/d\/yyyy">
                  <c:v>46006</c:v>
                </c:pt>
                <c:pt idx="763" formatCode="m\/d\/yyyy">
                  <c:v>46007</c:v>
                </c:pt>
                <c:pt idx="764" formatCode="m\/d\/yyyy">
                  <c:v>46008</c:v>
                </c:pt>
                <c:pt idx="765" formatCode="m\/d\/yyyy">
                  <c:v>46009</c:v>
                </c:pt>
                <c:pt idx="766" formatCode="m\/d\/yyyy">
                  <c:v>46010</c:v>
                </c:pt>
                <c:pt idx="767" formatCode="m\/d\/yyyy">
                  <c:v>46013</c:v>
                </c:pt>
                <c:pt idx="768" formatCode="m\/d\/yyyy">
                  <c:v>46014</c:v>
                </c:pt>
                <c:pt idx="769" formatCode="m\/d\/yyyy">
                  <c:v>46015</c:v>
                </c:pt>
                <c:pt idx="770" formatCode="m\/d\/yyyy">
                  <c:v>46017</c:v>
                </c:pt>
                <c:pt idx="771" formatCode="m\/d\/yyyy">
                  <c:v>46020</c:v>
                </c:pt>
                <c:pt idx="772" formatCode="m\/d\/yyyy">
                  <c:v>46021</c:v>
                </c:pt>
                <c:pt idx="773" formatCode="m\/d\/yyyy">
                  <c:v>46022</c:v>
                </c:pt>
                <c:pt idx="774" formatCode="m\/d\/yyyy">
                  <c:v>46024</c:v>
                </c:pt>
                <c:pt idx="775" formatCode="m\/d\/yyyy">
                  <c:v>46027</c:v>
                </c:pt>
                <c:pt idx="776" formatCode="m\/d\/yyyy">
                  <c:v>46028</c:v>
                </c:pt>
                <c:pt idx="777" formatCode="m\/d\/yyyy">
                  <c:v>46029</c:v>
                </c:pt>
                <c:pt idx="778" formatCode="m\/d\/yyyy">
                  <c:v>46030</c:v>
                </c:pt>
                <c:pt idx="779" formatCode="m\/d\/yyyy">
                  <c:v>46031</c:v>
                </c:pt>
                <c:pt idx="780" formatCode="m\/d\/yyyy">
                  <c:v>46034</c:v>
                </c:pt>
                <c:pt idx="781" formatCode="m\/d\/yyyy">
                  <c:v>46035</c:v>
                </c:pt>
                <c:pt idx="782" formatCode="m\/d\/yyyy">
                  <c:v>46036</c:v>
                </c:pt>
                <c:pt idx="783" formatCode="m\/d\/yyyy">
                  <c:v>46037</c:v>
                </c:pt>
                <c:pt idx="784" formatCode="m\/d\/yyyy">
                  <c:v>46038</c:v>
                </c:pt>
                <c:pt idx="785" formatCode="m\/d\/yyyy">
                  <c:v>46041</c:v>
                </c:pt>
                <c:pt idx="786" formatCode="m\/d\/yyyy">
                  <c:v>46042</c:v>
                </c:pt>
                <c:pt idx="787" formatCode="m\/d\/yyyy">
                  <c:v>46043</c:v>
                </c:pt>
                <c:pt idx="788" formatCode="m\/d\/yyyy">
                  <c:v>46044</c:v>
                </c:pt>
                <c:pt idx="789" formatCode="m\/d\/yyyy">
                  <c:v>46045</c:v>
                </c:pt>
                <c:pt idx="790" formatCode="m\/d\/yyyy">
                  <c:v>46048</c:v>
                </c:pt>
                <c:pt idx="791" formatCode="m\/d\/yyyy">
                  <c:v>46049</c:v>
                </c:pt>
                <c:pt idx="792" formatCode="m\/d\/yyyy">
                  <c:v>46050</c:v>
                </c:pt>
                <c:pt idx="793" formatCode="m\/d\/yyyy">
                  <c:v>46051</c:v>
                </c:pt>
                <c:pt idx="794" formatCode="m\/d\/yyyy">
                  <c:v>46052</c:v>
                </c:pt>
                <c:pt idx="795" formatCode="m\/d\/yyyy">
                  <c:v>46055</c:v>
                </c:pt>
                <c:pt idx="796" formatCode="m\/d\/yyyy">
                  <c:v>46056</c:v>
                </c:pt>
                <c:pt idx="797" formatCode="m\/d\/yyyy">
                  <c:v>46057</c:v>
                </c:pt>
                <c:pt idx="798" formatCode="m\/d\/yyyy">
                  <c:v>46058</c:v>
                </c:pt>
                <c:pt idx="799" formatCode="m\/d\/yyyy">
                  <c:v>46059</c:v>
                </c:pt>
                <c:pt idx="800" formatCode="m\/d\/yyyy">
                  <c:v>46062</c:v>
                </c:pt>
                <c:pt idx="801" formatCode="m\/d\/yyyy">
                  <c:v>46063</c:v>
                </c:pt>
                <c:pt idx="802" formatCode="m\/d\/yyyy">
                  <c:v>46064</c:v>
                </c:pt>
                <c:pt idx="803" formatCode="m\/d\/yyyy">
                  <c:v>46065</c:v>
                </c:pt>
                <c:pt idx="804" formatCode="m\/d\/yyyy">
                  <c:v>46066</c:v>
                </c:pt>
                <c:pt idx="805" formatCode="m\/d\/yyyy">
                  <c:v>46069</c:v>
                </c:pt>
                <c:pt idx="806" formatCode="m\/d\/yyyy">
                  <c:v>46070</c:v>
                </c:pt>
                <c:pt idx="807" formatCode="m\/d\/yyyy">
                  <c:v>46071</c:v>
                </c:pt>
                <c:pt idx="808" formatCode="m\/d\/yyyy">
                  <c:v>46072</c:v>
                </c:pt>
                <c:pt idx="809" formatCode="m\/d\/yyyy">
                  <c:v>46073</c:v>
                </c:pt>
                <c:pt idx="810" formatCode="m\/d\/yyyy">
                  <c:v>46076</c:v>
                </c:pt>
                <c:pt idx="811" formatCode="m\/d\/yyyy">
                  <c:v>46077</c:v>
                </c:pt>
                <c:pt idx="812" formatCode="m\/d\/yyyy">
                  <c:v>46078</c:v>
                </c:pt>
                <c:pt idx="813" formatCode="m\/d\/yyyy">
                  <c:v>46079</c:v>
                </c:pt>
                <c:pt idx="814" formatCode="m\/d\/yyyy">
                  <c:v>46080</c:v>
                </c:pt>
                <c:pt idx="815" formatCode="m\/d\/yyyy">
                  <c:v>46083</c:v>
                </c:pt>
                <c:pt idx="816" formatCode="m\/d\/yyyy">
                  <c:v>46084</c:v>
                </c:pt>
                <c:pt idx="817" formatCode="m\/d\/yyyy">
                  <c:v>46085</c:v>
                </c:pt>
                <c:pt idx="818" formatCode="m\/d\/yyyy">
                  <c:v>46086</c:v>
                </c:pt>
                <c:pt idx="819" formatCode="m\/d\/yyyy">
                  <c:v>46087</c:v>
                </c:pt>
                <c:pt idx="820" formatCode="m\/d\/yyyy">
                  <c:v>46090</c:v>
                </c:pt>
                <c:pt idx="821" formatCode="m\/d\/yyyy">
                  <c:v>46091</c:v>
                </c:pt>
                <c:pt idx="822" formatCode="m\/d\/yyyy">
                  <c:v>46092</c:v>
                </c:pt>
                <c:pt idx="823" formatCode="m\/d\/yyyy">
                  <c:v>46093</c:v>
                </c:pt>
                <c:pt idx="824" formatCode="m\/d\/yyyy">
                  <c:v>46094</c:v>
                </c:pt>
                <c:pt idx="825" formatCode="m\/d\/yyyy">
                  <c:v>46097</c:v>
                </c:pt>
                <c:pt idx="826" formatCode="m\/d\/yyyy">
                  <c:v>46098</c:v>
                </c:pt>
                <c:pt idx="827" formatCode="m\/d\/yyyy">
                  <c:v>46099</c:v>
                </c:pt>
                <c:pt idx="828" formatCode="m\/d\/yyyy">
                  <c:v>46100</c:v>
                </c:pt>
                <c:pt idx="829" formatCode="m\/d\/yyyy">
                  <c:v>46101</c:v>
                </c:pt>
                <c:pt idx="830" formatCode="m\/d\/yyyy">
                  <c:v>46104</c:v>
                </c:pt>
                <c:pt idx="831" formatCode="m\/d\/yyyy">
                  <c:v>46105</c:v>
                </c:pt>
                <c:pt idx="832" formatCode="m\/d\/yyyy">
                  <c:v>46106</c:v>
                </c:pt>
                <c:pt idx="833" formatCode="m\/d\/yyyy">
                  <c:v>46107</c:v>
                </c:pt>
                <c:pt idx="834" formatCode="m\/d\/yyyy">
                  <c:v>46108</c:v>
                </c:pt>
                <c:pt idx="835" formatCode="m\/d\/yyyy">
                  <c:v>46111</c:v>
                </c:pt>
                <c:pt idx="836" formatCode="m\/d\/yyyy">
                  <c:v>46112</c:v>
                </c:pt>
                <c:pt idx="837" formatCode="m\/d\/yyyy">
                  <c:v>46113</c:v>
                </c:pt>
                <c:pt idx="838" formatCode="m\/d\/yyyy">
                  <c:v>46114</c:v>
                </c:pt>
                <c:pt idx="839" formatCode="m\/d\/yyyy">
                  <c:v>46115</c:v>
                </c:pt>
                <c:pt idx="840" formatCode="m\/d\/yyyy">
                  <c:v>46118</c:v>
                </c:pt>
                <c:pt idx="841" formatCode="m\/d\/yyyy">
                  <c:v>46119</c:v>
                </c:pt>
                <c:pt idx="842" formatCode="m\/d\/yyyy">
                  <c:v>46120</c:v>
                </c:pt>
                <c:pt idx="843" formatCode="m\/d\/yyyy">
                  <c:v>46121</c:v>
                </c:pt>
                <c:pt idx="844" formatCode="m\/d\/yyyy">
                  <c:v>46122</c:v>
                </c:pt>
                <c:pt idx="845" formatCode="m\/d\/yyyy">
                  <c:v>46125</c:v>
                </c:pt>
                <c:pt idx="846" formatCode="m\/d\/yyyy">
                  <c:v>46126</c:v>
                </c:pt>
                <c:pt idx="847" formatCode="m\/d\/yyyy">
                  <c:v>46127</c:v>
                </c:pt>
                <c:pt idx="848" formatCode="m\/d\/yyyy">
                  <c:v>46128</c:v>
                </c:pt>
                <c:pt idx="849" formatCode="m\/d\/yyyy">
                  <c:v>46129</c:v>
                </c:pt>
                <c:pt idx="850" formatCode="m\/d\/yyyy">
                  <c:v>46132</c:v>
                </c:pt>
                <c:pt idx="851" formatCode="m\/d\/yyyy">
                  <c:v>46133</c:v>
                </c:pt>
                <c:pt idx="852" formatCode="m\/d\/yyyy">
                  <c:v>46134</c:v>
                </c:pt>
                <c:pt idx="853" formatCode="m\/d\/yyyy">
                  <c:v>46135</c:v>
                </c:pt>
                <c:pt idx="854" formatCode="m\/d\/yyyy">
                  <c:v>46136</c:v>
                </c:pt>
                <c:pt idx="855" formatCode="m\/d\/yyyy">
                  <c:v>46139</c:v>
                </c:pt>
                <c:pt idx="856" formatCode="m\/d\/yyyy">
                  <c:v>46140</c:v>
                </c:pt>
                <c:pt idx="857" formatCode="m\/d\/yyyy">
                  <c:v>46141</c:v>
                </c:pt>
                <c:pt idx="858" formatCode="m\/d\/yyyy">
                  <c:v>46142</c:v>
                </c:pt>
                <c:pt idx="859" formatCode="m\/d\/yyyy">
                  <c:v>46143</c:v>
                </c:pt>
                <c:pt idx="860" formatCode="m\/d\/yyyy">
                  <c:v>46146</c:v>
                </c:pt>
                <c:pt idx="861" formatCode="m\/d\/yyyy">
                  <c:v>46147</c:v>
                </c:pt>
                <c:pt idx="862" formatCode="m\/d\/yyyy">
                  <c:v>46148</c:v>
                </c:pt>
                <c:pt idx="863" formatCode="m\/d\/yyyy">
                  <c:v>46149</c:v>
                </c:pt>
                <c:pt idx="864" formatCode="m\/d\/yyyy">
                  <c:v>46150</c:v>
                </c:pt>
                <c:pt idx="865" formatCode="m\/d\/yyyy">
                  <c:v>46153</c:v>
                </c:pt>
                <c:pt idx="866" formatCode="m\/d\/yyyy">
                  <c:v>46154</c:v>
                </c:pt>
                <c:pt idx="867" formatCode="m\/d\/yyyy">
                  <c:v>46155</c:v>
                </c:pt>
                <c:pt idx="868" formatCode="m\/d\/yyyy">
                  <c:v>46156</c:v>
                </c:pt>
                <c:pt idx="869" formatCode="m\/d\/yyyy">
                  <c:v>46157</c:v>
                </c:pt>
                <c:pt idx="870" formatCode="m\/d\/yyyy">
                  <c:v>46160</c:v>
                </c:pt>
                <c:pt idx="871" formatCode="m\/d\/yyyy">
                  <c:v>46161</c:v>
                </c:pt>
                <c:pt idx="872" formatCode="m\/d\/yyyy">
                  <c:v>46162</c:v>
                </c:pt>
                <c:pt idx="873" formatCode="m\/d\/yyyy">
                  <c:v>46163</c:v>
                </c:pt>
                <c:pt idx="874" formatCode="m\/d\/yyyy">
                  <c:v>46164</c:v>
                </c:pt>
                <c:pt idx="875" formatCode="m\/d\/yyyy">
                  <c:v>46167</c:v>
                </c:pt>
                <c:pt idx="876" formatCode="m\/d\/yyyy">
                  <c:v>46168</c:v>
                </c:pt>
                <c:pt idx="877" formatCode="m\/d\/yyyy">
                  <c:v>46169</c:v>
                </c:pt>
                <c:pt idx="878" formatCode="m\/d\/yyyy">
                  <c:v>46171</c:v>
                </c:pt>
                <c:pt idx="879" formatCode="m\/d\/yyyy">
                  <c:v>46174</c:v>
                </c:pt>
                <c:pt idx="880" formatCode="m\/d\/yyyy">
                  <c:v>46175</c:v>
                </c:pt>
                <c:pt idx="881" formatCode="m\/d\/yyyy">
                  <c:v>46176</c:v>
                </c:pt>
                <c:pt idx="882" formatCode="m\/d\/yyyy">
                  <c:v>46177</c:v>
                </c:pt>
                <c:pt idx="883" formatCode="m\/d\/yyyy">
                  <c:v>46178</c:v>
                </c:pt>
                <c:pt idx="884" formatCode="m\/d\/yyyy">
                  <c:v>46181</c:v>
                </c:pt>
                <c:pt idx="885" formatCode="m\/d\/yyyy">
                  <c:v>46182</c:v>
                </c:pt>
                <c:pt idx="886" formatCode="m\/d\/yyyy">
                  <c:v>46183</c:v>
                </c:pt>
                <c:pt idx="887" formatCode="m\/d\/yyyy">
                  <c:v>46184</c:v>
                </c:pt>
                <c:pt idx="888" formatCode="m\/d\/yyyy">
                  <c:v>46185</c:v>
                </c:pt>
                <c:pt idx="889" formatCode="m\/d\/yyyy">
                  <c:v>46188</c:v>
                </c:pt>
                <c:pt idx="890" formatCode="m\/d\/yyyy">
                  <c:v>46189</c:v>
                </c:pt>
                <c:pt idx="891" formatCode="m\/d\/yyyy">
                  <c:v>46190</c:v>
                </c:pt>
                <c:pt idx="892" formatCode="m\/d\/yyyy">
                  <c:v>46191</c:v>
                </c:pt>
                <c:pt idx="893" formatCode="m\/d\/yyyy">
                  <c:v>46192</c:v>
                </c:pt>
                <c:pt idx="894" formatCode="m\/d\/yyyy">
                  <c:v>46195</c:v>
                </c:pt>
                <c:pt idx="895" formatCode="m\/d\/yyyy">
                  <c:v>46196</c:v>
                </c:pt>
                <c:pt idx="896" formatCode="m\/d\/yyyy">
                  <c:v>46197</c:v>
                </c:pt>
                <c:pt idx="897" formatCode="m\/d\/yyyy">
                  <c:v>46198</c:v>
                </c:pt>
                <c:pt idx="898" formatCode="m\/d\/yyyy">
                  <c:v>46199</c:v>
                </c:pt>
                <c:pt idx="899" formatCode="m\/d\/yyyy">
                  <c:v>46202</c:v>
                </c:pt>
                <c:pt idx="900" formatCode="m\/d\/yyyy">
                  <c:v>46203</c:v>
                </c:pt>
                <c:pt idx="901" formatCode="m\/d\/yyyy">
                  <c:v>46204</c:v>
                </c:pt>
                <c:pt idx="902" formatCode="m\/d\/yyyy">
                  <c:v>46205</c:v>
                </c:pt>
                <c:pt idx="903" formatCode="m\/d\/yyyy">
                  <c:v>46206</c:v>
                </c:pt>
                <c:pt idx="904" formatCode="m\/d\/yyyy">
                  <c:v>46209</c:v>
                </c:pt>
                <c:pt idx="905" formatCode="m\/d\/yyyy">
                  <c:v>46210</c:v>
                </c:pt>
                <c:pt idx="906" formatCode="m\/d\/yyyy">
                  <c:v>46211</c:v>
                </c:pt>
                <c:pt idx="907" formatCode="m\/d\/yyyy">
                  <c:v>46212</c:v>
                </c:pt>
                <c:pt idx="908" formatCode="m\/d\/yyyy">
                  <c:v>46213</c:v>
                </c:pt>
                <c:pt idx="909" formatCode="m\/d\/yyyy">
                  <c:v>46216</c:v>
                </c:pt>
                <c:pt idx="910" formatCode="m\/d\/yyyy">
                  <c:v>46217</c:v>
                </c:pt>
                <c:pt idx="911" formatCode="m\/d\/yyyy">
                  <c:v>46218</c:v>
                </c:pt>
                <c:pt idx="912" formatCode="m\/d\/yyyy">
                  <c:v>46219</c:v>
                </c:pt>
                <c:pt idx="913" formatCode="m\/d\/yyyy">
                  <c:v>46220</c:v>
                </c:pt>
                <c:pt idx="914" formatCode="m\/d\/yyyy">
                  <c:v>46223</c:v>
                </c:pt>
                <c:pt idx="915" formatCode="m\/d\/yyyy">
                  <c:v>46224</c:v>
                </c:pt>
                <c:pt idx="916" formatCode="m\/d\/yyyy">
                  <c:v>46225</c:v>
                </c:pt>
                <c:pt idx="917" formatCode="m\/d\/yyyy">
                  <c:v>46226</c:v>
                </c:pt>
                <c:pt idx="918" formatCode="m\/d\/yyyy">
                  <c:v>46227</c:v>
                </c:pt>
                <c:pt idx="919" formatCode="m\/d\/yyyy">
                  <c:v>46230</c:v>
                </c:pt>
                <c:pt idx="920" formatCode="m\/d\/yyyy">
                  <c:v>46231</c:v>
                </c:pt>
                <c:pt idx="921" formatCode="m\/d\/yyyy">
                  <c:v>46232</c:v>
                </c:pt>
                <c:pt idx="922" formatCode="m\/d\/yyyy">
                  <c:v>46233</c:v>
                </c:pt>
                <c:pt idx="923" formatCode="m\/d\/yyyy">
                  <c:v>46234</c:v>
                </c:pt>
                <c:pt idx="924" formatCode="m\/d\/yyyy">
                  <c:v>46237</c:v>
                </c:pt>
                <c:pt idx="925" formatCode="m\/d\/yyyy">
                  <c:v>46238</c:v>
                </c:pt>
                <c:pt idx="926" formatCode="m\/d\/yyyy">
                  <c:v>46239</c:v>
                </c:pt>
                <c:pt idx="927" formatCode="m\/d\/yyyy">
                  <c:v>46240</c:v>
                </c:pt>
                <c:pt idx="928" formatCode="m\/d\/yyyy">
                  <c:v>46241</c:v>
                </c:pt>
                <c:pt idx="929" formatCode="m\/d\/yyyy">
                  <c:v>46244</c:v>
                </c:pt>
                <c:pt idx="930" formatCode="m\/d\/yyyy">
                  <c:v>46245</c:v>
                </c:pt>
                <c:pt idx="931" formatCode="m\/d\/yyyy">
                  <c:v>46246</c:v>
                </c:pt>
                <c:pt idx="932" formatCode="m\/d\/yyyy">
                  <c:v>46247</c:v>
                </c:pt>
                <c:pt idx="933" formatCode="m\/d\/yyyy">
                  <c:v>46248</c:v>
                </c:pt>
                <c:pt idx="934" formatCode="m\/d\/yyyy">
                  <c:v>46251</c:v>
                </c:pt>
                <c:pt idx="935" formatCode="m\/d\/yyyy">
                  <c:v>46252</c:v>
                </c:pt>
                <c:pt idx="936" formatCode="m\/d\/yyyy">
                  <c:v>46253</c:v>
                </c:pt>
                <c:pt idx="937" formatCode="m\/d\/yyyy">
                  <c:v>46254</c:v>
                </c:pt>
                <c:pt idx="938" formatCode="m\/d\/yyyy">
                  <c:v>46255</c:v>
                </c:pt>
                <c:pt idx="939" formatCode="m\/d\/yyyy">
                  <c:v>46258</c:v>
                </c:pt>
                <c:pt idx="940" formatCode="m\/d\/yyyy">
                  <c:v>46259</c:v>
                </c:pt>
                <c:pt idx="941" formatCode="m\/d\/yyyy">
                  <c:v>46260</c:v>
                </c:pt>
                <c:pt idx="942" formatCode="m\/d\/yyyy">
                  <c:v>46261</c:v>
                </c:pt>
                <c:pt idx="943" formatCode="m\/d\/yyyy">
                  <c:v>46262</c:v>
                </c:pt>
                <c:pt idx="944" formatCode="m\/d\/yyyy">
                  <c:v>46265</c:v>
                </c:pt>
                <c:pt idx="945" formatCode="m\/d\/yyyy">
                  <c:v>46266</c:v>
                </c:pt>
                <c:pt idx="946" formatCode="m\/d\/yyyy">
                  <c:v>46267</c:v>
                </c:pt>
                <c:pt idx="947" formatCode="m\/d\/yyyy">
                  <c:v>46268</c:v>
                </c:pt>
                <c:pt idx="948" formatCode="m\/d\/yyyy">
                  <c:v>46269</c:v>
                </c:pt>
                <c:pt idx="949" formatCode="m\/d\/yyyy">
                  <c:v>46272</c:v>
                </c:pt>
                <c:pt idx="950" formatCode="m\/d\/yyyy">
                  <c:v>46273</c:v>
                </c:pt>
                <c:pt idx="951" formatCode="m\/d\/yyyy">
                  <c:v>46274</c:v>
                </c:pt>
                <c:pt idx="952" formatCode="m\/d\/yyyy">
                  <c:v>46275</c:v>
                </c:pt>
                <c:pt idx="953" formatCode="m\/d\/yyyy">
                  <c:v>46276</c:v>
                </c:pt>
                <c:pt idx="954" formatCode="m\/d\/yyyy">
                  <c:v>46279</c:v>
                </c:pt>
                <c:pt idx="955" formatCode="m\/d\/yyyy">
                  <c:v>46280</c:v>
                </c:pt>
              </c:numCache>
            </c:numRef>
          </c:cat>
          <c:val>
            <c:numRef>
              <c:f>Sheet1!$E$2:$E$957</c:f>
              <c:numCache>
                <c:formatCode>0.0</c:formatCode>
                <c:ptCount val="956"/>
                <c:pt idx="0">
                  <c:v>100</c:v>
                </c:pt>
                <c:pt idx="1">
                  <c:v>99.971918000561644</c:v>
                </c:pt>
                <c:pt idx="2">
                  <c:v>100.14642756850002</c:v>
                </c:pt>
                <c:pt idx="3">
                  <c:v>100.88057126810286</c:v>
                </c:pt>
                <c:pt idx="4">
                  <c:v>101.49035182733581</c:v>
                </c:pt>
                <c:pt idx="5">
                  <c:v>101.68491996630161</c:v>
                </c:pt>
                <c:pt idx="6">
                  <c:v>102.23853652665784</c:v>
                </c:pt>
                <c:pt idx="7">
                  <c:v>102.908492798973</c:v>
                </c:pt>
                <c:pt idx="8">
                  <c:v>102.87439322822642</c:v>
                </c:pt>
                <c:pt idx="9">
                  <c:v>102.35888795282224</c:v>
                </c:pt>
                <c:pt idx="10">
                  <c:v>102.54142094917158</c:v>
                </c:pt>
                <c:pt idx="11">
                  <c:v>102.25859509768523</c:v>
                </c:pt>
                <c:pt idx="12">
                  <c:v>102.14827295703454</c:v>
                </c:pt>
                <c:pt idx="13">
                  <c:v>102.47723352188389</c:v>
                </c:pt>
                <c:pt idx="14">
                  <c:v>102.41505195169896</c:v>
                </c:pt>
                <c:pt idx="15">
                  <c:v>102.85634051430175</c:v>
                </c:pt>
                <c:pt idx="16">
                  <c:v>103.09704336663057</c:v>
                </c:pt>
                <c:pt idx="17">
                  <c:v>102.99675051149356</c:v>
                </c:pt>
                <c:pt idx="18">
                  <c:v>102.808199943836</c:v>
                </c:pt>
                <c:pt idx="19">
                  <c:v>102.507321378425</c:v>
                </c:pt>
                <c:pt idx="20">
                  <c:v>102.76407108757573</c:v>
                </c:pt>
                <c:pt idx="21">
                  <c:v>103.55839050026077</c:v>
                </c:pt>
                <c:pt idx="22">
                  <c:v>103.42800978858267</c:v>
                </c:pt>
                <c:pt idx="23">
                  <c:v>102.16833152806196</c:v>
                </c:pt>
                <c:pt idx="24">
                  <c:v>101.53247482649337</c:v>
                </c:pt>
                <c:pt idx="25">
                  <c:v>101.75713082200025</c:v>
                </c:pt>
                <c:pt idx="26">
                  <c:v>101.58863882537011</c:v>
                </c:pt>
                <c:pt idx="27">
                  <c:v>101.36598868696596</c:v>
                </c:pt>
                <c:pt idx="28">
                  <c:v>101.45023468528105</c:v>
                </c:pt>
                <c:pt idx="29">
                  <c:v>101.80326553536329</c:v>
                </c:pt>
                <c:pt idx="30">
                  <c:v>101.79524210695234</c:v>
                </c:pt>
                <c:pt idx="31">
                  <c:v>101.5023869699523</c:v>
                </c:pt>
                <c:pt idx="32">
                  <c:v>101.12327997753444</c:v>
                </c:pt>
                <c:pt idx="33">
                  <c:v>101.73506639387014</c:v>
                </c:pt>
                <c:pt idx="34">
                  <c:v>101.38002968668516</c:v>
                </c:pt>
                <c:pt idx="35">
                  <c:v>101.14333854856184</c:v>
                </c:pt>
                <c:pt idx="36">
                  <c:v>101.29979540257557</c:v>
                </c:pt>
                <c:pt idx="37">
                  <c:v>101.05508083604128</c:v>
                </c:pt>
                <c:pt idx="38">
                  <c:v>100.33898985036311</c:v>
                </c:pt>
                <c:pt idx="39">
                  <c:v>100.61579813054124</c:v>
                </c:pt>
                <c:pt idx="40">
                  <c:v>100.7341436996029</c:v>
                </c:pt>
                <c:pt idx="41">
                  <c:v>101.35395354434955</c:v>
                </c:pt>
                <c:pt idx="42">
                  <c:v>101.21755526136322</c:v>
                </c:pt>
                <c:pt idx="43">
                  <c:v>101.57860953985642</c:v>
                </c:pt>
                <c:pt idx="44">
                  <c:v>101.6227383961167</c:v>
                </c:pt>
                <c:pt idx="45">
                  <c:v>100.80234284109603</c:v>
                </c:pt>
                <c:pt idx="46">
                  <c:v>101.06912183576046</c:v>
                </c:pt>
                <c:pt idx="47">
                  <c:v>100.88257712520563</c:v>
                </c:pt>
                <c:pt idx="48">
                  <c:v>100.8003369839933</c:v>
                </c:pt>
                <c:pt idx="49">
                  <c:v>100.38311870662339</c:v>
                </c:pt>
                <c:pt idx="50">
                  <c:v>100.83042484053441</c:v>
                </c:pt>
                <c:pt idx="51">
                  <c:v>99.628916435993133</c:v>
                </c:pt>
                <c:pt idx="52">
                  <c:v>100.0581698559795</c:v>
                </c:pt>
                <c:pt idx="53">
                  <c:v>99.691098006178066</c:v>
                </c:pt>
                <c:pt idx="54">
                  <c:v>99.78938500421232</c:v>
                </c:pt>
                <c:pt idx="55">
                  <c:v>100.19256228186308</c:v>
                </c:pt>
                <c:pt idx="56">
                  <c:v>101.02900469370564</c:v>
                </c:pt>
                <c:pt idx="57">
                  <c:v>100.95679383800702</c:v>
                </c:pt>
                <c:pt idx="58">
                  <c:v>100.77827255586314</c:v>
                </c:pt>
                <c:pt idx="59">
                  <c:v>101.07112769286317</c:v>
                </c:pt>
                <c:pt idx="60">
                  <c:v>101.40209411481528</c:v>
                </c:pt>
                <c:pt idx="61">
                  <c:v>101.51442211256872</c:v>
                </c:pt>
                <c:pt idx="62">
                  <c:v>102.04597424479482</c:v>
                </c:pt>
                <c:pt idx="63">
                  <c:v>101.94568138965781</c:v>
                </c:pt>
                <c:pt idx="64">
                  <c:v>101.57259196854817</c:v>
                </c:pt>
                <c:pt idx="65">
                  <c:v>101.56055682593173</c:v>
                </c:pt>
                <c:pt idx="66">
                  <c:v>101.17743811930839</c:v>
                </c:pt>
                <c:pt idx="67">
                  <c:v>101.06711597865768</c:v>
                </c:pt>
                <c:pt idx="68">
                  <c:v>101.12729169173987</c:v>
                </c:pt>
                <c:pt idx="69">
                  <c:v>100.83644241184258</c:v>
                </c:pt>
                <c:pt idx="70">
                  <c:v>101.16339711958919</c:v>
                </c:pt>
                <c:pt idx="71">
                  <c:v>101.58262125406186</c:v>
                </c:pt>
                <c:pt idx="72">
                  <c:v>102.10815581497975</c:v>
                </c:pt>
                <c:pt idx="73">
                  <c:v>101.92762867573315</c:v>
                </c:pt>
                <c:pt idx="74">
                  <c:v>101.68491996630161</c:v>
                </c:pt>
                <c:pt idx="75">
                  <c:v>101.66285553817146</c:v>
                </c:pt>
                <c:pt idx="76">
                  <c:v>101.20953183295222</c:v>
                </c:pt>
                <c:pt idx="77">
                  <c:v>101.50840454126049</c:v>
                </c:pt>
                <c:pt idx="78">
                  <c:v>101.39808240060978</c:v>
                </c:pt>
                <c:pt idx="79">
                  <c:v>101.27371926023989</c:v>
                </c:pt>
                <c:pt idx="80">
                  <c:v>100.85048341156175</c:v>
                </c:pt>
                <c:pt idx="81">
                  <c:v>101.12528583463713</c:v>
                </c:pt>
                <c:pt idx="82">
                  <c:v>101.41412925743168</c:v>
                </c:pt>
                <c:pt idx="83">
                  <c:v>101.5906446824728</c:v>
                </c:pt>
                <c:pt idx="84">
                  <c:v>101.41814097163717</c:v>
                </c:pt>
                <c:pt idx="85">
                  <c:v>101.31985397360292</c:v>
                </c:pt>
                <c:pt idx="86">
                  <c:v>101.87748224816464</c:v>
                </c:pt>
                <c:pt idx="87">
                  <c:v>102.08809724395235</c:v>
                </c:pt>
                <c:pt idx="88">
                  <c:v>102.32679423917841</c:v>
                </c:pt>
                <c:pt idx="89">
                  <c:v>102.0560035303085</c:v>
                </c:pt>
                <c:pt idx="90">
                  <c:v>102.12420267180165</c:v>
                </c:pt>
                <c:pt idx="91">
                  <c:v>102.38295823805512</c:v>
                </c:pt>
                <c:pt idx="92">
                  <c:v>101.92361696152766</c:v>
                </c:pt>
                <c:pt idx="93">
                  <c:v>101.7751835359249</c:v>
                </c:pt>
                <c:pt idx="94">
                  <c:v>101.9256228186304</c:v>
                </c:pt>
                <c:pt idx="95">
                  <c:v>101.31584225939743</c:v>
                </c:pt>
                <c:pt idx="96">
                  <c:v>101.22557868977414</c:v>
                </c:pt>
                <c:pt idx="97">
                  <c:v>100.59373370241103</c:v>
                </c:pt>
                <c:pt idx="98">
                  <c:v>100.50347013278773</c:v>
                </c:pt>
                <c:pt idx="99">
                  <c:v>100.61780398764391</c:v>
                </c:pt>
                <c:pt idx="100">
                  <c:v>100.38713042082881</c:v>
                </c:pt>
                <c:pt idx="101">
                  <c:v>100.34099570746579</c:v>
                </c:pt>
                <c:pt idx="102">
                  <c:v>99.905724716171207</c:v>
                </c:pt>
                <c:pt idx="103">
                  <c:v>100.50748184699319</c:v>
                </c:pt>
                <c:pt idx="104">
                  <c:v>100.06819914149312</c:v>
                </c:pt>
                <c:pt idx="105">
                  <c:v>100.29084927989727</c:v>
                </c:pt>
                <c:pt idx="106">
                  <c:v>99.530629437958808</c:v>
                </c:pt>
                <c:pt idx="107">
                  <c:v>100.0260761423356</c:v>
                </c:pt>
                <c:pt idx="108">
                  <c:v>100.03610542784929</c:v>
                </c:pt>
                <c:pt idx="109">
                  <c:v>100.1725037108356</c:v>
                </c:pt>
                <c:pt idx="110">
                  <c:v>99.943836001123245</c:v>
                </c:pt>
                <c:pt idx="111">
                  <c:v>99.554699723191675</c:v>
                </c:pt>
                <c:pt idx="112">
                  <c:v>99.69711557748623</c:v>
                </c:pt>
                <c:pt idx="113">
                  <c:v>99.905724716171179</c:v>
                </c:pt>
                <c:pt idx="114">
                  <c:v>99.719180005616352</c:v>
                </c:pt>
                <c:pt idx="115">
                  <c:v>99.568740722910846</c:v>
                </c:pt>
                <c:pt idx="116">
                  <c:v>99.811449432342371</c:v>
                </c:pt>
                <c:pt idx="117">
                  <c:v>100.30288442251369</c:v>
                </c:pt>
                <c:pt idx="118">
                  <c:v>100.2988727083082</c:v>
                </c:pt>
                <c:pt idx="119">
                  <c:v>100.2286677097123</c:v>
                </c:pt>
                <c:pt idx="120">
                  <c:v>99.89569543065744</c:v>
                </c:pt>
                <c:pt idx="121">
                  <c:v>100.25073213784242</c:v>
                </c:pt>
                <c:pt idx="122">
                  <c:v>99.309985156657348</c:v>
                </c:pt>
                <c:pt idx="123">
                  <c:v>99.147510731335416</c:v>
                </c:pt>
                <c:pt idx="124">
                  <c:v>98.999077305732641</c:v>
                </c:pt>
                <c:pt idx="125">
                  <c:v>98.950936735266893</c:v>
                </c:pt>
                <c:pt idx="126">
                  <c:v>98.531712600794222</c:v>
                </c:pt>
                <c:pt idx="127">
                  <c:v>98.313074176595549</c:v>
                </c:pt>
                <c:pt idx="128">
                  <c:v>98.447466602479125</c:v>
                </c:pt>
                <c:pt idx="129">
                  <c:v>98.457495887992835</c:v>
                </c:pt>
                <c:pt idx="130">
                  <c:v>98.295021462670903</c:v>
                </c:pt>
                <c:pt idx="131">
                  <c:v>97.86977975689004</c:v>
                </c:pt>
                <c:pt idx="132">
                  <c:v>97.223893769807745</c:v>
                </c:pt>
                <c:pt idx="133">
                  <c:v>97.584948048300944</c:v>
                </c:pt>
                <c:pt idx="134">
                  <c:v>97.853732900068096</c:v>
                </c:pt>
                <c:pt idx="135">
                  <c:v>98.220804749869515</c:v>
                </c:pt>
                <c:pt idx="136">
                  <c:v>98.86267902274632</c:v>
                </c:pt>
                <c:pt idx="137">
                  <c:v>99.382196012355976</c:v>
                </c:pt>
                <c:pt idx="138">
                  <c:v>99.149516588438132</c:v>
                </c:pt>
                <c:pt idx="139">
                  <c:v>99.037188590684693</c:v>
                </c:pt>
                <c:pt idx="140">
                  <c:v>98.778433024431209</c:v>
                </c:pt>
                <c:pt idx="141">
                  <c:v>98.916837164520274</c:v>
                </c:pt>
                <c:pt idx="142">
                  <c:v>98.615958599109277</c:v>
                </c:pt>
                <c:pt idx="143">
                  <c:v>98.345167890239381</c:v>
                </c:pt>
                <c:pt idx="144">
                  <c:v>98.816544309383289</c:v>
                </c:pt>
                <c:pt idx="145">
                  <c:v>98.652064026958612</c:v>
                </c:pt>
                <c:pt idx="146">
                  <c:v>98.934889878444949</c:v>
                </c:pt>
                <c:pt idx="147">
                  <c:v>98.361214747061297</c:v>
                </c:pt>
                <c:pt idx="148">
                  <c:v>98.471536887711991</c:v>
                </c:pt>
                <c:pt idx="149">
                  <c:v>98.084406466883166</c:v>
                </c:pt>
                <c:pt idx="150">
                  <c:v>97.430497051389921</c:v>
                </c:pt>
                <c:pt idx="151">
                  <c:v>96.906968347574775</c:v>
                </c:pt>
                <c:pt idx="152">
                  <c:v>96.230994503951393</c:v>
                </c:pt>
                <c:pt idx="153">
                  <c:v>96.586031211136373</c:v>
                </c:pt>
                <c:pt idx="154">
                  <c:v>96.188871504793852</c:v>
                </c:pt>
                <c:pt idx="155">
                  <c:v>95.936133509848602</c:v>
                </c:pt>
                <c:pt idx="156">
                  <c:v>95.978256509006144</c:v>
                </c:pt>
                <c:pt idx="157">
                  <c:v>96.245035503670564</c:v>
                </c:pt>
                <c:pt idx="158">
                  <c:v>95.855899225738995</c:v>
                </c:pt>
                <c:pt idx="159">
                  <c:v>95.593131945280049</c:v>
                </c:pt>
                <c:pt idx="160">
                  <c:v>95.304288522485493</c:v>
                </c:pt>
                <c:pt idx="161">
                  <c:v>95.1237613832389</c:v>
                </c:pt>
                <c:pt idx="162">
                  <c:v>95.653307658362252</c:v>
                </c:pt>
                <c:pt idx="163">
                  <c:v>95.723512656958164</c:v>
                </c:pt>
                <c:pt idx="164">
                  <c:v>95.861916797047215</c:v>
                </c:pt>
                <c:pt idx="165">
                  <c:v>95.98828579451984</c:v>
                </c:pt>
                <c:pt idx="166">
                  <c:v>96.670277209451456</c:v>
                </c:pt>
                <c:pt idx="167">
                  <c:v>96.758534921972014</c:v>
                </c:pt>
                <c:pt idx="168">
                  <c:v>96.740482208047339</c:v>
                </c:pt>
                <c:pt idx="169">
                  <c:v>96.76856420748571</c:v>
                </c:pt>
                <c:pt idx="170">
                  <c:v>96.708388494403508</c:v>
                </c:pt>
                <c:pt idx="171">
                  <c:v>96.63417178160212</c:v>
                </c:pt>
                <c:pt idx="172">
                  <c:v>96.228988646848634</c:v>
                </c:pt>
                <c:pt idx="173">
                  <c:v>96.01035022264999</c:v>
                </c:pt>
                <c:pt idx="174">
                  <c:v>95.645284229951301</c:v>
                </c:pt>
                <c:pt idx="175">
                  <c:v>94.939222529786832</c:v>
                </c:pt>
                <c:pt idx="176">
                  <c:v>94.734625105307344</c:v>
                </c:pt>
                <c:pt idx="177">
                  <c:v>94.61828539334843</c:v>
                </c:pt>
                <c:pt idx="178">
                  <c:v>94.469851967745683</c:v>
                </c:pt>
                <c:pt idx="179">
                  <c:v>95.336382236129367</c:v>
                </c:pt>
                <c:pt idx="180">
                  <c:v>95.264171380430724</c:v>
                </c:pt>
                <c:pt idx="181">
                  <c:v>95.577085088458162</c:v>
                </c:pt>
                <c:pt idx="182">
                  <c:v>95.324347093512927</c:v>
                </c:pt>
                <c:pt idx="183">
                  <c:v>95.416616520238961</c:v>
                </c:pt>
                <c:pt idx="184">
                  <c:v>95.358446664259503</c:v>
                </c:pt>
                <c:pt idx="185">
                  <c:v>95.41461066313623</c:v>
                </c:pt>
                <c:pt idx="186">
                  <c:v>95.3123119508965</c:v>
                </c:pt>
                <c:pt idx="187">
                  <c:v>95.123761383238943</c:v>
                </c:pt>
                <c:pt idx="188">
                  <c:v>94.949251815300556</c:v>
                </c:pt>
                <c:pt idx="189">
                  <c:v>94.481887110362152</c:v>
                </c:pt>
                <c:pt idx="190">
                  <c:v>94.211096401492256</c:v>
                </c:pt>
                <c:pt idx="191">
                  <c:v>93.777831267300414</c:v>
                </c:pt>
                <c:pt idx="192">
                  <c:v>94.148914831307309</c:v>
                </c:pt>
                <c:pt idx="193">
                  <c:v>94.339471256067597</c:v>
                </c:pt>
                <c:pt idx="194">
                  <c:v>93.486981987403112</c:v>
                </c:pt>
                <c:pt idx="195">
                  <c:v>92.821037429293426</c:v>
                </c:pt>
                <c:pt idx="196">
                  <c:v>93.137962851526339</c:v>
                </c:pt>
                <c:pt idx="197">
                  <c:v>92.79295542985507</c:v>
                </c:pt>
                <c:pt idx="198">
                  <c:v>92.875195571067408</c:v>
                </c:pt>
                <c:pt idx="199">
                  <c:v>93.04168171059483</c:v>
                </c:pt>
                <c:pt idx="200">
                  <c:v>93.32450756208118</c:v>
                </c:pt>
                <c:pt idx="201">
                  <c:v>93.549163557588045</c:v>
                </c:pt>
                <c:pt idx="202">
                  <c:v>93.226220564046898</c:v>
                </c:pt>
                <c:pt idx="203">
                  <c:v>93.065751995827696</c:v>
                </c:pt>
                <c:pt idx="204">
                  <c:v>93.348577847314033</c:v>
                </c:pt>
                <c:pt idx="205">
                  <c:v>93.472940987683927</c:v>
                </c:pt>
                <c:pt idx="206">
                  <c:v>92.94540056966332</c:v>
                </c:pt>
                <c:pt idx="207">
                  <c:v>93.095839852368812</c:v>
                </c:pt>
                <c:pt idx="208">
                  <c:v>93.340554418903082</c:v>
                </c:pt>
                <c:pt idx="209">
                  <c:v>93.829983551971651</c:v>
                </c:pt>
                <c:pt idx="210">
                  <c:v>93.761784410478484</c:v>
                </c:pt>
                <c:pt idx="211">
                  <c:v>93.464917559272948</c:v>
                </c:pt>
                <c:pt idx="212">
                  <c:v>93.709632125807246</c:v>
                </c:pt>
                <c:pt idx="213">
                  <c:v>93.922252978697671</c:v>
                </c:pt>
                <c:pt idx="214">
                  <c:v>94.010510691218229</c:v>
                </c:pt>
                <c:pt idx="215">
                  <c:v>94.172985116540161</c:v>
                </c:pt>
                <c:pt idx="216">
                  <c:v>94.746660247923799</c:v>
                </c:pt>
                <c:pt idx="217">
                  <c:v>94.985357243149849</c:v>
                </c:pt>
                <c:pt idx="218">
                  <c:v>95.617202230512945</c:v>
                </c:pt>
                <c:pt idx="219">
                  <c:v>95.448710233882792</c:v>
                </c:pt>
                <c:pt idx="220">
                  <c:v>95.510891804067725</c:v>
                </c:pt>
                <c:pt idx="221">
                  <c:v>95.175913667910152</c:v>
                </c:pt>
                <c:pt idx="222">
                  <c:v>94.6022385365265</c:v>
                </c:pt>
                <c:pt idx="223">
                  <c:v>94.782765675773092</c:v>
                </c:pt>
                <c:pt idx="224">
                  <c:v>94.706543105868974</c:v>
                </c:pt>
                <c:pt idx="225">
                  <c:v>96.050467364704772</c:v>
                </c:pt>
                <c:pt idx="226">
                  <c:v>96.068520078629433</c:v>
                </c:pt>
                <c:pt idx="227">
                  <c:v>96.178842219280142</c:v>
                </c:pt>
                <c:pt idx="228">
                  <c:v>96.052473221807531</c:v>
                </c:pt>
                <c:pt idx="229">
                  <c:v>96.76455249328022</c:v>
                </c:pt>
                <c:pt idx="230">
                  <c:v>96.469691499177443</c:v>
                </c:pt>
                <c:pt idx="231">
                  <c:v>96.184859790588362</c:v>
                </c:pt>
                <c:pt idx="232">
                  <c:v>96.190877361896597</c:v>
                </c:pt>
                <c:pt idx="233">
                  <c:v>96.263088217595239</c:v>
                </c:pt>
                <c:pt idx="234">
                  <c:v>96.407509928992525</c:v>
                </c:pt>
                <c:pt idx="235">
                  <c:v>96.738476350944609</c:v>
                </c:pt>
                <c:pt idx="236">
                  <c:v>96.449632928150052</c:v>
                </c:pt>
                <c:pt idx="237">
                  <c:v>96.092590363862314</c:v>
                </c:pt>
                <c:pt idx="238">
                  <c:v>96.495767641513041</c:v>
                </c:pt>
                <c:pt idx="239">
                  <c:v>95.701448228827999</c:v>
                </c:pt>
                <c:pt idx="240">
                  <c:v>95.482809804629341</c:v>
                </c:pt>
                <c:pt idx="241">
                  <c:v>95.524932803786896</c:v>
                </c:pt>
                <c:pt idx="242">
                  <c:v>95.591126088177319</c:v>
                </c:pt>
                <c:pt idx="243">
                  <c:v>95.436675091266352</c:v>
                </c:pt>
                <c:pt idx="244">
                  <c:v>95.366470092670454</c:v>
                </c:pt>
                <c:pt idx="245">
                  <c:v>95.480803947526624</c:v>
                </c:pt>
                <c:pt idx="246">
                  <c:v>96.235006218156855</c:v>
                </c:pt>
                <c:pt idx="247">
                  <c:v>96.584025354033628</c:v>
                </c:pt>
                <c:pt idx="248">
                  <c:v>96.235006218156855</c:v>
                </c:pt>
                <c:pt idx="249">
                  <c:v>96.636177638704865</c:v>
                </c:pt>
                <c:pt idx="250">
                  <c:v>96.325269787780158</c:v>
                </c:pt>
                <c:pt idx="251">
                  <c:v>96.220965218437684</c:v>
                </c:pt>
                <c:pt idx="252">
                  <c:v>96.188871504793838</c:v>
                </c:pt>
                <c:pt idx="253">
                  <c:v>96.186865647691093</c:v>
                </c:pt>
                <c:pt idx="254">
                  <c:v>96.594054639547295</c:v>
                </c:pt>
                <c:pt idx="255">
                  <c:v>96.435591928430838</c:v>
                </c:pt>
                <c:pt idx="256">
                  <c:v>96.559955068800718</c:v>
                </c:pt>
                <c:pt idx="257">
                  <c:v>95.904039796204728</c:v>
                </c:pt>
                <c:pt idx="258">
                  <c:v>95.787700084245813</c:v>
                </c:pt>
                <c:pt idx="259">
                  <c:v>95.795723512656778</c:v>
                </c:pt>
                <c:pt idx="260">
                  <c:v>96.018373651060912</c:v>
                </c:pt>
                <c:pt idx="261">
                  <c:v>95.920086653026644</c:v>
                </c:pt>
                <c:pt idx="262">
                  <c:v>95.549003089019735</c:v>
                </c:pt>
                <c:pt idx="263">
                  <c:v>95.775664941629344</c:v>
                </c:pt>
                <c:pt idx="264">
                  <c:v>95.960203795081441</c:v>
                </c:pt>
                <c:pt idx="265">
                  <c:v>95.976250651903356</c:v>
                </c:pt>
                <c:pt idx="266">
                  <c:v>95.813776226581425</c:v>
                </c:pt>
                <c:pt idx="267">
                  <c:v>95.035503670718299</c:v>
                </c:pt>
                <c:pt idx="268">
                  <c:v>94.939222529786775</c:v>
                </c:pt>
                <c:pt idx="269">
                  <c:v>95.073614955670351</c:v>
                </c:pt>
                <c:pt idx="270">
                  <c:v>95.27219480884159</c:v>
                </c:pt>
                <c:pt idx="271">
                  <c:v>95.109720383519644</c:v>
                </c:pt>
                <c:pt idx="272">
                  <c:v>94.981345528944274</c:v>
                </c:pt>
                <c:pt idx="273">
                  <c:v>95.097685240903189</c:v>
                </c:pt>
                <c:pt idx="274">
                  <c:v>95.117743811930609</c:v>
                </c:pt>
                <c:pt idx="275">
                  <c:v>94.943234243992237</c:v>
                </c:pt>
                <c:pt idx="276">
                  <c:v>94.702531391663442</c:v>
                </c:pt>
                <c:pt idx="277">
                  <c:v>94.740642676615494</c:v>
                </c:pt>
                <c:pt idx="278">
                  <c:v>94.816865246519626</c:v>
                </c:pt>
                <c:pt idx="279">
                  <c:v>95.04553295623198</c:v>
                </c:pt>
                <c:pt idx="280">
                  <c:v>94.329441970553788</c:v>
                </c:pt>
                <c:pt idx="281">
                  <c:v>94.116821117663349</c:v>
                </c:pt>
                <c:pt idx="282">
                  <c:v>94.345488827375704</c:v>
                </c:pt>
                <c:pt idx="283">
                  <c:v>94.176996830745551</c:v>
                </c:pt>
                <c:pt idx="284">
                  <c:v>93.878124122437285</c:v>
                </c:pt>
                <c:pt idx="285">
                  <c:v>93.956352549444148</c:v>
                </c:pt>
                <c:pt idx="286">
                  <c:v>93.954346692341417</c:v>
                </c:pt>
                <c:pt idx="287">
                  <c:v>93.647450555622186</c:v>
                </c:pt>
                <c:pt idx="288">
                  <c:v>93.858065551409894</c:v>
                </c:pt>
                <c:pt idx="289">
                  <c:v>93.795883981224947</c:v>
                </c:pt>
                <c:pt idx="290">
                  <c:v>93.795883981224932</c:v>
                </c:pt>
                <c:pt idx="291">
                  <c:v>93.805913266738628</c:v>
                </c:pt>
                <c:pt idx="292">
                  <c:v>94.10478597504688</c:v>
                </c:pt>
                <c:pt idx="293">
                  <c:v>93.914229550286578</c:v>
                </c:pt>
                <c:pt idx="294">
                  <c:v>93.577245557026259</c:v>
                </c:pt>
                <c:pt idx="295">
                  <c:v>93.302443133950874</c:v>
                </c:pt>
                <c:pt idx="296">
                  <c:v>93.430817988526229</c:v>
                </c:pt>
                <c:pt idx="297">
                  <c:v>93.587274842539941</c:v>
                </c:pt>
                <c:pt idx="298">
                  <c:v>93.551169414690648</c:v>
                </c:pt>
                <c:pt idx="299">
                  <c:v>93.691579411882458</c:v>
                </c:pt>
                <c:pt idx="300">
                  <c:v>93.729690696834524</c:v>
                </c:pt>
                <c:pt idx="301">
                  <c:v>93.641432984313951</c:v>
                </c:pt>
                <c:pt idx="302">
                  <c:v>93.689573554779699</c:v>
                </c:pt>
                <c:pt idx="303">
                  <c:v>93.819954266457799</c:v>
                </c:pt>
                <c:pt idx="304">
                  <c:v>93.980422834677</c:v>
                </c:pt>
                <c:pt idx="305">
                  <c:v>94.116821117663306</c:v>
                </c:pt>
                <c:pt idx="306">
                  <c:v>94.086733261122191</c:v>
                </c:pt>
                <c:pt idx="307">
                  <c:v>94.602238536526372</c:v>
                </c:pt>
                <c:pt idx="308">
                  <c:v>94.31540097083456</c:v>
                </c:pt>
                <c:pt idx="309">
                  <c:v>94.06868054719753</c:v>
                </c:pt>
                <c:pt idx="310">
                  <c:v>94.07870983271124</c:v>
                </c:pt>
                <c:pt idx="311">
                  <c:v>93.717655554218041</c:v>
                </c:pt>
                <c:pt idx="312">
                  <c:v>93.460905845067316</c:v>
                </c:pt>
                <c:pt idx="313">
                  <c:v>93.908211978978329</c:v>
                </c:pt>
                <c:pt idx="314">
                  <c:v>93.434829702731705</c:v>
                </c:pt>
                <c:pt idx="315">
                  <c:v>93.133951137320693</c:v>
                </c:pt>
                <c:pt idx="316">
                  <c:v>93.354595418622083</c:v>
                </c:pt>
                <c:pt idx="317">
                  <c:v>93.298431419745356</c:v>
                </c:pt>
                <c:pt idx="318">
                  <c:v>93.392706703574135</c:v>
                </c:pt>
                <c:pt idx="319">
                  <c:v>93.222208849841223</c:v>
                </c:pt>
                <c:pt idx="320">
                  <c:v>93.047699281902837</c:v>
                </c:pt>
                <c:pt idx="321">
                  <c:v>93.350583704416579</c:v>
                </c:pt>
                <c:pt idx="322">
                  <c:v>93.809924980944032</c:v>
                </c:pt>
                <c:pt idx="323">
                  <c:v>93.831989409074183</c:v>
                </c:pt>
                <c:pt idx="324">
                  <c:v>93.896176836361846</c:v>
                </c:pt>
                <c:pt idx="325">
                  <c:v>94.144903117101606</c:v>
                </c:pt>
                <c:pt idx="326">
                  <c:v>94.2251374012112</c:v>
                </c:pt>
                <c:pt idx="327">
                  <c:v>93.555181128896024</c:v>
                </c:pt>
                <c:pt idx="328">
                  <c:v>93.452882416656294</c:v>
                </c:pt>
                <c:pt idx="329">
                  <c:v>92.917318570224708</c:v>
                </c:pt>
                <c:pt idx="330">
                  <c:v>92.357684438560241</c:v>
                </c:pt>
                <c:pt idx="331">
                  <c:v>91.940466161190329</c:v>
                </c:pt>
                <c:pt idx="332">
                  <c:v>92.305532153889018</c:v>
                </c:pt>
                <c:pt idx="333">
                  <c:v>91.86624944838897</c:v>
                </c:pt>
                <c:pt idx="334">
                  <c:v>92.488065150238384</c:v>
                </c:pt>
                <c:pt idx="335">
                  <c:v>92.51614714967674</c:v>
                </c:pt>
                <c:pt idx="336">
                  <c:v>92.774902715930196</c:v>
                </c:pt>
                <c:pt idx="337">
                  <c:v>92.690656717615113</c:v>
                </c:pt>
                <c:pt idx="338">
                  <c:v>92.738797288080875</c:v>
                </c:pt>
                <c:pt idx="339">
                  <c:v>92.951418140971313</c:v>
                </c:pt>
                <c:pt idx="340">
                  <c:v>93.105869137882294</c:v>
                </c:pt>
                <c:pt idx="341">
                  <c:v>92.582340434067149</c:v>
                </c:pt>
                <c:pt idx="342">
                  <c:v>92.907289284711027</c:v>
                </c:pt>
                <c:pt idx="343">
                  <c:v>93.468929273478224</c:v>
                </c:pt>
                <c:pt idx="344">
                  <c:v>93.781842981505676</c:v>
                </c:pt>
                <c:pt idx="345">
                  <c:v>93.920247121594741</c:v>
                </c:pt>
                <c:pt idx="346">
                  <c:v>93.713643840012509</c:v>
                </c:pt>
                <c:pt idx="347">
                  <c:v>93.653468126930321</c:v>
                </c:pt>
                <c:pt idx="348">
                  <c:v>93.761784410478285</c:v>
                </c:pt>
                <c:pt idx="349">
                  <c:v>93.697596983190607</c:v>
                </c:pt>
                <c:pt idx="350">
                  <c:v>93.898182693464591</c:v>
                </c:pt>
                <c:pt idx="351">
                  <c:v>94.154932402615316</c:v>
                </c:pt>
                <c:pt idx="352">
                  <c:v>94.556103823163326</c:v>
                </c:pt>
                <c:pt idx="353">
                  <c:v>94.524010109519494</c:v>
                </c:pt>
                <c:pt idx="354">
                  <c:v>94.842941388855152</c:v>
                </c:pt>
                <c:pt idx="355">
                  <c:v>94.840935531752393</c:v>
                </c:pt>
                <c:pt idx="356">
                  <c:v>94.89308781642363</c:v>
                </c:pt>
                <c:pt idx="357">
                  <c:v>94.411682111766041</c:v>
                </c:pt>
                <c:pt idx="358">
                  <c:v>94.183014402053686</c:v>
                </c:pt>
                <c:pt idx="359">
                  <c:v>94.497933967183855</c:v>
                </c:pt>
                <c:pt idx="360">
                  <c:v>94.674449392224986</c:v>
                </c:pt>
                <c:pt idx="361">
                  <c:v>94.6303205359647</c:v>
                </c:pt>
                <c:pt idx="362">
                  <c:v>93.892165122156371</c:v>
                </c:pt>
                <c:pt idx="363">
                  <c:v>93.689573554779628</c:v>
                </c:pt>
                <c:pt idx="364">
                  <c:v>93.59329241384809</c:v>
                </c:pt>
                <c:pt idx="365">
                  <c:v>93.683555983471393</c:v>
                </c:pt>
                <c:pt idx="366">
                  <c:v>93.216191278532975</c:v>
                </c:pt>
                <c:pt idx="367">
                  <c:v>93.404741846190547</c:v>
                </c:pt>
                <c:pt idx="368">
                  <c:v>93.210173707224754</c:v>
                </c:pt>
                <c:pt idx="369">
                  <c:v>92.512135435471237</c:v>
                </c:pt>
                <c:pt idx="370">
                  <c:v>92.488065150238356</c:v>
                </c:pt>
                <c:pt idx="371">
                  <c:v>92.315561439402714</c:v>
                </c:pt>
                <c:pt idx="372">
                  <c:v>92.353672724354766</c:v>
                </c:pt>
                <c:pt idx="373">
                  <c:v>92.572311148553439</c:v>
                </c:pt>
                <c:pt idx="374">
                  <c:v>92.098928872306786</c:v>
                </c:pt>
                <c:pt idx="375">
                  <c:v>92.143057728567058</c:v>
                </c:pt>
                <c:pt idx="376">
                  <c:v>92.640510290046592</c:v>
                </c:pt>
                <c:pt idx="377">
                  <c:v>92.937377141252099</c:v>
                </c:pt>
                <c:pt idx="378">
                  <c:v>92.407830866128748</c:v>
                </c:pt>
                <c:pt idx="379">
                  <c:v>92.30954386809448</c:v>
                </c:pt>
                <c:pt idx="380">
                  <c:v>92.638504432943819</c:v>
                </c:pt>
                <c:pt idx="381">
                  <c:v>92.307538010991735</c:v>
                </c:pt>
                <c:pt idx="382">
                  <c:v>91.864243591286211</c:v>
                </c:pt>
                <c:pt idx="383">
                  <c:v>91.751915593532757</c:v>
                </c:pt>
                <c:pt idx="384">
                  <c:v>92.118987443334163</c:v>
                </c:pt>
                <c:pt idx="385">
                  <c:v>91.723833594094401</c:v>
                </c:pt>
                <c:pt idx="386">
                  <c:v>91.631564167368353</c:v>
                </c:pt>
                <c:pt idx="387">
                  <c:v>92.078870301279366</c:v>
                </c:pt>
                <c:pt idx="388">
                  <c:v>92.433907008464345</c:v>
                </c:pt>
                <c:pt idx="389">
                  <c:v>92.564287720142445</c:v>
                </c:pt>
                <c:pt idx="390">
                  <c:v>92.524170578087649</c:v>
                </c:pt>
                <c:pt idx="391">
                  <c:v>92.778914430135615</c:v>
                </c:pt>
                <c:pt idx="392">
                  <c:v>93.025634853772644</c:v>
                </c:pt>
                <c:pt idx="393">
                  <c:v>93.143980422834289</c:v>
                </c:pt>
                <c:pt idx="394">
                  <c:v>93.448870702450776</c:v>
                </c:pt>
                <c:pt idx="395">
                  <c:v>93.095839852368542</c:v>
                </c:pt>
                <c:pt idx="396">
                  <c:v>93.198138564608286</c:v>
                </c:pt>
                <c:pt idx="397">
                  <c:v>92.897259999197288</c:v>
                </c:pt>
                <c:pt idx="398">
                  <c:v>92.349661010149262</c:v>
                </c:pt>
                <c:pt idx="399">
                  <c:v>92.207245155854721</c:v>
                </c:pt>
                <c:pt idx="400">
                  <c:v>92.421871865847905</c:v>
                </c:pt>
                <c:pt idx="401">
                  <c:v>92.17515144221089</c:v>
                </c:pt>
                <c:pt idx="402">
                  <c:v>91.872267019697148</c:v>
                </c:pt>
                <c:pt idx="403">
                  <c:v>92.106952300717722</c:v>
                </c:pt>
                <c:pt idx="404">
                  <c:v>91.986600874553332</c:v>
                </c:pt>
                <c:pt idx="405">
                  <c:v>91.713804308580691</c:v>
                </c:pt>
                <c:pt idx="406">
                  <c:v>91.733862879608083</c:v>
                </c:pt>
                <c:pt idx="407">
                  <c:v>91.994624302964297</c:v>
                </c:pt>
                <c:pt idx="408">
                  <c:v>91.527259598025879</c:v>
                </c:pt>
                <c:pt idx="409">
                  <c:v>91.657640309703979</c:v>
                </c:pt>
                <c:pt idx="410">
                  <c:v>91.561359168772455</c:v>
                </c:pt>
                <c:pt idx="411">
                  <c:v>91.549324026156015</c:v>
                </c:pt>
                <c:pt idx="412">
                  <c:v>91.729851165402636</c:v>
                </c:pt>
                <c:pt idx="413">
                  <c:v>92.167128013799939</c:v>
                </c:pt>
                <c:pt idx="414">
                  <c:v>92.293497011272564</c:v>
                </c:pt>
                <c:pt idx="415">
                  <c:v>91.898343162032788</c:v>
                </c:pt>
                <c:pt idx="416">
                  <c:v>92.120993300436936</c:v>
                </c:pt>
                <c:pt idx="417">
                  <c:v>92.307538010991763</c:v>
                </c:pt>
                <c:pt idx="418">
                  <c:v>92.401813294820556</c:v>
                </c:pt>
                <c:pt idx="419">
                  <c:v>92.504112007060286</c:v>
                </c:pt>
                <c:pt idx="420">
                  <c:v>92.86316042845074</c:v>
                </c:pt>
                <c:pt idx="421">
                  <c:v>92.490071007341101</c:v>
                </c:pt>
                <c:pt idx="422">
                  <c:v>92.335620010430119</c:v>
                </c:pt>
                <c:pt idx="423">
                  <c:v>91.844185020258806</c:v>
                </c:pt>
                <c:pt idx="424">
                  <c:v>92.692662574717815</c:v>
                </c:pt>
                <c:pt idx="425">
                  <c:v>92.433907008464345</c:v>
                </c:pt>
                <c:pt idx="426">
                  <c:v>92.233321298190347</c:v>
                </c:pt>
                <c:pt idx="427">
                  <c:v>92.064829301560181</c:v>
                </c:pt>
                <c:pt idx="428">
                  <c:v>91.906366590443724</c:v>
                </c:pt>
                <c:pt idx="429">
                  <c:v>91.996630160067014</c:v>
                </c:pt>
                <c:pt idx="430">
                  <c:v>91.860231877080707</c:v>
                </c:pt>
                <c:pt idx="431">
                  <c:v>91.804067878203995</c:v>
                </c:pt>
                <c:pt idx="432">
                  <c:v>91.615517310546437</c:v>
                </c:pt>
                <c:pt idx="433">
                  <c:v>91.92040759016291</c:v>
                </c:pt>
                <c:pt idx="434">
                  <c:v>91.601476310827252</c:v>
                </c:pt>
                <c:pt idx="435">
                  <c:v>91.45103702812176</c:v>
                </c:pt>
                <c:pt idx="436">
                  <c:v>91.102017892245001</c:v>
                </c:pt>
                <c:pt idx="437">
                  <c:v>91.338709030368321</c:v>
                </c:pt>
                <c:pt idx="438">
                  <c:v>91.898343162032759</c:v>
                </c:pt>
                <c:pt idx="439">
                  <c:v>92.337625867532822</c:v>
                </c:pt>
                <c:pt idx="440">
                  <c:v>92.560276005936956</c:v>
                </c:pt>
                <c:pt idx="441">
                  <c:v>92.504112007060215</c:v>
                </c:pt>
                <c:pt idx="442">
                  <c:v>92.484053436032823</c:v>
                </c:pt>
                <c:pt idx="443">
                  <c:v>92.65254543266299</c:v>
                </c:pt>
                <c:pt idx="444">
                  <c:v>92.482047578930093</c:v>
                </c:pt>
                <c:pt idx="445">
                  <c:v>92.449953865286261</c:v>
                </c:pt>
                <c:pt idx="446">
                  <c:v>93.001564568539763</c:v>
                </c:pt>
                <c:pt idx="447">
                  <c:v>92.750832430697258</c:v>
                </c:pt>
                <c:pt idx="448">
                  <c:v>92.953423998073987</c:v>
                </c:pt>
                <c:pt idx="449">
                  <c:v>92.89725999919726</c:v>
                </c:pt>
                <c:pt idx="450">
                  <c:v>92.76286757331367</c:v>
                </c:pt>
                <c:pt idx="451">
                  <c:v>92.474024150519099</c:v>
                </c:pt>
                <c:pt idx="452">
                  <c:v>92.243350583704014</c:v>
                </c:pt>
                <c:pt idx="453">
                  <c:v>92.066835158662897</c:v>
                </c:pt>
                <c:pt idx="454">
                  <c:v>91.90034901913549</c:v>
                </c:pt>
                <c:pt idx="455">
                  <c:v>91.77197416456012</c:v>
                </c:pt>
                <c:pt idx="456">
                  <c:v>91.51723031251214</c:v>
                </c:pt>
                <c:pt idx="457">
                  <c:v>91.288562602799786</c:v>
                </c:pt>
                <c:pt idx="458">
                  <c:v>91.378826172423075</c:v>
                </c:pt>
                <c:pt idx="459">
                  <c:v>91.533277169334056</c:v>
                </c:pt>
                <c:pt idx="460">
                  <c:v>91.370802744012124</c:v>
                </c:pt>
                <c:pt idx="461">
                  <c:v>90.785092470012046</c:v>
                </c:pt>
                <c:pt idx="462">
                  <c:v>90.65070004412847</c:v>
                </c:pt>
                <c:pt idx="463">
                  <c:v>90.566454045813401</c:v>
                </c:pt>
                <c:pt idx="464">
                  <c:v>90.63866490151203</c:v>
                </c:pt>
                <c:pt idx="465">
                  <c:v>90.397962049183235</c:v>
                </c:pt>
                <c:pt idx="466">
                  <c:v>90.484213904601049</c:v>
                </c:pt>
                <c:pt idx="467">
                  <c:v>90.385926906566795</c:v>
                </c:pt>
                <c:pt idx="468">
                  <c:v>90.430055762827067</c:v>
                </c:pt>
                <c:pt idx="469">
                  <c:v>90.211417338628394</c:v>
                </c:pt>
                <c:pt idx="470">
                  <c:v>90.066995627231123</c:v>
                </c:pt>
                <c:pt idx="471">
                  <c:v>89.878445059573551</c:v>
                </c:pt>
                <c:pt idx="472">
                  <c:v>89.836322060416009</c:v>
                </c:pt>
                <c:pt idx="473">
                  <c:v>89.882456773779026</c:v>
                </c:pt>
                <c:pt idx="474">
                  <c:v>89.48128535323103</c:v>
                </c:pt>
                <c:pt idx="475">
                  <c:v>89.858386488546145</c:v>
                </c:pt>
                <c:pt idx="476">
                  <c:v>89.248605929313186</c:v>
                </c:pt>
                <c:pt idx="477">
                  <c:v>89.774140490231062</c:v>
                </c:pt>
                <c:pt idx="478">
                  <c:v>90.271593051710568</c:v>
                </c:pt>
                <c:pt idx="479">
                  <c:v>89.555502066032403</c:v>
                </c:pt>
                <c:pt idx="480">
                  <c:v>88.881534079511766</c:v>
                </c:pt>
                <c:pt idx="481">
                  <c:v>88.674930797929534</c:v>
                </c:pt>
                <c:pt idx="482">
                  <c:v>88.438239659806214</c:v>
                </c:pt>
                <c:pt idx="483">
                  <c:v>88.558591085970605</c:v>
                </c:pt>
                <c:pt idx="484">
                  <c:v>88.472339230552777</c:v>
                </c:pt>
                <c:pt idx="485">
                  <c:v>88.883539936614469</c:v>
                </c:pt>
                <c:pt idx="486">
                  <c:v>88.845428651662417</c:v>
                </c:pt>
                <c:pt idx="487">
                  <c:v>88.570626228587031</c:v>
                </c:pt>
                <c:pt idx="488">
                  <c:v>88.253700806354104</c:v>
                </c:pt>
                <c:pt idx="489">
                  <c:v>87.876599671039003</c:v>
                </c:pt>
                <c:pt idx="490">
                  <c:v>88.021021382436274</c:v>
                </c:pt>
                <c:pt idx="491">
                  <c:v>87.667990532354054</c:v>
                </c:pt>
                <c:pt idx="492">
                  <c:v>87.18056725638823</c:v>
                </c:pt>
                <c:pt idx="493">
                  <c:v>87.459381393669076</c:v>
                </c:pt>
                <c:pt idx="494">
                  <c:v>87.714125245717057</c:v>
                </c:pt>
                <c:pt idx="495">
                  <c:v>87.250772254984113</c:v>
                </c:pt>
                <c:pt idx="496">
                  <c:v>87.43129939423072</c:v>
                </c:pt>
                <c:pt idx="497">
                  <c:v>87.529586392264989</c:v>
                </c:pt>
                <c:pt idx="498">
                  <c:v>88.073173667107525</c:v>
                </c:pt>
                <c:pt idx="499">
                  <c:v>87.954828098045866</c:v>
                </c:pt>
                <c:pt idx="500">
                  <c:v>88.103261523648641</c:v>
                </c:pt>
                <c:pt idx="501">
                  <c:v>87.996951097203407</c:v>
                </c:pt>
                <c:pt idx="502">
                  <c:v>87.850523528703391</c:v>
                </c:pt>
                <c:pt idx="503">
                  <c:v>87.748224816463662</c:v>
                </c:pt>
                <c:pt idx="504">
                  <c:v>87.641914390018428</c:v>
                </c:pt>
                <c:pt idx="505">
                  <c:v>87.423275965819769</c:v>
                </c:pt>
                <c:pt idx="506">
                  <c:v>87.353070967223857</c:v>
                </c:pt>
                <c:pt idx="507">
                  <c:v>86.55273398323061</c:v>
                </c:pt>
                <c:pt idx="508">
                  <c:v>86.727243551168996</c:v>
                </c:pt>
                <c:pt idx="509">
                  <c:v>87.210655112929331</c:v>
                </c:pt>
                <c:pt idx="510">
                  <c:v>86.927829261442994</c:v>
                </c:pt>
                <c:pt idx="511">
                  <c:v>87.026116259477249</c:v>
                </c:pt>
                <c:pt idx="512">
                  <c:v>86.889717976490914</c:v>
                </c:pt>
                <c:pt idx="513">
                  <c:v>86.562763268744305</c:v>
                </c:pt>
                <c:pt idx="514">
                  <c:v>86.077345849881226</c:v>
                </c:pt>
                <c:pt idx="515">
                  <c:v>85.860713282785312</c:v>
                </c:pt>
                <c:pt idx="516">
                  <c:v>85.658121715408569</c:v>
                </c:pt>
                <c:pt idx="517">
                  <c:v>85.431459862798945</c:v>
                </c:pt>
                <c:pt idx="518">
                  <c:v>86.193685561840141</c:v>
                </c:pt>
                <c:pt idx="519">
                  <c:v>86.145544991374393</c:v>
                </c:pt>
                <c:pt idx="520">
                  <c:v>86.105427849319582</c:v>
                </c:pt>
                <c:pt idx="521">
                  <c:v>86.275925703052494</c:v>
                </c:pt>
                <c:pt idx="522">
                  <c:v>85.922894852970245</c:v>
                </c:pt>
                <c:pt idx="523">
                  <c:v>85.997111565771633</c:v>
                </c:pt>
                <c:pt idx="524">
                  <c:v>86.281943274360714</c:v>
                </c:pt>
                <c:pt idx="525">
                  <c:v>86.330083844826476</c:v>
                </c:pt>
                <c:pt idx="526">
                  <c:v>86.013158422593548</c:v>
                </c:pt>
                <c:pt idx="527">
                  <c:v>86.119468849038768</c:v>
                </c:pt>
                <c:pt idx="528">
                  <c:v>86.661050266778574</c:v>
                </c:pt>
                <c:pt idx="529">
                  <c:v>86.849600834436131</c:v>
                </c:pt>
                <c:pt idx="530">
                  <c:v>87.222690255545771</c:v>
                </c:pt>
                <c:pt idx="531">
                  <c:v>87.493480964415667</c:v>
                </c:pt>
                <c:pt idx="532">
                  <c:v>87.862558671319817</c:v>
                </c:pt>
                <c:pt idx="533">
                  <c:v>87.244754683675893</c:v>
                </c:pt>
                <c:pt idx="534">
                  <c:v>87.401211537689619</c:v>
                </c:pt>
                <c:pt idx="535">
                  <c:v>87.395193966381399</c:v>
                </c:pt>
                <c:pt idx="536">
                  <c:v>87.308942110963585</c:v>
                </c:pt>
                <c:pt idx="537">
                  <c:v>87.256789826292334</c:v>
                </c:pt>
                <c:pt idx="538">
                  <c:v>87.148473542744384</c:v>
                </c:pt>
                <c:pt idx="539">
                  <c:v>87.517551249648534</c:v>
                </c:pt>
                <c:pt idx="540">
                  <c:v>87.601797247963617</c:v>
                </c:pt>
                <c:pt idx="541">
                  <c:v>87.950816383840376</c:v>
                </c:pt>
                <c:pt idx="542">
                  <c:v>87.682031532073225</c:v>
                </c:pt>
                <c:pt idx="543">
                  <c:v>87.762265816182818</c:v>
                </c:pt>
                <c:pt idx="544">
                  <c:v>87.984915954586953</c:v>
                </c:pt>
                <c:pt idx="545">
                  <c:v>88.402134231956879</c:v>
                </c:pt>
                <c:pt idx="546">
                  <c:v>88.839411080354182</c:v>
                </c:pt>
                <c:pt idx="547">
                  <c:v>89.086131503991197</c:v>
                </c:pt>
                <c:pt idx="548">
                  <c:v>88.847434508765147</c:v>
                </c:pt>
                <c:pt idx="549">
                  <c:v>88.93168050708023</c:v>
                </c:pt>
                <c:pt idx="550">
                  <c:v>88.893569222128178</c:v>
                </c:pt>
                <c:pt idx="551">
                  <c:v>89.368957355477562</c:v>
                </c:pt>
                <c:pt idx="552">
                  <c:v>89.164359930998074</c:v>
                </c:pt>
                <c:pt idx="553">
                  <c:v>89.124242788943292</c:v>
                </c:pt>
                <c:pt idx="554">
                  <c:v>89.228547358285766</c:v>
                </c:pt>
                <c:pt idx="555">
                  <c:v>89.06406707586109</c:v>
                </c:pt>
                <c:pt idx="556">
                  <c:v>88.642837084285688</c:v>
                </c:pt>
                <c:pt idx="557">
                  <c:v>88.173466522244524</c:v>
                </c:pt>
                <c:pt idx="558">
                  <c:v>88.331929233360981</c:v>
                </c:pt>
                <c:pt idx="559">
                  <c:v>88.755165082039113</c:v>
                </c:pt>
                <c:pt idx="560">
                  <c:v>89.561519637340581</c:v>
                </c:pt>
                <c:pt idx="561">
                  <c:v>89.635736350141954</c:v>
                </c:pt>
                <c:pt idx="562">
                  <c:v>89.54948449472414</c:v>
                </c:pt>
                <c:pt idx="563">
                  <c:v>89.306775785292615</c:v>
                </c:pt>
                <c:pt idx="564">
                  <c:v>89.78617563284746</c:v>
                </c:pt>
                <c:pt idx="565">
                  <c:v>89.685882777710461</c:v>
                </c:pt>
                <c:pt idx="566">
                  <c:v>89.756087776306359</c:v>
                </c:pt>
                <c:pt idx="567">
                  <c:v>90.213423195731082</c:v>
                </c:pt>
                <c:pt idx="568">
                  <c:v>90.642676615717434</c:v>
                </c:pt>
                <c:pt idx="569">
                  <c:v>90.913467324587344</c:v>
                </c:pt>
                <c:pt idx="570">
                  <c:v>90.496249047217432</c:v>
                </c:pt>
                <c:pt idx="571">
                  <c:v>90.006819914148878</c:v>
                </c:pt>
                <c:pt idx="572">
                  <c:v>90.002808199943388</c:v>
                </c:pt>
                <c:pt idx="573">
                  <c:v>89.974726200505032</c:v>
                </c:pt>
                <c:pt idx="574">
                  <c:v>90.073013198539286</c:v>
                </c:pt>
                <c:pt idx="575">
                  <c:v>89.912544630320085</c:v>
                </c:pt>
                <c:pt idx="576">
                  <c:v>89.693906206121412</c:v>
                </c:pt>
                <c:pt idx="577">
                  <c:v>89.387010069402194</c:v>
                </c:pt>
                <c:pt idx="578">
                  <c:v>89.495326352950144</c:v>
                </c:pt>
                <c:pt idx="579">
                  <c:v>89.509367352669329</c:v>
                </c:pt>
                <c:pt idx="580">
                  <c:v>89.489308781641924</c:v>
                </c:pt>
                <c:pt idx="581">
                  <c:v>90.083042484052953</c:v>
                </c:pt>
                <c:pt idx="582">
                  <c:v>88.49841537288836</c:v>
                </c:pt>
                <c:pt idx="583">
                  <c:v>87.868576242627995</c:v>
                </c:pt>
                <c:pt idx="584">
                  <c:v>87.256789826292291</c:v>
                </c:pt>
                <c:pt idx="585">
                  <c:v>88.398122517751347</c:v>
                </c:pt>
                <c:pt idx="586">
                  <c:v>88.584667228306159</c:v>
                </c:pt>
                <c:pt idx="587">
                  <c:v>89.184418502025437</c:v>
                </c:pt>
                <c:pt idx="588">
                  <c:v>89.559513780237808</c:v>
                </c:pt>
                <c:pt idx="589">
                  <c:v>89.278693785854202</c:v>
                </c:pt>
                <c:pt idx="590">
                  <c:v>89.607654350703569</c:v>
                </c:pt>
                <c:pt idx="591">
                  <c:v>90.000802342840601</c:v>
                </c:pt>
                <c:pt idx="592">
                  <c:v>90.335780478998174</c:v>
                </c:pt>
                <c:pt idx="593">
                  <c:v>90.532354475066683</c:v>
                </c:pt>
                <c:pt idx="594">
                  <c:v>90.289645765635143</c:v>
                </c:pt>
                <c:pt idx="595">
                  <c:v>90.47619047618997</c:v>
                </c:pt>
                <c:pt idx="596">
                  <c:v>90.574477474224224</c:v>
                </c:pt>
                <c:pt idx="597">
                  <c:v>90.678782043566699</c:v>
                </c:pt>
                <c:pt idx="598">
                  <c:v>90.815180326553019</c:v>
                </c:pt>
                <c:pt idx="599">
                  <c:v>90.632647330203667</c:v>
                </c:pt>
                <c:pt idx="600">
                  <c:v>90.869338468326987</c:v>
                </c:pt>
                <c:pt idx="601">
                  <c:v>90.869338468326973</c:v>
                </c:pt>
                <c:pt idx="602">
                  <c:v>91.124082320374953</c:v>
                </c:pt>
                <c:pt idx="603">
                  <c:v>91.091988606731093</c:v>
                </c:pt>
                <c:pt idx="604">
                  <c:v>90.983672323183143</c:v>
                </c:pt>
                <c:pt idx="605">
                  <c:v>90.797127612628316</c:v>
                </c:pt>
                <c:pt idx="606">
                  <c:v>90.989689894491349</c:v>
                </c:pt>
                <c:pt idx="607">
                  <c:v>90.865326754121455</c:v>
                </c:pt>
                <c:pt idx="608">
                  <c:v>91.180246319251637</c:v>
                </c:pt>
                <c:pt idx="609">
                  <c:v>91.148152605607791</c:v>
                </c:pt>
                <c:pt idx="610">
                  <c:v>91.192281461868063</c:v>
                </c:pt>
                <c:pt idx="611">
                  <c:v>91.015766036826932</c:v>
                </c:pt>
                <c:pt idx="612">
                  <c:v>91.36879688690918</c:v>
                </c:pt>
                <c:pt idx="613">
                  <c:v>91.404902314758502</c:v>
                </c:pt>
                <c:pt idx="614">
                  <c:v>91.451037028121519</c:v>
                </c:pt>
                <c:pt idx="615">
                  <c:v>91.296586031210552</c:v>
                </c:pt>
                <c:pt idx="616">
                  <c:v>91.757933164840736</c:v>
                </c:pt>
                <c:pt idx="617">
                  <c:v>91.667669595217433</c:v>
                </c:pt>
                <c:pt idx="618">
                  <c:v>91.475107313354385</c:v>
                </c:pt>
                <c:pt idx="619">
                  <c:v>91.252457174950251</c:v>
                </c:pt>
                <c:pt idx="620">
                  <c:v>91.665663738114688</c:v>
                </c:pt>
                <c:pt idx="621">
                  <c:v>91.390861315039302</c:v>
                </c:pt>
                <c:pt idx="622">
                  <c:v>91.671681309422894</c:v>
                </c:pt>
                <c:pt idx="623">
                  <c:v>91.625546596059877</c:v>
                </c:pt>
                <c:pt idx="624">
                  <c:v>91.693745737553044</c:v>
                </c:pt>
                <c:pt idx="625">
                  <c:v>92.08889958679282</c:v>
                </c:pt>
                <c:pt idx="626">
                  <c:v>91.98058330324487</c:v>
                </c:pt>
                <c:pt idx="627">
                  <c:v>92.060817587354464</c:v>
                </c:pt>
                <c:pt idx="628">
                  <c:v>92.11497572912846</c:v>
                </c:pt>
                <c:pt idx="629">
                  <c:v>92.381754723792866</c:v>
                </c:pt>
                <c:pt idx="630">
                  <c:v>92.036747302121583</c:v>
                </c:pt>
                <c:pt idx="631">
                  <c:v>91.996630160066786</c:v>
                </c:pt>
                <c:pt idx="632">
                  <c:v>92.345649295943545</c:v>
                </c:pt>
                <c:pt idx="633">
                  <c:v>91.940466161190074</c:v>
                </c:pt>
                <c:pt idx="634">
                  <c:v>91.88229630521063</c:v>
                </c:pt>
                <c:pt idx="635">
                  <c:v>92.020700445299681</c:v>
                </c:pt>
                <c:pt idx="636">
                  <c:v>91.838167448950344</c:v>
                </c:pt>
                <c:pt idx="637">
                  <c:v>92.106952300717509</c:v>
                </c:pt>
                <c:pt idx="638">
                  <c:v>92.375737152484675</c:v>
                </c:pt>
                <c:pt idx="639">
                  <c:v>92.461989007902488</c:v>
                </c:pt>
                <c:pt idx="640">
                  <c:v>92.590363862477858</c:v>
                </c:pt>
                <c:pt idx="641">
                  <c:v>92.568299434347722</c:v>
                </c:pt>
                <c:pt idx="642">
                  <c:v>92.977494283306683</c:v>
                </c:pt>
                <c:pt idx="643">
                  <c:v>92.953423998073802</c:v>
                </c:pt>
                <c:pt idx="644">
                  <c:v>92.939382998354631</c:v>
                </c:pt>
                <c:pt idx="645">
                  <c:v>93.063746138724497</c:v>
                </c:pt>
                <c:pt idx="646">
                  <c:v>93.02964656797792</c:v>
                </c:pt>
                <c:pt idx="647">
                  <c:v>92.564287720142232</c:v>
                </c:pt>
                <c:pt idx="648">
                  <c:v>92.584346291169638</c:v>
                </c:pt>
                <c:pt idx="649">
                  <c:v>92.36771372407371</c:v>
                </c:pt>
                <c:pt idx="650">
                  <c:v>92.439924579772338</c:v>
                </c:pt>
                <c:pt idx="651">
                  <c:v>92.165122156696953</c:v>
                </c:pt>
                <c:pt idx="652">
                  <c:v>91.932442732779123</c:v>
                </c:pt>
                <c:pt idx="653">
                  <c:v>91.85622016287499</c:v>
                </c:pt>
                <c:pt idx="654">
                  <c:v>91.918401733059952</c:v>
                </c:pt>
                <c:pt idx="655">
                  <c:v>91.976571589039409</c:v>
                </c:pt>
                <c:pt idx="656">
                  <c:v>91.906366590443511</c:v>
                </c:pt>
                <c:pt idx="657">
                  <c:v>92.195210013238068</c:v>
                </c:pt>
                <c:pt idx="658">
                  <c:v>92.315561439402472</c:v>
                </c:pt>
                <c:pt idx="659">
                  <c:v>92.6184458619162</c:v>
                </c:pt>
                <c:pt idx="660">
                  <c:v>92.305532153888763</c:v>
                </c:pt>
                <c:pt idx="661">
                  <c:v>92.020700445299681</c:v>
                </c:pt>
                <c:pt idx="662">
                  <c:v>91.376820315320145</c:v>
                </c:pt>
                <c:pt idx="663">
                  <c:v>91.322662173546178</c:v>
                </c:pt>
                <c:pt idx="664">
                  <c:v>90.831227183374878</c:v>
                </c:pt>
                <c:pt idx="665">
                  <c:v>90.799133469731046</c:v>
                </c:pt>
                <c:pt idx="666">
                  <c:v>91.266498174669451</c:v>
                </c:pt>
                <c:pt idx="667">
                  <c:v>91.408914028963991</c:v>
                </c:pt>
                <c:pt idx="668">
                  <c:v>91.553335740361277</c:v>
                </c:pt>
                <c:pt idx="669">
                  <c:v>91.737874593813345</c:v>
                </c:pt>
                <c:pt idx="670">
                  <c:v>91.954507160909273</c:v>
                </c:pt>
                <c:pt idx="671">
                  <c:v>91.924419304368172</c:v>
                </c:pt>
                <c:pt idx="672">
                  <c:v>91.800056163998292</c:v>
                </c:pt>
                <c:pt idx="673">
                  <c:v>92.217274441368204</c:v>
                </c:pt>
                <c:pt idx="674">
                  <c:v>92.355678581457269</c:v>
                </c:pt>
                <c:pt idx="675">
                  <c:v>91.950495446703798</c:v>
                </c:pt>
                <c:pt idx="676">
                  <c:v>92.00665944558051</c:v>
                </c:pt>
                <c:pt idx="677">
                  <c:v>91.866249448388714</c:v>
                </c:pt>
                <c:pt idx="678">
                  <c:v>91.697757451758562</c:v>
                </c:pt>
                <c:pt idx="679">
                  <c:v>91.788021021381851</c:v>
                </c:pt>
                <c:pt idx="680">
                  <c:v>91.573394311388682</c:v>
                </c:pt>
                <c:pt idx="681">
                  <c:v>92.159104585388761</c:v>
                </c:pt>
                <c:pt idx="682">
                  <c:v>91.870261162594204</c:v>
                </c:pt>
                <c:pt idx="683">
                  <c:v>91.804067878203782</c:v>
                </c:pt>
                <c:pt idx="684">
                  <c:v>91.842179163155834</c:v>
                </c:pt>
                <c:pt idx="685">
                  <c:v>91.848196734464054</c:v>
                </c:pt>
                <c:pt idx="686">
                  <c:v>91.894331447827085</c:v>
                </c:pt>
                <c:pt idx="687">
                  <c:v>91.786015164279121</c:v>
                </c:pt>
                <c:pt idx="688">
                  <c:v>91.50118345569004</c:v>
                </c:pt>
                <c:pt idx="689">
                  <c:v>91.651622738395545</c:v>
                </c:pt>
                <c:pt idx="690">
                  <c:v>91.611505596340734</c:v>
                </c:pt>
                <c:pt idx="691">
                  <c:v>91.87627873390241</c:v>
                </c:pt>
                <c:pt idx="692">
                  <c:v>91.836161591847599</c:v>
                </c:pt>
                <c:pt idx="693">
                  <c:v>91.667669595217447</c:v>
                </c:pt>
                <c:pt idx="694">
                  <c:v>91.731857022505125</c:v>
                </c:pt>
                <c:pt idx="695">
                  <c:v>91.988606731655835</c:v>
                </c:pt>
                <c:pt idx="696">
                  <c:v>92.102940586512034</c:v>
                </c:pt>
                <c:pt idx="697">
                  <c:v>92.482047578929894</c:v>
                </c:pt>
                <c:pt idx="698">
                  <c:v>92.696674288923063</c:v>
                </c:pt>
                <c:pt idx="699">
                  <c:v>92.449953865286048</c:v>
                </c:pt>
                <c:pt idx="700">
                  <c:v>92.407830866128506</c:v>
                </c:pt>
                <c:pt idx="701">
                  <c:v>92.267420868936711</c:v>
                </c:pt>
                <c:pt idx="702">
                  <c:v>92.299514582580557</c:v>
                </c:pt>
                <c:pt idx="703">
                  <c:v>92.447948008183303</c:v>
                </c:pt>
                <c:pt idx="704">
                  <c:v>92.149075299875051</c:v>
                </c:pt>
                <c:pt idx="705">
                  <c:v>91.763950736148971</c:v>
                </c:pt>
                <c:pt idx="706">
                  <c:v>91.99462430296407</c:v>
                </c:pt>
                <c:pt idx="707">
                  <c:v>92.046776587635307</c:v>
                </c:pt>
                <c:pt idx="708">
                  <c:v>92.197215870340798</c:v>
                </c:pt>
                <c:pt idx="709">
                  <c:v>92.327596582018913</c:v>
                </c:pt>
                <c:pt idx="710">
                  <c:v>92.191198299032578</c:v>
                </c:pt>
                <c:pt idx="711">
                  <c:v>92.135034300155851</c:v>
                </c:pt>
                <c:pt idx="712">
                  <c:v>92.169133870902442</c:v>
                </c:pt>
                <c:pt idx="713">
                  <c:v>91.930436875676378</c:v>
                </c:pt>
                <c:pt idx="714">
                  <c:v>92.297508725477783</c:v>
                </c:pt>
                <c:pt idx="715">
                  <c:v>92.096923015203785</c:v>
                </c:pt>
                <c:pt idx="716">
                  <c:v>91.439001885505064</c:v>
                </c:pt>
                <c:pt idx="717">
                  <c:v>91.808079592409229</c:v>
                </c:pt>
                <c:pt idx="718">
                  <c:v>91.908372447546213</c:v>
                </c:pt>
                <c:pt idx="719">
                  <c:v>92.233321298190091</c:v>
                </c:pt>
                <c:pt idx="720">
                  <c:v>92.177157299313379</c:v>
                </c:pt>
                <c:pt idx="721">
                  <c:v>92.084887872587331</c:v>
                </c:pt>
                <c:pt idx="722">
                  <c:v>92.303526296786004</c:v>
                </c:pt>
                <c:pt idx="723">
                  <c:v>92.07686444417638</c:v>
                </c:pt>
                <c:pt idx="724">
                  <c:v>91.978577446142111</c:v>
                </c:pt>
                <c:pt idx="725">
                  <c:v>92.175151442210634</c:v>
                </c:pt>
                <c:pt idx="726">
                  <c:v>92.355678581457227</c:v>
                </c:pt>
                <c:pt idx="727">
                  <c:v>92.590363862477801</c:v>
                </c:pt>
                <c:pt idx="728">
                  <c:v>92.606410719299717</c:v>
                </c:pt>
                <c:pt idx="729">
                  <c:v>92.455971436594226</c:v>
                </c:pt>
                <c:pt idx="730">
                  <c:v>92.211256870059927</c:v>
                </c:pt>
                <c:pt idx="731">
                  <c:v>92.046776587635264</c:v>
                </c:pt>
                <c:pt idx="732">
                  <c:v>92.118987443333907</c:v>
                </c:pt>
                <c:pt idx="733">
                  <c:v>91.701769165963995</c:v>
                </c:pt>
                <c:pt idx="734">
                  <c:v>91.936454446984584</c:v>
                </c:pt>
                <c:pt idx="735">
                  <c:v>91.994624302964041</c:v>
                </c:pt>
                <c:pt idx="736">
                  <c:v>92.209251012957225</c:v>
                </c:pt>
                <c:pt idx="737">
                  <c:v>92.447948008183275</c:v>
                </c:pt>
                <c:pt idx="738">
                  <c:v>92.574317005655885</c:v>
                </c:pt>
                <c:pt idx="739">
                  <c:v>92.666586432381919</c:v>
                </c:pt>
                <c:pt idx="740">
                  <c:v>92.778914430135359</c:v>
                </c:pt>
                <c:pt idx="741">
                  <c:v>92.800978858265495</c:v>
                </c:pt>
                <c:pt idx="742">
                  <c:v>92.488065150238057</c:v>
                </c:pt>
                <c:pt idx="743">
                  <c:v>92.520158863881889</c:v>
                </c:pt>
                <c:pt idx="744">
                  <c:v>92.463994865005176</c:v>
                </c:pt>
                <c:pt idx="745">
                  <c:v>92.504112007059973</c:v>
                </c:pt>
                <c:pt idx="746">
                  <c:v>92.108958157820211</c:v>
                </c:pt>
                <c:pt idx="747">
                  <c:v>92.331608296224346</c:v>
                </c:pt>
                <c:pt idx="748">
                  <c:v>92.572311148553155</c:v>
                </c:pt>
                <c:pt idx="749">
                  <c:v>92.901271713402508</c:v>
                </c:pt>
                <c:pt idx="750">
                  <c:v>92.778914430135373</c:v>
                </c:pt>
                <c:pt idx="751">
                  <c:v>92.987523568820322</c:v>
                </c:pt>
                <c:pt idx="752">
                  <c:v>92.895254142094274</c:v>
                </c:pt>
                <c:pt idx="753">
                  <c:v>93.04769928190251</c:v>
                </c:pt>
                <c:pt idx="754">
                  <c:v>93.121915994703883</c:v>
                </c:pt>
                <c:pt idx="755">
                  <c:v>93.334536847594336</c:v>
                </c:pt>
                <c:pt idx="756">
                  <c:v>93.021623139566913</c:v>
                </c:pt>
                <c:pt idx="757">
                  <c:v>92.889236570786068</c:v>
                </c:pt>
                <c:pt idx="758">
                  <c:v>92.869177999758676</c:v>
                </c:pt>
                <c:pt idx="759">
                  <c:v>92.71272114574495</c:v>
                </c:pt>
                <c:pt idx="760">
                  <c:v>93.063746138724454</c:v>
                </c:pt>
                <c:pt idx="761">
                  <c:v>92.965459140690186</c:v>
                </c:pt>
                <c:pt idx="762">
                  <c:v>93.021623139566913</c:v>
                </c:pt>
                <c:pt idx="763">
                  <c:v>92.873189713964166</c:v>
                </c:pt>
                <c:pt idx="764">
                  <c:v>92.642516147149067</c:v>
                </c:pt>
                <c:pt idx="765">
                  <c:v>92.831066714806624</c:v>
                </c:pt>
                <c:pt idx="766">
                  <c:v>92.782926144340863</c:v>
                </c:pt>
                <c:pt idx="767">
                  <c:v>93.021623139566913</c:v>
                </c:pt>
                <c:pt idx="768">
                  <c:v>93.274361134512162</c:v>
                </c:pt>
                <c:pt idx="769">
                  <c:v>93.250290849279281</c:v>
                </c:pt>
                <c:pt idx="770">
                  <c:v>93.272355277409417</c:v>
                </c:pt>
                <c:pt idx="771">
                  <c:v>93.091828138162811</c:v>
                </c:pt>
                <c:pt idx="772">
                  <c:v>93.312472419464228</c:v>
                </c:pt>
                <c:pt idx="773">
                  <c:v>93.432823845628619</c:v>
                </c:pt>
                <c:pt idx="774">
                  <c:v>93.410759417498497</c:v>
                </c:pt>
                <c:pt idx="775">
                  <c:v>93.515063986840985</c:v>
                </c:pt>
                <c:pt idx="776">
                  <c:v>93.617362699080715</c:v>
                </c:pt>
                <c:pt idx="777">
                  <c:v>93.515063986840985</c:v>
                </c:pt>
                <c:pt idx="778">
                  <c:v>93.372648132546431</c:v>
                </c:pt>
                <c:pt idx="779">
                  <c:v>93.589280699642359</c:v>
                </c:pt>
                <c:pt idx="780">
                  <c:v>93.815942552251983</c:v>
                </c:pt>
                <c:pt idx="781">
                  <c:v>93.836001123279374</c:v>
                </c:pt>
                <c:pt idx="782">
                  <c:v>93.805913266738273</c:v>
                </c:pt>
                <c:pt idx="783">
                  <c:v>93.980422834676659</c:v>
                </c:pt>
                <c:pt idx="784">
                  <c:v>93.914229550286237</c:v>
                </c:pt>
                <c:pt idx="785">
                  <c:v>93.996469691498561</c:v>
                </c:pt>
                <c:pt idx="786">
                  <c:v>94.002487262806767</c:v>
                </c:pt>
                <c:pt idx="787">
                  <c:v>94.455810968026015</c:v>
                </c:pt>
                <c:pt idx="788">
                  <c:v>94.893087816423318</c:v>
                </c:pt>
                <c:pt idx="789">
                  <c:v>95.08765595538911</c:v>
                </c:pt>
                <c:pt idx="790">
                  <c:v>95.163878525293214</c:v>
                </c:pt>
                <c:pt idx="791">
                  <c:v>95.845869940224816</c:v>
                </c:pt>
                <c:pt idx="792">
                  <c:v>95.809764512375494</c:v>
                </c:pt>
                <c:pt idx="793">
                  <c:v>95.725518514060397</c:v>
                </c:pt>
                <c:pt idx="794">
                  <c:v>94.949251815300016</c:v>
                </c:pt>
                <c:pt idx="795">
                  <c:v>95.336382236128841</c:v>
                </c:pt>
                <c:pt idx="796">
                  <c:v>95.510891804067214</c:v>
                </c:pt>
                <c:pt idx="797">
                  <c:v>95.302282665382265</c:v>
                </c:pt>
                <c:pt idx="798">
                  <c:v>95.075620812772641</c:v>
                </c:pt>
                <c:pt idx="799">
                  <c:v>95.526938660889144</c:v>
                </c:pt>
                <c:pt idx="800">
                  <c:v>95.861916797046717</c:v>
                </c:pt>
                <c:pt idx="801">
                  <c:v>95.789705941348075</c:v>
                </c:pt>
                <c:pt idx="802">
                  <c:v>95.863922654149448</c:v>
                </c:pt>
                <c:pt idx="803">
                  <c:v>95.66333694387545</c:v>
                </c:pt>
                <c:pt idx="804">
                  <c:v>95.707465800135722</c:v>
                </c:pt>
                <c:pt idx="805">
                  <c:v>95.643278372848044</c:v>
                </c:pt>
                <c:pt idx="806">
                  <c:v>95.63726080153981</c:v>
                </c:pt>
                <c:pt idx="807">
                  <c:v>95.37649937818361</c:v>
                </c:pt>
                <c:pt idx="808">
                  <c:v>95.266177237532915</c:v>
                </c:pt>
                <c:pt idx="809">
                  <c:v>95.557026517430216</c:v>
                </c:pt>
                <c:pt idx="810">
                  <c:v>95.446704376779508</c:v>
                </c:pt>
                <c:pt idx="811">
                  <c:v>95.823805512094623</c:v>
                </c:pt>
                <c:pt idx="812">
                  <c:v>96.060496650217956</c:v>
                </c:pt>
                <c:pt idx="813">
                  <c:v>95.809764512375466</c:v>
                </c:pt>
                <c:pt idx="814">
                  <c:v>95.613190516306943</c:v>
                </c:pt>
                <c:pt idx="815">
                  <c:v>94.875035102498614</c:v>
                </c:pt>
                <c:pt idx="816">
                  <c:v>93.519075701046376</c:v>
                </c:pt>
                <c:pt idx="817">
                  <c:v>94.090744975327283</c:v>
                </c:pt>
                <c:pt idx="818">
                  <c:v>93.480964416094324</c:v>
                </c:pt>
                <c:pt idx="819">
                  <c:v>93.348577847313479</c:v>
                </c:pt>
                <c:pt idx="820">
                  <c:v>93.795883981224506</c:v>
                </c:pt>
                <c:pt idx="821">
                  <c:v>94.371564969710889</c:v>
                </c:pt>
                <c:pt idx="822">
                  <c:v>93.697596983190252</c:v>
                </c:pt>
                <c:pt idx="823">
                  <c:v>92.995546997231244</c:v>
                </c:pt>
                <c:pt idx="824">
                  <c:v>92.451959722388708</c:v>
                </c:pt>
                <c:pt idx="825">
                  <c:v>93.061740281621681</c:v>
                </c:pt>
                <c:pt idx="826">
                  <c:v>93.188109279094292</c:v>
                </c:pt>
                <c:pt idx="827">
                  <c:v>92.289485297066776</c:v>
                </c:pt>
                <c:pt idx="828">
                  <c:v>92.468006579210638</c:v>
                </c:pt>
                <c:pt idx="829">
                  <c:v>92.050788301840726</c:v>
                </c:pt>
                <c:pt idx="830">
                  <c:v>92.670598146587395</c:v>
                </c:pt>
                <c:pt idx="831">
                  <c:v>92.809002286676446</c:v>
                </c:pt>
                <c:pt idx="832">
                  <c:v>92.686645003409311</c:v>
                </c:pt>
                <c:pt idx="833">
                  <c:v>92.29550286837501</c:v>
                </c:pt>
                <c:pt idx="834">
                  <c:v>92.042764873429775</c:v>
                </c:pt>
                <c:pt idx="835">
                  <c:v>92.06282344445718</c:v>
                </c:pt>
                <c:pt idx="836">
                  <c:v>92.70670357443673</c:v>
                </c:pt>
                <c:pt idx="837">
                  <c:v>92.869177999758662</c:v>
                </c:pt>
                <c:pt idx="838">
                  <c:v>93.005576282744983</c:v>
                </c:pt>
                <c:pt idx="839">
                  <c:v>92.96144742648471</c:v>
                </c:pt>
                <c:pt idx="840">
                  <c:v>93.252296706382012</c:v>
                </c:pt>
                <c:pt idx="841">
                  <c:v>94.140891402895818</c:v>
                </c:pt>
                <c:pt idx="842">
                  <c:v>94.44979339671778</c:v>
                </c:pt>
                <c:pt idx="843">
                  <c:v>94.794800818389064</c:v>
                </c:pt>
                <c:pt idx="844">
                  <c:v>94.913146387450723</c:v>
                </c:pt>
                <c:pt idx="845">
                  <c:v>95.342399807437076</c:v>
                </c:pt>
                <c:pt idx="846">
                  <c:v>95.623219801820667</c:v>
                </c:pt>
                <c:pt idx="847">
                  <c:v>95.689413086211076</c:v>
                </c:pt>
                <c:pt idx="848">
                  <c:v>95.444698519676805</c:v>
                </c:pt>
                <c:pt idx="849">
                  <c:v>95.747582942190547</c:v>
                </c:pt>
                <c:pt idx="850">
                  <c:v>95.695430657519296</c:v>
                </c:pt>
                <c:pt idx="851">
                  <c:v>95.352429092950757</c:v>
                </c:pt>
                <c:pt idx="852">
                  <c:v>95.18594295342335</c:v>
                </c:pt>
                <c:pt idx="853">
                  <c:v>94.678461106430134</c:v>
                </c:pt>
                <c:pt idx="854">
                  <c:v>95.101696955108281</c:v>
                </c:pt>
                <c:pt idx="855">
                  <c:v>95.09367352669733</c:v>
                </c:pt>
                <c:pt idx="856">
                  <c:v>95.047538813334313</c:v>
                </c:pt>
                <c:pt idx="857">
                  <c:v>94.389617683635606</c:v>
                </c:pt>
                <c:pt idx="858">
                  <c:v>94.929193244272668</c:v>
                </c:pt>
                <c:pt idx="859">
                  <c:v>94.947245958197314</c:v>
                </c:pt>
                <c:pt idx="860">
                  <c:v>94.443775825409574</c:v>
                </c:pt>
                <c:pt idx="861">
                  <c:v>95.09367352669733</c:v>
                </c:pt>
                <c:pt idx="862">
                  <c:v>95.589120231074105</c:v>
                </c:pt>
                <c:pt idx="863">
                  <c:v>95.585108516868615</c:v>
                </c:pt>
                <c:pt idx="864">
                  <c:v>95.940145224053595</c:v>
                </c:pt>
                <c:pt idx="865">
                  <c:v>95.649295944156293</c:v>
                </c:pt>
                <c:pt idx="866">
                  <c:v>95.567055802943955</c:v>
                </c:pt>
                <c:pt idx="867">
                  <c:v>95.476792233320651</c:v>
                </c:pt>
                <c:pt idx="868">
                  <c:v>95.206001524450755</c:v>
                </c:pt>
                <c:pt idx="869">
                  <c:v>94.656396678299998</c:v>
                </c:pt>
                <c:pt idx="870">
                  <c:v>94.993380671560303</c:v>
                </c:pt>
                <c:pt idx="871">
                  <c:v>94.724595819793137</c:v>
                </c:pt>
                <c:pt idx="872">
                  <c:v>95.203995667348011</c:v>
                </c:pt>
                <c:pt idx="873">
                  <c:v>95.214024952861706</c:v>
                </c:pt>
                <c:pt idx="874">
                  <c:v>95.139808240060319</c:v>
                </c:pt>
                <c:pt idx="875">
                  <c:v>95.480803947526127</c:v>
                </c:pt>
                <c:pt idx="876">
                  <c:v>95.408593091827498</c:v>
                </c:pt>
                <c:pt idx="877">
                  <c:v>95.129778954546637</c:v>
                </c:pt>
                <c:pt idx="878">
                  <c:v>95.725518514060411</c:v>
                </c:pt>
                <c:pt idx="879">
                  <c:v>95.448710233882295</c:v>
                </c:pt>
                <c:pt idx="880">
                  <c:v>95.45272194808777</c:v>
                </c:pt>
                <c:pt idx="881">
                  <c:v>94.997392385765792</c:v>
                </c:pt>
                <c:pt idx="882">
                  <c:v>95.047538813334299</c:v>
                </c:pt>
                <c:pt idx="883">
                  <c:v>94.261242829060222</c:v>
                </c:pt>
                <c:pt idx="884">
                  <c:v>94.253219400649257</c:v>
                </c:pt>
                <c:pt idx="885">
                  <c:v>94.487904681669846</c:v>
                </c:pt>
                <c:pt idx="886">
                  <c:v>94.487904681669846</c:v>
                </c:pt>
                <c:pt idx="887">
                  <c:v>95.129778954546651</c:v>
                </c:pt>
                <c:pt idx="888">
                  <c:v>95.266177237532958</c:v>
                </c:pt>
                <c:pt idx="889">
                  <c:v>95.542985517711074</c:v>
                </c:pt>
                <c:pt idx="890">
                  <c:v>95.637260801539867</c:v>
                </c:pt>
                <c:pt idx="891">
                  <c:v>95.20600152445077</c:v>
                </c:pt>
                <c:pt idx="892">
                  <c:v>94.610261964936996</c:v>
                </c:pt>
                <c:pt idx="893">
                  <c:v>94.714566534279484</c:v>
                </c:pt>
                <c:pt idx="894">
                  <c:v>94.48188711036164</c:v>
                </c:pt>
                <c:pt idx="895">
                  <c:v>93.888153407950597</c:v>
                </c:pt>
                <c:pt idx="896">
                  <c:v>93.827977694868395</c:v>
                </c:pt>
                <c:pt idx="897">
                  <c:v>93.807919123841003</c:v>
                </c:pt>
                <c:pt idx="898">
                  <c:v>93.565210414409449</c:v>
                </c:pt>
                <c:pt idx="899">
                  <c:v>93.673526697957413</c:v>
                </c:pt>
                <c:pt idx="900">
                  <c:v>93.521081558149177</c:v>
                </c:pt>
                <c:pt idx="901">
                  <c:v>93.547157700484803</c:v>
                </c:pt>
                <c:pt idx="902">
                  <c:v>93.707626268704004</c:v>
                </c:pt>
                <c:pt idx="903">
                  <c:v>93.888153407950611</c:v>
                </c:pt>
                <c:pt idx="904">
                  <c:v>93.882135836642405</c:v>
                </c:pt>
                <c:pt idx="905">
                  <c:v>93.73370241103963</c:v>
                </c:pt>
                <c:pt idx="906">
                  <c:v>93.448870702450549</c:v>
                </c:pt>
                <c:pt idx="907">
                  <c:v>93.910217836080733</c:v>
                </c:pt>
                <c:pt idx="908">
                  <c:v>93.813936695149209</c:v>
                </c:pt>
                <c:pt idx="909">
                  <c:v>93.410759417498468</c:v>
                </c:pt>
                <c:pt idx="910">
                  <c:v>93.735708268142346</c:v>
                </c:pt>
                <c:pt idx="911">
                  <c:v>93.731696553936857</c:v>
                </c:pt>
                <c:pt idx="912">
                  <c:v>93.422794560114909</c:v>
                </c:pt>
                <c:pt idx="913">
                  <c:v>93.147992137039537</c:v>
                </c:pt>
                <c:pt idx="914">
                  <c:v>93.302443133950504</c:v>
                </c:pt>
                <c:pt idx="915">
                  <c:v>93.340554418902556</c:v>
                </c:pt>
                <c:pt idx="916">
                  <c:v>93.394712560676552</c:v>
                </c:pt>
                <c:pt idx="917">
                  <c:v>92.853131142936761</c:v>
                </c:pt>
                <c:pt idx="918">
                  <c:v>92.979500140409385</c:v>
                </c:pt>
                <c:pt idx="919">
                  <c:v>93.129939423114877</c:v>
                </c:pt>
                <c:pt idx="920">
                  <c:v>93.093833995265555</c:v>
                </c:pt>
                <c:pt idx="921">
                  <c:v>93.059734424518965</c:v>
                </c:pt>
                <c:pt idx="922">
                  <c:v>93.495005415813537</c:v>
                </c:pt>
                <c:pt idx="923">
                  <c:v>93.466923416375181</c:v>
                </c:pt>
                <c:pt idx="924">
                  <c:v>93.45288241665601</c:v>
                </c:pt>
                <c:pt idx="925">
                  <c:v>93.709632125806735</c:v>
                </c:pt>
                <c:pt idx="926">
                  <c:v>93.679544269265634</c:v>
                </c:pt>
                <c:pt idx="927">
                  <c:v>93.488987844505331</c:v>
                </c:pt>
                <c:pt idx="928">
                  <c:v>93.789866409916328</c:v>
                </c:pt>
                <c:pt idx="929">
                  <c:v>93.537128414971079</c:v>
                </c:pt>
                <c:pt idx="930">
                  <c:v>93.486981987402586</c:v>
                </c:pt>
                <c:pt idx="931">
                  <c:v>93.43081798852586</c:v>
                </c:pt>
                <c:pt idx="932">
                  <c:v>93.346571990210776</c:v>
                </c:pt>
                <c:pt idx="933">
                  <c:v>93.268343563203899</c:v>
                </c:pt>
                <c:pt idx="934">
                  <c:v>93.156015565450474</c:v>
                </c:pt>
                <c:pt idx="935">
                  <c:v>92.969470854895647</c:v>
                </c:pt>
                <c:pt idx="936">
                  <c:v>93.517069843943659</c:v>
                </c:pt>
                <c:pt idx="937">
                  <c:v>93.593292413847763</c:v>
                </c:pt>
                <c:pt idx="938">
                  <c:v>93.88213583664232</c:v>
                </c:pt>
                <c:pt idx="939">
                  <c:v>93.689573554779273</c:v>
                </c:pt>
                <c:pt idx="940">
                  <c:v>93.900188550566995</c:v>
                </c:pt>
                <c:pt idx="941">
                  <c:v>93.641432984313525</c:v>
                </c:pt>
                <c:pt idx="942">
                  <c:v>93.252296706381969</c:v>
                </c:pt>
                <c:pt idx="943">
                  <c:v>92.941388855457262</c:v>
                </c:pt>
                <c:pt idx="944">
                  <c:v>93.04368756769702</c:v>
                </c:pt>
                <c:pt idx="945">
                  <c:v>92.91130099891619</c:v>
                </c:pt>
                <c:pt idx="946">
                  <c:v>93.192120993299795</c:v>
                </c:pt>
                <c:pt idx="947">
                  <c:v>93.519075701046404</c:v>
                </c:pt>
                <c:pt idx="948">
                  <c:v>93.523087415251894</c:v>
                </c:pt>
                <c:pt idx="949">
                  <c:v>93.384683275162828</c:v>
                </c:pt>
                <c:pt idx="950">
                  <c:v>93.617362699080658</c:v>
                </c:pt>
                <c:pt idx="951">
                  <c:v>93.575239699923131</c:v>
                </c:pt>
                <c:pt idx="952">
                  <c:v>93.204156135916236</c:v>
                </c:pt>
                <c:pt idx="953">
                  <c:v>93.280378705820354</c:v>
                </c:pt>
                <c:pt idx="954">
                  <c:v>92.698680146025751</c:v>
                </c:pt>
                <c:pt idx="955">
                  <c:v>92.738797288080562</c:v>
                </c:pt>
              </c:numCache>
            </c:numRef>
          </c:val>
          <c:smooth val="0"/>
          <c:extLst>
            <c:ext xmlns:c16="http://schemas.microsoft.com/office/drawing/2014/chart" uri="{C3380CC4-5D6E-409C-BE32-E72D297353CC}">
              <c16:uniqueId val="{00000003-3429-4AF4-B29D-1DF7AC935C08}"/>
            </c:ext>
          </c:extLst>
        </c:ser>
        <c:dLbls>
          <c:showLegendKey val="0"/>
          <c:showVal val="0"/>
          <c:showCatName val="0"/>
          <c:showSerName val="0"/>
          <c:showPercent val="0"/>
          <c:showBubbleSize val="0"/>
        </c:dLbls>
        <c:smooth val="0"/>
        <c:axId val="-80760544"/>
        <c:axId val="-80762720"/>
      </c:lineChart>
      <c:dateAx>
        <c:axId val="-80760544"/>
        <c:scaling>
          <c:orientation val="minMax"/>
        </c:scaling>
        <c:delete val="0"/>
        <c:axPos val="b"/>
        <c:numFmt formatCode="dd\/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2720"/>
        <c:crosses val="autoZero"/>
        <c:auto val="1"/>
        <c:lblOffset val="100"/>
        <c:baseTimeUnit val="days"/>
      </c:dateAx>
      <c:valAx>
        <c:axId val="-80762720"/>
        <c:scaling>
          <c:orientation val="minMax"/>
          <c:max val="160"/>
          <c:min val="70"/>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r>
                  <a:rPr lang="hy-AM" sz="800" b="0" i="0" u="none" strike="noStrike" baseline="0">
                    <a:effectLst/>
                    <a:latin typeface="GHEA Grapalat" panose="02000506050000020003" pitchFamily="2" charset="0"/>
                  </a:rPr>
                  <a:t>Ինդեքս՝ </a:t>
                </a:r>
                <a:r>
                  <a:rPr lang="en-US" sz="800" b="0" i="0" u="none" strike="noStrike" baseline="0">
                    <a:effectLst/>
                    <a:latin typeface="GHEA Grapalat" panose="02000506050000020003" pitchFamily="2" charset="0"/>
                  </a:rPr>
                  <a:t>2023</a:t>
                </a:r>
                <a:r>
                  <a:rPr lang="hy-AM" sz="800" b="0" i="0" u="none" strike="noStrike" baseline="0">
                    <a:effectLst/>
                    <a:latin typeface="GHEA Grapalat" panose="02000506050000020003" pitchFamily="2" charset="0"/>
                  </a:rPr>
                  <a:t> թ. հունվարի </a:t>
                </a:r>
                <a:r>
                  <a:rPr lang="en-US" sz="800" b="0" i="0" u="none" strike="noStrike" baseline="0">
                    <a:effectLst/>
                    <a:latin typeface="GHEA Grapalat" panose="02000506050000020003" pitchFamily="2" charset="0"/>
                  </a:rPr>
                  <a:t>3</a:t>
                </a:r>
                <a:r>
                  <a:rPr lang="hy-AM" sz="800" b="0" i="0" u="none" strike="noStrike" baseline="0">
                    <a:effectLst/>
                    <a:latin typeface="GHEA Grapalat" panose="02000506050000020003" pitchFamily="2" charset="0"/>
                  </a:rPr>
                  <a:t> </a:t>
                </a:r>
                <a:r>
                  <a:rPr lang="en-US" sz="800" b="0" i="0" u="none" strike="noStrike" baseline="0">
                    <a:effectLst/>
                    <a:latin typeface="GHEA Grapalat" panose="02000506050000020003" pitchFamily="2" charset="0"/>
                  </a:rPr>
                  <a:t>=</a:t>
                </a:r>
                <a:r>
                  <a:rPr lang="hy-AM" sz="800" b="0" i="0" u="none" strike="noStrike" baseline="0">
                    <a:effectLst/>
                    <a:latin typeface="GHEA Grapalat" panose="02000506050000020003" pitchFamily="2" charset="0"/>
                  </a:rPr>
                  <a:t>100</a:t>
                </a:r>
                <a:endParaRPr lang="en-US" sz="800">
                  <a:latin typeface="GHEA Grapalat" panose="02000506050000020003" pitchFamily="2" charset="0"/>
                </a:endParaRPr>
              </a:p>
            </c:rich>
          </c:tx>
          <c:layout>
            <c:manualLayout>
              <c:xMode val="edge"/>
              <c:yMode val="edge"/>
              <c:x val="7.751937984496143E-3"/>
              <c:y val="8.4670206921809224E-2"/>
            </c:manualLayout>
          </c:layout>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0544"/>
        <c:crosses val="autoZero"/>
        <c:crossBetween val="between"/>
        <c:majorUnit val="30"/>
      </c:valAx>
      <c:spPr>
        <a:noFill/>
        <a:ln>
          <a:noFill/>
        </a:ln>
        <a:effectLst/>
      </c:spPr>
    </c:plotArea>
    <c:legend>
      <c:legendPos val="b"/>
      <c:layout>
        <c:manualLayout>
          <c:xMode val="edge"/>
          <c:yMode val="edge"/>
          <c:x val="0"/>
          <c:y val="0.83809670275590553"/>
          <c:w val="1"/>
          <c:h val="0.1619032972440945"/>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454818615837815"/>
          <c:y val="5.299927728258251E-2"/>
          <c:w val="0.78563540980598401"/>
          <c:h val="0.61021322334708172"/>
        </c:manualLayout>
      </c:layout>
      <c:lineChart>
        <c:grouping val="standard"/>
        <c:varyColors val="0"/>
        <c:ser>
          <c:idx val="1"/>
          <c:order val="0"/>
          <c:tx>
            <c:strRef>
              <c:f>Sheet1!$D$1</c:f>
              <c:strCache>
                <c:ptCount val="1"/>
                <c:pt idx="0">
                  <c:v>DAX (Գերմանիա)</c:v>
                </c:pt>
              </c:strCache>
            </c:strRef>
          </c:tx>
          <c:spPr>
            <a:ln w="22225" cap="rnd">
              <a:solidFill>
                <a:srgbClr val="ED7D31">
                  <a:lumMod val="60000"/>
                  <a:lumOff val="40000"/>
                </a:srgbClr>
              </a:solidFill>
              <a:round/>
            </a:ln>
            <a:effectLst/>
          </c:spPr>
          <c:marker>
            <c:symbol val="none"/>
          </c:marker>
          <c:cat>
            <c:multiLvlStrRef>
              <c:f>Sheet1!$A$2:$B$45</c:f>
              <c:multiLvlStrCache>
                <c:ptCount val="4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lvl>
                <c:lvl>
                  <c:pt idx="0">
                    <c:v>2023</c:v>
                  </c:pt>
                  <c:pt idx="12">
                    <c:v>2024</c:v>
                  </c:pt>
                  <c:pt idx="24">
                    <c:v>2025</c:v>
                  </c:pt>
                  <c:pt idx="36">
                    <c:v>2026</c:v>
                  </c:pt>
                </c:lvl>
              </c:multiLvlStrCache>
            </c:multiLvlStrRef>
          </c:cat>
          <c:val>
            <c:numRef>
              <c:f>Sheet1!$D$2:$D$45</c:f>
              <c:numCache>
                <c:formatCode>0.0</c:formatCode>
                <c:ptCount val="44"/>
                <c:pt idx="0">
                  <c:v>100</c:v>
                </c:pt>
                <c:pt idx="1">
                  <c:v>101.56574413333448</c:v>
                </c:pt>
                <c:pt idx="2">
                  <c:v>103.30883835362536</c:v>
                </c:pt>
                <c:pt idx="3">
                  <c:v>105.24917918572315</c:v>
                </c:pt>
                <c:pt idx="4">
                  <c:v>103.54138311915375</c:v>
                </c:pt>
                <c:pt idx="5">
                  <c:v>106.73989821704663</c:v>
                </c:pt>
                <c:pt idx="6">
                  <c:v>108.71586770992323</c:v>
                </c:pt>
                <c:pt idx="7">
                  <c:v>105.41244967203785</c:v>
                </c:pt>
                <c:pt idx="8">
                  <c:v>101.7074655595121</c:v>
                </c:pt>
                <c:pt idx="9">
                  <c:v>97.898437825342896</c:v>
                </c:pt>
                <c:pt idx="10">
                  <c:v>107.18628104865925</c:v>
                </c:pt>
                <c:pt idx="11">
                  <c:v>110.73070483274032</c:v>
                </c:pt>
                <c:pt idx="12">
                  <c:v>111.73623950392215</c:v>
                </c:pt>
                <c:pt idx="13">
                  <c:v>116.85533111188526</c:v>
                </c:pt>
                <c:pt idx="14">
                  <c:v>122.23796904735312</c:v>
                </c:pt>
                <c:pt idx="15">
                  <c:v>118.53417476023368</c:v>
                </c:pt>
                <c:pt idx="16">
                  <c:v>122.27399431660066</c:v>
                </c:pt>
                <c:pt idx="17">
                  <c:v>120.53889836709685</c:v>
                </c:pt>
                <c:pt idx="18">
                  <c:v>122.34478892827801</c:v>
                </c:pt>
                <c:pt idx="19">
                  <c:v>124.97740984263238</c:v>
                </c:pt>
                <c:pt idx="20">
                  <c:v>127.74051494321562</c:v>
                </c:pt>
                <c:pt idx="21">
                  <c:v>126.1052321250216</c:v>
                </c:pt>
                <c:pt idx="22">
                  <c:v>129.73360470166125</c:v>
                </c:pt>
                <c:pt idx="23">
                  <c:v>131.6022255023212</c:v>
                </c:pt>
                <c:pt idx="24">
                  <c:v>143.65191789940297</c:v>
                </c:pt>
                <c:pt idx="25">
                  <c:v>149.06813535189426</c:v>
                </c:pt>
                <c:pt idx="26">
                  <c:v>146.50379719558163</c:v>
                </c:pt>
                <c:pt idx="27">
                  <c:v>148.70821316647584</c:v>
                </c:pt>
                <c:pt idx="28">
                  <c:v>158.62672995656487</c:v>
                </c:pt>
                <c:pt idx="29">
                  <c:v>158.04589685403565</c:v>
                </c:pt>
                <c:pt idx="30">
                  <c:v>159.07615345310481</c:v>
                </c:pt>
                <c:pt idx="31">
                  <c:v>157.99698180955269</c:v>
                </c:pt>
                <c:pt idx="32">
                  <c:v>157.85492987631778</c:v>
                </c:pt>
                <c:pt idx="33">
                  <c:v>158.36774462645113</c:v>
                </c:pt>
                <c:pt idx="34">
                  <c:v>157.56454637575891</c:v>
                </c:pt>
                <c:pt idx="35">
                  <c:v>161.88506683183221</c:v>
                </c:pt>
                <c:pt idx="36">
                  <c:v>162.20499766331525</c:v>
                </c:pt>
                <c:pt idx="37">
                  <c:v>167.13252738085731</c:v>
                </c:pt>
                <c:pt idx="38">
                  <c:v>149.9182656047256</c:v>
                </c:pt>
                <c:pt idx="39">
                  <c:v>160.57606058062174</c:v>
                </c:pt>
                <c:pt idx="40">
                  <c:v>165.94561043661983</c:v>
                </c:pt>
                <c:pt idx="41">
                  <c:v>165.22583216719445</c:v>
                </c:pt>
                <c:pt idx="42">
                  <c:v>169.41289387352305</c:v>
                </c:pt>
                <c:pt idx="43">
                  <c:v>173.56981333622434</c:v>
                </c:pt>
              </c:numCache>
            </c:numRef>
          </c:val>
          <c:smooth val="0"/>
          <c:extLst>
            <c:ext xmlns:c16="http://schemas.microsoft.com/office/drawing/2014/chart" uri="{C3380CC4-5D6E-409C-BE32-E72D297353CC}">
              <c16:uniqueId val="{00000000-C156-4D0E-B888-D75027F62823}"/>
            </c:ext>
          </c:extLst>
        </c:ser>
        <c:ser>
          <c:idx val="2"/>
          <c:order val="1"/>
          <c:tx>
            <c:strRef>
              <c:f>Sheet1!$E$1</c:f>
              <c:strCache>
                <c:ptCount val="1"/>
                <c:pt idx="0">
                  <c:v>MOEX (ՌԴ)</c:v>
                </c:pt>
              </c:strCache>
            </c:strRef>
          </c:tx>
          <c:spPr>
            <a:ln w="22225" cap="rnd">
              <a:solidFill>
                <a:srgbClr val="4472C4">
                  <a:lumMod val="75000"/>
                </a:srgbClr>
              </a:solidFill>
              <a:round/>
            </a:ln>
            <a:effectLst/>
          </c:spPr>
          <c:marker>
            <c:symbol val="none"/>
          </c:marker>
          <c:cat>
            <c:multiLvlStrRef>
              <c:f>Sheet1!$A$2:$B$45</c:f>
              <c:multiLvlStrCache>
                <c:ptCount val="4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lvl>
                <c:lvl>
                  <c:pt idx="0">
                    <c:v>2023</c:v>
                  </c:pt>
                  <c:pt idx="12">
                    <c:v>2024</c:v>
                  </c:pt>
                  <c:pt idx="24">
                    <c:v>2025</c:v>
                  </c:pt>
                  <c:pt idx="36">
                    <c:v>2026</c:v>
                  </c:pt>
                </c:lvl>
              </c:multiLvlStrCache>
            </c:multiLvlStrRef>
          </c:cat>
          <c:val>
            <c:numRef>
              <c:f>Sheet1!$E$2:$E$45</c:f>
              <c:numCache>
                <c:formatCode>0.0</c:formatCode>
                <c:ptCount val="44"/>
                <c:pt idx="0">
                  <c:v>100</c:v>
                </c:pt>
                <c:pt idx="1">
                  <c:v>101.23831775700936</c:v>
                </c:pt>
                <c:pt idx="2">
                  <c:v>110.11277857656366</c:v>
                </c:pt>
                <c:pt idx="3">
                  <c:v>118.39234363767078</c:v>
                </c:pt>
                <c:pt idx="4">
                  <c:v>122.10819554277501</c:v>
                </c:pt>
                <c:pt idx="5">
                  <c:v>125.69060028756294</c:v>
                </c:pt>
                <c:pt idx="6">
                  <c:v>138.09759166067582</c:v>
                </c:pt>
                <c:pt idx="7">
                  <c:v>145.03909058231494</c:v>
                </c:pt>
                <c:pt idx="8">
                  <c:v>140.78271028037392</c:v>
                </c:pt>
                <c:pt idx="9">
                  <c:v>143.82503594536311</c:v>
                </c:pt>
                <c:pt idx="10">
                  <c:v>142.24433860532</c:v>
                </c:pt>
                <c:pt idx="11">
                  <c:v>139.24829259525529</c:v>
                </c:pt>
                <c:pt idx="12">
                  <c:v>144.41903306973407</c:v>
                </c:pt>
                <c:pt idx="13">
                  <c:v>146.33357296908707</c:v>
                </c:pt>
                <c:pt idx="14">
                  <c:v>149.73625089863418</c:v>
                </c:pt>
                <c:pt idx="15">
                  <c:v>155.90537383177582</c:v>
                </c:pt>
                <c:pt idx="16">
                  <c:v>144.55382818116476</c:v>
                </c:pt>
                <c:pt idx="17">
                  <c:v>140.34103163191961</c:v>
                </c:pt>
                <c:pt idx="18">
                  <c:v>132.34049245147386</c:v>
                </c:pt>
                <c:pt idx="19">
                  <c:v>119.06721782890017</c:v>
                </c:pt>
                <c:pt idx="20">
                  <c:v>128.39503953989947</c:v>
                </c:pt>
                <c:pt idx="21">
                  <c:v>115.03414809489587</c:v>
                </c:pt>
                <c:pt idx="22">
                  <c:v>115.8339324227176</c:v>
                </c:pt>
                <c:pt idx="23">
                  <c:v>129.53989935298361</c:v>
                </c:pt>
                <c:pt idx="24">
                  <c:v>132.46315600287576</c:v>
                </c:pt>
                <c:pt idx="25">
                  <c:v>143.8030194104962</c:v>
                </c:pt>
                <c:pt idx="26">
                  <c:v>135.39539899352999</c:v>
                </c:pt>
                <c:pt idx="27">
                  <c:v>131.13182961897931</c:v>
                </c:pt>
                <c:pt idx="28">
                  <c:v>127.10415168943221</c:v>
                </c:pt>
                <c:pt idx="29">
                  <c:v>127.93763479511159</c:v>
                </c:pt>
                <c:pt idx="30">
                  <c:v>122.75880661394694</c:v>
                </c:pt>
                <c:pt idx="31">
                  <c:v>130.27408339324242</c:v>
                </c:pt>
                <c:pt idx="32">
                  <c:v>120.62365204888582</c:v>
                </c:pt>
                <c:pt idx="33">
                  <c:v>113.46153846153857</c:v>
                </c:pt>
                <c:pt idx="34">
                  <c:v>120.25611071171831</c:v>
                </c:pt>
                <c:pt idx="35">
                  <c:v>124.30895039539911</c:v>
                </c:pt>
                <c:pt idx="36">
                  <c:v>125.03324946081966</c:v>
                </c:pt>
                <c:pt idx="37">
                  <c:v>125.7701294033071</c:v>
                </c:pt>
                <c:pt idx="38">
                  <c:v>124.74703450754863</c:v>
                </c:pt>
                <c:pt idx="39">
                  <c:v>119.43790438533441</c:v>
                </c:pt>
                <c:pt idx="40">
                  <c:v>115.27722861250909</c:v>
                </c:pt>
                <c:pt idx="41">
                  <c:v>105.50638030194115</c:v>
                </c:pt>
                <c:pt idx="42">
                  <c:v>100.03414809489585</c:v>
                </c:pt>
                <c:pt idx="43">
                  <c:v>97.900341480949052</c:v>
                </c:pt>
              </c:numCache>
            </c:numRef>
          </c:val>
          <c:smooth val="0"/>
          <c:extLst>
            <c:ext xmlns:c16="http://schemas.microsoft.com/office/drawing/2014/chart" uri="{C3380CC4-5D6E-409C-BE32-E72D297353CC}">
              <c16:uniqueId val="{00000001-C156-4D0E-B888-D75027F62823}"/>
            </c:ext>
          </c:extLst>
        </c:ser>
        <c:ser>
          <c:idx val="0"/>
          <c:order val="2"/>
          <c:tx>
            <c:strRef>
              <c:f>Sheet1!$C$1</c:f>
              <c:strCache>
                <c:ptCount val="1"/>
                <c:pt idx="0">
                  <c:v>S&amp;P 500 (ԱՄՆ)</c:v>
                </c:pt>
              </c:strCache>
            </c:strRef>
          </c:tx>
          <c:spPr>
            <a:ln w="22225" cap="rnd">
              <a:solidFill>
                <a:srgbClr val="5B9BD5"/>
              </a:solidFill>
              <a:round/>
            </a:ln>
            <a:effectLst/>
          </c:spPr>
          <c:marker>
            <c:symbol val="none"/>
          </c:marker>
          <c:cat>
            <c:multiLvlStrRef>
              <c:f>Sheet1!$A$2:$B$45</c:f>
              <c:multiLvlStrCache>
                <c:ptCount val="4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lvl>
                <c:lvl>
                  <c:pt idx="0">
                    <c:v>2023</c:v>
                  </c:pt>
                  <c:pt idx="12">
                    <c:v>2024</c:v>
                  </c:pt>
                  <c:pt idx="24">
                    <c:v>2025</c:v>
                  </c:pt>
                  <c:pt idx="36">
                    <c:v>2026</c:v>
                  </c:pt>
                </c:lvl>
              </c:multiLvlStrCache>
            </c:multiLvlStrRef>
          </c:cat>
          <c:val>
            <c:numRef>
              <c:f>Sheet1!$C$2:$C$45</c:f>
              <c:numCache>
                <c:formatCode>0.0</c:formatCode>
                <c:ptCount val="44"/>
                <c:pt idx="0">
                  <c:v>100</c:v>
                </c:pt>
                <c:pt idx="1">
                  <c:v>97.388755335328469</c:v>
                </c:pt>
                <c:pt idx="2">
                  <c:v>100.80238433989111</c:v>
                </c:pt>
                <c:pt idx="3">
                  <c:v>102.27836922925968</c:v>
                </c:pt>
                <c:pt idx="4">
                  <c:v>102.53225727321789</c:v>
                </c:pt>
                <c:pt idx="5">
                  <c:v>109.16891527253105</c:v>
                </c:pt>
                <c:pt idx="6">
                  <c:v>112.5683167345337</c:v>
                </c:pt>
                <c:pt idx="7">
                  <c:v>110.57400775155769</c:v>
                </c:pt>
                <c:pt idx="8">
                  <c:v>105.18814698523282</c:v>
                </c:pt>
                <c:pt idx="9">
                  <c:v>102.874944806947</c:v>
                </c:pt>
                <c:pt idx="10">
                  <c:v>112.0492567335525</c:v>
                </c:pt>
                <c:pt idx="11">
                  <c:v>117.00436638375119</c:v>
                </c:pt>
                <c:pt idx="12">
                  <c:v>118.86375901486537</c:v>
                </c:pt>
                <c:pt idx="13">
                  <c:v>125.01349163518621</c:v>
                </c:pt>
                <c:pt idx="14">
                  <c:v>128.89172349506944</c:v>
                </c:pt>
                <c:pt idx="15">
                  <c:v>123.52671343766866</c:v>
                </c:pt>
                <c:pt idx="16">
                  <c:v>129.45861747534713</c:v>
                </c:pt>
                <c:pt idx="17">
                  <c:v>133.94691654810384</c:v>
                </c:pt>
                <c:pt idx="18">
                  <c:v>135.463376343031</c:v>
                </c:pt>
                <c:pt idx="19">
                  <c:v>138.55664033753624</c:v>
                </c:pt>
                <c:pt idx="20">
                  <c:v>141.35505077760885</c:v>
                </c:pt>
                <c:pt idx="21">
                  <c:v>139.95609086003049</c:v>
                </c:pt>
                <c:pt idx="22">
                  <c:v>147.97576411715653</c:v>
                </c:pt>
                <c:pt idx="23">
                  <c:v>144.27782956385229</c:v>
                </c:pt>
                <c:pt idx="24">
                  <c:v>148.17568562036996</c:v>
                </c:pt>
                <c:pt idx="25">
                  <c:v>146.06534857479278</c:v>
                </c:pt>
                <c:pt idx="26">
                  <c:v>137.66005985379979</c:v>
                </c:pt>
                <c:pt idx="27">
                  <c:v>136.61041063631464</c:v>
                </c:pt>
                <c:pt idx="28">
                  <c:v>145.01520875239174</c:v>
                </c:pt>
                <c:pt idx="29">
                  <c:v>152.20894863366536</c:v>
                </c:pt>
                <c:pt idx="30">
                  <c:v>155.50679487808475</c:v>
                </c:pt>
                <c:pt idx="31">
                  <c:v>158.47176568709227</c:v>
                </c:pt>
                <c:pt idx="32">
                  <c:v>164.06956777706921</c:v>
                </c:pt>
                <c:pt idx="33">
                  <c:v>167.79178727370856</c:v>
                </c:pt>
                <c:pt idx="34">
                  <c:v>168.00986115880889</c:v>
                </c:pt>
                <c:pt idx="35">
                  <c:v>167.92179757641182</c:v>
                </c:pt>
                <c:pt idx="36">
                  <c:v>170.21611146543697</c:v>
                </c:pt>
                <c:pt idx="37">
                  <c:v>168.74061718098426</c:v>
                </c:pt>
                <c:pt idx="38">
                  <c:v>160.14620026492676</c:v>
                </c:pt>
                <c:pt idx="39">
                  <c:v>176.83878722464809</c:v>
                </c:pt>
                <c:pt idx="40">
                  <c:v>185.94073492616405</c:v>
                </c:pt>
                <c:pt idx="41">
                  <c:v>183.96114409066385</c:v>
                </c:pt>
                <c:pt idx="42">
                  <c:v>183.72467252121874</c:v>
                </c:pt>
                <c:pt idx="43">
                  <c:v>188.54290339989214</c:v>
                </c:pt>
              </c:numCache>
            </c:numRef>
          </c:val>
          <c:smooth val="0"/>
          <c:extLst>
            <c:ext xmlns:c16="http://schemas.microsoft.com/office/drawing/2014/chart" uri="{C3380CC4-5D6E-409C-BE32-E72D297353CC}">
              <c16:uniqueId val="{00000002-C156-4D0E-B888-D75027F62823}"/>
            </c:ext>
          </c:extLst>
        </c:ser>
        <c:dLbls>
          <c:showLegendKey val="0"/>
          <c:showVal val="0"/>
          <c:showCatName val="0"/>
          <c:showSerName val="0"/>
          <c:showPercent val="0"/>
          <c:showBubbleSize val="0"/>
        </c:dLbls>
        <c:smooth val="0"/>
        <c:axId val="-80754560"/>
        <c:axId val="-80759456"/>
      </c:lineChart>
      <c:catAx>
        <c:axId val="-80754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59456"/>
        <c:crosses val="autoZero"/>
        <c:auto val="1"/>
        <c:lblAlgn val="ctr"/>
        <c:lblOffset val="0"/>
        <c:noMultiLvlLbl val="0"/>
      </c:catAx>
      <c:valAx>
        <c:axId val="-80759456"/>
        <c:scaling>
          <c:orientation val="minMax"/>
          <c:max val="200"/>
          <c:min val="40"/>
        </c:scaling>
        <c:delete val="0"/>
        <c:axPos val="l"/>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2" charset="0"/>
                    <a:ea typeface="+mn-ea"/>
                    <a:cs typeface="+mn-cs"/>
                  </a:defRPr>
                </a:pPr>
                <a:r>
                  <a:rPr lang="hy-AM" sz="700">
                    <a:latin typeface="GHEA Grapalat" panose="02000506050000020003" pitchFamily="2" charset="0"/>
                  </a:rPr>
                  <a:t>Ինդեքս՝ 202</a:t>
                </a:r>
                <a:r>
                  <a:rPr lang="en-US" sz="700">
                    <a:latin typeface="GHEA Grapalat" panose="02000506050000020003" pitchFamily="2" charset="0"/>
                  </a:rPr>
                  <a:t>3</a:t>
                </a:r>
                <a:r>
                  <a:rPr lang="hy-AM" sz="700">
                    <a:latin typeface="GHEA Grapalat" panose="02000506050000020003" pitchFamily="2" charset="0"/>
                  </a:rPr>
                  <a:t>թ.</a:t>
                </a:r>
                <a:r>
                  <a:rPr lang="hy-AM" sz="700" baseline="0">
                    <a:latin typeface="GHEA Grapalat" panose="02000506050000020003" pitchFamily="2" charset="0"/>
                  </a:rPr>
                  <a:t> </a:t>
                </a:r>
                <a:r>
                  <a:rPr lang="hy-AM" sz="700">
                    <a:latin typeface="GHEA Grapalat" panose="02000506050000020003" pitchFamily="2" charset="0"/>
                  </a:rPr>
                  <a:t> հունվար</a:t>
                </a:r>
                <a:r>
                  <a:rPr lang="en-US" sz="700">
                    <a:latin typeface="GHEA Grapalat" panose="02000506050000020003" pitchFamily="2" charset="0"/>
                  </a:rPr>
                  <a:t>=100</a:t>
                </a:r>
              </a:p>
            </c:rich>
          </c:tx>
          <c:layout>
            <c:manualLayout>
              <c:xMode val="edge"/>
              <c:yMode val="edge"/>
              <c:x val="9.9842388615280775E-3"/>
              <c:y val="0.12067309783790839"/>
            </c:manualLayout>
          </c:layout>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54560"/>
        <c:crosses val="autoZero"/>
        <c:crossBetween val="between"/>
        <c:majorUnit val="30"/>
      </c:valAx>
      <c:spPr>
        <a:noFill/>
        <a:ln>
          <a:noFill/>
        </a:ln>
        <a:effectLst/>
      </c:spPr>
    </c:plotArea>
    <c:legend>
      <c:legendPos val="b"/>
      <c:layout>
        <c:manualLayout>
          <c:xMode val="edge"/>
          <c:yMode val="edge"/>
          <c:x val="8.3229296712442787E-3"/>
          <c:y val="0.89092313046504534"/>
          <c:w val="0.98848167539267018"/>
          <c:h val="0.10662562171650999"/>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9351914451623178"/>
          <c:y val="6.7732620240216548E-2"/>
          <c:w val="0.79495026001026825"/>
          <c:h val="0.52248429846364963"/>
        </c:manualLayout>
      </c:layout>
      <c:lineChart>
        <c:grouping val="standard"/>
        <c:varyColors val="0"/>
        <c:ser>
          <c:idx val="0"/>
          <c:order val="0"/>
          <c:tx>
            <c:strRef>
              <c:f>Sheet1!$D$1</c:f>
              <c:strCache>
                <c:ptCount val="1"/>
                <c:pt idx="0">
                  <c:v>ՀՀ 2035 (BB-)</c:v>
                </c:pt>
              </c:strCache>
            </c:strRef>
          </c:tx>
          <c:spPr>
            <a:ln w="22225" cap="rnd">
              <a:solidFill>
                <a:schemeClr val="accent2">
                  <a:lumMod val="60000"/>
                  <a:lumOff val="40000"/>
                </a:schemeClr>
              </a:solidFill>
              <a:round/>
            </a:ln>
            <a:effectLst/>
          </c:spPr>
          <c:marker>
            <c:symbol val="none"/>
          </c:marker>
          <c:cat>
            <c:multiLvlStrRef>
              <c:f>Sheet1!$A$2:$B$20</c:f>
              <c:multiLvlStrCache>
                <c:ptCount val="19"/>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pt idx="16">
                    <c:v>6</c:v>
                  </c:pt>
                  <c:pt idx="17">
                    <c:v>7</c:v>
                  </c:pt>
                  <c:pt idx="18">
                    <c:v>8</c:v>
                  </c:pt>
                </c:lvl>
                <c:lvl>
                  <c:pt idx="0">
                    <c:v>2025</c:v>
                  </c:pt>
                  <c:pt idx="11">
                    <c:v>2026</c:v>
                  </c:pt>
                </c:lvl>
              </c:multiLvlStrCache>
            </c:multiLvlStrRef>
          </c:cat>
          <c:val>
            <c:numRef>
              <c:f>Sheet1!$D$2:$D$20</c:f>
              <c:numCache>
                <c:formatCode>0.0</c:formatCode>
                <c:ptCount val="19"/>
                <c:pt idx="1">
                  <c:v>286.59152941176472</c:v>
                </c:pt>
                <c:pt idx="2">
                  <c:v>325.94239999999996</c:v>
                </c:pt>
                <c:pt idx="3">
                  <c:v>310.97678947368416</c:v>
                </c:pt>
                <c:pt idx="4">
                  <c:v>287.75970000000001</c:v>
                </c:pt>
                <c:pt idx="5">
                  <c:v>271.54131818181816</c:v>
                </c:pt>
                <c:pt idx="6">
                  <c:v>240.29720000000003</c:v>
                </c:pt>
                <c:pt idx="7">
                  <c:v>231.82652380952382</c:v>
                </c:pt>
                <c:pt idx="8">
                  <c:v>225.86390909090912</c:v>
                </c:pt>
                <c:pt idx="9">
                  <c:v>209.80138888888891</c:v>
                </c:pt>
                <c:pt idx="10">
                  <c:v>206.26736842105262</c:v>
                </c:pt>
                <c:pt idx="11">
                  <c:v>190.03280000000001</c:v>
                </c:pt>
                <c:pt idx="12">
                  <c:v>184.94988888888892</c:v>
                </c:pt>
                <c:pt idx="13">
                  <c:v>194.7216</c:v>
                </c:pt>
                <c:pt idx="14">
                  <c:v>193.644380952381</c:v>
                </c:pt>
                <c:pt idx="15">
                  <c:v>157.15505263157888</c:v>
                </c:pt>
                <c:pt idx="16">
                  <c:v>157.73619047619047</c:v>
                </c:pt>
                <c:pt idx="17">
                  <c:v>148.5737272727273</c:v>
                </c:pt>
                <c:pt idx="18">
                  <c:v>144.79600000000002</c:v>
                </c:pt>
              </c:numCache>
            </c:numRef>
          </c:val>
          <c:smooth val="0"/>
          <c:extLst>
            <c:ext xmlns:c16="http://schemas.microsoft.com/office/drawing/2014/chart" uri="{C3380CC4-5D6E-409C-BE32-E72D297353CC}">
              <c16:uniqueId val="{00000000-6E2B-4D41-88B8-E3911446EFDF}"/>
            </c:ext>
          </c:extLst>
        </c:ser>
        <c:ser>
          <c:idx val="1"/>
          <c:order val="1"/>
          <c:tx>
            <c:strRef>
              <c:f>Sheet1!$E$1</c:f>
              <c:strCache>
                <c:ptCount val="1"/>
                <c:pt idx="0">
                  <c:v>Սերբիա 2030 (BB+)</c:v>
                </c:pt>
              </c:strCache>
            </c:strRef>
          </c:tx>
          <c:spPr>
            <a:ln w="22225" cap="rnd">
              <a:solidFill>
                <a:schemeClr val="accent1">
                  <a:lumMod val="60000"/>
                  <a:lumOff val="40000"/>
                </a:schemeClr>
              </a:solidFill>
              <a:round/>
            </a:ln>
            <a:effectLst/>
          </c:spPr>
          <c:marker>
            <c:symbol val="none"/>
          </c:marker>
          <c:cat>
            <c:multiLvlStrRef>
              <c:f>Sheet1!$A$2:$B$20</c:f>
              <c:multiLvlStrCache>
                <c:ptCount val="19"/>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pt idx="16">
                    <c:v>6</c:v>
                  </c:pt>
                  <c:pt idx="17">
                    <c:v>7</c:v>
                  </c:pt>
                  <c:pt idx="18">
                    <c:v>8</c:v>
                  </c:pt>
                </c:lvl>
                <c:lvl>
                  <c:pt idx="0">
                    <c:v>2025</c:v>
                  </c:pt>
                  <c:pt idx="11">
                    <c:v>2026</c:v>
                  </c:pt>
                </c:lvl>
              </c:multiLvlStrCache>
            </c:multiLvlStrRef>
          </c:cat>
          <c:val>
            <c:numRef>
              <c:f>Sheet1!$E$2:$E$20</c:f>
              <c:numCache>
                <c:formatCode>0.0</c:formatCode>
                <c:ptCount val="19"/>
                <c:pt idx="0">
                  <c:v>160.47190909090909</c:v>
                </c:pt>
                <c:pt idx="1">
                  <c:v>166.2114285714286</c:v>
                </c:pt>
                <c:pt idx="2">
                  <c:v>198.29554999999999</c:v>
                </c:pt>
                <c:pt idx="3">
                  <c:v>165.46726315789473</c:v>
                </c:pt>
                <c:pt idx="4">
                  <c:v>159.59674999999996</c:v>
                </c:pt>
                <c:pt idx="5">
                  <c:v>142.4439090909091</c:v>
                </c:pt>
                <c:pt idx="6">
                  <c:v>129.77915000000002</c:v>
                </c:pt>
                <c:pt idx="7">
                  <c:v>128.03347619047619</c:v>
                </c:pt>
                <c:pt idx="8">
                  <c:v>125.25127272727272</c:v>
                </c:pt>
                <c:pt idx="9">
                  <c:v>136.1704444444444</c:v>
                </c:pt>
                <c:pt idx="10">
                  <c:v>130.5488947368421</c:v>
                </c:pt>
                <c:pt idx="11">
                  <c:v>124.70210000000002</c:v>
                </c:pt>
                <c:pt idx="12">
                  <c:v>114.41794444444446</c:v>
                </c:pt>
                <c:pt idx="13">
                  <c:v>130.69244999999998</c:v>
                </c:pt>
                <c:pt idx="14">
                  <c:v>127.90363636363637</c:v>
                </c:pt>
                <c:pt idx="15">
                  <c:v>110.71488888888888</c:v>
                </c:pt>
                <c:pt idx="16">
                  <c:v>110.41999999999999</c:v>
                </c:pt>
                <c:pt idx="17">
                  <c:v>117.003</c:v>
                </c:pt>
                <c:pt idx="18">
                  <c:v>107.30919047619048</c:v>
                </c:pt>
              </c:numCache>
            </c:numRef>
          </c:val>
          <c:smooth val="0"/>
          <c:extLst>
            <c:ext xmlns:c16="http://schemas.microsoft.com/office/drawing/2014/chart" uri="{C3380CC4-5D6E-409C-BE32-E72D297353CC}">
              <c16:uniqueId val="{00000001-6E2B-4D41-88B8-E3911446EFDF}"/>
            </c:ext>
          </c:extLst>
        </c:ser>
        <c:ser>
          <c:idx val="2"/>
          <c:order val="2"/>
          <c:tx>
            <c:strRef>
              <c:f>Sheet1!$F$1</c:f>
              <c:strCache>
                <c:ptCount val="1"/>
                <c:pt idx="0">
                  <c:v>Սերբիա 2036 (BB+)</c:v>
                </c:pt>
              </c:strCache>
            </c:strRef>
          </c:tx>
          <c:spPr>
            <a:ln w="19050" cap="rnd">
              <a:solidFill>
                <a:schemeClr val="accent1">
                  <a:lumMod val="60000"/>
                  <a:lumOff val="40000"/>
                </a:schemeClr>
              </a:solidFill>
              <a:prstDash val="sysDash"/>
              <a:round/>
            </a:ln>
            <a:effectLst/>
          </c:spPr>
          <c:marker>
            <c:symbol val="none"/>
          </c:marker>
          <c:cat>
            <c:multiLvlStrRef>
              <c:f>Sheet1!$A$2:$B$20</c:f>
              <c:multiLvlStrCache>
                <c:ptCount val="19"/>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pt idx="16">
                    <c:v>6</c:v>
                  </c:pt>
                  <c:pt idx="17">
                    <c:v>7</c:v>
                  </c:pt>
                  <c:pt idx="18">
                    <c:v>8</c:v>
                  </c:pt>
                </c:lvl>
                <c:lvl>
                  <c:pt idx="0">
                    <c:v>2025</c:v>
                  </c:pt>
                  <c:pt idx="11">
                    <c:v>2026</c:v>
                  </c:pt>
                </c:lvl>
              </c:multiLvlStrCache>
            </c:multiLvlStrRef>
          </c:cat>
          <c:val>
            <c:numRef>
              <c:f>Sheet1!$F$2:$F$20</c:f>
              <c:numCache>
                <c:formatCode>0.0</c:formatCode>
                <c:ptCount val="19"/>
                <c:pt idx="0">
                  <c:v>216.90454545454543</c:v>
                </c:pt>
                <c:pt idx="1">
                  <c:v>220.32885714285715</c:v>
                </c:pt>
                <c:pt idx="2">
                  <c:v>274.84810000000004</c:v>
                </c:pt>
                <c:pt idx="3">
                  <c:v>256.78747368421062</c:v>
                </c:pt>
                <c:pt idx="4">
                  <c:v>220.17334999999997</c:v>
                </c:pt>
                <c:pt idx="5">
                  <c:v>205.72845454545453</c:v>
                </c:pt>
                <c:pt idx="6">
                  <c:v>185.49784999999997</c:v>
                </c:pt>
                <c:pt idx="7">
                  <c:v>188.73028571428574</c:v>
                </c:pt>
                <c:pt idx="8">
                  <c:v>180.13400000000001</c:v>
                </c:pt>
                <c:pt idx="9">
                  <c:v>173.596</c:v>
                </c:pt>
                <c:pt idx="10">
                  <c:v>171.78015789473685</c:v>
                </c:pt>
                <c:pt idx="11">
                  <c:v>175.23580000000004</c:v>
                </c:pt>
                <c:pt idx="12">
                  <c:v>162.70277777777778</c:v>
                </c:pt>
                <c:pt idx="13">
                  <c:v>182.35234999999997</c:v>
                </c:pt>
                <c:pt idx="14">
                  <c:v>172.86710000000002</c:v>
                </c:pt>
                <c:pt idx="15">
                  <c:v>169.9734705882353</c:v>
                </c:pt>
                <c:pt idx="16">
                  <c:v>171.34877272727272</c:v>
                </c:pt>
                <c:pt idx="17">
                  <c:v>171.13691304347824</c:v>
                </c:pt>
                <c:pt idx="18">
                  <c:v>173.07033333333334</c:v>
                </c:pt>
              </c:numCache>
            </c:numRef>
          </c:val>
          <c:smooth val="0"/>
          <c:extLst>
            <c:ext xmlns:c16="http://schemas.microsoft.com/office/drawing/2014/chart" uri="{C3380CC4-5D6E-409C-BE32-E72D297353CC}">
              <c16:uniqueId val="{00000002-6E2B-4D41-88B8-E3911446EFDF}"/>
            </c:ext>
          </c:extLst>
        </c:ser>
        <c:ser>
          <c:idx val="3"/>
          <c:order val="3"/>
          <c:tx>
            <c:strRef>
              <c:f>Sheet1!$G$1</c:f>
              <c:strCache>
                <c:ptCount val="1"/>
                <c:pt idx="0">
                  <c:v>Մոնտենեգրո 2031 (Ba3)</c:v>
                </c:pt>
              </c:strCache>
            </c:strRef>
          </c:tx>
          <c:spPr>
            <a:ln w="15875" cap="rnd">
              <a:solidFill>
                <a:schemeClr val="bg1">
                  <a:lumMod val="65000"/>
                </a:schemeClr>
              </a:solidFill>
              <a:prstDash val="solid"/>
              <a:round/>
            </a:ln>
            <a:effectLst/>
          </c:spPr>
          <c:marker>
            <c:symbol val="none"/>
          </c:marker>
          <c:cat>
            <c:multiLvlStrRef>
              <c:f>Sheet1!$A$2:$B$20</c:f>
              <c:multiLvlStrCache>
                <c:ptCount val="19"/>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pt idx="16">
                    <c:v>6</c:v>
                  </c:pt>
                  <c:pt idx="17">
                    <c:v>7</c:v>
                  </c:pt>
                  <c:pt idx="18">
                    <c:v>8</c:v>
                  </c:pt>
                </c:lvl>
                <c:lvl>
                  <c:pt idx="0">
                    <c:v>2025</c:v>
                  </c:pt>
                  <c:pt idx="11">
                    <c:v>2026</c:v>
                  </c:pt>
                </c:lvl>
              </c:multiLvlStrCache>
            </c:multiLvlStrRef>
          </c:cat>
          <c:val>
            <c:numRef>
              <c:f>Sheet1!$G$2:$G$20</c:f>
              <c:numCache>
                <c:formatCode>0.0</c:formatCode>
                <c:ptCount val="19"/>
                <c:pt idx="0">
                  <c:v>236.63645454545457</c:v>
                </c:pt>
                <c:pt idx="1">
                  <c:v>245.39528571428568</c:v>
                </c:pt>
                <c:pt idx="2">
                  <c:v>314.07450000000006</c:v>
                </c:pt>
                <c:pt idx="3">
                  <c:v>273.05168421052633</c:v>
                </c:pt>
                <c:pt idx="4">
                  <c:v>256.62694999999997</c:v>
                </c:pt>
                <c:pt idx="5">
                  <c:v>243.34377272727269</c:v>
                </c:pt>
                <c:pt idx="6">
                  <c:v>236.4632</c:v>
                </c:pt>
                <c:pt idx="7">
                  <c:v>217.67909523809521</c:v>
                </c:pt>
                <c:pt idx="8">
                  <c:v>196.18900000000002</c:v>
                </c:pt>
                <c:pt idx="9">
                  <c:v>185.50072222222218</c:v>
                </c:pt>
                <c:pt idx="10">
                  <c:v>200.6285789473684</c:v>
                </c:pt>
                <c:pt idx="11">
                  <c:v>196.35299999999995</c:v>
                </c:pt>
                <c:pt idx="12">
                  <c:v>195.33561111111106</c:v>
                </c:pt>
                <c:pt idx="13">
                  <c:v>205.67400000000004</c:v>
                </c:pt>
                <c:pt idx="14">
                  <c:v>208.22985714285716</c:v>
                </c:pt>
                <c:pt idx="15">
                  <c:v>180.04883333333331</c:v>
                </c:pt>
                <c:pt idx="16">
                  <c:v>156.19899999999996</c:v>
                </c:pt>
                <c:pt idx="17">
                  <c:v>152.02813043478261</c:v>
                </c:pt>
                <c:pt idx="18">
                  <c:v>156.27780952380954</c:v>
                </c:pt>
              </c:numCache>
            </c:numRef>
          </c:val>
          <c:smooth val="0"/>
          <c:extLst>
            <c:ext xmlns:c16="http://schemas.microsoft.com/office/drawing/2014/chart" uri="{C3380CC4-5D6E-409C-BE32-E72D297353CC}">
              <c16:uniqueId val="{00000003-6E2B-4D41-88B8-E3911446EFDF}"/>
            </c:ext>
          </c:extLst>
        </c:ser>
        <c:ser>
          <c:idx val="4"/>
          <c:order val="4"/>
          <c:tx>
            <c:strRef>
              <c:f>Sheet1!$H$1</c:f>
              <c:strCache>
                <c:ptCount val="1"/>
                <c:pt idx="0">
                  <c:v>Թուրքիա 2031 (BB-)</c:v>
                </c:pt>
              </c:strCache>
            </c:strRef>
          </c:tx>
          <c:spPr>
            <a:ln w="28575" cap="rnd">
              <a:solidFill>
                <a:schemeClr val="accent1">
                  <a:lumMod val="50000"/>
                </a:schemeClr>
              </a:solidFill>
              <a:prstDash val="sysDot"/>
              <a:round/>
            </a:ln>
            <a:effectLst/>
          </c:spPr>
          <c:marker>
            <c:symbol val="none"/>
          </c:marker>
          <c:cat>
            <c:multiLvlStrRef>
              <c:f>Sheet1!$A$2:$B$20</c:f>
              <c:multiLvlStrCache>
                <c:ptCount val="19"/>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pt idx="16">
                    <c:v>6</c:v>
                  </c:pt>
                  <c:pt idx="17">
                    <c:v>7</c:v>
                  </c:pt>
                  <c:pt idx="18">
                    <c:v>8</c:v>
                  </c:pt>
                </c:lvl>
                <c:lvl>
                  <c:pt idx="0">
                    <c:v>2025</c:v>
                  </c:pt>
                  <c:pt idx="11">
                    <c:v>2026</c:v>
                  </c:pt>
                </c:lvl>
              </c:multiLvlStrCache>
            </c:multiLvlStrRef>
          </c:cat>
          <c:val>
            <c:numRef>
              <c:f>Sheet1!$H$2:$H$20</c:f>
              <c:numCache>
                <c:formatCode>0.0</c:formatCode>
                <c:ptCount val="19"/>
                <c:pt idx="0">
                  <c:v>260.32072727272725</c:v>
                </c:pt>
                <c:pt idx="1">
                  <c:v>296.66833333333335</c:v>
                </c:pt>
                <c:pt idx="2">
                  <c:v>342.2482</c:v>
                </c:pt>
                <c:pt idx="3">
                  <c:v>312.63657894736843</c:v>
                </c:pt>
                <c:pt idx="4">
                  <c:v>308.43570000000005</c:v>
                </c:pt>
                <c:pt idx="5">
                  <c:v>286.14913636363639</c:v>
                </c:pt>
                <c:pt idx="6">
                  <c:v>265.89369999999997</c:v>
                </c:pt>
                <c:pt idx="7">
                  <c:v>254.84642857142856</c:v>
                </c:pt>
                <c:pt idx="8">
                  <c:v>245.94409090909085</c:v>
                </c:pt>
                <c:pt idx="9">
                  <c:v>232.96122222222226</c:v>
                </c:pt>
                <c:pt idx="10">
                  <c:v>223.90426315789477</c:v>
                </c:pt>
                <c:pt idx="11">
                  <c:v>223.13435000000004</c:v>
                </c:pt>
                <c:pt idx="12">
                  <c:v>223.39055555555558</c:v>
                </c:pt>
                <c:pt idx="13">
                  <c:v>259.89430000000004</c:v>
                </c:pt>
                <c:pt idx="14">
                  <c:v>248.10245454545449</c:v>
                </c:pt>
                <c:pt idx="15">
                  <c:v>245.6381111111111</c:v>
                </c:pt>
                <c:pt idx="16">
                  <c:v>220.24986363636361</c:v>
                </c:pt>
                <c:pt idx="17">
                  <c:v>222.51300000000001</c:v>
                </c:pt>
                <c:pt idx="18">
                  <c:v>213.44552380952379</c:v>
                </c:pt>
              </c:numCache>
            </c:numRef>
          </c:val>
          <c:smooth val="0"/>
          <c:extLst>
            <c:ext xmlns:c16="http://schemas.microsoft.com/office/drawing/2014/chart" uri="{C3380CC4-5D6E-409C-BE32-E72D297353CC}">
              <c16:uniqueId val="{00000004-6E2B-4D41-88B8-E3911446EFDF}"/>
            </c:ext>
          </c:extLst>
        </c:ser>
        <c:ser>
          <c:idx val="5"/>
          <c:order val="5"/>
          <c:tx>
            <c:strRef>
              <c:f>Sheet1!$I$1</c:f>
              <c:strCache>
                <c:ptCount val="1"/>
                <c:pt idx="0">
                  <c:v>Թուրքիա 2036 (BB-)</c:v>
                </c:pt>
              </c:strCache>
            </c:strRef>
          </c:tx>
          <c:spPr>
            <a:ln w="15875" cap="rnd">
              <a:solidFill>
                <a:schemeClr val="accent1">
                  <a:lumMod val="50000"/>
                </a:schemeClr>
              </a:solidFill>
              <a:prstDash val="solid"/>
              <a:round/>
            </a:ln>
            <a:effectLst/>
          </c:spPr>
          <c:marker>
            <c:symbol val="none"/>
          </c:marker>
          <c:cat>
            <c:multiLvlStrRef>
              <c:f>Sheet1!$A$2:$B$20</c:f>
              <c:multiLvlStrCache>
                <c:ptCount val="19"/>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pt idx="16">
                    <c:v>6</c:v>
                  </c:pt>
                  <c:pt idx="17">
                    <c:v>7</c:v>
                  </c:pt>
                  <c:pt idx="18">
                    <c:v>8</c:v>
                  </c:pt>
                </c:lvl>
                <c:lvl>
                  <c:pt idx="0">
                    <c:v>2025</c:v>
                  </c:pt>
                  <c:pt idx="11">
                    <c:v>2026</c:v>
                  </c:pt>
                </c:lvl>
              </c:multiLvlStrCache>
            </c:multiLvlStrRef>
          </c:cat>
          <c:val>
            <c:numRef>
              <c:f>Sheet1!$I$2:$I$20</c:f>
              <c:numCache>
                <c:formatCode>0.0</c:formatCode>
                <c:ptCount val="19"/>
                <c:pt idx="0">
                  <c:v>287.28109090909089</c:v>
                </c:pt>
                <c:pt idx="1">
                  <c:v>309.44619047619057</c:v>
                </c:pt>
                <c:pt idx="2">
                  <c:v>344.13305000000003</c:v>
                </c:pt>
                <c:pt idx="3">
                  <c:v>319.50394736842105</c:v>
                </c:pt>
                <c:pt idx="4">
                  <c:v>315.32825000000003</c:v>
                </c:pt>
                <c:pt idx="5">
                  <c:v>287.07931818181811</c:v>
                </c:pt>
                <c:pt idx="6">
                  <c:v>269.18659999999994</c:v>
                </c:pt>
                <c:pt idx="7">
                  <c:v>268.05566666666664</c:v>
                </c:pt>
                <c:pt idx="8">
                  <c:v>267.6270909090909</c:v>
                </c:pt>
                <c:pt idx="9">
                  <c:v>259.72388888888889</c:v>
                </c:pt>
                <c:pt idx="10">
                  <c:v>236.87431578947363</c:v>
                </c:pt>
                <c:pt idx="11">
                  <c:v>241.82255000000004</c:v>
                </c:pt>
                <c:pt idx="12">
                  <c:v>245.15338888888891</c:v>
                </c:pt>
                <c:pt idx="13">
                  <c:v>287.54705000000001</c:v>
                </c:pt>
                <c:pt idx="14">
                  <c:v>267.47579999999994</c:v>
                </c:pt>
                <c:pt idx="15">
                  <c:v>267.19425000000001</c:v>
                </c:pt>
                <c:pt idx="16">
                  <c:v>256.23790909090906</c:v>
                </c:pt>
                <c:pt idx="17">
                  <c:v>253.61777272727275</c:v>
                </c:pt>
                <c:pt idx="18">
                  <c:v>241.22784999999999</c:v>
                </c:pt>
              </c:numCache>
            </c:numRef>
          </c:val>
          <c:smooth val="0"/>
          <c:extLst>
            <c:ext xmlns:c16="http://schemas.microsoft.com/office/drawing/2014/chart" uri="{C3380CC4-5D6E-409C-BE32-E72D297353CC}">
              <c16:uniqueId val="{00000005-6E2B-4D41-88B8-E3911446EFDF}"/>
            </c:ext>
          </c:extLst>
        </c:ser>
        <c:ser>
          <c:idx val="6"/>
          <c:order val="6"/>
          <c:tx>
            <c:strRef>
              <c:f>Sheet1!$J$1</c:f>
              <c:strCache>
                <c:ptCount val="1"/>
                <c:pt idx="0">
                  <c:v>Ուզբեկստան 2031 (BB)</c:v>
                </c:pt>
              </c:strCache>
            </c:strRef>
          </c:tx>
          <c:spPr>
            <a:ln w="12700" cap="rnd" cmpd="sng">
              <a:solidFill>
                <a:schemeClr val="accent2"/>
              </a:solidFill>
              <a:prstDash val="sysDash"/>
              <a:round/>
            </a:ln>
            <a:effectLst/>
          </c:spPr>
          <c:marker>
            <c:symbol val="none"/>
          </c:marker>
          <c:cat>
            <c:multiLvlStrRef>
              <c:f>Sheet1!$A$2:$B$20</c:f>
              <c:multiLvlStrCache>
                <c:ptCount val="19"/>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pt idx="16">
                    <c:v>6</c:v>
                  </c:pt>
                  <c:pt idx="17">
                    <c:v>7</c:v>
                  </c:pt>
                  <c:pt idx="18">
                    <c:v>8</c:v>
                  </c:pt>
                </c:lvl>
                <c:lvl>
                  <c:pt idx="0">
                    <c:v>2025</c:v>
                  </c:pt>
                  <c:pt idx="11">
                    <c:v>2026</c:v>
                  </c:pt>
                </c:lvl>
              </c:multiLvlStrCache>
            </c:multiLvlStrRef>
          </c:cat>
          <c:val>
            <c:numRef>
              <c:f>Sheet1!$J$2:$J$20</c:f>
              <c:numCache>
                <c:formatCode>0.0</c:formatCode>
                <c:ptCount val="19"/>
                <c:pt idx="0">
                  <c:v>267.40445454545454</c:v>
                </c:pt>
                <c:pt idx="1">
                  <c:v>285.64571428571423</c:v>
                </c:pt>
                <c:pt idx="2">
                  <c:v>338.09150000000005</c:v>
                </c:pt>
                <c:pt idx="3">
                  <c:v>299.5270526315789</c:v>
                </c:pt>
                <c:pt idx="4">
                  <c:v>261.63310000000007</c:v>
                </c:pt>
                <c:pt idx="5">
                  <c:v>230.41863636363641</c:v>
                </c:pt>
                <c:pt idx="6">
                  <c:v>208.00065000000001</c:v>
                </c:pt>
                <c:pt idx="7">
                  <c:v>184.29171428571428</c:v>
                </c:pt>
                <c:pt idx="8">
                  <c:v>169.22604545454544</c:v>
                </c:pt>
                <c:pt idx="9">
                  <c:v>175.58033333333333</c:v>
                </c:pt>
                <c:pt idx="10">
                  <c:v>179.00652631578947</c:v>
                </c:pt>
                <c:pt idx="11">
                  <c:v>157.87209999999999</c:v>
                </c:pt>
                <c:pt idx="12">
                  <c:v>153.24255555555558</c:v>
                </c:pt>
                <c:pt idx="13">
                  <c:v>169.73875000000001</c:v>
                </c:pt>
                <c:pt idx="14">
                  <c:v>166.92677272727272</c:v>
                </c:pt>
                <c:pt idx="15">
                  <c:v>129.66194444444446</c:v>
                </c:pt>
                <c:pt idx="16">
                  <c:v>123.73322727272726</c:v>
                </c:pt>
                <c:pt idx="17">
                  <c:v>124.7008695652174</c:v>
                </c:pt>
                <c:pt idx="18">
                  <c:v>126.53509523809524</c:v>
                </c:pt>
              </c:numCache>
            </c:numRef>
          </c:val>
          <c:smooth val="0"/>
          <c:extLst>
            <c:ext xmlns:c16="http://schemas.microsoft.com/office/drawing/2014/chart" uri="{C3380CC4-5D6E-409C-BE32-E72D297353CC}">
              <c16:uniqueId val="{00000006-6E2B-4D41-88B8-E3911446EFDF}"/>
            </c:ext>
          </c:extLst>
        </c:ser>
        <c:ser>
          <c:idx val="7"/>
          <c:order val="7"/>
          <c:tx>
            <c:strRef>
              <c:f>Sheet1!$K$1</c:f>
              <c:strCache>
                <c:ptCount val="1"/>
                <c:pt idx="0">
                  <c:v>Վրաստան 2031 (BB)</c:v>
                </c:pt>
              </c:strCache>
            </c:strRef>
          </c:tx>
          <c:spPr>
            <a:ln w="22225" cap="rnd">
              <a:solidFill>
                <a:srgbClr val="C00000"/>
              </a:solidFill>
              <a:prstDash val="sysDash"/>
              <a:round/>
            </a:ln>
            <a:effectLst/>
          </c:spPr>
          <c:marker>
            <c:symbol val="none"/>
          </c:marker>
          <c:cat>
            <c:multiLvlStrRef>
              <c:f>Sheet1!$A$2:$B$20</c:f>
              <c:multiLvlStrCache>
                <c:ptCount val="19"/>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pt idx="16">
                    <c:v>6</c:v>
                  </c:pt>
                  <c:pt idx="17">
                    <c:v>7</c:v>
                  </c:pt>
                  <c:pt idx="18">
                    <c:v>8</c:v>
                  </c:pt>
                </c:lvl>
                <c:lvl>
                  <c:pt idx="0">
                    <c:v>2025</c:v>
                  </c:pt>
                  <c:pt idx="11">
                    <c:v>2026</c:v>
                  </c:pt>
                </c:lvl>
              </c:multiLvlStrCache>
            </c:multiLvlStrRef>
          </c:cat>
          <c:val>
            <c:numRef>
              <c:f>Sheet1!$K$2:$K$20</c:f>
              <c:numCache>
                <c:formatCode>General</c:formatCode>
                <c:ptCount val="19"/>
                <c:pt idx="12" formatCode="0.0">
                  <c:v>175.98830000000004</c:v>
                </c:pt>
                <c:pt idx="13" formatCode="0.0">
                  <c:v>184.59595238095238</c:v>
                </c:pt>
                <c:pt idx="14" formatCode="0.0">
                  <c:v>194.11486363636368</c:v>
                </c:pt>
                <c:pt idx="15" formatCode="0.0">
                  <c:v>165.58625000000001</c:v>
                </c:pt>
                <c:pt idx="16" formatCode="0.0">
                  <c:v>152.40018181818184</c:v>
                </c:pt>
                <c:pt idx="17" formatCode="0.0">
                  <c:v>150.62834782608692</c:v>
                </c:pt>
                <c:pt idx="18" formatCode="0.0">
                  <c:v>147.67552380952378</c:v>
                </c:pt>
              </c:numCache>
            </c:numRef>
          </c:val>
          <c:smooth val="0"/>
          <c:extLst>
            <c:ext xmlns:c16="http://schemas.microsoft.com/office/drawing/2014/chart" uri="{C3380CC4-5D6E-409C-BE32-E72D297353CC}">
              <c16:uniqueId val="{00000007-6E2B-4D41-88B8-E3911446EFDF}"/>
            </c:ext>
          </c:extLst>
        </c:ser>
        <c:dLbls>
          <c:showLegendKey val="0"/>
          <c:showVal val="0"/>
          <c:showCatName val="0"/>
          <c:showSerName val="0"/>
          <c:showPercent val="0"/>
          <c:showBubbleSize val="0"/>
        </c:dLbls>
        <c:smooth val="0"/>
        <c:axId val="1307257279"/>
        <c:axId val="1307261855"/>
      </c:lineChart>
      <c:catAx>
        <c:axId val="13072572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307261855"/>
        <c:crosses val="autoZero"/>
        <c:auto val="1"/>
        <c:lblAlgn val="ctr"/>
        <c:lblOffset val="0"/>
        <c:noMultiLvlLbl val="0"/>
      </c:catAx>
      <c:valAx>
        <c:axId val="1307261855"/>
        <c:scaling>
          <c:orientation val="minMax"/>
          <c:max val="350"/>
          <c:min val="100"/>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r>
                  <a:rPr lang="hy-AM" sz="800">
                    <a:latin typeface="GHEA Grapalat" panose="02000506050000020003" pitchFamily="2" charset="0"/>
                  </a:rPr>
                  <a:t>բազիսային կետ</a:t>
                </a:r>
                <a:endParaRPr lang="en-US" sz="800">
                  <a:latin typeface="GHEA Grapalat" panose="02000506050000020003" pitchFamily="2" charset="0"/>
                </a:endParaRPr>
              </a:p>
            </c:rich>
          </c:tx>
          <c:layout>
            <c:manualLayout>
              <c:xMode val="edge"/>
              <c:yMode val="edge"/>
              <c:x val="1.6351248540672257E-3"/>
              <c:y val="0.15069503959627134"/>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307257279"/>
        <c:crosses val="autoZero"/>
        <c:crossBetween val="between"/>
        <c:majorUnit val="50"/>
      </c:valAx>
      <c:spPr>
        <a:noFill/>
        <a:ln>
          <a:noFill/>
        </a:ln>
        <a:effectLst/>
      </c:spPr>
    </c:plotArea>
    <c:legend>
      <c:legendPos val="b"/>
      <c:layout>
        <c:manualLayout>
          <c:xMode val="edge"/>
          <c:yMode val="edge"/>
          <c:x val="1.2911555842479019E-2"/>
          <c:y val="0.75519044227051069"/>
          <c:w val="0.98708844415752095"/>
          <c:h val="0.2448095577294892"/>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2356020942408377E-2"/>
          <c:y val="0.12050646446971906"/>
          <c:w val="0.89760481510491819"/>
          <c:h val="0.41349937236106366"/>
        </c:manualLayout>
      </c:layout>
      <c:barChart>
        <c:barDir val="col"/>
        <c:grouping val="stacked"/>
        <c:varyColors val="0"/>
        <c:ser>
          <c:idx val="1"/>
          <c:order val="1"/>
          <c:tx>
            <c:strRef>
              <c:f>Sheet1!$D$1</c:f>
              <c:strCache>
                <c:ptCount val="1"/>
                <c:pt idx="0">
                  <c:v>Զուտ հարկեր</c:v>
                </c:pt>
              </c:strCache>
            </c:strRef>
          </c:tx>
          <c:spPr>
            <a:solidFill>
              <a:srgbClr val="44546A">
                <a:lumMod val="20000"/>
                <a:lumOff val="8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Sheet1!$D$2:$D$7</c:f>
              <c:numCache>
                <c:formatCode>0.0</c:formatCode>
                <c:ptCount val="6"/>
                <c:pt idx="0">
                  <c:v>1.0594541074291588</c:v>
                </c:pt>
                <c:pt idx="1">
                  <c:v>1.4676449955066178</c:v>
                </c:pt>
                <c:pt idx="2">
                  <c:v>1.1698954442458518</c:v>
                </c:pt>
                <c:pt idx="3">
                  <c:v>1.0277928287931526</c:v>
                </c:pt>
                <c:pt idx="4">
                  <c:v>0.54349930269664781</c:v>
                </c:pt>
                <c:pt idx="5">
                  <c:v>0.6535222742569099</c:v>
                </c:pt>
              </c:numCache>
            </c:numRef>
          </c:val>
          <c:extLst>
            <c:ext xmlns:c16="http://schemas.microsoft.com/office/drawing/2014/chart" uri="{C3380CC4-5D6E-409C-BE32-E72D297353CC}">
              <c16:uniqueId val="{00000000-5554-4549-BEA2-891DF9A478E3}"/>
            </c:ext>
          </c:extLst>
        </c:ser>
        <c:ser>
          <c:idx val="2"/>
          <c:order val="2"/>
          <c:tx>
            <c:strRef>
              <c:f>Sheet1!$E$1</c:f>
              <c:strCache>
                <c:ptCount val="1"/>
                <c:pt idx="0">
                  <c:v>Արդյունաբերություն</c:v>
                </c:pt>
              </c:strCache>
            </c:strRef>
          </c:tx>
          <c:spPr>
            <a:solidFill>
              <a:srgbClr val="6B6C74">
                <a:lumMod val="60000"/>
                <a:lumOff val="4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Sheet1!$E$2:$E$7</c:f>
              <c:numCache>
                <c:formatCode>0.0</c:formatCode>
                <c:ptCount val="6"/>
                <c:pt idx="0">
                  <c:v>-2.0487887934963465</c:v>
                </c:pt>
                <c:pt idx="1">
                  <c:v>-0.66945880927968704</c:v>
                </c:pt>
                <c:pt idx="2">
                  <c:v>-0.20504436169007409</c:v>
                </c:pt>
                <c:pt idx="3">
                  <c:v>0.56820690189348688</c:v>
                </c:pt>
                <c:pt idx="4">
                  <c:v>1.0700480500424621</c:v>
                </c:pt>
                <c:pt idx="5">
                  <c:v>0.98682378968057638</c:v>
                </c:pt>
              </c:numCache>
            </c:numRef>
          </c:val>
          <c:extLst>
            <c:ext xmlns:c16="http://schemas.microsoft.com/office/drawing/2014/chart" uri="{C3380CC4-5D6E-409C-BE32-E72D297353CC}">
              <c16:uniqueId val="{00000001-5554-4549-BEA2-891DF9A478E3}"/>
            </c:ext>
          </c:extLst>
        </c:ser>
        <c:ser>
          <c:idx val="3"/>
          <c:order val="3"/>
          <c:tx>
            <c:strRef>
              <c:f>Sheet1!$F$1</c:f>
              <c:strCache>
                <c:ptCount val="1"/>
                <c:pt idx="0">
                  <c:v>Գյուղատնտեսություն</c:v>
                </c:pt>
              </c:strCache>
            </c:strRef>
          </c:tx>
          <c:spPr>
            <a:solidFill>
              <a:srgbClr val="5B9BD5">
                <a:lumMod val="60000"/>
                <a:lumOff val="4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Sheet1!$F$2:$F$7</c:f>
              <c:numCache>
                <c:formatCode>0.0</c:formatCode>
                <c:ptCount val="6"/>
                <c:pt idx="0">
                  <c:v>0.25745283925439305</c:v>
                </c:pt>
                <c:pt idx="1">
                  <c:v>0.30756573900889994</c:v>
                </c:pt>
                <c:pt idx="2">
                  <c:v>0.34648863925807732</c:v>
                </c:pt>
                <c:pt idx="3">
                  <c:v>0.39449080705701656</c:v>
                </c:pt>
                <c:pt idx="4">
                  <c:v>-6.1966983948011159E-2</c:v>
                </c:pt>
                <c:pt idx="5">
                  <c:v>-0.63629287927209388</c:v>
                </c:pt>
              </c:numCache>
            </c:numRef>
          </c:val>
          <c:extLst>
            <c:ext xmlns:c16="http://schemas.microsoft.com/office/drawing/2014/chart" uri="{C3380CC4-5D6E-409C-BE32-E72D297353CC}">
              <c16:uniqueId val="{00000002-5554-4549-BEA2-891DF9A478E3}"/>
            </c:ext>
          </c:extLst>
        </c:ser>
        <c:ser>
          <c:idx val="4"/>
          <c:order val="4"/>
          <c:tx>
            <c:strRef>
              <c:f>Sheet1!$G$1</c:f>
              <c:strCache>
                <c:ptCount val="1"/>
                <c:pt idx="0">
                  <c:v>Շինարարություն</c:v>
                </c:pt>
              </c:strCache>
            </c:strRef>
          </c:tx>
          <c:spPr>
            <a:solidFill>
              <a:srgbClr val="44546A"/>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Sheet1!$G$2:$G$7</c:f>
              <c:numCache>
                <c:formatCode>0.0</c:formatCode>
                <c:ptCount val="6"/>
                <c:pt idx="0">
                  <c:v>0.51533506814803798</c:v>
                </c:pt>
                <c:pt idx="1">
                  <c:v>0.9783052157324047</c:v>
                </c:pt>
                <c:pt idx="2">
                  <c:v>1.321690480476517</c:v>
                </c:pt>
                <c:pt idx="3">
                  <c:v>1.4682524726725255</c:v>
                </c:pt>
                <c:pt idx="4">
                  <c:v>0.80612514502026877</c:v>
                </c:pt>
                <c:pt idx="5">
                  <c:v>0.98101150535132631</c:v>
                </c:pt>
              </c:numCache>
            </c:numRef>
          </c:val>
          <c:extLst>
            <c:ext xmlns:c16="http://schemas.microsoft.com/office/drawing/2014/chart" uri="{C3380CC4-5D6E-409C-BE32-E72D297353CC}">
              <c16:uniqueId val="{00000003-5554-4549-BEA2-891DF9A478E3}"/>
            </c:ext>
          </c:extLst>
        </c:ser>
        <c:ser>
          <c:idx val="5"/>
          <c:order val="5"/>
          <c:tx>
            <c:strRef>
              <c:f>Sheet1!$H$1</c:f>
              <c:strCache>
                <c:ptCount val="1"/>
                <c:pt idx="0">
                  <c:v>Ծառայություններ</c:v>
                </c:pt>
              </c:strCache>
            </c:strRef>
          </c:tx>
          <c:spPr>
            <a:solidFill>
              <a:srgbClr val="ED7D31">
                <a:lumMod val="60000"/>
                <a:lumOff val="4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Sheet1!$H$2:$H$7</c:f>
              <c:numCache>
                <c:formatCode>0.0</c:formatCode>
                <c:ptCount val="6"/>
                <c:pt idx="0">
                  <c:v>5.585973845920754</c:v>
                </c:pt>
                <c:pt idx="1">
                  <c:v>3.8229139634556688</c:v>
                </c:pt>
                <c:pt idx="2">
                  <c:v>3.4274069631133548</c:v>
                </c:pt>
                <c:pt idx="3">
                  <c:v>3.6001920394328164</c:v>
                </c:pt>
                <c:pt idx="4">
                  <c:v>2.7965335594856375</c:v>
                </c:pt>
                <c:pt idx="5">
                  <c:v>3.9783150488605887</c:v>
                </c:pt>
              </c:numCache>
            </c:numRef>
          </c:val>
          <c:extLst>
            <c:ext xmlns:c16="http://schemas.microsoft.com/office/drawing/2014/chart" uri="{C3380CC4-5D6E-409C-BE32-E72D297353CC}">
              <c16:uniqueId val="{00000004-5554-4549-BEA2-891DF9A478E3}"/>
            </c:ext>
          </c:extLst>
        </c:ser>
        <c:dLbls>
          <c:showLegendKey val="0"/>
          <c:showVal val="0"/>
          <c:showCatName val="0"/>
          <c:showSerName val="0"/>
          <c:showPercent val="0"/>
          <c:showBubbleSize val="0"/>
        </c:dLbls>
        <c:gapWidth val="70"/>
        <c:overlap val="100"/>
        <c:axId val="219419392"/>
        <c:axId val="219420928"/>
      </c:barChart>
      <c:lineChart>
        <c:grouping val="standard"/>
        <c:varyColors val="0"/>
        <c:ser>
          <c:idx val="0"/>
          <c:order val="0"/>
          <c:tx>
            <c:strRef>
              <c:f>Sheet1!$C$1</c:f>
              <c:strCache>
                <c:ptCount val="1"/>
                <c:pt idx="0">
                  <c:v>ՀՆԱ</c:v>
                </c:pt>
              </c:strCache>
            </c:strRef>
          </c:tx>
          <c:spPr>
            <a:ln w="28575" cap="rnd">
              <a:solidFill>
                <a:srgbClr val="4472C4">
                  <a:lumMod val="50000"/>
                </a:srgbClr>
              </a:solidFill>
              <a:round/>
            </a:ln>
            <a:effectLst/>
          </c:spPr>
          <c:marker>
            <c:symbol val="circle"/>
            <c:size val="5"/>
            <c:spPr>
              <a:solidFill>
                <a:srgbClr val="4472C4">
                  <a:lumMod val="50000"/>
                </a:srgbClr>
              </a:solidFill>
              <a:ln w="9525">
                <a:solidFill>
                  <a:srgbClr val="4472C4">
                    <a:lumMod val="50000"/>
                  </a:srgbClr>
                </a:solidFill>
              </a:ln>
              <a:effectLst/>
            </c:spPr>
          </c:marker>
          <c:dLbls>
            <c:dLbl>
              <c:idx val="0"/>
              <c:layout>
                <c:manualLayout>
                  <c:x val="-6.4618117107089368E-2"/>
                  <c:y val="-5.21579367796416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554-4549-BEA2-891DF9A478E3}"/>
                </c:ext>
              </c:extLst>
            </c:dLbl>
            <c:dLbl>
              <c:idx val="1"/>
              <c:layout>
                <c:manualLayout>
                  <c:x val="-6.2289579640241344E-2"/>
                  <c:y val="-5.20438206093803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554-4549-BEA2-891DF9A478E3}"/>
                </c:ext>
              </c:extLst>
            </c:dLbl>
            <c:dLbl>
              <c:idx val="2"/>
              <c:layout>
                <c:manualLayout>
                  <c:x val="-5.8527778922922595E-2"/>
                  <c:y val="-5.204382060938038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554-4549-BEA2-891DF9A478E3}"/>
                </c:ext>
              </c:extLst>
            </c:dLbl>
            <c:dLbl>
              <c:idx val="3"/>
              <c:layout>
                <c:manualLayout>
                  <c:x val="-6.4629110497313486E-2"/>
                  <c:y val="-5.2157936779641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554-4549-BEA2-891DF9A478E3}"/>
                </c:ext>
              </c:extLst>
            </c:dLbl>
            <c:dLbl>
              <c:idx val="4"/>
              <c:layout>
                <c:manualLayout>
                  <c:x val="-6.4170215110602974E-2"/>
                  <c:y val="-5.215777236119379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554-4549-BEA2-891DF9A478E3}"/>
                </c:ext>
              </c:extLst>
            </c:dLbl>
            <c:dLbl>
              <c:idx val="5"/>
              <c:layout>
                <c:manualLayout>
                  <c:x val="-4.4260474438289787E-2"/>
                  <c:y val="-5.215777236119379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554-4549-BEA2-891DF9A478E3}"/>
                </c:ext>
              </c:extLst>
            </c:dLbl>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Sheet1!$A$2:$B$7</c:f>
              <c:multiLvlStrCache>
                <c:ptCount val="6"/>
                <c:lvl>
                  <c:pt idx="0">
                    <c:v>I եռ.</c:v>
                  </c:pt>
                  <c:pt idx="1">
                    <c:v>I-II եռ.</c:v>
                  </c:pt>
                  <c:pt idx="2">
                    <c:v>I-III եռ.</c:v>
                  </c:pt>
                  <c:pt idx="3">
                    <c:v>I-IV եռ.</c:v>
                  </c:pt>
                  <c:pt idx="4">
                    <c:v>I եռ.</c:v>
                  </c:pt>
                  <c:pt idx="5">
                    <c:v>I-II եռ.</c:v>
                  </c:pt>
                </c:lvl>
                <c:lvl>
                  <c:pt idx="0">
                    <c:v>2025</c:v>
                  </c:pt>
                  <c:pt idx="4">
                    <c:v>2026</c:v>
                  </c:pt>
                </c:lvl>
              </c:multiLvlStrCache>
            </c:multiLvlStrRef>
          </c:cat>
          <c:val>
            <c:numRef>
              <c:f>Sheet1!$C$2:$C$7</c:f>
              <c:numCache>
                <c:formatCode>0.0</c:formatCode>
                <c:ptCount val="6"/>
                <c:pt idx="0">
                  <c:v>5.3694270672559981</c:v>
                </c:pt>
                <c:pt idx="1">
                  <c:v>5.9069711044239037</c:v>
                </c:pt>
                <c:pt idx="2">
                  <c:v>6.0604371654037266</c:v>
                </c:pt>
                <c:pt idx="3">
                  <c:v>7.0589350498489978</c:v>
                </c:pt>
                <c:pt idx="4">
                  <c:v>5.1542390732970054</c:v>
                </c:pt>
                <c:pt idx="5">
                  <c:v>5.9633797388773075</c:v>
                </c:pt>
              </c:numCache>
            </c:numRef>
          </c:val>
          <c:smooth val="0"/>
          <c:extLst>
            <c:ext xmlns:c16="http://schemas.microsoft.com/office/drawing/2014/chart" uri="{C3380CC4-5D6E-409C-BE32-E72D297353CC}">
              <c16:uniqueId val="{0000000B-5554-4549-BEA2-891DF9A478E3}"/>
            </c:ext>
          </c:extLst>
        </c:ser>
        <c:dLbls>
          <c:showLegendKey val="0"/>
          <c:showVal val="0"/>
          <c:showCatName val="0"/>
          <c:showSerName val="0"/>
          <c:showPercent val="0"/>
          <c:showBubbleSize val="0"/>
        </c:dLbls>
        <c:marker val="1"/>
        <c:smooth val="0"/>
        <c:axId val="219419392"/>
        <c:axId val="219420928"/>
      </c:lineChart>
      <c:catAx>
        <c:axId val="21941939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19420928"/>
        <c:crosses val="autoZero"/>
        <c:auto val="1"/>
        <c:lblAlgn val="ctr"/>
        <c:lblOffset val="0"/>
        <c:noMultiLvlLbl val="0"/>
      </c:catAx>
      <c:valAx>
        <c:axId val="219420928"/>
        <c:scaling>
          <c:orientation val="minMax"/>
          <c:max val="7.5"/>
          <c:min val="-2.5"/>
        </c:scaling>
        <c:delete val="0"/>
        <c:axPos val="l"/>
        <c:numFmt formatCode="0.0" sourceLinked="1"/>
        <c:majorTickMark val="out"/>
        <c:minorTickMark val="none"/>
        <c:tickLblPos val="nextTo"/>
        <c:crossAx val="219419392"/>
        <c:crosses val="autoZero"/>
        <c:crossBetween val="between"/>
        <c:majorUnit val="2.5"/>
        <c:minorUnit val="1"/>
      </c:valAx>
      <c:spPr>
        <a:noFill/>
        <a:ln>
          <a:noFill/>
        </a:ln>
        <a:effectLst/>
      </c:spPr>
    </c:plotArea>
    <c:legend>
      <c:legendPos val="b"/>
      <c:layout>
        <c:manualLayout>
          <c:xMode val="edge"/>
          <c:yMode val="edge"/>
          <c:x val="4.8648156545876793E-2"/>
          <c:y val="0.72485965296004662"/>
          <c:w val="0.95135189902732742"/>
          <c:h val="0.23208228615092558"/>
        </c:manualLayout>
      </c:layout>
      <c:overlay val="0"/>
      <c:spPr>
        <a:noFill/>
        <a:ln>
          <a:noFill/>
        </a:ln>
        <a:effectLst/>
      </c:spPr>
      <c:txPr>
        <a:bodyPr rot="0" vert="horz"/>
        <a:lstStyle/>
        <a:p>
          <a:pPr>
            <a:defRPr sz="700"/>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2700">
      <a:noFill/>
    </a:ln>
    <a:effectLst/>
  </c:spPr>
  <c:txPr>
    <a:bodyPr/>
    <a:lstStyle/>
    <a:p>
      <a:pPr>
        <a:defRPr sz="800">
          <a:latin typeface="Arial Narrow" panose="020B0606020202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2356020942408377E-2"/>
          <c:y val="0.12050646446971906"/>
          <c:w val="0.89760481510491819"/>
          <c:h val="0.59348054319297039"/>
        </c:manualLayout>
      </c:layout>
      <c:barChart>
        <c:barDir val="col"/>
        <c:grouping val="stacked"/>
        <c:varyColors val="0"/>
        <c:ser>
          <c:idx val="1"/>
          <c:order val="1"/>
          <c:tx>
            <c:strRef>
              <c:f>Sheet1!$D$1</c:f>
              <c:strCache>
                <c:ptCount val="1"/>
                <c:pt idx="0">
                  <c:v>Պետական սպառում</c:v>
                </c:pt>
              </c:strCache>
            </c:strRef>
          </c:tx>
          <c:spPr>
            <a:solidFill>
              <a:srgbClr val="44546A">
                <a:lumMod val="20000"/>
                <a:lumOff val="8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Sheet1!$D$2:$D$7</c:f>
              <c:numCache>
                <c:formatCode>0.0</c:formatCode>
                <c:ptCount val="6"/>
                <c:pt idx="0">
                  <c:v>1.4377820349804</c:v>
                </c:pt>
                <c:pt idx="1">
                  <c:v>0.7415016490572951</c:v>
                </c:pt>
                <c:pt idx="2">
                  <c:v>0.46166344244168545</c:v>
                </c:pt>
                <c:pt idx="3">
                  <c:v>0.39754063161942993</c:v>
                </c:pt>
                <c:pt idx="4">
                  <c:v>0.80356533952516362</c:v>
                </c:pt>
                <c:pt idx="5">
                  <c:v>1.3208751766084719</c:v>
                </c:pt>
              </c:numCache>
            </c:numRef>
          </c:val>
          <c:extLst>
            <c:ext xmlns:c16="http://schemas.microsoft.com/office/drawing/2014/chart" uri="{C3380CC4-5D6E-409C-BE32-E72D297353CC}">
              <c16:uniqueId val="{00000000-E3FA-40A2-83A7-8915C055F672}"/>
            </c:ext>
          </c:extLst>
        </c:ser>
        <c:ser>
          <c:idx val="2"/>
          <c:order val="2"/>
          <c:tx>
            <c:strRef>
              <c:f>Sheet1!$E$1</c:f>
              <c:strCache>
                <c:ptCount val="1"/>
                <c:pt idx="0">
                  <c:v>Մասնավոր սպառում</c:v>
                </c:pt>
              </c:strCache>
            </c:strRef>
          </c:tx>
          <c:spPr>
            <a:solidFill>
              <a:srgbClr val="6B6C74">
                <a:lumMod val="60000"/>
                <a:lumOff val="4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Sheet1!$E$2:$E$7</c:f>
              <c:numCache>
                <c:formatCode>0.0</c:formatCode>
                <c:ptCount val="6"/>
                <c:pt idx="0">
                  <c:v>10.45725710381433</c:v>
                </c:pt>
                <c:pt idx="1">
                  <c:v>7.8056556110487394</c:v>
                </c:pt>
                <c:pt idx="2">
                  <c:v>6.2676893606821675</c:v>
                </c:pt>
                <c:pt idx="3">
                  <c:v>6.6473570299368037</c:v>
                </c:pt>
                <c:pt idx="4">
                  <c:v>3.7585071068737115</c:v>
                </c:pt>
                <c:pt idx="5">
                  <c:v>3.7286985322916335</c:v>
                </c:pt>
              </c:numCache>
            </c:numRef>
          </c:val>
          <c:extLst>
            <c:ext xmlns:c16="http://schemas.microsoft.com/office/drawing/2014/chart" uri="{C3380CC4-5D6E-409C-BE32-E72D297353CC}">
              <c16:uniqueId val="{00000001-E3FA-40A2-83A7-8915C055F672}"/>
            </c:ext>
          </c:extLst>
        </c:ser>
        <c:ser>
          <c:idx val="3"/>
          <c:order val="3"/>
          <c:tx>
            <c:strRef>
              <c:f>Sheet1!$F$1</c:f>
              <c:strCache>
                <c:ptCount val="1"/>
                <c:pt idx="0">
                  <c:v>Պետական ներդրումներ</c:v>
                </c:pt>
              </c:strCache>
            </c:strRef>
          </c:tx>
          <c:spPr>
            <a:solidFill>
              <a:srgbClr val="5B9BD5">
                <a:lumMod val="60000"/>
                <a:lumOff val="4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Sheet1!$F$2:$F$7</c:f>
              <c:numCache>
                <c:formatCode>0.0</c:formatCode>
                <c:ptCount val="6"/>
                <c:pt idx="0">
                  <c:v>0.32316474284706692</c:v>
                </c:pt>
                <c:pt idx="1">
                  <c:v>3.2521173066735458</c:v>
                </c:pt>
                <c:pt idx="2">
                  <c:v>2.2055964657021385</c:v>
                </c:pt>
                <c:pt idx="3">
                  <c:v>1.8009397565967751</c:v>
                </c:pt>
                <c:pt idx="4">
                  <c:v>-1.7098908828554611</c:v>
                </c:pt>
                <c:pt idx="5">
                  <c:v>-1.9817833121904056</c:v>
                </c:pt>
              </c:numCache>
            </c:numRef>
          </c:val>
          <c:extLst>
            <c:ext xmlns:c16="http://schemas.microsoft.com/office/drawing/2014/chart" uri="{C3380CC4-5D6E-409C-BE32-E72D297353CC}">
              <c16:uniqueId val="{00000002-E3FA-40A2-83A7-8915C055F672}"/>
            </c:ext>
          </c:extLst>
        </c:ser>
        <c:ser>
          <c:idx val="4"/>
          <c:order val="4"/>
          <c:tx>
            <c:strRef>
              <c:f>Sheet1!$G$1</c:f>
              <c:strCache>
                <c:ptCount val="1"/>
                <c:pt idx="0">
                  <c:v>Մասնավոր ներդրումներ</c:v>
                </c:pt>
              </c:strCache>
            </c:strRef>
          </c:tx>
          <c:spPr>
            <a:solidFill>
              <a:srgbClr val="44546A"/>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Sheet1!$G$2:$G$7</c:f>
              <c:numCache>
                <c:formatCode>0.0</c:formatCode>
                <c:ptCount val="6"/>
                <c:pt idx="0">
                  <c:v>3.1419155234066896</c:v>
                </c:pt>
                <c:pt idx="1">
                  <c:v>0.8653257373334724</c:v>
                </c:pt>
                <c:pt idx="2">
                  <c:v>1.1840655172600263</c:v>
                </c:pt>
                <c:pt idx="3">
                  <c:v>1.3874596239590393</c:v>
                </c:pt>
                <c:pt idx="4">
                  <c:v>2.221295398544068</c:v>
                </c:pt>
                <c:pt idx="5">
                  <c:v>3.4107864197438271</c:v>
                </c:pt>
              </c:numCache>
            </c:numRef>
          </c:val>
          <c:extLst>
            <c:ext xmlns:c16="http://schemas.microsoft.com/office/drawing/2014/chart" uri="{C3380CC4-5D6E-409C-BE32-E72D297353CC}">
              <c16:uniqueId val="{00000003-E3FA-40A2-83A7-8915C055F672}"/>
            </c:ext>
          </c:extLst>
        </c:ser>
        <c:ser>
          <c:idx val="5"/>
          <c:order val="5"/>
          <c:tx>
            <c:strRef>
              <c:f>Sheet1!$H$1</c:f>
              <c:strCache>
                <c:ptCount val="1"/>
                <c:pt idx="0">
                  <c:v>Զուտ արտահանում</c:v>
                </c:pt>
              </c:strCache>
            </c:strRef>
          </c:tx>
          <c:spPr>
            <a:solidFill>
              <a:srgbClr val="ED7D31">
                <a:lumMod val="60000"/>
                <a:lumOff val="40000"/>
              </a:srgbClr>
            </a:solidFill>
            <a:ln>
              <a:noFill/>
            </a:ln>
            <a:effectLst/>
          </c:spPr>
          <c:invertIfNegative val="0"/>
          <c:cat>
            <c:strRef>
              <c:f>Sheet1!$B$2:$B$7</c:f>
              <c:strCache>
                <c:ptCount val="6"/>
                <c:pt idx="0">
                  <c:v>I եռ.</c:v>
                </c:pt>
                <c:pt idx="1">
                  <c:v>I-II եռ.</c:v>
                </c:pt>
                <c:pt idx="2">
                  <c:v>I-III եռ.</c:v>
                </c:pt>
                <c:pt idx="3">
                  <c:v>I-IV եռ.</c:v>
                </c:pt>
                <c:pt idx="4">
                  <c:v>I եռ.</c:v>
                </c:pt>
                <c:pt idx="5">
                  <c:v>I-II եռ.</c:v>
                </c:pt>
              </c:strCache>
            </c:strRef>
          </c:cat>
          <c:val>
            <c:numRef>
              <c:f>Sheet1!$H$2:$H$7</c:f>
              <c:numCache>
                <c:formatCode>0.0</c:formatCode>
                <c:ptCount val="6"/>
                <c:pt idx="0">
                  <c:v>-8.7152046176766476</c:v>
                </c:pt>
                <c:pt idx="1">
                  <c:v>-7.4608182361536635</c:v>
                </c:pt>
                <c:pt idx="2">
                  <c:v>-5.0785199870688551</c:v>
                </c:pt>
                <c:pt idx="3">
                  <c:v>-3.9062984233431202</c:v>
                </c:pt>
                <c:pt idx="4">
                  <c:v>2.1303413011285248</c:v>
                </c:pt>
                <c:pt idx="5">
                  <c:v>0.37259540823841109</c:v>
                </c:pt>
              </c:numCache>
            </c:numRef>
          </c:val>
          <c:extLst>
            <c:ext xmlns:c16="http://schemas.microsoft.com/office/drawing/2014/chart" uri="{C3380CC4-5D6E-409C-BE32-E72D297353CC}">
              <c16:uniqueId val="{00000004-E3FA-40A2-83A7-8915C055F672}"/>
            </c:ext>
          </c:extLst>
        </c:ser>
        <c:dLbls>
          <c:showLegendKey val="0"/>
          <c:showVal val="0"/>
          <c:showCatName val="0"/>
          <c:showSerName val="0"/>
          <c:showPercent val="0"/>
          <c:showBubbleSize val="0"/>
        </c:dLbls>
        <c:gapWidth val="70"/>
        <c:overlap val="100"/>
        <c:axId val="219419392"/>
        <c:axId val="219420928"/>
      </c:barChart>
      <c:lineChart>
        <c:grouping val="standard"/>
        <c:varyColors val="0"/>
        <c:ser>
          <c:idx val="0"/>
          <c:order val="0"/>
          <c:tx>
            <c:strRef>
              <c:f>Sheet1!$C$1</c:f>
              <c:strCache>
                <c:ptCount val="1"/>
                <c:pt idx="0">
                  <c:v>ՀՆԱ</c:v>
                </c:pt>
              </c:strCache>
            </c:strRef>
          </c:tx>
          <c:spPr>
            <a:ln w="28575" cap="rnd">
              <a:solidFill>
                <a:srgbClr val="4472C4">
                  <a:lumMod val="50000"/>
                </a:srgbClr>
              </a:solidFill>
              <a:round/>
            </a:ln>
            <a:effectLst/>
          </c:spPr>
          <c:marker>
            <c:symbol val="circle"/>
            <c:size val="5"/>
            <c:spPr>
              <a:solidFill>
                <a:srgbClr val="4472C4">
                  <a:lumMod val="50000"/>
                </a:srgbClr>
              </a:solidFill>
              <a:ln w="9525">
                <a:solidFill>
                  <a:srgbClr val="4472C4">
                    <a:lumMod val="50000"/>
                  </a:srgbClr>
                </a:solidFill>
              </a:ln>
              <a:effectLst/>
            </c:spPr>
          </c:marker>
          <c:dLbls>
            <c:dLbl>
              <c:idx val="0"/>
              <c:layout>
                <c:manualLayout>
                  <c:x val="-6.1813084882714267E-2"/>
                  <c:y val="4.846057286317464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3FA-40A2-83A7-8915C055F672}"/>
                </c:ext>
              </c:extLst>
            </c:dLbl>
            <c:dLbl>
              <c:idx val="1"/>
              <c:layout>
                <c:manualLayout>
                  <c:x val="-5.7450083137513611E-2"/>
                  <c:y val="4.84605728631747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3FA-40A2-83A7-8915C055F672}"/>
                </c:ext>
              </c:extLst>
            </c:dLbl>
            <c:dLbl>
              <c:idx val="2"/>
              <c:layout>
                <c:manualLayout>
                  <c:x val="-6.181308488271435E-2"/>
                  <c:y val="5.57069496747689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3FA-40A2-83A7-8915C055F672}"/>
                </c:ext>
              </c:extLst>
            </c:dLbl>
            <c:dLbl>
              <c:idx val="3"/>
              <c:layout>
                <c:manualLayout>
                  <c:x val="-6.181308488271435E-2"/>
                  <c:y val="4.84605728631747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3FA-40A2-83A7-8915C055F672}"/>
                </c:ext>
              </c:extLst>
            </c:dLbl>
            <c:dLbl>
              <c:idx val="4"/>
              <c:layout>
                <c:manualLayout>
                  <c:x val="-6.1813084882714427E-2"/>
                  <c:y val="6.2953326486363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3FA-40A2-83A7-8915C055F672}"/>
                </c:ext>
              </c:extLst>
            </c:dLbl>
            <c:dLbl>
              <c:idx val="5"/>
              <c:layout>
                <c:manualLayout>
                  <c:x val="-3.595285209767643E-2"/>
                  <c:y val="4.84605728631747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3FA-40A2-83A7-8915C055F672}"/>
                </c:ext>
              </c:extLst>
            </c:dLbl>
            <c:spPr>
              <a:noFill/>
              <a:ln>
                <a:noFill/>
              </a:ln>
              <a:effectLst/>
            </c:spPr>
            <c:txPr>
              <a:bodyPr rot="0" vert="horz"/>
              <a:lstStyle/>
              <a:p>
                <a:pPr>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Sheet1!$A$2:$B$7</c:f>
              <c:multiLvlStrCache>
                <c:ptCount val="6"/>
                <c:lvl>
                  <c:pt idx="0">
                    <c:v>I եռ.</c:v>
                  </c:pt>
                  <c:pt idx="1">
                    <c:v>I-II եռ.</c:v>
                  </c:pt>
                  <c:pt idx="2">
                    <c:v>I-III եռ.</c:v>
                  </c:pt>
                  <c:pt idx="3">
                    <c:v>I-IV եռ.</c:v>
                  </c:pt>
                  <c:pt idx="4">
                    <c:v>I եռ.</c:v>
                  </c:pt>
                  <c:pt idx="5">
                    <c:v>I-II եռ.</c:v>
                  </c:pt>
                </c:lvl>
                <c:lvl>
                  <c:pt idx="0">
                    <c:v>2025</c:v>
                  </c:pt>
                  <c:pt idx="4">
                    <c:v>2026</c:v>
                  </c:pt>
                </c:lvl>
              </c:multiLvlStrCache>
            </c:multiLvlStrRef>
          </c:cat>
          <c:val>
            <c:numRef>
              <c:f>Sheet1!$C$2:$C$7</c:f>
              <c:numCache>
                <c:formatCode>0.0</c:formatCode>
                <c:ptCount val="6"/>
                <c:pt idx="0">
                  <c:v>5.3694270672559981</c:v>
                </c:pt>
                <c:pt idx="1">
                  <c:v>5.9069736485908058</c:v>
                </c:pt>
                <c:pt idx="2">
                  <c:v>6.0604386899056522</c:v>
                </c:pt>
                <c:pt idx="3">
                  <c:v>7.0589350498489978</c:v>
                </c:pt>
                <c:pt idx="4">
                  <c:v>5.1542349106569967</c:v>
                </c:pt>
                <c:pt idx="5">
                  <c:v>5.9633797388777472</c:v>
                </c:pt>
              </c:numCache>
            </c:numRef>
          </c:val>
          <c:smooth val="0"/>
          <c:extLst>
            <c:ext xmlns:c16="http://schemas.microsoft.com/office/drawing/2014/chart" uri="{C3380CC4-5D6E-409C-BE32-E72D297353CC}">
              <c16:uniqueId val="{0000000B-E3FA-40A2-83A7-8915C055F672}"/>
            </c:ext>
          </c:extLst>
        </c:ser>
        <c:dLbls>
          <c:showLegendKey val="0"/>
          <c:showVal val="0"/>
          <c:showCatName val="0"/>
          <c:showSerName val="0"/>
          <c:showPercent val="0"/>
          <c:showBubbleSize val="0"/>
        </c:dLbls>
        <c:marker val="1"/>
        <c:smooth val="0"/>
        <c:axId val="219419392"/>
        <c:axId val="219420928"/>
      </c:lineChart>
      <c:catAx>
        <c:axId val="219419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19420928"/>
        <c:crosses val="autoZero"/>
        <c:auto val="1"/>
        <c:lblAlgn val="ctr"/>
        <c:lblOffset val="0"/>
        <c:noMultiLvlLbl val="0"/>
      </c:catAx>
      <c:valAx>
        <c:axId val="219420928"/>
        <c:scaling>
          <c:orientation val="minMax"/>
          <c:max val="15"/>
        </c:scaling>
        <c:delete val="0"/>
        <c:axPos val="l"/>
        <c:numFmt formatCode="0.0" sourceLinked="1"/>
        <c:majorTickMark val="out"/>
        <c:minorTickMark val="none"/>
        <c:tickLblPos val="nextTo"/>
        <c:crossAx val="219419392"/>
        <c:crosses val="autoZero"/>
        <c:crossBetween val="between"/>
        <c:majorUnit val="5"/>
        <c:minorUnit val="1"/>
      </c:valAx>
      <c:spPr>
        <a:noFill/>
        <a:ln>
          <a:noFill/>
        </a:ln>
        <a:effectLst/>
      </c:spPr>
    </c:plotArea>
    <c:legend>
      <c:legendPos val="b"/>
      <c:layout>
        <c:manualLayout>
          <c:xMode val="edge"/>
          <c:yMode val="edge"/>
          <c:x val="9.3811408390705106E-3"/>
          <c:y val="0.77558427479173797"/>
          <c:w val="0.99061885916092951"/>
          <c:h val="0.18135741184525847"/>
        </c:manualLayout>
      </c:layout>
      <c:overlay val="0"/>
      <c:spPr>
        <a:noFill/>
        <a:ln>
          <a:noFill/>
        </a:ln>
        <a:effectLst/>
      </c:spPr>
      <c:txPr>
        <a:bodyPr rot="0" vert="horz"/>
        <a:lstStyle/>
        <a:p>
          <a:pPr>
            <a:defRPr sz="700"/>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2700">
      <a:noFill/>
    </a:ln>
    <a:effectLst/>
  </c:spPr>
  <c:txPr>
    <a:bodyPr/>
    <a:lstStyle/>
    <a:p>
      <a:pPr>
        <a:defRPr sz="800">
          <a:latin typeface="Arial Narrow" panose="020B0606020202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8.2035578885972571E-2"/>
          <c:w val="0.84149709904682968"/>
          <c:h val="0.59923082531350247"/>
        </c:manualLayout>
      </c:layout>
      <c:barChart>
        <c:barDir val="col"/>
        <c:grouping val="clustered"/>
        <c:varyColors val="0"/>
        <c:ser>
          <c:idx val="1"/>
          <c:order val="1"/>
          <c:tx>
            <c:strRef>
              <c:f>Sheet1!$A$3</c:f>
              <c:strCache>
                <c:ptCount val="1"/>
                <c:pt idx="0">
                  <c:v>արդյունաբերություն</c:v>
                </c:pt>
              </c:strCache>
            </c:strRef>
          </c:tx>
          <c:spPr>
            <a:solidFill>
              <a:srgbClr val="5B9BD5">
                <a:lumMod val="60000"/>
                <a:lumOff val="40000"/>
                <a:alpha val="98000"/>
              </a:srgbClr>
            </a:solidFill>
            <a:ln>
              <a:noFill/>
            </a:ln>
            <a:effectLst/>
          </c:spPr>
          <c:invertIfNegative val="0"/>
          <c:cat>
            <c:strRef>
              <c:f>Sheet1!$B$1:$I$1</c:f>
              <c:strCache>
                <c:ptCount val="8"/>
                <c:pt idx="0">
                  <c:v>1</c:v>
                </c:pt>
                <c:pt idx="1">
                  <c:v>2</c:v>
                </c:pt>
                <c:pt idx="2">
                  <c:v>3</c:v>
                </c:pt>
                <c:pt idx="3">
                  <c:v>4</c:v>
                </c:pt>
                <c:pt idx="4">
                  <c:v>5</c:v>
                </c:pt>
                <c:pt idx="5">
                  <c:v>6</c:v>
                </c:pt>
                <c:pt idx="6">
                  <c:v>7</c:v>
                </c:pt>
                <c:pt idx="7">
                  <c:v>8</c:v>
                </c:pt>
              </c:strCache>
            </c:strRef>
          </c:cat>
          <c:val>
            <c:numRef>
              <c:f>Sheet1!$B$3:$I$3</c:f>
              <c:numCache>
                <c:formatCode>0.0</c:formatCode>
                <c:ptCount val="8"/>
                <c:pt idx="0">
                  <c:v>10.599999999999994</c:v>
                </c:pt>
                <c:pt idx="1">
                  <c:v>17.200000000000003</c:v>
                </c:pt>
                <c:pt idx="2">
                  <c:v>13.400000000000006</c:v>
                </c:pt>
                <c:pt idx="3">
                  <c:v>13</c:v>
                </c:pt>
                <c:pt idx="4">
                  <c:v>12.200000000000003</c:v>
                </c:pt>
                <c:pt idx="5">
                  <c:v>10.799999999999997</c:v>
                </c:pt>
                <c:pt idx="6">
                  <c:v>9.5</c:v>
                </c:pt>
                <c:pt idx="7">
                  <c:v>7.4000000000000057</c:v>
                </c:pt>
              </c:numCache>
            </c:numRef>
          </c:val>
          <c:extLst>
            <c:ext xmlns:c16="http://schemas.microsoft.com/office/drawing/2014/chart" uri="{C3380CC4-5D6E-409C-BE32-E72D297353CC}">
              <c16:uniqueId val="{00000000-0BFA-4780-AF22-48E156CBA8AC}"/>
            </c:ext>
          </c:extLst>
        </c:ser>
        <c:ser>
          <c:idx val="2"/>
          <c:order val="2"/>
          <c:tx>
            <c:strRef>
              <c:f>Sheet1!$A$4</c:f>
              <c:strCache>
                <c:ptCount val="1"/>
                <c:pt idx="0">
                  <c:v>գյուղատնտեսություն</c:v>
                </c:pt>
              </c:strCache>
            </c:strRef>
          </c:tx>
          <c:spPr>
            <a:solidFill>
              <a:srgbClr val="8064A2"/>
            </a:solidFill>
            <a:ln>
              <a:noFill/>
            </a:ln>
            <a:effectLst/>
          </c:spPr>
          <c:invertIfNegative val="0"/>
          <c:cat>
            <c:strRef>
              <c:f>Sheet1!$B$1:$I$1</c:f>
              <c:strCache>
                <c:ptCount val="8"/>
                <c:pt idx="0">
                  <c:v>1</c:v>
                </c:pt>
                <c:pt idx="1">
                  <c:v>2</c:v>
                </c:pt>
                <c:pt idx="2">
                  <c:v>3</c:v>
                </c:pt>
                <c:pt idx="3">
                  <c:v>4</c:v>
                </c:pt>
                <c:pt idx="4">
                  <c:v>5</c:v>
                </c:pt>
                <c:pt idx="5">
                  <c:v>6</c:v>
                </c:pt>
                <c:pt idx="6">
                  <c:v>7</c:v>
                </c:pt>
                <c:pt idx="7">
                  <c:v>8</c:v>
                </c:pt>
              </c:strCache>
            </c:strRef>
          </c:cat>
          <c:val>
            <c:numRef>
              <c:f>Sheet1!$B$4:$I$4</c:f>
              <c:numCache>
                <c:formatCode>General</c:formatCode>
                <c:ptCount val="8"/>
                <c:pt idx="2" formatCode="0.0">
                  <c:v>-5.2000000000000028</c:v>
                </c:pt>
                <c:pt idx="5" formatCode="0.0">
                  <c:v>-11.900000000000006</c:v>
                </c:pt>
              </c:numCache>
            </c:numRef>
          </c:val>
          <c:extLst>
            <c:ext xmlns:c16="http://schemas.microsoft.com/office/drawing/2014/chart" uri="{C3380CC4-5D6E-409C-BE32-E72D297353CC}">
              <c16:uniqueId val="{00000001-0BFA-4780-AF22-48E156CBA8AC}"/>
            </c:ext>
          </c:extLst>
        </c:ser>
        <c:ser>
          <c:idx val="3"/>
          <c:order val="3"/>
          <c:tx>
            <c:strRef>
              <c:f>Sheet1!$A$5</c:f>
              <c:strCache>
                <c:ptCount val="1"/>
                <c:pt idx="0">
                  <c:v>շինարարություն</c:v>
                </c:pt>
              </c:strCache>
            </c:strRef>
          </c:tx>
          <c:spPr>
            <a:solidFill>
              <a:srgbClr val="E7E6E6">
                <a:lumMod val="75000"/>
              </a:srgbClr>
            </a:solidFill>
            <a:ln>
              <a:noFill/>
            </a:ln>
            <a:effectLst/>
          </c:spPr>
          <c:invertIfNegative val="0"/>
          <c:cat>
            <c:strRef>
              <c:f>Sheet1!$B$1:$I$1</c:f>
              <c:strCache>
                <c:ptCount val="8"/>
                <c:pt idx="0">
                  <c:v>1</c:v>
                </c:pt>
                <c:pt idx="1">
                  <c:v>2</c:v>
                </c:pt>
                <c:pt idx="2">
                  <c:v>3</c:v>
                </c:pt>
                <c:pt idx="3">
                  <c:v>4</c:v>
                </c:pt>
                <c:pt idx="4">
                  <c:v>5</c:v>
                </c:pt>
                <c:pt idx="5">
                  <c:v>6</c:v>
                </c:pt>
                <c:pt idx="6">
                  <c:v>7</c:v>
                </c:pt>
                <c:pt idx="7">
                  <c:v>8</c:v>
                </c:pt>
              </c:strCache>
            </c:strRef>
          </c:cat>
          <c:val>
            <c:numRef>
              <c:f>Sheet1!$B$5:$I$5</c:f>
              <c:numCache>
                <c:formatCode>0.0</c:formatCode>
                <c:ptCount val="8"/>
                <c:pt idx="0">
                  <c:v>18.700000000000003</c:v>
                </c:pt>
                <c:pt idx="1">
                  <c:v>20.5</c:v>
                </c:pt>
                <c:pt idx="2">
                  <c:v>22</c:v>
                </c:pt>
                <c:pt idx="3">
                  <c:v>22.900000000000006</c:v>
                </c:pt>
                <c:pt idx="4">
                  <c:v>24.099999999999994</c:v>
                </c:pt>
                <c:pt idx="5">
                  <c:v>24.5</c:v>
                </c:pt>
                <c:pt idx="6">
                  <c:v>25</c:v>
                </c:pt>
                <c:pt idx="7">
                  <c:v>24.700000000000003</c:v>
                </c:pt>
              </c:numCache>
            </c:numRef>
          </c:val>
          <c:extLst>
            <c:ext xmlns:c16="http://schemas.microsoft.com/office/drawing/2014/chart" uri="{C3380CC4-5D6E-409C-BE32-E72D297353CC}">
              <c16:uniqueId val="{00000002-0BFA-4780-AF22-48E156CBA8AC}"/>
            </c:ext>
          </c:extLst>
        </c:ser>
        <c:ser>
          <c:idx val="4"/>
          <c:order val="4"/>
          <c:tx>
            <c:strRef>
              <c:f>Sheet1!$A$6</c:f>
              <c:strCache>
                <c:ptCount val="1"/>
                <c:pt idx="0">
                  <c:v>ծառայություններ</c:v>
                </c:pt>
              </c:strCache>
            </c:strRef>
          </c:tx>
          <c:spPr>
            <a:solidFill>
              <a:srgbClr val="ED7D31">
                <a:lumMod val="40000"/>
                <a:lumOff val="60000"/>
              </a:srgbClr>
            </a:solidFill>
            <a:ln>
              <a:noFill/>
            </a:ln>
          </c:spPr>
          <c:invertIfNegative val="0"/>
          <c:cat>
            <c:strRef>
              <c:f>Sheet1!$B$1:$I$1</c:f>
              <c:strCache>
                <c:ptCount val="8"/>
                <c:pt idx="0">
                  <c:v>1</c:v>
                </c:pt>
                <c:pt idx="1">
                  <c:v>2</c:v>
                </c:pt>
                <c:pt idx="2">
                  <c:v>3</c:v>
                </c:pt>
                <c:pt idx="3">
                  <c:v>4</c:v>
                </c:pt>
                <c:pt idx="4">
                  <c:v>5</c:v>
                </c:pt>
                <c:pt idx="5">
                  <c:v>6</c:v>
                </c:pt>
                <c:pt idx="6">
                  <c:v>7</c:v>
                </c:pt>
                <c:pt idx="7">
                  <c:v>8</c:v>
                </c:pt>
              </c:strCache>
            </c:strRef>
          </c:cat>
          <c:val>
            <c:numRef>
              <c:f>Sheet1!$B$6:$I$6</c:f>
              <c:numCache>
                <c:formatCode>0.0</c:formatCode>
                <c:ptCount val="8"/>
                <c:pt idx="0">
                  <c:v>9.8000000000000114</c:v>
                </c:pt>
                <c:pt idx="1">
                  <c:v>10.693741841601636</c:v>
                </c:pt>
                <c:pt idx="2">
                  <c:v>10.981686923360584</c:v>
                </c:pt>
                <c:pt idx="3">
                  <c:v>10.85239687415303</c:v>
                </c:pt>
                <c:pt idx="4">
                  <c:v>11.463929812735628</c:v>
                </c:pt>
                <c:pt idx="5">
                  <c:v>12.281362365850399</c:v>
                </c:pt>
                <c:pt idx="6">
                  <c:v>12.972436456465047</c:v>
                </c:pt>
                <c:pt idx="7">
                  <c:v>12.799999999999997</c:v>
                </c:pt>
              </c:numCache>
            </c:numRef>
          </c:val>
          <c:extLst>
            <c:ext xmlns:c16="http://schemas.microsoft.com/office/drawing/2014/chart" uri="{C3380CC4-5D6E-409C-BE32-E72D297353CC}">
              <c16:uniqueId val="{00000003-0BFA-4780-AF22-48E156CBA8AC}"/>
            </c:ext>
          </c:extLst>
        </c:ser>
        <c:ser>
          <c:idx val="5"/>
          <c:order val="5"/>
          <c:tx>
            <c:strRef>
              <c:f>Sheet1!$A$7</c:f>
              <c:strCache>
                <c:ptCount val="1"/>
                <c:pt idx="0">
                  <c:v>առևտուր</c:v>
                </c:pt>
              </c:strCache>
            </c:strRef>
          </c:tx>
          <c:spPr>
            <a:solidFill>
              <a:srgbClr val="4472C4">
                <a:lumMod val="50000"/>
              </a:srgbClr>
            </a:solidFill>
            <a:ln>
              <a:noFill/>
            </a:ln>
          </c:spPr>
          <c:invertIfNegative val="0"/>
          <c:cat>
            <c:strRef>
              <c:f>Sheet1!$B$1:$I$1</c:f>
              <c:strCache>
                <c:ptCount val="8"/>
                <c:pt idx="0">
                  <c:v>1</c:v>
                </c:pt>
                <c:pt idx="1">
                  <c:v>2</c:v>
                </c:pt>
                <c:pt idx="2">
                  <c:v>3</c:v>
                </c:pt>
                <c:pt idx="3">
                  <c:v>4</c:v>
                </c:pt>
                <c:pt idx="4">
                  <c:v>5</c:v>
                </c:pt>
                <c:pt idx="5">
                  <c:v>6</c:v>
                </c:pt>
                <c:pt idx="6">
                  <c:v>7</c:v>
                </c:pt>
                <c:pt idx="7">
                  <c:v>8</c:v>
                </c:pt>
              </c:strCache>
            </c:strRef>
          </c:cat>
          <c:val>
            <c:numRef>
              <c:f>Sheet1!$B$7:$I$7</c:f>
              <c:numCache>
                <c:formatCode>0.0</c:formatCode>
                <c:ptCount val="8"/>
                <c:pt idx="0">
                  <c:v>0.70000000000000284</c:v>
                </c:pt>
                <c:pt idx="1">
                  <c:v>3.2999999999999972</c:v>
                </c:pt>
                <c:pt idx="2">
                  <c:v>2.0999999999999943</c:v>
                </c:pt>
                <c:pt idx="3">
                  <c:v>1.5</c:v>
                </c:pt>
                <c:pt idx="4">
                  <c:v>1.2000000000000028</c:v>
                </c:pt>
                <c:pt idx="5">
                  <c:v>0.90000000000000568</c:v>
                </c:pt>
                <c:pt idx="6">
                  <c:v>0.79999999999999716</c:v>
                </c:pt>
                <c:pt idx="7">
                  <c:v>0.70000000000000284</c:v>
                </c:pt>
              </c:numCache>
            </c:numRef>
          </c:val>
          <c:extLst>
            <c:ext xmlns:c16="http://schemas.microsoft.com/office/drawing/2014/chart" uri="{C3380CC4-5D6E-409C-BE32-E72D297353CC}">
              <c16:uniqueId val="{00000004-0BFA-4780-AF22-48E156CBA8AC}"/>
            </c:ext>
          </c:extLst>
        </c:ser>
        <c:dLbls>
          <c:showLegendKey val="0"/>
          <c:showVal val="0"/>
          <c:showCatName val="0"/>
          <c:showSerName val="0"/>
          <c:showPercent val="0"/>
          <c:showBubbleSize val="0"/>
        </c:dLbls>
        <c:gapWidth val="70"/>
        <c:overlap val="-27"/>
        <c:axId val="220583808"/>
        <c:axId val="220585344"/>
      </c:barChart>
      <c:lineChart>
        <c:grouping val="standard"/>
        <c:varyColors val="0"/>
        <c:ser>
          <c:idx val="0"/>
          <c:order val="0"/>
          <c:tx>
            <c:strRef>
              <c:f>Sheet1!$A$2</c:f>
              <c:strCache>
                <c:ptCount val="1"/>
                <c:pt idx="0">
                  <c:v>ՏԱՑ</c:v>
                </c:pt>
              </c:strCache>
            </c:strRef>
          </c:tx>
          <c:spPr>
            <a:ln w="25400">
              <a:solidFill>
                <a:srgbClr val="4472C4">
                  <a:lumMod val="50000"/>
                </a:srgbClr>
              </a:solidFill>
            </a:ln>
            <a:effectLst/>
          </c:spPr>
          <c:marker>
            <c:symbol val="circle"/>
            <c:size val="6"/>
            <c:spPr>
              <a:solidFill>
                <a:srgbClr val="4472C4">
                  <a:lumMod val="50000"/>
                </a:srgbClr>
              </a:solidFill>
              <a:ln>
                <a:solidFill>
                  <a:srgbClr val="4472C4">
                    <a:lumMod val="50000"/>
                  </a:srgbClr>
                </a:solidFill>
              </a:ln>
            </c:spPr>
          </c:marker>
          <c:dLbls>
            <c:dLbl>
              <c:idx val="0"/>
              <c:layout>
                <c:manualLayout>
                  <c:x val="-6.1295658355205618E-2"/>
                  <c:y val="-5.69638864586371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BFA-4780-AF22-48E156CBA8AC}"/>
                </c:ext>
              </c:extLst>
            </c:dLbl>
            <c:dLbl>
              <c:idx val="1"/>
              <c:layout>
                <c:manualLayout>
                  <c:x val="-6.563593613298338E-2"/>
                  <c:y val="-6.46799358413531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BFA-4780-AF22-48E156CBA8AC}"/>
                </c:ext>
              </c:extLst>
            </c:dLbl>
            <c:dLbl>
              <c:idx val="2"/>
              <c:layout>
                <c:manualLayout>
                  <c:x val="-6.1295658355205597E-2"/>
                  <c:y val="-4.92478370759210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BFA-4780-AF22-48E156CBA8AC}"/>
                </c:ext>
              </c:extLst>
            </c:dLbl>
            <c:dLbl>
              <c:idx val="3"/>
              <c:layout>
                <c:manualLayout>
                  <c:x val="-6.129565835520568E-2"/>
                  <c:y val="-6.46799358413531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BFA-4780-AF22-48E156CBA8AC}"/>
                </c:ext>
              </c:extLst>
            </c:dLbl>
            <c:dLbl>
              <c:idx val="4"/>
              <c:layout>
                <c:manualLayout>
                  <c:x val="-6.1295658355205597E-2"/>
                  <c:y val="-6.46799358413531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BFA-4780-AF22-48E156CBA8AC}"/>
                </c:ext>
              </c:extLst>
            </c:dLbl>
            <c:dLbl>
              <c:idx val="5"/>
              <c:layout>
                <c:manualLayout>
                  <c:x val="-6.9976213910761156E-2"/>
                  <c:y val="-5.696388645863714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BFA-4780-AF22-48E156CBA8AC}"/>
                </c:ext>
              </c:extLst>
            </c:dLbl>
            <c:dLbl>
              <c:idx val="6"/>
              <c:layout>
                <c:manualLayout>
                  <c:x val="-6.1295658355205757E-2"/>
                  <c:y val="-4.92478370759210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BFA-4780-AF22-48E156CBA8AC}"/>
                </c:ext>
              </c:extLst>
            </c:dLbl>
            <c:dLbl>
              <c:idx val="7"/>
              <c:layout>
                <c:manualLayout>
                  <c:x val="-5.8865102799650203E-2"/>
                  <c:y val="-7.01388888888888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0BFA-4780-AF22-48E156CBA8AC}"/>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Sheet1!$B$1:$I$1</c:f>
              <c:strCache>
                <c:ptCount val="8"/>
                <c:pt idx="0">
                  <c:v>1</c:v>
                </c:pt>
                <c:pt idx="1">
                  <c:v>2</c:v>
                </c:pt>
                <c:pt idx="2">
                  <c:v>3</c:v>
                </c:pt>
                <c:pt idx="3">
                  <c:v>4</c:v>
                </c:pt>
                <c:pt idx="4">
                  <c:v>5</c:v>
                </c:pt>
                <c:pt idx="5">
                  <c:v>6</c:v>
                </c:pt>
                <c:pt idx="6">
                  <c:v>7</c:v>
                </c:pt>
                <c:pt idx="7">
                  <c:v>8</c:v>
                </c:pt>
              </c:strCache>
            </c:strRef>
          </c:cat>
          <c:val>
            <c:numRef>
              <c:f>Sheet1!$B$2:$I$2</c:f>
              <c:numCache>
                <c:formatCode>0.0</c:formatCode>
                <c:ptCount val="8"/>
                <c:pt idx="0">
                  <c:v>6.9000000000000199</c:v>
                </c:pt>
                <c:pt idx="1">
                  <c:v>7.0023438116140255</c:v>
                </c:pt>
                <c:pt idx="2">
                  <c:v>6.9284931527348022</c:v>
                </c:pt>
                <c:pt idx="3">
                  <c:v>6.9981508588826955</c:v>
                </c:pt>
                <c:pt idx="4">
                  <c:v>7.9955837492479986</c:v>
                </c:pt>
                <c:pt idx="5">
                  <c:v>7.8761025126066215</c:v>
                </c:pt>
                <c:pt idx="6">
                  <c:v>7.632365736557702</c:v>
                </c:pt>
                <c:pt idx="7">
                  <c:v>7.2999999999999972</c:v>
                </c:pt>
              </c:numCache>
            </c:numRef>
          </c:val>
          <c:smooth val="0"/>
          <c:extLst>
            <c:ext xmlns:c16="http://schemas.microsoft.com/office/drawing/2014/chart" uri="{C3380CC4-5D6E-409C-BE32-E72D297353CC}">
              <c16:uniqueId val="{0000000D-0BFA-4780-AF22-48E156CBA8AC}"/>
            </c:ext>
          </c:extLst>
        </c:ser>
        <c:dLbls>
          <c:showLegendKey val="0"/>
          <c:showVal val="0"/>
          <c:showCatName val="0"/>
          <c:showSerName val="0"/>
          <c:showPercent val="0"/>
          <c:showBubbleSize val="0"/>
        </c:dLbls>
        <c:marker val="1"/>
        <c:smooth val="0"/>
        <c:axId val="220583808"/>
        <c:axId val="220585344"/>
      </c:lineChart>
      <c:catAx>
        <c:axId val="22058380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a:pPr>
            <a:endParaRPr lang="en-US"/>
          </a:p>
        </c:txPr>
        <c:crossAx val="220585344"/>
        <c:crosses val="autoZero"/>
        <c:auto val="1"/>
        <c:lblAlgn val="ctr"/>
        <c:lblOffset val="100"/>
        <c:noMultiLvlLbl val="0"/>
      </c:catAx>
      <c:valAx>
        <c:axId val="220585344"/>
        <c:scaling>
          <c:orientation val="minMax"/>
          <c:max val="26"/>
          <c:min val="-12"/>
        </c:scaling>
        <c:delete val="0"/>
        <c:axPos val="l"/>
        <c:numFmt formatCode="0.0" sourceLinked="1"/>
        <c:majorTickMark val="none"/>
        <c:minorTickMark val="none"/>
        <c:tickLblPos val="nextTo"/>
        <c:spPr>
          <a:noFill/>
          <a:ln>
            <a:noFill/>
          </a:ln>
          <a:effectLst/>
        </c:spPr>
        <c:txPr>
          <a:bodyPr rot="-60000000" vert="horz"/>
          <a:lstStyle/>
          <a:p>
            <a:pPr>
              <a:defRPr/>
            </a:pPr>
            <a:endParaRPr lang="en-US"/>
          </a:p>
        </c:txPr>
        <c:crossAx val="220583808"/>
        <c:crosses val="autoZero"/>
        <c:crossBetween val="between"/>
        <c:majorUnit val="6"/>
      </c:valAx>
      <c:spPr>
        <a:noFill/>
        <a:ln>
          <a:noFill/>
        </a:ln>
        <a:effectLst/>
      </c:spPr>
    </c:plotArea>
    <c:legend>
      <c:legendPos val="b"/>
      <c:layout>
        <c:manualLayout>
          <c:xMode val="edge"/>
          <c:yMode val="edge"/>
          <c:x val="3.9212530074365697E-2"/>
          <c:y val="0.81292711674929519"/>
          <c:w val="0.89647382445930079"/>
          <c:h val="0.18115704286964129"/>
        </c:manualLayout>
      </c:layout>
      <c:overlay val="0"/>
      <c:spPr>
        <a:noFill/>
        <a:ln>
          <a:noFill/>
        </a:ln>
        <a:effectLst/>
      </c:spPr>
      <c:txPr>
        <a:bodyPr rot="0" vert="horz"/>
        <a:lstStyle/>
        <a:p>
          <a:pPr>
            <a:defRPr sz="700"/>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2700" cap="flat" cmpd="sng" algn="ctr">
      <a:noFill/>
      <a:round/>
    </a:ln>
    <a:effectLst/>
  </c:spPr>
  <c:txPr>
    <a:bodyPr/>
    <a:lstStyle/>
    <a:p>
      <a:pPr>
        <a:defRPr sz="800">
          <a:latin typeface="Arial Narrow" panose="020B0606020202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586839730971128"/>
          <c:y val="5.9747739865850101E-2"/>
          <c:w val="0.85153255634277447"/>
          <c:h val="0.61984665111305537"/>
        </c:manualLayout>
      </c:layout>
      <c:barChart>
        <c:barDir val="col"/>
        <c:grouping val="clustered"/>
        <c:varyColors val="0"/>
        <c:ser>
          <c:idx val="1"/>
          <c:order val="1"/>
          <c:tx>
            <c:strRef>
              <c:f>Sheet1!$A$3</c:f>
              <c:strCache>
                <c:ptCount val="1"/>
                <c:pt idx="0">
                  <c:v>արդյունաբերություն</c:v>
                </c:pt>
              </c:strCache>
            </c:strRef>
          </c:tx>
          <c:spPr>
            <a:solidFill>
              <a:srgbClr val="5B9BD5">
                <a:lumMod val="60000"/>
                <a:lumOff val="40000"/>
              </a:srgbClr>
            </a:solidFill>
            <a:ln>
              <a:noFill/>
            </a:ln>
            <a:effectLst/>
          </c:spPr>
          <c:invertIfNegative val="0"/>
          <c:cat>
            <c:strRef>
              <c:f>Sheet1!$B$1:$I$1</c:f>
              <c:strCache>
                <c:ptCount val="8"/>
                <c:pt idx="0">
                  <c:v>1</c:v>
                </c:pt>
                <c:pt idx="1">
                  <c:v>2</c:v>
                </c:pt>
                <c:pt idx="2">
                  <c:v>3</c:v>
                </c:pt>
                <c:pt idx="3">
                  <c:v>4</c:v>
                </c:pt>
                <c:pt idx="4">
                  <c:v>5</c:v>
                </c:pt>
                <c:pt idx="5">
                  <c:v>6</c:v>
                </c:pt>
                <c:pt idx="6">
                  <c:v>7</c:v>
                </c:pt>
                <c:pt idx="7">
                  <c:v>8</c:v>
                </c:pt>
              </c:strCache>
            </c:strRef>
          </c:cat>
          <c:val>
            <c:numRef>
              <c:f>Sheet1!$B$3:$I$3</c:f>
              <c:numCache>
                <c:formatCode>0.0</c:formatCode>
                <c:ptCount val="8"/>
                <c:pt idx="0">
                  <c:v>10.599999999999994</c:v>
                </c:pt>
                <c:pt idx="1">
                  <c:v>23.799999999999997</c:v>
                </c:pt>
                <c:pt idx="2">
                  <c:v>7</c:v>
                </c:pt>
                <c:pt idx="3">
                  <c:v>11.700000000000003</c:v>
                </c:pt>
                <c:pt idx="4">
                  <c:v>9.5</c:v>
                </c:pt>
                <c:pt idx="5">
                  <c:v>4</c:v>
                </c:pt>
                <c:pt idx="6">
                  <c:v>3.0999999999999943</c:v>
                </c:pt>
                <c:pt idx="7">
                  <c:v>-4.2999999999999972</c:v>
                </c:pt>
              </c:numCache>
            </c:numRef>
          </c:val>
          <c:extLst>
            <c:ext xmlns:c16="http://schemas.microsoft.com/office/drawing/2014/chart" uri="{C3380CC4-5D6E-409C-BE32-E72D297353CC}">
              <c16:uniqueId val="{00000000-7FA3-4F6C-BFFD-C5A96CB5936E}"/>
            </c:ext>
          </c:extLst>
        </c:ser>
        <c:ser>
          <c:idx val="2"/>
          <c:order val="2"/>
          <c:tx>
            <c:strRef>
              <c:f>Sheet1!$A$4</c:f>
              <c:strCache>
                <c:ptCount val="1"/>
                <c:pt idx="0">
                  <c:v>շինարարություն</c:v>
                </c:pt>
              </c:strCache>
            </c:strRef>
          </c:tx>
          <c:spPr>
            <a:solidFill>
              <a:srgbClr val="E7E6E6">
                <a:lumMod val="75000"/>
              </a:srgbClr>
            </a:solidFill>
            <a:ln>
              <a:noFill/>
            </a:ln>
            <a:effectLst/>
          </c:spPr>
          <c:invertIfNegative val="0"/>
          <c:cat>
            <c:strRef>
              <c:f>Sheet1!$B$1:$I$1</c:f>
              <c:strCache>
                <c:ptCount val="8"/>
                <c:pt idx="0">
                  <c:v>1</c:v>
                </c:pt>
                <c:pt idx="1">
                  <c:v>2</c:v>
                </c:pt>
                <c:pt idx="2">
                  <c:v>3</c:v>
                </c:pt>
                <c:pt idx="3">
                  <c:v>4</c:v>
                </c:pt>
                <c:pt idx="4">
                  <c:v>5</c:v>
                </c:pt>
                <c:pt idx="5">
                  <c:v>6</c:v>
                </c:pt>
                <c:pt idx="6">
                  <c:v>7</c:v>
                </c:pt>
                <c:pt idx="7">
                  <c:v>8</c:v>
                </c:pt>
              </c:strCache>
            </c:strRef>
          </c:cat>
          <c:val>
            <c:numRef>
              <c:f>Sheet1!$B$4:$I$4</c:f>
              <c:numCache>
                <c:formatCode>0.0</c:formatCode>
                <c:ptCount val="8"/>
                <c:pt idx="0">
                  <c:v>18.700000000000003</c:v>
                </c:pt>
                <c:pt idx="1">
                  <c:v>21.799999999999997</c:v>
                </c:pt>
                <c:pt idx="2">
                  <c:v>24</c:v>
                </c:pt>
                <c:pt idx="3">
                  <c:v>24.700000000000003</c:v>
                </c:pt>
                <c:pt idx="4">
                  <c:v>27.099999999999994</c:v>
                </c:pt>
                <c:pt idx="5">
                  <c:v>25.400000000000006</c:v>
                </c:pt>
                <c:pt idx="6">
                  <c:v>26.5</c:v>
                </c:pt>
                <c:pt idx="7">
                  <c:v>23.799999999999997</c:v>
                </c:pt>
              </c:numCache>
            </c:numRef>
          </c:val>
          <c:extLst>
            <c:ext xmlns:c16="http://schemas.microsoft.com/office/drawing/2014/chart" uri="{C3380CC4-5D6E-409C-BE32-E72D297353CC}">
              <c16:uniqueId val="{00000001-7FA3-4F6C-BFFD-C5A96CB5936E}"/>
            </c:ext>
          </c:extLst>
        </c:ser>
        <c:ser>
          <c:idx val="3"/>
          <c:order val="3"/>
          <c:tx>
            <c:strRef>
              <c:f>Sheet1!$A$5</c:f>
              <c:strCache>
                <c:ptCount val="1"/>
                <c:pt idx="0">
                  <c:v>ծառայություններ</c:v>
                </c:pt>
              </c:strCache>
            </c:strRef>
          </c:tx>
          <c:spPr>
            <a:solidFill>
              <a:srgbClr val="ED7D31">
                <a:lumMod val="40000"/>
                <a:lumOff val="60000"/>
              </a:srgbClr>
            </a:solidFill>
            <a:ln>
              <a:noFill/>
            </a:ln>
            <a:effectLst/>
          </c:spPr>
          <c:invertIfNegative val="0"/>
          <c:cat>
            <c:strRef>
              <c:f>Sheet1!$B$1:$I$1</c:f>
              <c:strCache>
                <c:ptCount val="8"/>
                <c:pt idx="0">
                  <c:v>1</c:v>
                </c:pt>
                <c:pt idx="1">
                  <c:v>2</c:v>
                </c:pt>
                <c:pt idx="2">
                  <c:v>3</c:v>
                </c:pt>
                <c:pt idx="3">
                  <c:v>4</c:v>
                </c:pt>
                <c:pt idx="4">
                  <c:v>5</c:v>
                </c:pt>
                <c:pt idx="5">
                  <c:v>6</c:v>
                </c:pt>
                <c:pt idx="6">
                  <c:v>7</c:v>
                </c:pt>
                <c:pt idx="7">
                  <c:v>8</c:v>
                </c:pt>
              </c:strCache>
            </c:strRef>
          </c:cat>
          <c:val>
            <c:numRef>
              <c:f>Sheet1!$B$5:$I$5</c:f>
              <c:numCache>
                <c:formatCode>0.0</c:formatCode>
                <c:ptCount val="8"/>
                <c:pt idx="0">
                  <c:v>9.7999999999999972</c:v>
                </c:pt>
                <c:pt idx="1">
                  <c:v>11.599999999999994</c:v>
                </c:pt>
                <c:pt idx="2">
                  <c:v>11.5</c:v>
                </c:pt>
                <c:pt idx="3">
                  <c:v>10.5</c:v>
                </c:pt>
                <c:pt idx="4">
                  <c:v>13.700000000000003</c:v>
                </c:pt>
                <c:pt idx="5">
                  <c:v>16</c:v>
                </c:pt>
                <c:pt idx="6">
                  <c:v>16.700000000000003</c:v>
                </c:pt>
                <c:pt idx="7">
                  <c:v>11.400000000000006</c:v>
                </c:pt>
              </c:numCache>
            </c:numRef>
          </c:val>
          <c:extLst>
            <c:ext xmlns:c16="http://schemas.microsoft.com/office/drawing/2014/chart" uri="{C3380CC4-5D6E-409C-BE32-E72D297353CC}">
              <c16:uniqueId val="{00000002-7FA3-4F6C-BFFD-C5A96CB5936E}"/>
            </c:ext>
          </c:extLst>
        </c:ser>
        <c:ser>
          <c:idx val="4"/>
          <c:order val="4"/>
          <c:tx>
            <c:strRef>
              <c:f>Sheet1!$A$6</c:f>
              <c:strCache>
                <c:ptCount val="1"/>
                <c:pt idx="0">
                  <c:v>առևտուր</c:v>
                </c:pt>
              </c:strCache>
            </c:strRef>
          </c:tx>
          <c:spPr>
            <a:solidFill>
              <a:srgbClr val="4472C4">
                <a:lumMod val="50000"/>
              </a:srgbClr>
            </a:solidFill>
            <a:ln>
              <a:noFill/>
            </a:ln>
          </c:spPr>
          <c:invertIfNegative val="0"/>
          <c:cat>
            <c:strRef>
              <c:f>Sheet1!$B$1:$I$1</c:f>
              <c:strCache>
                <c:ptCount val="8"/>
                <c:pt idx="0">
                  <c:v>1</c:v>
                </c:pt>
                <c:pt idx="1">
                  <c:v>2</c:v>
                </c:pt>
                <c:pt idx="2">
                  <c:v>3</c:v>
                </c:pt>
                <c:pt idx="3">
                  <c:v>4</c:v>
                </c:pt>
                <c:pt idx="4">
                  <c:v>5</c:v>
                </c:pt>
                <c:pt idx="5">
                  <c:v>6</c:v>
                </c:pt>
                <c:pt idx="6">
                  <c:v>7</c:v>
                </c:pt>
                <c:pt idx="7">
                  <c:v>8</c:v>
                </c:pt>
              </c:strCache>
            </c:strRef>
          </c:cat>
          <c:val>
            <c:numRef>
              <c:f>Sheet1!$B$6:$I$6</c:f>
              <c:numCache>
                <c:formatCode>0.0</c:formatCode>
                <c:ptCount val="8"/>
                <c:pt idx="0">
                  <c:v>0.70000000000000284</c:v>
                </c:pt>
                <c:pt idx="1">
                  <c:v>5.5999999999999943</c:v>
                </c:pt>
                <c:pt idx="2">
                  <c:v>0.20000000000000284</c:v>
                </c:pt>
                <c:pt idx="3">
                  <c:v>9.9999999999994316E-2</c:v>
                </c:pt>
                <c:pt idx="4">
                  <c:v>0</c:v>
                </c:pt>
                <c:pt idx="5">
                  <c:v>-9.9999999999994316E-2</c:v>
                </c:pt>
                <c:pt idx="6">
                  <c:v>-9.9999999999994316E-2</c:v>
                </c:pt>
                <c:pt idx="7">
                  <c:v>9.9999999999994316E-2</c:v>
                </c:pt>
              </c:numCache>
            </c:numRef>
          </c:val>
          <c:extLst>
            <c:ext xmlns:c16="http://schemas.microsoft.com/office/drawing/2014/chart" uri="{C3380CC4-5D6E-409C-BE32-E72D297353CC}">
              <c16:uniqueId val="{00000003-7FA3-4F6C-BFFD-C5A96CB5936E}"/>
            </c:ext>
          </c:extLst>
        </c:ser>
        <c:dLbls>
          <c:showLegendKey val="0"/>
          <c:showVal val="0"/>
          <c:showCatName val="0"/>
          <c:showSerName val="0"/>
          <c:showPercent val="0"/>
          <c:showBubbleSize val="0"/>
        </c:dLbls>
        <c:gapWidth val="70"/>
        <c:overlap val="-27"/>
        <c:axId val="220999040"/>
        <c:axId val="221000832"/>
      </c:barChart>
      <c:lineChart>
        <c:grouping val="standard"/>
        <c:varyColors val="0"/>
        <c:ser>
          <c:idx val="0"/>
          <c:order val="0"/>
          <c:tx>
            <c:strRef>
              <c:f>Sheet1!$A$2</c:f>
              <c:strCache>
                <c:ptCount val="1"/>
                <c:pt idx="0">
                  <c:v>ՏԱՑ</c:v>
                </c:pt>
              </c:strCache>
            </c:strRef>
          </c:tx>
          <c:spPr>
            <a:ln w="22225">
              <a:solidFill>
                <a:srgbClr val="1F497D">
                  <a:lumMod val="75000"/>
                </a:srgbClr>
              </a:solidFill>
            </a:ln>
            <a:effectLst/>
          </c:spPr>
          <c:marker>
            <c:symbol val="circle"/>
            <c:size val="6"/>
            <c:spPr>
              <a:solidFill>
                <a:srgbClr val="1F497D">
                  <a:lumMod val="75000"/>
                </a:srgbClr>
              </a:solidFill>
              <a:ln>
                <a:solidFill>
                  <a:srgbClr val="1F497D">
                    <a:lumMod val="75000"/>
                  </a:srgbClr>
                </a:solidFill>
              </a:ln>
            </c:spPr>
          </c:marker>
          <c:dLbls>
            <c:dLbl>
              <c:idx val="0"/>
              <c:layout>
                <c:manualLayout>
                  <c:x val="-6.563593613298338E-2"/>
                  <c:y val="-4.92478370759210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FA3-4F6C-BFFD-C5A96CB5936E}"/>
                </c:ext>
              </c:extLst>
            </c:dLbl>
            <c:dLbl>
              <c:idx val="1"/>
              <c:layout>
                <c:manualLayout>
                  <c:x val="-6.1295658355205597E-2"/>
                  <c:y val="-7.23959852240691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FA3-4F6C-BFFD-C5A96CB5936E}"/>
                </c:ext>
              </c:extLst>
            </c:dLbl>
            <c:dLbl>
              <c:idx val="2"/>
              <c:layout>
                <c:manualLayout>
                  <c:x val="-6.1295658355205597E-2"/>
                  <c:y val="-4.92478370759210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FA3-4F6C-BFFD-C5A96CB5936E}"/>
                </c:ext>
              </c:extLst>
            </c:dLbl>
            <c:dLbl>
              <c:idx val="3"/>
              <c:layout>
                <c:manualLayout>
                  <c:x val="-6.1295658355205597E-2"/>
                  <c:y val="-6.46799358413531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FA3-4F6C-BFFD-C5A96CB5936E}"/>
                </c:ext>
              </c:extLst>
            </c:dLbl>
            <c:dLbl>
              <c:idx val="4"/>
              <c:layout>
                <c:manualLayout>
                  <c:x val="-7.0095486111111188E-2"/>
                  <c:y val="-5.69638864586371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FA3-4F6C-BFFD-C5A96CB5936E}"/>
                </c:ext>
              </c:extLst>
            </c:dLbl>
            <c:dLbl>
              <c:idx val="5"/>
              <c:layout>
                <c:manualLayout>
                  <c:x val="-6.1295658355205597E-2"/>
                  <c:y val="-6.46799358413531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FA3-4F6C-BFFD-C5A96CB5936E}"/>
                </c:ext>
              </c:extLst>
            </c:dLbl>
            <c:dLbl>
              <c:idx val="6"/>
              <c:layout>
                <c:manualLayout>
                  <c:x val="-5.2509500765529307E-2"/>
                  <c:y val="-6.46799358413531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FA3-4F6C-BFFD-C5A96CB5936E}"/>
                </c:ext>
              </c:extLst>
            </c:dLbl>
            <c:dLbl>
              <c:idx val="7"/>
              <c:layout>
                <c:manualLayout>
                  <c:x val="-3.622594050743673E-2"/>
                  <c:y val="-4.92478370759210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FA3-4F6C-BFFD-C5A96CB5936E}"/>
                </c:ext>
              </c:extLst>
            </c:dLbl>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Sheet1!$B$1:$I$1</c:f>
              <c:strCache>
                <c:ptCount val="8"/>
                <c:pt idx="0">
                  <c:v>1</c:v>
                </c:pt>
                <c:pt idx="1">
                  <c:v>2</c:v>
                </c:pt>
                <c:pt idx="2">
                  <c:v>3</c:v>
                </c:pt>
                <c:pt idx="3">
                  <c:v>4</c:v>
                </c:pt>
                <c:pt idx="4">
                  <c:v>5</c:v>
                </c:pt>
                <c:pt idx="5">
                  <c:v>6</c:v>
                </c:pt>
                <c:pt idx="6">
                  <c:v>7</c:v>
                </c:pt>
                <c:pt idx="7">
                  <c:v>8</c:v>
                </c:pt>
              </c:strCache>
            </c:strRef>
          </c:cat>
          <c:val>
            <c:numRef>
              <c:f>Sheet1!$B$2:$I$2</c:f>
              <c:numCache>
                <c:formatCode>0.0</c:formatCode>
                <c:ptCount val="8"/>
                <c:pt idx="0">
                  <c:v>6.9000000000000057</c:v>
                </c:pt>
                <c:pt idx="1">
                  <c:v>7.0999999999999943</c:v>
                </c:pt>
                <c:pt idx="2">
                  <c:v>6.7999999999999972</c:v>
                </c:pt>
                <c:pt idx="3">
                  <c:v>7.179051820617957</c:v>
                </c:pt>
                <c:pt idx="4">
                  <c:v>11.400000000000006</c:v>
                </c:pt>
                <c:pt idx="5">
                  <c:v>7.3892766363789235</c:v>
                </c:pt>
                <c:pt idx="6">
                  <c:v>6.4597579033531645</c:v>
                </c:pt>
                <c:pt idx="7">
                  <c:v>5.2000000000000028</c:v>
                </c:pt>
              </c:numCache>
            </c:numRef>
          </c:val>
          <c:smooth val="0"/>
          <c:extLst>
            <c:ext xmlns:c16="http://schemas.microsoft.com/office/drawing/2014/chart" uri="{C3380CC4-5D6E-409C-BE32-E72D297353CC}">
              <c16:uniqueId val="{0000000C-7FA3-4F6C-BFFD-C5A96CB5936E}"/>
            </c:ext>
          </c:extLst>
        </c:ser>
        <c:dLbls>
          <c:showLegendKey val="0"/>
          <c:showVal val="0"/>
          <c:showCatName val="0"/>
          <c:showSerName val="0"/>
          <c:showPercent val="0"/>
          <c:showBubbleSize val="0"/>
        </c:dLbls>
        <c:marker val="1"/>
        <c:smooth val="0"/>
        <c:axId val="220999040"/>
        <c:axId val="221000832"/>
      </c:lineChart>
      <c:catAx>
        <c:axId val="22099904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a:pPr>
            <a:endParaRPr lang="en-US"/>
          </a:p>
        </c:txPr>
        <c:crossAx val="221000832"/>
        <c:crosses val="autoZero"/>
        <c:auto val="1"/>
        <c:lblAlgn val="ctr"/>
        <c:lblOffset val="100"/>
        <c:noMultiLvlLbl val="0"/>
      </c:catAx>
      <c:valAx>
        <c:axId val="221000832"/>
        <c:scaling>
          <c:orientation val="minMax"/>
          <c:max val="30"/>
          <c:min val="-2"/>
        </c:scaling>
        <c:delete val="0"/>
        <c:axPos val="l"/>
        <c:numFmt formatCode="0.0" sourceLinked="1"/>
        <c:majorTickMark val="none"/>
        <c:minorTickMark val="none"/>
        <c:tickLblPos val="nextTo"/>
        <c:spPr>
          <a:noFill/>
          <a:ln>
            <a:noFill/>
          </a:ln>
          <a:effectLst/>
        </c:spPr>
        <c:txPr>
          <a:bodyPr rot="-60000000" vert="horz"/>
          <a:lstStyle/>
          <a:p>
            <a:pPr>
              <a:defRPr sz="800">
                <a:solidFill>
                  <a:schemeClr val="bg1">
                    <a:lumMod val="65000"/>
                  </a:schemeClr>
                </a:solidFill>
                <a:latin typeface="+mj-lt"/>
              </a:defRPr>
            </a:pPr>
            <a:endParaRPr lang="en-US"/>
          </a:p>
        </c:txPr>
        <c:crossAx val="220999040"/>
        <c:crosses val="autoZero"/>
        <c:crossBetween val="between"/>
        <c:majorUnit val="4"/>
      </c:valAx>
      <c:spPr>
        <a:noFill/>
        <a:ln>
          <a:noFill/>
        </a:ln>
        <a:effectLst/>
      </c:spPr>
    </c:plotArea>
    <c:legend>
      <c:legendPos val="b"/>
      <c:layout>
        <c:manualLayout>
          <c:xMode val="edge"/>
          <c:yMode val="edge"/>
          <c:x val="3.9212598425196851E-2"/>
          <c:y val="0.81216948575872461"/>
          <c:w val="0.96078746992563424"/>
          <c:h val="0.18783051424127539"/>
        </c:manualLayout>
      </c:layout>
      <c:overlay val="0"/>
      <c:spPr>
        <a:noFill/>
        <a:ln>
          <a:noFill/>
        </a:ln>
        <a:effectLst/>
      </c:spPr>
      <c:txPr>
        <a:bodyPr rot="0" vert="horz"/>
        <a:lstStyle/>
        <a:p>
          <a:pPr>
            <a:defRPr sz="600"/>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no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7.1054857812194963E-2"/>
          <c:w val="0.87658476118247253"/>
          <c:h val="0.55990145329056096"/>
        </c:manualLayout>
      </c:layout>
      <c:barChart>
        <c:barDir val="col"/>
        <c:grouping val="stacked"/>
        <c:varyColors val="0"/>
        <c:ser>
          <c:idx val="1"/>
          <c:order val="1"/>
          <c:tx>
            <c:strRef>
              <c:f>Sheet1!$A$3</c:f>
              <c:strCache>
                <c:ptCount val="1"/>
                <c:pt idx="0">
                  <c:v>արդյունաբերություն</c:v>
                </c:pt>
              </c:strCache>
            </c:strRef>
          </c:tx>
          <c:spPr>
            <a:solidFill>
              <a:srgbClr val="5B9BD5">
                <a:lumMod val="60000"/>
                <a:lumOff val="40000"/>
              </a:srgbClr>
            </a:solidFill>
            <a:ln>
              <a:noFill/>
            </a:ln>
            <a:effectLst/>
          </c:spPr>
          <c:invertIfNegative val="0"/>
          <c:cat>
            <c:strRef>
              <c:f>Sheet1!$B$1:$I$1</c:f>
              <c:strCache>
                <c:ptCount val="8"/>
                <c:pt idx="0">
                  <c:v>1</c:v>
                </c:pt>
                <c:pt idx="1">
                  <c:v>2</c:v>
                </c:pt>
                <c:pt idx="2">
                  <c:v>3</c:v>
                </c:pt>
                <c:pt idx="3">
                  <c:v>4</c:v>
                </c:pt>
                <c:pt idx="4">
                  <c:v>5</c:v>
                </c:pt>
                <c:pt idx="5">
                  <c:v>6</c:v>
                </c:pt>
                <c:pt idx="6">
                  <c:v>7</c:v>
                </c:pt>
                <c:pt idx="7">
                  <c:v>8</c:v>
                </c:pt>
              </c:strCache>
            </c:strRef>
          </c:cat>
          <c:val>
            <c:numRef>
              <c:f>Sheet1!$B$3:$I$3</c:f>
              <c:numCache>
                <c:formatCode>0.0</c:formatCode>
                <c:ptCount val="8"/>
                <c:pt idx="0">
                  <c:v>1.8369893116734408</c:v>
                </c:pt>
                <c:pt idx="1">
                  <c:v>2.9807751095078494</c:v>
                </c:pt>
                <c:pt idx="2">
                  <c:v>2.3222317713607672</c:v>
                </c:pt>
                <c:pt idx="3">
                  <c:v>2.2529114199768627</c:v>
                </c:pt>
                <c:pt idx="4">
                  <c:v>2.114270717209056</c:v>
                </c:pt>
                <c:pt idx="5">
                  <c:v>1.871649487365393</c:v>
                </c:pt>
                <c:pt idx="6">
                  <c:v>1.6463583453677073</c:v>
                </c:pt>
                <c:pt idx="7">
                  <c:v>1.2824265006022151</c:v>
                </c:pt>
              </c:numCache>
            </c:numRef>
          </c:val>
          <c:extLst>
            <c:ext xmlns:c16="http://schemas.microsoft.com/office/drawing/2014/chart" uri="{C3380CC4-5D6E-409C-BE32-E72D297353CC}">
              <c16:uniqueId val="{00000000-D8A0-4EBE-9CDC-FAE2EC901887}"/>
            </c:ext>
          </c:extLst>
        </c:ser>
        <c:ser>
          <c:idx val="2"/>
          <c:order val="2"/>
          <c:tx>
            <c:strRef>
              <c:f>Sheet1!$A$4</c:f>
              <c:strCache>
                <c:ptCount val="1"/>
                <c:pt idx="0">
                  <c:v>գյուղատնտեսություն</c:v>
                </c:pt>
              </c:strCache>
            </c:strRef>
          </c:tx>
          <c:spPr>
            <a:solidFill>
              <a:srgbClr val="8064A2"/>
            </a:solidFill>
            <a:ln>
              <a:noFill/>
            </a:ln>
            <a:effectLst/>
          </c:spPr>
          <c:invertIfNegative val="0"/>
          <c:cat>
            <c:strRef>
              <c:f>Sheet1!$B$1:$I$1</c:f>
              <c:strCache>
                <c:ptCount val="8"/>
                <c:pt idx="0">
                  <c:v>1</c:v>
                </c:pt>
                <c:pt idx="1">
                  <c:v>2</c:v>
                </c:pt>
                <c:pt idx="2">
                  <c:v>3</c:v>
                </c:pt>
                <c:pt idx="3">
                  <c:v>4</c:v>
                </c:pt>
                <c:pt idx="4">
                  <c:v>5</c:v>
                </c:pt>
                <c:pt idx="5">
                  <c:v>6</c:v>
                </c:pt>
                <c:pt idx="6">
                  <c:v>7</c:v>
                </c:pt>
                <c:pt idx="7">
                  <c:v>8</c:v>
                </c:pt>
              </c:strCache>
            </c:strRef>
          </c:cat>
          <c:val>
            <c:numRef>
              <c:f>Sheet1!$B$4:$I$4</c:f>
              <c:numCache>
                <c:formatCode>General</c:formatCode>
                <c:ptCount val="8"/>
                <c:pt idx="2" formatCode="0.0">
                  <c:v>-0.43372753273107506</c:v>
                </c:pt>
                <c:pt idx="5" formatCode="0.0">
                  <c:v>-0.99256877682688327</c:v>
                </c:pt>
              </c:numCache>
            </c:numRef>
          </c:val>
          <c:extLst>
            <c:ext xmlns:c16="http://schemas.microsoft.com/office/drawing/2014/chart" uri="{C3380CC4-5D6E-409C-BE32-E72D297353CC}">
              <c16:uniqueId val="{00000001-D8A0-4EBE-9CDC-FAE2EC901887}"/>
            </c:ext>
          </c:extLst>
        </c:ser>
        <c:ser>
          <c:idx val="3"/>
          <c:order val="3"/>
          <c:tx>
            <c:strRef>
              <c:f>Sheet1!$A$5</c:f>
              <c:strCache>
                <c:ptCount val="1"/>
                <c:pt idx="0">
                  <c:v>շինարարություն</c:v>
                </c:pt>
              </c:strCache>
            </c:strRef>
          </c:tx>
          <c:spPr>
            <a:solidFill>
              <a:srgbClr val="E7E6E6">
                <a:lumMod val="75000"/>
              </a:srgbClr>
            </a:solidFill>
            <a:ln>
              <a:noFill/>
            </a:ln>
            <a:effectLst/>
          </c:spPr>
          <c:invertIfNegative val="0"/>
          <c:cat>
            <c:strRef>
              <c:f>Sheet1!$B$1:$I$1</c:f>
              <c:strCache>
                <c:ptCount val="8"/>
                <c:pt idx="0">
                  <c:v>1</c:v>
                </c:pt>
                <c:pt idx="1">
                  <c:v>2</c:v>
                </c:pt>
                <c:pt idx="2">
                  <c:v>3</c:v>
                </c:pt>
                <c:pt idx="3">
                  <c:v>4</c:v>
                </c:pt>
                <c:pt idx="4">
                  <c:v>5</c:v>
                </c:pt>
                <c:pt idx="5">
                  <c:v>6</c:v>
                </c:pt>
                <c:pt idx="6">
                  <c:v>7</c:v>
                </c:pt>
                <c:pt idx="7">
                  <c:v>8</c:v>
                </c:pt>
              </c:strCache>
            </c:strRef>
          </c:cat>
          <c:val>
            <c:numRef>
              <c:f>Sheet1!$B$5:$I$5</c:f>
              <c:numCache>
                <c:formatCode>0.0</c:formatCode>
                <c:ptCount val="8"/>
                <c:pt idx="0">
                  <c:v>1.3303139394456491</c:v>
                </c:pt>
                <c:pt idx="1">
                  <c:v>1.4583655485901499</c:v>
                </c:pt>
                <c:pt idx="2">
                  <c:v>1.5650752228772342</c:v>
                </c:pt>
                <c:pt idx="3">
                  <c:v>1.629101027449485</c:v>
                </c:pt>
                <c:pt idx="4">
                  <c:v>1.7144687668791516</c:v>
                </c:pt>
                <c:pt idx="5">
                  <c:v>1.7429246800223743</c:v>
                </c:pt>
                <c:pt idx="6">
                  <c:v>1.7784945714514024</c:v>
                </c:pt>
                <c:pt idx="7">
                  <c:v>1.7571526365939858</c:v>
                </c:pt>
              </c:numCache>
            </c:numRef>
          </c:val>
          <c:extLst>
            <c:ext xmlns:c16="http://schemas.microsoft.com/office/drawing/2014/chart" uri="{C3380CC4-5D6E-409C-BE32-E72D297353CC}">
              <c16:uniqueId val="{00000002-D8A0-4EBE-9CDC-FAE2EC901887}"/>
            </c:ext>
          </c:extLst>
        </c:ser>
        <c:ser>
          <c:idx val="4"/>
          <c:order val="4"/>
          <c:tx>
            <c:strRef>
              <c:f>Sheet1!$A$6</c:f>
              <c:strCache>
                <c:ptCount val="1"/>
                <c:pt idx="0">
                  <c:v>ծառայություններ</c:v>
                </c:pt>
              </c:strCache>
            </c:strRef>
          </c:tx>
          <c:spPr>
            <a:solidFill>
              <a:srgbClr val="ED7D31">
                <a:lumMod val="40000"/>
                <a:lumOff val="60000"/>
              </a:srgbClr>
            </a:solidFill>
            <a:ln>
              <a:noFill/>
            </a:ln>
          </c:spPr>
          <c:invertIfNegative val="0"/>
          <c:dLbls>
            <c:dLbl>
              <c:idx val="6"/>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8A0-4EBE-9CDC-FAE2EC901887}"/>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cat>
            <c:strRef>
              <c:f>Sheet1!$B$1:$I$1</c:f>
              <c:strCache>
                <c:ptCount val="8"/>
                <c:pt idx="0">
                  <c:v>1</c:v>
                </c:pt>
                <c:pt idx="1">
                  <c:v>2</c:v>
                </c:pt>
                <c:pt idx="2">
                  <c:v>3</c:v>
                </c:pt>
                <c:pt idx="3">
                  <c:v>4</c:v>
                </c:pt>
                <c:pt idx="4">
                  <c:v>5</c:v>
                </c:pt>
                <c:pt idx="5">
                  <c:v>6</c:v>
                </c:pt>
                <c:pt idx="6">
                  <c:v>7</c:v>
                </c:pt>
                <c:pt idx="7">
                  <c:v>8</c:v>
                </c:pt>
              </c:strCache>
            </c:strRef>
          </c:cat>
          <c:val>
            <c:numRef>
              <c:f>Sheet1!$B$6:$I$6</c:f>
              <c:numCache>
                <c:formatCode>0.0</c:formatCode>
                <c:ptCount val="8"/>
                <c:pt idx="0">
                  <c:v>5.0602944938799173</c:v>
                </c:pt>
                <c:pt idx="1">
                  <c:v>5.5217839755132632</c:v>
                </c:pt>
                <c:pt idx="2">
                  <c:v>5.6704663134484266</c:v>
                </c:pt>
                <c:pt idx="3">
                  <c:v>5.6037065456812378</c:v>
                </c:pt>
                <c:pt idx="4">
                  <c:v>5.9194756030216187</c:v>
                </c:pt>
                <c:pt idx="5">
                  <c:v>6.3415622813527275</c:v>
                </c:pt>
                <c:pt idx="6">
                  <c:v>6.6984029360058264</c:v>
                </c:pt>
                <c:pt idx="7">
                  <c:v>6.6093642369043719</c:v>
                </c:pt>
              </c:numCache>
            </c:numRef>
          </c:val>
          <c:extLst>
            <c:ext xmlns:c16="http://schemas.microsoft.com/office/drawing/2014/chart" uri="{C3380CC4-5D6E-409C-BE32-E72D297353CC}">
              <c16:uniqueId val="{00000004-D8A0-4EBE-9CDC-FAE2EC901887}"/>
            </c:ext>
          </c:extLst>
        </c:ser>
        <c:ser>
          <c:idx val="5"/>
          <c:order val="5"/>
          <c:tx>
            <c:strRef>
              <c:f>Sheet1!$A$7</c:f>
              <c:strCache>
                <c:ptCount val="1"/>
                <c:pt idx="0">
                  <c:v>առևտուր</c:v>
                </c:pt>
              </c:strCache>
            </c:strRef>
          </c:tx>
          <c:spPr>
            <a:solidFill>
              <a:srgbClr val="4472C4">
                <a:lumMod val="50000"/>
              </a:srgbClr>
            </a:solidFill>
            <a:ln>
              <a:noFill/>
            </a:ln>
          </c:spPr>
          <c:invertIfNegative val="0"/>
          <c:cat>
            <c:strRef>
              <c:f>Sheet1!$B$1:$I$1</c:f>
              <c:strCache>
                <c:ptCount val="8"/>
                <c:pt idx="0">
                  <c:v>1</c:v>
                </c:pt>
                <c:pt idx="1">
                  <c:v>2</c:v>
                </c:pt>
                <c:pt idx="2">
                  <c:v>3</c:v>
                </c:pt>
                <c:pt idx="3">
                  <c:v>4</c:v>
                </c:pt>
                <c:pt idx="4">
                  <c:v>5</c:v>
                </c:pt>
                <c:pt idx="5">
                  <c:v>6</c:v>
                </c:pt>
                <c:pt idx="6">
                  <c:v>7</c:v>
                </c:pt>
                <c:pt idx="7">
                  <c:v>8</c:v>
                </c:pt>
              </c:strCache>
            </c:strRef>
          </c:cat>
          <c:val>
            <c:numRef>
              <c:f>Sheet1!$B$7:$I$7</c:f>
              <c:numCache>
                <c:formatCode>0.0</c:formatCode>
                <c:ptCount val="8"/>
                <c:pt idx="0">
                  <c:v>0.10905553173494664</c:v>
                </c:pt>
                <c:pt idx="1">
                  <c:v>0.51411893532188879</c:v>
                </c:pt>
                <c:pt idx="2">
                  <c:v>0.32716659520483771</c:v>
                </c:pt>
                <c:pt idx="3">
                  <c:v>0.23369042514631327</c:v>
                </c:pt>
                <c:pt idx="4">
                  <c:v>0.18695234011705109</c:v>
                </c:pt>
                <c:pt idx="5">
                  <c:v>0.14021425508778887</c:v>
                </c:pt>
                <c:pt idx="6">
                  <c:v>0.12463489341136665</c:v>
                </c:pt>
                <c:pt idx="7">
                  <c:v>0.10905553173494664</c:v>
                </c:pt>
              </c:numCache>
            </c:numRef>
          </c:val>
          <c:extLst>
            <c:ext xmlns:c16="http://schemas.microsoft.com/office/drawing/2014/chart" uri="{C3380CC4-5D6E-409C-BE32-E72D297353CC}">
              <c16:uniqueId val="{00000005-D8A0-4EBE-9CDC-FAE2EC901887}"/>
            </c:ext>
          </c:extLst>
        </c:ser>
        <c:ser>
          <c:idx val="6"/>
          <c:order val="6"/>
          <c:tx>
            <c:strRef>
              <c:f>Sheet1!$A$8</c:f>
              <c:strCache>
                <c:ptCount val="1"/>
                <c:pt idx="0">
                  <c:v>այլ </c:v>
                </c:pt>
              </c:strCache>
            </c:strRef>
          </c:tx>
          <c:spPr>
            <a:solidFill>
              <a:srgbClr val="4472C4">
                <a:lumMod val="40000"/>
                <a:lumOff val="60000"/>
              </a:srgbClr>
            </a:solidFill>
          </c:spPr>
          <c:invertIfNegative val="0"/>
          <c:cat>
            <c:strRef>
              <c:f>Sheet1!$B$1:$I$1</c:f>
              <c:strCache>
                <c:ptCount val="8"/>
                <c:pt idx="0">
                  <c:v>1</c:v>
                </c:pt>
                <c:pt idx="1">
                  <c:v>2</c:v>
                </c:pt>
                <c:pt idx="2">
                  <c:v>3</c:v>
                </c:pt>
                <c:pt idx="3">
                  <c:v>4</c:v>
                </c:pt>
                <c:pt idx="4">
                  <c:v>5</c:v>
                </c:pt>
                <c:pt idx="5">
                  <c:v>6</c:v>
                </c:pt>
                <c:pt idx="6">
                  <c:v>7</c:v>
                </c:pt>
                <c:pt idx="7">
                  <c:v>8</c:v>
                </c:pt>
              </c:strCache>
            </c:strRef>
          </c:cat>
          <c:val>
            <c:numRef>
              <c:f>Sheet1!$B$8:$I$8</c:f>
              <c:numCache>
                <c:formatCode>0.0</c:formatCode>
                <c:ptCount val="8"/>
                <c:pt idx="0">
                  <c:v>-1.4366532767339339</c:v>
                </c:pt>
                <c:pt idx="1">
                  <c:v>-3.4726997573191256</c:v>
                </c:pt>
                <c:pt idx="2">
                  <c:v>-2.5227192174253887</c:v>
                </c:pt>
                <c:pt idx="3">
                  <c:v>-2.7212585593712038</c:v>
                </c:pt>
                <c:pt idx="4">
                  <c:v>-1.9395836779788787</c:v>
                </c:pt>
                <c:pt idx="5">
                  <c:v>-1.2276794143947787</c:v>
                </c:pt>
                <c:pt idx="6">
                  <c:v>-2.6155250096786</c:v>
                </c:pt>
                <c:pt idx="7">
                  <c:v>-2.4579989058355221</c:v>
                </c:pt>
              </c:numCache>
            </c:numRef>
          </c:val>
          <c:extLst>
            <c:ext xmlns:c16="http://schemas.microsoft.com/office/drawing/2014/chart" uri="{C3380CC4-5D6E-409C-BE32-E72D297353CC}">
              <c16:uniqueId val="{00000006-D8A0-4EBE-9CDC-FAE2EC901887}"/>
            </c:ext>
          </c:extLst>
        </c:ser>
        <c:dLbls>
          <c:showLegendKey val="0"/>
          <c:showVal val="0"/>
          <c:showCatName val="0"/>
          <c:showSerName val="0"/>
          <c:showPercent val="0"/>
          <c:showBubbleSize val="0"/>
        </c:dLbls>
        <c:gapWidth val="70"/>
        <c:overlap val="100"/>
        <c:axId val="222515968"/>
        <c:axId val="222517504"/>
      </c:barChart>
      <c:lineChart>
        <c:grouping val="standard"/>
        <c:varyColors val="0"/>
        <c:ser>
          <c:idx val="0"/>
          <c:order val="0"/>
          <c:tx>
            <c:strRef>
              <c:f>Sheet1!$A$2</c:f>
              <c:strCache>
                <c:ptCount val="1"/>
                <c:pt idx="0">
                  <c:v>ՏԱՑ</c:v>
                </c:pt>
              </c:strCache>
            </c:strRef>
          </c:tx>
          <c:spPr>
            <a:ln w="25400">
              <a:solidFill>
                <a:srgbClr val="1F497D">
                  <a:lumMod val="75000"/>
                </a:srgbClr>
              </a:solidFill>
            </a:ln>
            <a:effectLst/>
          </c:spPr>
          <c:marker>
            <c:symbol val="circle"/>
            <c:size val="6"/>
            <c:spPr>
              <a:solidFill>
                <a:srgbClr val="1F497D">
                  <a:lumMod val="75000"/>
                </a:srgbClr>
              </a:solidFill>
              <a:ln>
                <a:solidFill>
                  <a:srgbClr val="1F497D">
                    <a:lumMod val="75000"/>
                  </a:srgbClr>
                </a:solidFill>
              </a:ln>
            </c:spPr>
          </c:marker>
          <c:dLbls>
            <c:dLbl>
              <c:idx val="0"/>
              <c:layout>
                <c:manualLayout>
                  <c:x val="-5.9321002843394574E-2"/>
                  <c:y val="-7.089105181296785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8A0-4EBE-9CDC-FAE2EC901887}"/>
                </c:ext>
              </c:extLst>
            </c:dLbl>
            <c:dLbl>
              <c:idx val="1"/>
              <c:layout>
                <c:manualLayout>
                  <c:x val="-5.9321002843394574E-2"/>
                  <c:y val="-8.63231505783998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8A0-4EBE-9CDC-FAE2EC901887}"/>
                </c:ext>
              </c:extLst>
            </c:dLbl>
            <c:dLbl>
              <c:idx val="2"/>
              <c:layout>
                <c:manualLayout>
                  <c:x val="-5.9321002843394574E-2"/>
                  <c:y val="-7.08910518129678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8A0-4EBE-9CDC-FAE2EC901887}"/>
                </c:ext>
              </c:extLst>
            </c:dLbl>
            <c:dLbl>
              <c:idx val="3"/>
              <c:layout>
                <c:manualLayout>
                  <c:x val="-6.3661280621172434E-2"/>
                  <c:y val="-7.08910518129678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8A0-4EBE-9CDC-FAE2EC901887}"/>
                </c:ext>
              </c:extLst>
            </c:dLbl>
            <c:dLbl>
              <c:idx val="4"/>
              <c:layout>
                <c:manualLayout>
                  <c:x val="-6.8001558398950127E-2"/>
                  <c:y val="-6.31750024302517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8A0-4EBE-9CDC-FAE2EC901887}"/>
                </c:ext>
              </c:extLst>
            </c:dLbl>
            <c:dLbl>
              <c:idx val="5"/>
              <c:layout>
                <c:manualLayout>
                  <c:x val="-5.9321002843394734E-2"/>
                  <c:y val="-5.54589530475357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D8A0-4EBE-9CDC-FAE2EC901887}"/>
                </c:ext>
              </c:extLst>
            </c:dLbl>
            <c:dLbl>
              <c:idx val="6"/>
              <c:layout>
                <c:manualLayout>
                  <c:x val="-4.9106654636920384E-2"/>
                  <c:y val="-7.08910518129678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D8A0-4EBE-9CDC-FAE2EC901887}"/>
                </c:ext>
              </c:extLst>
            </c:dLbl>
            <c:dLbl>
              <c:idx val="7"/>
              <c:layout>
                <c:manualLayout>
                  <c:x val="-3.3591357720910042E-2"/>
                  <c:y val="-4.77429036648196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D8A0-4EBE-9CDC-FAE2EC901887}"/>
                </c:ext>
              </c:extLst>
            </c:dLbl>
            <c:spPr>
              <a:noFill/>
              <a:ln>
                <a:noFill/>
              </a:ln>
              <a:effectLst/>
            </c:spPr>
            <c:txPr>
              <a:bodyPr wrap="square" lIns="38100" tIns="19050" rIns="38100" bIns="19050" anchor="ctr">
                <a:spAutoFit/>
              </a:bodyPr>
              <a:lstStyle/>
              <a:p>
                <a:pPr>
                  <a:defRPr sz="800"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Sheet1!$B$1:$I$1</c:f>
              <c:strCache>
                <c:ptCount val="8"/>
                <c:pt idx="0">
                  <c:v>1</c:v>
                </c:pt>
                <c:pt idx="1">
                  <c:v>2</c:v>
                </c:pt>
                <c:pt idx="2">
                  <c:v>3</c:v>
                </c:pt>
                <c:pt idx="3">
                  <c:v>4</c:v>
                </c:pt>
                <c:pt idx="4">
                  <c:v>5</c:v>
                </c:pt>
                <c:pt idx="5">
                  <c:v>6</c:v>
                </c:pt>
                <c:pt idx="6">
                  <c:v>7</c:v>
                </c:pt>
                <c:pt idx="7">
                  <c:v>8</c:v>
                </c:pt>
              </c:strCache>
            </c:strRef>
          </c:cat>
          <c:val>
            <c:numRef>
              <c:f>Sheet1!$B$2:$I$2</c:f>
              <c:numCache>
                <c:formatCode>0.0</c:formatCode>
                <c:ptCount val="8"/>
                <c:pt idx="0">
                  <c:v>6.9000000000000199</c:v>
                </c:pt>
                <c:pt idx="1">
                  <c:v>7.0023438116140255</c:v>
                </c:pt>
                <c:pt idx="2">
                  <c:v>6.9284931527348022</c:v>
                </c:pt>
                <c:pt idx="3">
                  <c:v>6.9981508588826955</c:v>
                </c:pt>
                <c:pt idx="4">
                  <c:v>7.9955837492479986</c:v>
                </c:pt>
                <c:pt idx="5">
                  <c:v>7.8761025126066215</c:v>
                </c:pt>
                <c:pt idx="6">
                  <c:v>7.632365736557702</c:v>
                </c:pt>
                <c:pt idx="7">
                  <c:v>7.2999999999999972</c:v>
                </c:pt>
              </c:numCache>
            </c:numRef>
          </c:val>
          <c:smooth val="0"/>
          <c:extLst>
            <c:ext xmlns:c16="http://schemas.microsoft.com/office/drawing/2014/chart" uri="{C3380CC4-5D6E-409C-BE32-E72D297353CC}">
              <c16:uniqueId val="{0000000F-D8A0-4EBE-9CDC-FAE2EC901887}"/>
            </c:ext>
          </c:extLst>
        </c:ser>
        <c:dLbls>
          <c:showLegendKey val="0"/>
          <c:showVal val="0"/>
          <c:showCatName val="0"/>
          <c:showSerName val="0"/>
          <c:showPercent val="0"/>
          <c:showBubbleSize val="0"/>
        </c:dLbls>
        <c:marker val="1"/>
        <c:smooth val="0"/>
        <c:axId val="222515968"/>
        <c:axId val="222517504"/>
      </c:lineChart>
      <c:catAx>
        <c:axId val="22251596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a:pPr>
            <a:endParaRPr lang="en-US"/>
          </a:p>
        </c:txPr>
        <c:crossAx val="222517504"/>
        <c:crosses val="autoZero"/>
        <c:auto val="1"/>
        <c:lblAlgn val="ctr"/>
        <c:lblOffset val="100"/>
        <c:noMultiLvlLbl val="0"/>
      </c:catAx>
      <c:valAx>
        <c:axId val="222517504"/>
        <c:scaling>
          <c:orientation val="minMax"/>
          <c:max val="12"/>
          <c:min val="-2"/>
        </c:scaling>
        <c:delete val="0"/>
        <c:axPos val="l"/>
        <c:numFmt formatCode="0.0" sourceLinked="1"/>
        <c:majorTickMark val="none"/>
        <c:minorTickMark val="none"/>
        <c:tickLblPos val="nextTo"/>
        <c:spPr>
          <a:noFill/>
          <a:ln>
            <a:noFill/>
          </a:ln>
          <a:effectLst/>
        </c:spPr>
        <c:txPr>
          <a:bodyPr rot="-60000000" vert="horz"/>
          <a:lstStyle/>
          <a:p>
            <a:pPr>
              <a:defRPr sz="800">
                <a:solidFill>
                  <a:schemeClr val="bg1">
                    <a:lumMod val="65000"/>
                  </a:schemeClr>
                </a:solidFill>
              </a:defRPr>
            </a:pPr>
            <a:endParaRPr lang="en-US"/>
          </a:p>
        </c:txPr>
        <c:crossAx val="222515968"/>
        <c:crosses val="autoZero"/>
        <c:crossBetween val="between"/>
        <c:majorUnit val="2"/>
      </c:valAx>
      <c:spPr>
        <a:noFill/>
        <a:ln>
          <a:noFill/>
        </a:ln>
        <a:effectLst/>
      </c:spPr>
    </c:plotArea>
    <c:legend>
      <c:legendPos val="b"/>
      <c:layout>
        <c:manualLayout>
          <c:xMode val="edge"/>
          <c:yMode val="edge"/>
          <c:x val="3.9212530074365697E-2"/>
          <c:y val="0.75762734519296215"/>
          <c:w val="0.93458477517078753"/>
          <c:h val="0.21150857332955367"/>
        </c:manualLayout>
      </c:layout>
      <c:overlay val="0"/>
      <c:spPr>
        <a:noFill/>
        <a:ln>
          <a:noFill/>
        </a:ln>
        <a:effectLst/>
      </c:spPr>
      <c:txPr>
        <a:bodyPr rot="0" vert="horz"/>
        <a:lstStyle/>
        <a:p>
          <a:pPr>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noFill/>
      <a:round/>
    </a:ln>
    <a:effectLst/>
  </c:spPr>
  <c:txPr>
    <a:bodyPr/>
    <a:lstStyle/>
    <a:p>
      <a:pPr>
        <a:defRPr sz="700">
          <a:latin typeface="+mj-lt"/>
          <a:ea typeface="Calibri" panose="020F0502020204030204" pitchFamily="34" charset="0"/>
          <a:cs typeface="Calibri" panose="020F0502020204030204" pitchFamily="34" charset="0"/>
        </a:defRPr>
      </a:pPr>
      <a:endParaRPr lang="en-US"/>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76475010936133"/>
          <c:y val="8.1124951594165523E-2"/>
          <c:w val="0.85922360290901134"/>
          <c:h val="0.55199280645474869"/>
        </c:manualLayout>
      </c:layout>
      <c:barChart>
        <c:barDir val="col"/>
        <c:grouping val="stacked"/>
        <c:varyColors val="0"/>
        <c:ser>
          <c:idx val="1"/>
          <c:order val="1"/>
          <c:tx>
            <c:strRef>
              <c:f>Sheet1!$A$3</c:f>
              <c:strCache>
                <c:ptCount val="1"/>
                <c:pt idx="0">
                  <c:v>արդյունաբերություն</c:v>
                </c:pt>
              </c:strCache>
            </c:strRef>
          </c:tx>
          <c:spPr>
            <a:solidFill>
              <a:srgbClr val="5B9BD5">
                <a:lumMod val="60000"/>
                <a:lumOff val="40000"/>
              </a:srgbClr>
            </a:solidFill>
            <a:ln>
              <a:noFill/>
            </a:ln>
            <a:effectLst/>
          </c:spPr>
          <c:invertIfNegative val="0"/>
          <c:cat>
            <c:strRef>
              <c:f>Sheet1!$B$1:$I$1</c:f>
              <c:strCache>
                <c:ptCount val="8"/>
                <c:pt idx="0">
                  <c:v>1</c:v>
                </c:pt>
                <c:pt idx="1">
                  <c:v>2</c:v>
                </c:pt>
                <c:pt idx="2">
                  <c:v>3</c:v>
                </c:pt>
                <c:pt idx="3">
                  <c:v>4</c:v>
                </c:pt>
                <c:pt idx="4">
                  <c:v>5</c:v>
                </c:pt>
                <c:pt idx="5">
                  <c:v>6</c:v>
                </c:pt>
                <c:pt idx="6">
                  <c:v>7</c:v>
                </c:pt>
                <c:pt idx="7">
                  <c:v>8</c:v>
                </c:pt>
              </c:strCache>
            </c:strRef>
          </c:cat>
          <c:val>
            <c:numRef>
              <c:f>Sheet1!$B$3:$I$3</c:f>
              <c:numCache>
                <c:formatCode>0.0</c:formatCode>
                <c:ptCount val="8"/>
                <c:pt idx="0">
                  <c:v>1.8369893116734408</c:v>
                </c:pt>
                <c:pt idx="1">
                  <c:v>4.1245609073422562</c:v>
                </c:pt>
                <c:pt idx="2">
                  <c:v>1.2131061492183106</c:v>
                </c:pt>
                <c:pt idx="3">
                  <c:v>2.0276202779791768</c:v>
                </c:pt>
                <c:pt idx="4">
                  <c:v>1.6463583453677073</c:v>
                </c:pt>
                <c:pt idx="5">
                  <c:v>0.69320351383903467</c:v>
                </c:pt>
                <c:pt idx="6">
                  <c:v>0.53723272322525084</c:v>
                </c:pt>
                <c:pt idx="7">
                  <c:v>-0.7451937773769618</c:v>
                </c:pt>
              </c:numCache>
            </c:numRef>
          </c:val>
          <c:extLst>
            <c:ext xmlns:c16="http://schemas.microsoft.com/office/drawing/2014/chart" uri="{C3380CC4-5D6E-409C-BE32-E72D297353CC}">
              <c16:uniqueId val="{00000000-57B5-4DB9-ADAC-3253A8172AE7}"/>
            </c:ext>
          </c:extLst>
        </c:ser>
        <c:ser>
          <c:idx val="2"/>
          <c:order val="2"/>
          <c:tx>
            <c:strRef>
              <c:f>Sheet1!$A$4</c:f>
              <c:strCache>
                <c:ptCount val="1"/>
                <c:pt idx="0">
                  <c:v>շինարարություն</c:v>
                </c:pt>
              </c:strCache>
            </c:strRef>
          </c:tx>
          <c:spPr>
            <a:solidFill>
              <a:srgbClr val="E7E6E6">
                <a:lumMod val="75000"/>
              </a:srgbClr>
            </a:solidFill>
            <a:ln>
              <a:noFill/>
            </a:ln>
            <a:effectLst/>
          </c:spPr>
          <c:invertIfNegative val="0"/>
          <c:cat>
            <c:strRef>
              <c:f>Sheet1!$B$1:$I$1</c:f>
              <c:strCache>
                <c:ptCount val="8"/>
                <c:pt idx="0">
                  <c:v>1</c:v>
                </c:pt>
                <c:pt idx="1">
                  <c:v>2</c:v>
                </c:pt>
                <c:pt idx="2">
                  <c:v>3</c:v>
                </c:pt>
                <c:pt idx="3">
                  <c:v>4</c:v>
                </c:pt>
                <c:pt idx="4">
                  <c:v>5</c:v>
                </c:pt>
                <c:pt idx="5">
                  <c:v>6</c:v>
                </c:pt>
                <c:pt idx="6">
                  <c:v>7</c:v>
                </c:pt>
                <c:pt idx="7">
                  <c:v>8</c:v>
                </c:pt>
              </c:strCache>
            </c:strRef>
          </c:cat>
          <c:val>
            <c:numRef>
              <c:f>Sheet1!$B$4:$I$4</c:f>
              <c:numCache>
                <c:formatCode>0.0</c:formatCode>
                <c:ptCount val="8"/>
                <c:pt idx="0">
                  <c:v>1.3303139394456491</c:v>
                </c:pt>
                <c:pt idx="1">
                  <c:v>1.5508472663056228</c:v>
                </c:pt>
                <c:pt idx="2">
                  <c:v>1.7073547885933462</c:v>
                </c:pt>
                <c:pt idx="3">
                  <c:v>1.7571526365939858</c:v>
                </c:pt>
                <c:pt idx="4">
                  <c:v>1.9278881154533198</c:v>
                </c:pt>
                <c:pt idx="5">
                  <c:v>1.8069504845946254</c:v>
                </c:pt>
                <c:pt idx="6">
                  <c:v>1.8852042457384866</c:v>
                </c:pt>
                <c:pt idx="7">
                  <c:v>1.693126832021735</c:v>
                </c:pt>
              </c:numCache>
            </c:numRef>
          </c:val>
          <c:extLst>
            <c:ext xmlns:c16="http://schemas.microsoft.com/office/drawing/2014/chart" uri="{C3380CC4-5D6E-409C-BE32-E72D297353CC}">
              <c16:uniqueId val="{00000001-57B5-4DB9-ADAC-3253A8172AE7}"/>
            </c:ext>
          </c:extLst>
        </c:ser>
        <c:ser>
          <c:idx val="3"/>
          <c:order val="3"/>
          <c:tx>
            <c:strRef>
              <c:f>Sheet1!$A$5</c:f>
              <c:strCache>
                <c:ptCount val="1"/>
                <c:pt idx="0">
                  <c:v>ծառայություններ</c:v>
                </c:pt>
              </c:strCache>
            </c:strRef>
          </c:tx>
          <c:spPr>
            <a:solidFill>
              <a:srgbClr val="ED7D31">
                <a:lumMod val="40000"/>
                <a:lumOff val="60000"/>
              </a:srgbClr>
            </a:solidFill>
            <a:ln>
              <a:noFill/>
            </a:ln>
            <a:effectLst/>
          </c:spPr>
          <c:invertIfNegative val="0"/>
          <c:cat>
            <c:strRef>
              <c:f>Sheet1!$B$1:$I$1</c:f>
              <c:strCache>
                <c:ptCount val="8"/>
                <c:pt idx="0">
                  <c:v>1</c:v>
                </c:pt>
                <c:pt idx="1">
                  <c:v>2</c:v>
                </c:pt>
                <c:pt idx="2">
                  <c:v>3</c:v>
                </c:pt>
                <c:pt idx="3">
                  <c:v>4</c:v>
                </c:pt>
                <c:pt idx="4">
                  <c:v>5</c:v>
                </c:pt>
                <c:pt idx="5">
                  <c:v>6</c:v>
                </c:pt>
                <c:pt idx="6">
                  <c:v>7</c:v>
                </c:pt>
                <c:pt idx="7">
                  <c:v>8</c:v>
                </c:pt>
              </c:strCache>
            </c:strRef>
          </c:cat>
          <c:val>
            <c:numRef>
              <c:f>Sheet1!$B$5:$I$5</c:f>
              <c:numCache>
                <c:formatCode>0.0</c:formatCode>
                <c:ptCount val="8"/>
                <c:pt idx="0">
                  <c:v>5.0602944938799093</c:v>
                </c:pt>
                <c:pt idx="1">
                  <c:v>5.989736339694586</c:v>
                </c:pt>
                <c:pt idx="2">
                  <c:v>5.9381006815937729</c:v>
                </c:pt>
                <c:pt idx="3">
                  <c:v>5.4217441005856193</c:v>
                </c:pt>
                <c:pt idx="4">
                  <c:v>7.0740851598117134</c:v>
                </c:pt>
                <c:pt idx="5">
                  <c:v>8.2617052961304669</c:v>
                </c:pt>
                <c:pt idx="6">
                  <c:v>8.6231549028361769</c:v>
                </c:pt>
                <c:pt idx="7">
                  <c:v>5.8864650234929607</c:v>
                </c:pt>
              </c:numCache>
            </c:numRef>
          </c:val>
          <c:extLst>
            <c:ext xmlns:c16="http://schemas.microsoft.com/office/drawing/2014/chart" uri="{C3380CC4-5D6E-409C-BE32-E72D297353CC}">
              <c16:uniqueId val="{00000002-57B5-4DB9-ADAC-3253A8172AE7}"/>
            </c:ext>
          </c:extLst>
        </c:ser>
        <c:ser>
          <c:idx val="4"/>
          <c:order val="4"/>
          <c:tx>
            <c:strRef>
              <c:f>Sheet1!$A$6</c:f>
              <c:strCache>
                <c:ptCount val="1"/>
                <c:pt idx="0">
                  <c:v>առևտուր</c:v>
                </c:pt>
              </c:strCache>
            </c:strRef>
          </c:tx>
          <c:spPr>
            <a:solidFill>
              <a:srgbClr val="4472C4">
                <a:lumMod val="50000"/>
              </a:srgbClr>
            </a:solidFill>
            <a:ln>
              <a:noFill/>
            </a:ln>
          </c:spPr>
          <c:invertIfNegative val="0"/>
          <c:cat>
            <c:strRef>
              <c:f>Sheet1!$B$1:$I$1</c:f>
              <c:strCache>
                <c:ptCount val="8"/>
                <c:pt idx="0">
                  <c:v>1</c:v>
                </c:pt>
                <c:pt idx="1">
                  <c:v>2</c:v>
                </c:pt>
                <c:pt idx="2">
                  <c:v>3</c:v>
                </c:pt>
                <c:pt idx="3">
                  <c:v>4</c:v>
                </c:pt>
                <c:pt idx="4">
                  <c:v>5</c:v>
                </c:pt>
                <c:pt idx="5">
                  <c:v>6</c:v>
                </c:pt>
                <c:pt idx="6">
                  <c:v>7</c:v>
                </c:pt>
                <c:pt idx="7">
                  <c:v>8</c:v>
                </c:pt>
              </c:strCache>
            </c:strRef>
          </c:cat>
          <c:val>
            <c:numRef>
              <c:f>Sheet1!$B$6:$I$6</c:f>
              <c:numCache>
                <c:formatCode>0.0</c:formatCode>
                <c:ptCount val="8"/>
                <c:pt idx="0">
                  <c:v>0.10905553173494664</c:v>
                </c:pt>
                <c:pt idx="1">
                  <c:v>0.8724442538795687</c:v>
                </c:pt>
                <c:pt idx="2" formatCode="0.00">
                  <c:v>3.1158723352842213E-2</c:v>
                </c:pt>
                <c:pt idx="3" formatCode="0.00">
                  <c:v>1.557936167642E-2</c:v>
                </c:pt>
                <c:pt idx="4" formatCode="0.00">
                  <c:v>0</c:v>
                </c:pt>
                <c:pt idx="5" formatCode="0.00">
                  <c:v>-1.557936167642E-2</c:v>
                </c:pt>
                <c:pt idx="6" formatCode="0.00">
                  <c:v>-1.557936167642E-2</c:v>
                </c:pt>
                <c:pt idx="7">
                  <c:v>1.557936167642E-2</c:v>
                </c:pt>
              </c:numCache>
            </c:numRef>
          </c:val>
          <c:extLst>
            <c:ext xmlns:c16="http://schemas.microsoft.com/office/drawing/2014/chart" uri="{C3380CC4-5D6E-409C-BE32-E72D297353CC}">
              <c16:uniqueId val="{00000003-57B5-4DB9-ADAC-3253A8172AE7}"/>
            </c:ext>
          </c:extLst>
        </c:ser>
        <c:ser>
          <c:idx val="5"/>
          <c:order val="5"/>
          <c:tx>
            <c:strRef>
              <c:f>Sheet1!$A$7</c:f>
              <c:strCache>
                <c:ptCount val="1"/>
                <c:pt idx="0">
                  <c:v>այլ </c:v>
                </c:pt>
              </c:strCache>
            </c:strRef>
          </c:tx>
          <c:spPr>
            <a:solidFill>
              <a:srgbClr val="4472C4">
                <a:lumMod val="40000"/>
                <a:lumOff val="60000"/>
              </a:srgbClr>
            </a:solidFill>
          </c:spPr>
          <c:invertIfNegative val="0"/>
          <c:cat>
            <c:strRef>
              <c:f>Sheet1!$B$1:$I$1</c:f>
              <c:strCache>
                <c:ptCount val="8"/>
                <c:pt idx="0">
                  <c:v>1</c:v>
                </c:pt>
                <c:pt idx="1">
                  <c:v>2</c:v>
                </c:pt>
                <c:pt idx="2">
                  <c:v>3</c:v>
                </c:pt>
                <c:pt idx="3">
                  <c:v>4</c:v>
                </c:pt>
                <c:pt idx="4">
                  <c:v>5</c:v>
                </c:pt>
                <c:pt idx="5">
                  <c:v>6</c:v>
                </c:pt>
                <c:pt idx="6">
                  <c:v>7</c:v>
                </c:pt>
                <c:pt idx="7">
                  <c:v>8</c:v>
                </c:pt>
              </c:strCache>
            </c:strRef>
          </c:cat>
          <c:val>
            <c:numRef>
              <c:f>Sheet1!$B$7:$I$7</c:f>
              <c:numCache>
                <c:formatCode>0.0</c:formatCode>
                <c:ptCount val="8"/>
                <c:pt idx="0">
                  <c:v>-1.4366532767339404</c:v>
                </c:pt>
                <c:pt idx="1">
                  <c:v>-5.4375887672220387</c:v>
                </c:pt>
                <c:pt idx="2">
                  <c:v>-2.0897203427582749</c:v>
                </c:pt>
                <c:pt idx="3">
                  <c:v>-2.043044556217243</c:v>
                </c:pt>
                <c:pt idx="4">
                  <c:v>0.75166837936726516</c:v>
                </c:pt>
                <c:pt idx="5">
                  <c:v>-3.3570032965087844</c:v>
                </c:pt>
                <c:pt idx="6">
                  <c:v>-4.5702546067703302</c:v>
                </c:pt>
                <c:pt idx="7">
                  <c:v>-1.6499774398141511</c:v>
                </c:pt>
              </c:numCache>
            </c:numRef>
          </c:val>
          <c:extLst>
            <c:ext xmlns:c16="http://schemas.microsoft.com/office/drawing/2014/chart" uri="{C3380CC4-5D6E-409C-BE32-E72D297353CC}">
              <c16:uniqueId val="{00000004-57B5-4DB9-ADAC-3253A8172AE7}"/>
            </c:ext>
          </c:extLst>
        </c:ser>
        <c:dLbls>
          <c:showLegendKey val="0"/>
          <c:showVal val="0"/>
          <c:showCatName val="0"/>
          <c:showSerName val="0"/>
          <c:showPercent val="0"/>
          <c:showBubbleSize val="0"/>
        </c:dLbls>
        <c:gapWidth val="70"/>
        <c:overlap val="100"/>
        <c:axId val="222600576"/>
        <c:axId val="222610560"/>
      </c:barChart>
      <c:lineChart>
        <c:grouping val="standard"/>
        <c:varyColors val="0"/>
        <c:ser>
          <c:idx val="0"/>
          <c:order val="0"/>
          <c:tx>
            <c:strRef>
              <c:f>Sheet1!$A$2</c:f>
              <c:strCache>
                <c:ptCount val="1"/>
                <c:pt idx="0">
                  <c:v>ՏԱՑ</c:v>
                </c:pt>
              </c:strCache>
            </c:strRef>
          </c:tx>
          <c:spPr>
            <a:ln w="25400">
              <a:solidFill>
                <a:srgbClr val="1F497D">
                  <a:lumMod val="75000"/>
                </a:srgbClr>
              </a:solidFill>
            </a:ln>
            <a:effectLst/>
          </c:spPr>
          <c:marker>
            <c:symbol val="circle"/>
            <c:size val="6"/>
            <c:spPr>
              <a:solidFill>
                <a:srgbClr val="1F497D">
                  <a:lumMod val="75000"/>
                </a:srgbClr>
              </a:solidFill>
              <a:ln>
                <a:solidFill>
                  <a:srgbClr val="1F497D">
                    <a:lumMod val="75000"/>
                  </a:srgbClr>
                </a:solidFill>
              </a:ln>
            </c:spPr>
          </c:marker>
          <c:dLbls>
            <c:dLbl>
              <c:idx val="0"/>
              <c:layout>
                <c:manualLayout>
                  <c:x val="-6.366128062117235E-2"/>
                  <c:y val="-8.632315057839992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7B5-4DB9-ADAC-3253A8172AE7}"/>
                </c:ext>
              </c:extLst>
            </c:dLbl>
            <c:dLbl>
              <c:idx val="1"/>
              <c:layout>
                <c:manualLayout>
                  <c:x val="-6.366128062117235E-2"/>
                  <c:y val="-7.08910518129678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7B5-4DB9-ADAC-3253A8172AE7}"/>
                </c:ext>
              </c:extLst>
            </c:dLbl>
            <c:dLbl>
              <c:idx val="5"/>
              <c:layout>
                <c:manualLayout>
                  <c:x val="-6.366128062117235E-2"/>
                  <c:y val="-5.54589530475357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7B5-4DB9-ADAC-3253A8172AE7}"/>
                </c:ext>
              </c:extLst>
            </c:dLbl>
            <c:dLbl>
              <c:idx val="6"/>
              <c:layout>
                <c:manualLayout>
                  <c:x val="-4.6882860345581805E-2"/>
                  <c:y val="-6.31750024302517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7B5-4DB9-ADAC-3253A8172AE7}"/>
                </c:ext>
              </c:extLst>
            </c:dLbl>
            <c:dLbl>
              <c:idx val="7"/>
              <c:layout>
                <c:manualLayout>
                  <c:x val="-4.6502829724409452E-2"/>
                  <c:y val="-5.8005249343832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7B5-4DB9-ADAC-3253A8172AE7}"/>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Sheet1!$B$1:$I$1</c:f>
              <c:strCache>
                <c:ptCount val="8"/>
                <c:pt idx="0">
                  <c:v>1</c:v>
                </c:pt>
                <c:pt idx="1">
                  <c:v>2</c:v>
                </c:pt>
                <c:pt idx="2">
                  <c:v>3</c:v>
                </c:pt>
                <c:pt idx="3">
                  <c:v>4</c:v>
                </c:pt>
                <c:pt idx="4">
                  <c:v>5</c:v>
                </c:pt>
                <c:pt idx="5">
                  <c:v>6</c:v>
                </c:pt>
                <c:pt idx="6">
                  <c:v>7</c:v>
                </c:pt>
                <c:pt idx="7">
                  <c:v>8</c:v>
                </c:pt>
              </c:strCache>
            </c:strRef>
          </c:cat>
          <c:val>
            <c:numRef>
              <c:f>Sheet1!$B$2:$I$2</c:f>
              <c:numCache>
                <c:formatCode>0.0</c:formatCode>
                <c:ptCount val="8"/>
                <c:pt idx="0">
                  <c:v>6.9000000000000057</c:v>
                </c:pt>
                <c:pt idx="1">
                  <c:v>7.0999999999999943</c:v>
                </c:pt>
                <c:pt idx="2">
                  <c:v>6.7999999999999972</c:v>
                </c:pt>
                <c:pt idx="3">
                  <c:v>7.179051820617957</c:v>
                </c:pt>
                <c:pt idx="4">
                  <c:v>11.400000000000006</c:v>
                </c:pt>
                <c:pt idx="5">
                  <c:v>7.3892766363789235</c:v>
                </c:pt>
                <c:pt idx="6">
                  <c:v>6.4597579033531645</c:v>
                </c:pt>
                <c:pt idx="7">
                  <c:v>5.2000000000000028</c:v>
                </c:pt>
              </c:numCache>
            </c:numRef>
          </c:val>
          <c:smooth val="0"/>
          <c:extLst>
            <c:ext xmlns:c16="http://schemas.microsoft.com/office/drawing/2014/chart" uri="{C3380CC4-5D6E-409C-BE32-E72D297353CC}">
              <c16:uniqueId val="{0000000A-57B5-4DB9-ADAC-3253A8172AE7}"/>
            </c:ext>
          </c:extLst>
        </c:ser>
        <c:dLbls>
          <c:showLegendKey val="0"/>
          <c:showVal val="0"/>
          <c:showCatName val="0"/>
          <c:showSerName val="0"/>
          <c:showPercent val="0"/>
          <c:showBubbleSize val="0"/>
        </c:dLbls>
        <c:marker val="1"/>
        <c:smooth val="0"/>
        <c:axId val="222600576"/>
        <c:axId val="222610560"/>
      </c:lineChart>
      <c:catAx>
        <c:axId val="22260057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a:pPr>
            <a:endParaRPr lang="en-US"/>
          </a:p>
        </c:txPr>
        <c:crossAx val="222610560"/>
        <c:crosses val="autoZero"/>
        <c:auto val="1"/>
        <c:lblAlgn val="ctr"/>
        <c:lblOffset val="100"/>
        <c:noMultiLvlLbl val="0"/>
      </c:catAx>
      <c:valAx>
        <c:axId val="222610560"/>
        <c:scaling>
          <c:orientation val="minMax"/>
          <c:max val="12"/>
          <c:min val="-6"/>
        </c:scaling>
        <c:delete val="0"/>
        <c:axPos val="l"/>
        <c:numFmt formatCode="0.0" sourceLinked="1"/>
        <c:majorTickMark val="none"/>
        <c:minorTickMark val="none"/>
        <c:tickLblPos val="nextTo"/>
        <c:spPr>
          <a:noFill/>
          <a:ln>
            <a:noFill/>
          </a:ln>
          <a:effectLst/>
        </c:spPr>
        <c:txPr>
          <a:bodyPr rot="-60000000" vert="horz"/>
          <a:lstStyle/>
          <a:p>
            <a:pPr>
              <a:defRPr/>
            </a:pPr>
            <a:endParaRPr lang="en-US"/>
          </a:p>
        </c:txPr>
        <c:crossAx val="222600576"/>
        <c:crosses val="autoZero"/>
        <c:crossBetween val="between"/>
        <c:majorUnit val="3"/>
      </c:valAx>
      <c:spPr>
        <a:noFill/>
        <a:ln>
          <a:noFill/>
        </a:ln>
        <a:effectLst/>
      </c:spPr>
    </c:plotArea>
    <c:legend>
      <c:legendPos val="b"/>
      <c:layout>
        <c:manualLayout>
          <c:xMode val="edge"/>
          <c:yMode val="edge"/>
          <c:x val="1.5003007436570194E-4"/>
          <c:y val="0.73733838825702347"/>
          <c:w val="0.99522569444444442"/>
          <c:h val="0.26266161174297659"/>
        </c:manualLayout>
      </c:layout>
      <c:overlay val="0"/>
      <c:spPr>
        <a:noFill/>
        <a:ln>
          <a:noFill/>
        </a:ln>
        <a:effectLst/>
      </c:spPr>
      <c:txPr>
        <a:bodyPr rot="0" vert="horz"/>
        <a:lstStyle/>
        <a:p>
          <a:pPr>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2700" cap="flat" cmpd="sng" algn="ctr">
      <a:noFill/>
      <a:round/>
    </a:ln>
    <a:effectLst/>
  </c:spPr>
  <c:txPr>
    <a:bodyPr/>
    <a:lstStyle/>
    <a:p>
      <a:pPr>
        <a:defRPr sz="700">
          <a:latin typeface="Arial Narrow" panose="020B0606020202030204" pitchFamily="34" charset="0"/>
        </a:defRPr>
      </a:pPr>
      <a:endParaRPr lang="en-US"/>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9158840493105639E-2"/>
          <c:y val="0.125"/>
          <c:w val="0.88006936204594566"/>
          <c:h val="0.62135437030144958"/>
        </c:manualLayout>
      </c:layout>
      <c:barChart>
        <c:barDir val="col"/>
        <c:grouping val="clustered"/>
        <c:varyColors val="0"/>
        <c:ser>
          <c:idx val="1"/>
          <c:order val="1"/>
          <c:tx>
            <c:strRef>
              <c:f>Sheet1!$A$3</c:f>
              <c:strCache>
                <c:ptCount val="1"/>
                <c:pt idx="0">
                  <c:v>Անվանական ՀՆԱ, մլրդ դրամ</c:v>
                </c:pt>
              </c:strCache>
            </c:strRef>
          </c:tx>
          <c:spPr>
            <a:solidFill>
              <a:srgbClr val="44546A"/>
            </a:solidFill>
            <a:ln>
              <a:noFill/>
            </a:ln>
            <a:effectLst/>
          </c:spPr>
          <c:invertIfNegative val="0"/>
          <c:cat>
            <c:numRef>
              <c:f>Sheet1!$B$1:$AE$1</c:f>
              <c:numCache>
                <c:formatCode>General</c:formatCode>
                <c:ptCount val="30"/>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pt idx="28">
                  <c:v>2028</c:v>
                </c:pt>
                <c:pt idx="29">
                  <c:v>2029</c:v>
                </c:pt>
              </c:numCache>
            </c:numRef>
          </c:cat>
          <c:val>
            <c:numRef>
              <c:f>Sheet1!$B$3:$AE$3</c:f>
              <c:numCache>
                <c:formatCode>_(* #,##0_);_(* \(#,##0\);_(* "-"??_);_(@_)</c:formatCode>
                <c:ptCount val="30"/>
                <c:pt idx="0">
                  <c:v>1031.3383000000001</c:v>
                </c:pt>
                <c:pt idx="1">
                  <c:v>1175.8768043886819</c:v>
                </c:pt>
                <c:pt idx="2">
                  <c:v>1362.4717000000001</c:v>
                </c:pt>
                <c:pt idx="3">
                  <c:v>1624.6426999999999</c:v>
                </c:pt>
                <c:pt idx="4">
                  <c:v>1907.9453999999998</c:v>
                </c:pt>
                <c:pt idx="5">
                  <c:v>2242.8809000000001</c:v>
                </c:pt>
                <c:pt idx="6">
                  <c:v>2656.1898000000001</c:v>
                </c:pt>
                <c:pt idx="7">
                  <c:v>3149.2834000000007</c:v>
                </c:pt>
                <c:pt idx="8">
                  <c:v>3568.2276000000006</c:v>
                </c:pt>
                <c:pt idx="9">
                  <c:v>3141.6510000000003</c:v>
                </c:pt>
                <c:pt idx="10">
                  <c:v>3460.2027000000007</c:v>
                </c:pt>
                <c:pt idx="11">
                  <c:v>3777.9456</c:v>
                </c:pt>
                <c:pt idx="12">
                  <c:v>4266.4605000000001</c:v>
                </c:pt>
                <c:pt idx="13">
                  <c:v>4555.6382000000003</c:v>
                </c:pt>
                <c:pt idx="14">
                  <c:v>4828.6262999999999</c:v>
                </c:pt>
                <c:pt idx="15">
                  <c:v>5043.6332000000002</c:v>
                </c:pt>
                <c:pt idx="16">
                  <c:v>5067.2934999999998</c:v>
                </c:pt>
                <c:pt idx="17">
                  <c:v>5564.4933000000001</c:v>
                </c:pt>
                <c:pt idx="18">
                  <c:v>6017.0352000000003</c:v>
                </c:pt>
                <c:pt idx="19">
                  <c:v>6543.3217999999997</c:v>
                </c:pt>
                <c:pt idx="20">
                  <c:v>6181.9026000000013</c:v>
                </c:pt>
                <c:pt idx="21">
                  <c:v>6991.7777999999998</c:v>
                </c:pt>
                <c:pt idx="22">
                  <c:v>8501.4494000000013</c:v>
                </c:pt>
                <c:pt idx="23">
                  <c:v>9492.5143000000025</c:v>
                </c:pt>
                <c:pt idx="24">
                  <c:v>10249.769900000003</c:v>
                </c:pt>
                <c:pt idx="25">
                  <c:v>11342.6927</c:v>
                </c:pt>
                <c:pt idx="26">
                  <c:v>12465.148810617302</c:v>
                </c:pt>
                <c:pt idx="27">
                  <c:v>13613.898340005679</c:v>
                </c:pt>
                <c:pt idx="28">
                  <c:v>14877.247932709171</c:v>
                </c:pt>
                <c:pt idx="29" formatCode="General">
                  <c:v>16234.0451643946</c:v>
                </c:pt>
              </c:numCache>
            </c:numRef>
          </c:val>
          <c:extLst>
            <c:ext xmlns:c16="http://schemas.microsoft.com/office/drawing/2014/chart" uri="{C3380CC4-5D6E-409C-BE32-E72D297353CC}">
              <c16:uniqueId val="{00000000-8BE4-4CB8-8C7D-33A3C2104486}"/>
            </c:ext>
          </c:extLst>
        </c:ser>
        <c:dLbls>
          <c:showLegendKey val="0"/>
          <c:showVal val="0"/>
          <c:showCatName val="0"/>
          <c:showSerName val="0"/>
          <c:showPercent val="0"/>
          <c:showBubbleSize val="0"/>
        </c:dLbls>
        <c:gapWidth val="70"/>
        <c:axId val="222749440"/>
        <c:axId val="222750976"/>
      </c:barChart>
      <c:lineChart>
        <c:grouping val="standard"/>
        <c:varyColors val="0"/>
        <c:ser>
          <c:idx val="0"/>
          <c:order val="0"/>
          <c:tx>
            <c:strRef>
              <c:f>Sheet1!$A$2</c:f>
              <c:strCache>
                <c:ptCount val="1"/>
                <c:pt idx="0">
                  <c:v>Տնտեսական աճ, %</c:v>
                </c:pt>
              </c:strCache>
            </c:strRef>
          </c:tx>
          <c:spPr>
            <a:ln w="25400" cap="rnd">
              <a:solidFill>
                <a:srgbClr val="ED7D31">
                  <a:lumMod val="60000"/>
                  <a:lumOff val="40000"/>
                </a:srgbClr>
              </a:solidFill>
              <a:round/>
            </a:ln>
            <a:effectLst/>
          </c:spPr>
          <c:marker>
            <c:symbol val="none"/>
          </c:marker>
          <c:cat>
            <c:numRef>
              <c:f>Sheet1!$B$1:$AE$1</c:f>
              <c:numCache>
                <c:formatCode>General</c:formatCode>
                <c:ptCount val="30"/>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pt idx="28">
                  <c:v>2028</c:v>
                </c:pt>
                <c:pt idx="29">
                  <c:v>2029</c:v>
                </c:pt>
              </c:numCache>
            </c:numRef>
          </c:cat>
          <c:val>
            <c:numRef>
              <c:f>Sheet1!$B$2:$AE$2</c:f>
              <c:numCache>
                <c:formatCode>0.0</c:formatCode>
                <c:ptCount val="30"/>
                <c:pt idx="0">
                  <c:v>5.8956981547403728</c:v>
                </c:pt>
                <c:pt idx="1">
                  <c:v>9.5566411137839395</c:v>
                </c:pt>
                <c:pt idx="2">
                  <c:v>13.196463821262512</c:v>
                </c:pt>
                <c:pt idx="3">
                  <c:v>14.040798058411056</c:v>
                </c:pt>
                <c:pt idx="4">
                  <c:v>10.46784009801047</c:v>
                </c:pt>
                <c:pt idx="5">
                  <c:v>13.865711251485493</c:v>
                </c:pt>
                <c:pt idx="6">
                  <c:v>13.198003514141135</c:v>
                </c:pt>
                <c:pt idx="7">
                  <c:v>13.749201958384148</c:v>
                </c:pt>
                <c:pt idx="8">
                  <c:v>6.9476535519159768</c:v>
                </c:pt>
                <c:pt idx="9">
                  <c:v>-14.149988638617103</c:v>
                </c:pt>
                <c:pt idx="10">
                  <c:v>2.2151091894039183</c:v>
                </c:pt>
                <c:pt idx="11">
                  <c:v>4.6507622226871206</c:v>
                </c:pt>
                <c:pt idx="12">
                  <c:v>7.1590508979271874</c:v>
                </c:pt>
                <c:pt idx="13">
                  <c:v>3.2999999999999972</c:v>
                </c:pt>
                <c:pt idx="14">
                  <c:v>3.5999999999999943</c:v>
                </c:pt>
                <c:pt idx="15">
                  <c:v>3.2000000000000028</c:v>
                </c:pt>
                <c:pt idx="16">
                  <c:v>0.20000000000000284</c:v>
                </c:pt>
                <c:pt idx="17">
                  <c:v>7.5</c:v>
                </c:pt>
                <c:pt idx="18">
                  <c:v>5.1947356482574918</c:v>
                </c:pt>
                <c:pt idx="19">
                  <c:v>7.6208632799755094</c:v>
                </c:pt>
                <c:pt idx="20">
                  <c:v>-7.2000000000000028</c:v>
                </c:pt>
                <c:pt idx="21">
                  <c:v>5.7999999999999972</c:v>
                </c:pt>
                <c:pt idx="22">
                  <c:v>12.599999999999994</c:v>
                </c:pt>
                <c:pt idx="23">
                  <c:v>8.3380204521360497</c:v>
                </c:pt>
                <c:pt idx="24">
                  <c:v>5.9152721803116606</c:v>
                </c:pt>
                <c:pt idx="25">
                  <c:v>7.058935049849282</c:v>
                </c:pt>
                <c:pt idx="26">
                  <c:v>5.5675814108653299</c:v>
                </c:pt>
                <c:pt idx="27">
                  <c:v>5.8165143351429833</c:v>
                </c:pt>
                <c:pt idx="28">
                  <c:v>6.0968714086500029</c:v>
                </c:pt>
                <c:pt idx="29">
                  <c:v>5.9416968027910002</c:v>
                </c:pt>
              </c:numCache>
            </c:numRef>
          </c:val>
          <c:smooth val="0"/>
          <c:extLst>
            <c:ext xmlns:c16="http://schemas.microsoft.com/office/drawing/2014/chart" uri="{C3380CC4-5D6E-409C-BE32-E72D297353CC}">
              <c16:uniqueId val="{00000001-8BE4-4CB8-8C7D-33A3C2104486}"/>
            </c:ext>
          </c:extLst>
        </c:ser>
        <c:dLbls>
          <c:showLegendKey val="0"/>
          <c:showVal val="0"/>
          <c:showCatName val="0"/>
          <c:showSerName val="0"/>
          <c:showPercent val="0"/>
          <c:showBubbleSize val="0"/>
        </c:dLbls>
        <c:marker val="1"/>
        <c:smooth val="0"/>
        <c:axId val="222762496"/>
        <c:axId val="222760960"/>
      </c:lineChart>
      <c:catAx>
        <c:axId val="22274944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22750976"/>
        <c:crosses val="autoZero"/>
        <c:auto val="1"/>
        <c:lblAlgn val="ctr"/>
        <c:lblOffset val="100"/>
        <c:noMultiLvlLbl val="0"/>
      </c:catAx>
      <c:valAx>
        <c:axId val="222750976"/>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out"/>
        <c:minorTickMark val="none"/>
        <c:tickLblPos val="nextTo"/>
        <c:spPr>
          <a:noFill/>
          <a:ln>
            <a:noFill/>
          </a:ln>
          <a:effectLst/>
        </c:spPr>
        <c:txPr>
          <a:bodyPr rot="-60000000" vert="horz"/>
          <a:lstStyle/>
          <a:p>
            <a:pPr>
              <a:defRPr/>
            </a:pPr>
            <a:endParaRPr lang="en-US"/>
          </a:p>
        </c:txPr>
        <c:crossAx val="222749440"/>
        <c:crosses val="autoZero"/>
        <c:crossBetween val="between"/>
        <c:majorUnit val="5000"/>
      </c:valAx>
      <c:valAx>
        <c:axId val="222760960"/>
        <c:scaling>
          <c:orientation val="minMax"/>
        </c:scaling>
        <c:delete val="0"/>
        <c:axPos val="r"/>
        <c:numFmt formatCode="0.0" sourceLinked="1"/>
        <c:majorTickMark val="out"/>
        <c:minorTickMark val="none"/>
        <c:tickLblPos val="nextTo"/>
        <c:spPr>
          <a:noFill/>
          <a:ln>
            <a:noFill/>
          </a:ln>
          <a:effectLst/>
        </c:spPr>
        <c:txPr>
          <a:bodyPr rot="-60000000" vert="horz"/>
          <a:lstStyle/>
          <a:p>
            <a:pPr>
              <a:defRPr/>
            </a:pPr>
            <a:endParaRPr lang="en-US"/>
          </a:p>
        </c:txPr>
        <c:crossAx val="222762496"/>
        <c:crosses val="max"/>
        <c:crossBetween val="between"/>
        <c:majorUnit val="10"/>
      </c:valAx>
      <c:catAx>
        <c:axId val="222762496"/>
        <c:scaling>
          <c:orientation val="minMax"/>
        </c:scaling>
        <c:delete val="1"/>
        <c:axPos val="t"/>
        <c:numFmt formatCode="General" sourceLinked="1"/>
        <c:majorTickMark val="out"/>
        <c:minorTickMark val="none"/>
        <c:tickLblPos val="nextTo"/>
        <c:crossAx val="222760960"/>
        <c:crosses val="max"/>
        <c:auto val="1"/>
        <c:lblAlgn val="ctr"/>
        <c:lblOffset val="100"/>
        <c:noMultiLvlLbl val="0"/>
      </c:catAx>
      <c:spPr>
        <a:noFill/>
        <a:ln>
          <a:noFill/>
        </a:ln>
        <a:effectLst/>
      </c:spPr>
    </c:plotArea>
    <c:legend>
      <c:legendPos val="b"/>
      <c:overlay val="0"/>
      <c:spPr>
        <a:noFill/>
        <a:ln>
          <a:noFill/>
        </a:ln>
        <a:effectLst/>
      </c:spPr>
      <c:txPr>
        <a:bodyPr rot="0" vert="horz"/>
        <a:lstStyle/>
        <a:p>
          <a:pPr>
            <a:defRPr sz="1000"/>
          </a:pPr>
          <a:endParaRPr lang="en-US"/>
        </a:p>
      </c:txPr>
    </c:legend>
    <c:plotVisOnly val="1"/>
    <c:dispBlanksAs val="gap"/>
    <c:showDLblsOverMax val="0"/>
  </c:chart>
  <c:spPr>
    <a:noFill/>
    <a:ln w="12700" cap="flat" cmpd="sng" algn="ctr">
      <a:noFill/>
      <a:round/>
    </a:ln>
    <a:effectLst/>
  </c:spPr>
  <c:txPr>
    <a:bodyPr/>
    <a:lstStyle/>
    <a:p>
      <a:pPr>
        <a:defRPr sz="500">
          <a:latin typeface="Arial Narrow" panose="020B0606020202030204" pitchFamily="34" charset="0"/>
        </a:defRPr>
      </a:pPr>
      <a:endParaRPr lang="en-US"/>
    </a:p>
  </c:txPr>
  <c:externalData r:id="rId2">
    <c:autoUpdate val="0"/>
  </c:externalData>
  <c:userShapes r:id="rId3"/>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030597210264042"/>
          <c:y val="7.201309328968912E-2"/>
          <c:w val="0.81369779122581465"/>
          <c:h val="0.58559531940667808"/>
        </c:manualLayout>
      </c:layout>
      <c:barChart>
        <c:barDir val="col"/>
        <c:grouping val="stacked"/>
        <c:varyColors val="0"/>
        <c:ser>
          <c:idx val="1"/>
          <c:order val="1"/>
          <c:tx>
            <c:strRef>
              <c:f>Sheet1!$A$3</c:f>
              <c:strCache>
                <c:ptCount val="1"/>
                <c:pt idx="0">
                  <c:v>արդյունաբերություն</c:v>
                </c:pt>
              </c:strCache>
            </c:strRef>
          </c:tx>
          <c:spPr>
            <a:solidFill>
              <a:schemeClr val="accent2"/>
            </a:solidFill>
            <a:ln>
              <a:noFill/>
            </a:ln>
            <a:effectLst/>
          </c:spPr>
          <c:invertIfNegative val="0"/>
          <c:cat>
            <c:strRef>
              <c:f>Sheet1!$B$1:$K$1</c:f>
              <c:strCache>
                <c:ptCount val="7"/>
                <c:pt idx="0">
                  <c:v>2023</c:v>
                </c:pt>
                <c:pt idx="1">
                  <c:v>2024</c:v>
                </c:pt>
                <c:pt idx="2">
                  <c:v>2025</c:v>
                </c:pt>
                <c:pt idx="3">
                  <c:v>2026</c:v>
                </c:pt>
                <c:pt idx="4">
                  <c:v>2027</c:v>
                </c:pt>
                <c:pt idx="5">
                  <c:v>2028</c:v>
                </c:pt>
                <c:pt idx="6">
                  <c:v>2029</c:v>
                </c:pt>
              </c:strCache>
            </c:strRef>
          </c:cat>
          <c:val>
            <c:numRef>
              <c:f>Sheet1!$B$3:$K$3</c:f>
              <c:numCache>
                <c:formatCode>0.0</c:formatCode>
                <c:ptCount val="7"/>
                <c:pt idx="0">
                  <c:v>-0.55454606716825983</c:v>
                </c:pt>
                <c:pt idx="1">
                  <c:v>0.32629079104999681</c:v>
                </c:pt>
                <c:pt idx="2">
                  <c:v>0.56820690189350709</c:v>
                </c:pt>
                <c:pt idx="3">
                  <c:v>0.94432607082796238</c:v>
                </c:pt>
                <c:pt idx="4">
                  <c:v>1.2812252780774189</c:v>
                </c:pt>
                <c:pt idx="5">
                  <c:v>1.0967783662949493</c:v>
                </c:pt>
                <c:pt idx="6">
                  <c:v>1.0677590666952637</c:v>
                </c:pt>
              </c:numCache>
            </c:numRef>
          </c:val>
          <c:extLst>
            <c:ext xmlns:c16="http://schemas.microsoft.com/office/drawing/2014/chart" uri="{C3380CC4-5D6E-409C-BE32-E72D297353CC}">
              <c16:uniqueId val="{00000000-3C3E-4238-BB19-22A818AA2412}"/>
            </c:ext>
          </c:extLst>
        </c:ser>
        <c:ser>
          <c:idx val="2"/>
          <c:order val="2"/>
          <c:tx>
            <c:strRef>
              <c:f>Sheet1!$A$4</c:f>
              <c:strCache>
                <c:ptCount val="1"/>
                <c:pt idx="0">
                  <c:v>գյուղատնտեսություն </c:v>
                </c:pt>
              </c:strCache>
            </c:strRef>
          </c:tx>
          <c:spPr>
            <a:solidFill>
              <a:schemeClr val="accent3"/>
            </a:solidFill>
            <a:ln>
              <a:noFill/>
            </a:ln>
            <a:effectLst/>
          </c:spPr>
          <c:invertIfNegative val="0"/>
          <c:cat>
            <c:strRef>
              <c:f>Sheet1!$B$1:$K$1</c:f>
              <c:strCache>
                <c:ptCount val="7"/>
                <c:pt idx="0">
                  <c:v>2023</c:v>
                </c:pt>
                <c:pt idx="1">
                  <c:v>2024</c:v>
                </c:pt>
                <c:pt idx="2">
                  <c:v>2025</c:v>
                </c:pt>
                <c:pt idx="3">
                  <c:v>2026</c:v>
                </c:pt>
                <c:pt idx="4">
                  <c:v>2027</c:v>
                </c:pt>
                <c:pt idx="5">
                  <c:v>2028</c:v>
                </c:pt>
                <c:pt idx="6">
                  <c:v>2029</c:v>
                </c:pt>
              </c:strCache>
            </c:strRef>
          </c:cat>
          <c:val>
            <c:numRef>
              <c:f>Sheet1!$B$4:$K$4</c:f>
              <c:numCache>
                <c:formatCode>0.0</c:formatCode>
                <c:ptCount val="7"/>
                <c:pt idx="0">
                  <c:v>-4.0586815702273633E-2</c:v>
                </c:pt>
                <c:pt idx="1">
                  <c:v>0.12042120389540836</c:v>
                </c:pt>
                <c:pt idx="2">
                  <c:v>0.39449080705703049</c:v>
                </c:pt>
                <c:pt idx="3">
                  <c:v>-0.26961925010980853</c:v>
                </c:pt>
                <c:pt idx="4">
                  <c:v>0.23159118767998088</c:v>
                </c:pt>
                <c:pt idx="5">
                  <c:v>0.23266942596920492</c:v>
                </c:pt>
                <c:pt idx="6">
                  <c:v>0.22653575971867124</c:v>
                </c:pt>
              </c:numCache>
            </c:numRef>
          </c:val>
          <c:extLst>
            <c:ext xmlns:c16="http://schemas.microsoft.com/office/drawing/2014/chart" uri="{C3380CC4-5D6E-409C-BE32-E72D297353CC}">
              <c16:uniqueId val="{00000001-3C3E-4238-BB19-22A818AA2412}"/>
            </c:ext>
          </c:extLst>
        </c:ser>
        <c:ser>
          <c:idx val="3"/>
          <c:order val="3"/>
          <c:tx>
            <c:strRef>
              <c:f>Sheet1!$A$5</c:f>
              <c:strCache>
                <c:ptCount val="1"/>
                <c:pt idx="0">
                  <c:v>շինարարություն</c:v>
                </c:pt>
              </c:strCache>
            </c:strRef>
          </c:tx>
          <c:spPr>
            <a:solidFill>
              <a:schemeClr val="accent4"/>
            </a:solidFill>
            <a:ln>
              <a:noFill/>
            </a:ln>
            <a:effectLst/>
          </c:spPr>
          <c:invertIfNegative val="0"/>
          <c:cat>
            <c:strRef>
              <c:f>Sheet1!$B$1:$K$1</c:f>
              <c:strCache>
                <c:ptCount val="7"/>
                <c:pt idx="0">
                  <c:v>2023</c:v>
                </c:pt>
                <c:pt idx="1">
                  <c:v>2024</c:v>
                </c:pt>
                <c:pt idx="2">
                  <c:v>2025</c:v>
                </c:pt>
                <c:pt idx="3">
                  <c:v>2026</c:v>
                </c:pt>
                <c:pt idx="4">
                  <c:v>2027</c:v>
                </c:pt>
                <c:pt idx="5">
                  <c:v>2028</c:v>
                </c:pt>
                <c:pt idx="6">
                  <c:v>2029</c:v>
                </c:pt>
              </c:strCache>
            </c:strRef>
          </c:cat>
          <c:val>
            <c:numRef>
              <c:f>Sheet1!$B$5:$K$5</c:f>
              <c:numCache>
                <c:formatCode>0.0</c:formatCode>
                <c:ptCount val="7"/>
                <c:pt idx="0">
                  <c:v>1.0606250176587531</c:v>
                </c:pt>
                <c:pt idx="1">
                  <c:v>0.96802382483634342</c:v>
                </c:pt>
                <c:pt idx="2">
                  <c:v>1.4682524726725774</c:v>
                </c:pt>
                <c:pt idx="3">
                  <c:v>1.0906611090680429</c:v>
                </c:pt>
                <c:pt idx="4">
                  <c:v>0.50038287989400387</c:v>
                </c:pt>
                <c:pt idx="5">
                  <c:v>0.48722326106611041</c:v>
                </c:pt>
                <c:pt idx="6">
                  <c:v>0.48537314550494837</c:v>
                </c:pt>
              </c:numCache>
            </c:numRef>
          </c:val>
          <c:extLst>
            <c:ext xmlns:c16="http://schemas.microsoft.com/office/drawing/2014/chart" uri="{C3380CC4-5D6E-409C-BE32-E72D297353CC}">
              <c16:uniqueId val="{00000002-3C3E-4238-BB19-22A818AA2412}"/>
            </c:ext>
          </c:extLst>
        </c:ser>
        <c:ser>
          <c:idx val="4"/>
          <c:order val="4"/>
          <c:tx>
            <c:strRef>
              <c:f>Sheet1!$A$6</c:f>
              <c:strCache>
                <c:ptCount val="1"/>
                <c:pt idx="0">
                  <c:v>ծառայություններ</c:v>
                </c:pt>
              </c:strCache>
            </c:strRef>
          </c:tx>
          <c:spPr>
            <a:solidFill>
              <a:schemeClr val="accent5"/>
            </a:solidFill>
            <a:ln>
              <a:noFill/>
            </a:ln>
            <a:effectLst/>
          </c:spPr>
          <c:invertIfNegative val="0"/>
          <c:cat>
            <c:strRef>
              <c:f>Sheet1!$B$1:$K$1</c:f>
              <c:strCache>
                <c:ptCount val="7"/>
                <c:pt idx="0">
                  <c:v>2023</c:v>
                </c:pt>
                <c:pt idx="1">
                  <c:v>2024</c:v>
                </c:pt>
                <c:pt idx="2">
                  <c:v>2025</c:v>
                </c:pt>
                <c:pt idx="3">
                  <c:v>2026</c:v>
                </c:pt>
                <c:pt idx="4">
                  <c:v>2027</c:v>
                </c:pt>
                <c:pt idx="5">
                  <c:v>2028</c:v>
                </c:pt>
                <c:pt idx="6">
                  <c:v>2029</c:v>
                </c:pt>
              </c:strCache>
            </c:strRef>
          </c:cat>
          <c:val>
            <c:numRef>
              <c:f>Sheet1!$B$6:$K$6</c:f>
              <c:numCache>
                <c:formatCode>0.0</c:formatCode>
                <c:ptCount val="7"/>
                <c:pt idx="0">
                  <c:v>6.7301575117296917</c:v>
                </c:pt>
                <c:pt idx="1">
                  <c:v>4.668147380088767</c:v>
                </c:pt>
                <c:pt idx="2">
                  <c:v>3.6001920394329612</c:v>
                </c:pt>
                <c:pt idx="3">
                  <c:v>3.2073829713889377</c:v>
                </c:pt>
                <c:pt idx="4">
                  <c:v>3.1876433356272469</c:v>
                </c:pt>
                <c:pt idx="5">
                  <c:v>3.6328620158687208</c:v>
                </c:pt>
                <c:pt idx="6">
                  <c:v>3.5246660536414645</c:v>
                </c:pt>
              </c:numCache>
            </c:numRef>
          </c:val>
          <c:extLst>
            <c:ext xmlns:c16="http://schemas.microsoft.com/office/drawing/2014/chart" uri="{C3380CC4-5D6E-409C-BE32-E72D297353CC}">
              <c16:uniqueId val="{00000003-3C3E-4238-BB19-22A818AA2412}"/>
            </c:ext>
          </c:extLst>
        </c:ser>
        <c:ser>
          <c:idx val="5"/>
          <c:order val="5"/>
          <c:tx>
            <c:strRef>
              <c:f>Sheet1!$A$7</c:f>
              <c:strCache>
                <c:ptCount val="1"/>
                <c:pt idx="0">
                  <c:v>զուտ հարկեր</c:v>
                </c:pt>
              </c:strCache>
            </c:strRef>
          </c:tx>
          <c:spPr>
            <a:solidFill>
              <a:schemeClr val="accent6"/>
            </a:solidFill>
            <a:ln>
              <a:noFill/>
            </a:ln>
            <a:effectLst/>
          </c:spPr>
          <c:invertIfNegative val="0"/>
          <c:cat>
            <c:strRef>
              <c:f>Sheet1!$B$1:$K$1</c:f>
              <c:strCache>
                <c:ptCount val="7"/>
                <c:pt idx="0">
                  <c:v>2023</c:v>
                </c:pt>
                <c:pt idx="1">
                  <c:v>2024</c:v>
                </c:pt>
                <c:pt idx="2">
                  <c:v>2025</c:v>
                </c:pt>
                <c:pt idx="3">
                  <c:v>2026</c:v>
                </c:pt>
                <c:pt idx="4">
                  <c:v>2027</c:v>
                </c:pt>
                <c:pt idx="5">
                  <c:v>2028</c:v>
                </c:pt>
                <c:pt idx="6">
                  <c:v>2029</c:v>
                </c:pt>
              </c:strCache>
            </c:strRef>
          </c:cat>
          <c:val>
            <c:numRef>
              <c:f>Sheet1!$B$7:$K$7</c:f>
              <c:numCache>
                <c:formatCode>0.0</c:formatCode>
                <c:ptCount val="7"/>
                <c:pt idx="0">
                  <c:v>1.142370805618157</c:v>
                </c:pt>
                <c:pt idx="1">
                  <c:v>-0.16761101955885854</c:v>
                </c:pt>
                <c:pt idx="2">
                  <c:v>1.0277928287931888</c:v>
                </c:pt>
                <c:pt idx="3">
                  <c:v>0.59483050969017182</c:v>
                </c:pt>
                <c:pt idx="4">
                  <c:v>0.61567165386431832</c:v>
                </c:pt>
                <c:pt idx="5">
                  <c:v>0.64733833945101615</c:v>
                </c:pt>
                <c:pt idx="6">
                  <c:v>0.63736277723064461</c:v>
                </c:pt>
              </c:numCache>
            </c:numRef>
          </c:val>
          <c:extLst>
            <c:ext xmlns:c16="http://schemas.microsoft.com/office/drawing/2014/chart" uri="{C3380CC4-5D6E-409C-BE32-E72D297353CC}">
              <c16:uniqueId val="{00000004-3C3E-4238-BB19-22A818AA2412}"/>
            </c:ext>
          </c:extLst>
        </c:ser>
        <c:dLbls>
          <c:showLegendKey val="0"/>
          <c:showVal val="0"/>
          <c:showCatName val="0"/>
          <c:showSerName val="0"/>
          <c:showPercent val="0"/>
          <c:showBubbleSize val="0"/>
        </c:dLbls>
        <c:gapWidth val="150"/>
        <c:overlap val="100"/>
        <c:axId val="222975104"/>
        <c:axId val="222976640"/>
      </c:barChart>
      <c:lineChart>
        <c:grouping val="standard"/>
        <c:varyColors val="0"/>
        <c:ser>
          <c:idx val="0"/>
          <c:order val="0"/>
          <c:tx>
            <c:strRef>
              <c:f>Sheet1!$A$2</c:f>
              <c:strCache>
                <c:ptCount val="1"/>
                <c:pt idx="0">
                  <c:v>ՀՆԱ</c:v>
                </c:pt>
              </c:strCache>
            </c:strRef>
          </c:tx>
          <c:spPr>
            <a:ln w="19050" cap="rnd" cmpd="sng" algn="ctr">
              <a:solidFill>
                <a:schemeClr val="accent1"/>
              </a:solidFill>
              <a:prstDash val="solid"/>
              <a:round/>
            </a:ln>
            <a:effectLst/>
          </c:spPr>
          <c:marker>
            <c:symbol val="none"/>
          </c:marker>
          <c:dLbls>
            <c:dLbl>
              <c:idx val="0"/>
              <c:layout>
                <c:manualLayout>
                  <c:x val="-4.8790404553771163E-2"/>
                  <c:y val="-4.03726641579728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C3E-4238-BB19-22A818AA2412}"/>
                </c:ext>
              </c:extLst>
            </c:dLbl>
            <c:dLbl>
              <c:idx val="1"/>
              <c:layout>
                <c:manualLayout>
                  <c:x val="-5.9117317366579179E-2"/>
                  <c:y val="-3.99035739509581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C3E-4238-BB19-22A818AA2412}"/>
                </c:ext>
              </c:extLst>
            </c:dLbl>
            <c:dLbl>
              <c:idx val="2"/>
              <c:layout>
                <c:manualLayout>
                  <c:x val="-5.8613571741032454E-2"/>
                  <c:y val="-4.21811432207001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C3E-4238-BB19-22A818AA2412}"/>
                </c:ext>
              </c:extLst>
            </c:dLbl>
            <c:dLbl>
              <c:idx val="3"/>
              <c:layout>
                <c:manualLayout>
                  <c:x val="-5.7077045056868052E-2"/>
                  <c:y val="-4.46717603590878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C3E-4238-BB19-22A818AA2412}"/>
                </c:ext>
              </c:extLst>
            </c:dLbl>
            <c:dLbl>
              <c:idx val="4"/>
              <c:layout>
                <c:manualLayout>
                  <c:x val="-6.126250820209974E-2"/>
                  <c:y val="-4.13867373324072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C3E-4238-BB19-22A818AA2412}"/>
                </c:ext>
              </c:extLst>
            </c:dLbl>
            <c:dLbl>
              <c:idx val="5"/>
              <c:layout>
                <c:manualLayout>
                  <c:x val="-6.1811365376203131E-2"/>
                  <c:y val="-4.20013658411304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C3E-4238-BB19-22A818AA2412}"/>
                </c:ext>
              </c:extLst>
            </c:dLbl>
            <c:dLbl>
              <c:idx val="6"/>
              <c:layout>
                <c:manualLayout>
                  <c:x val="-5.6423611111111112E-2"/>
                  <c:y val="-3.70644922164566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C3E-4238-BB19-22A818AA2412}"/>
                </c:ext>
              </c:extLst>
            </c:dLbl>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Arial Narrow" panose="020B0606020202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Sheet1!$B$1:$K$1</c:f>
              <c:strCache>
                <c:ptCount val="7"/>
                <c:pt idx="0">
                  <c:v>2023</c:v>
                </c:pt>
                <c:pt idx="1">
                  <c:v>2024</c:v>
                </c:pt>
                <c:pt idx="2">
                  <c:v>2025</c:v>
                </c:pt>
                <c:pt idx="3">
                  <c:v>2026</c:v>
                </c:pt>
                <c:pt idx="4">
                  <c:v>2027</c:v>
                </c:pt>
                <c:pt idx="5">
                  <c:v>2028</c:v>
                </c:pt>
                <c:pt idx="6">
                  <c:v>2029</c:v>
                </c:pt>
              </c:strCache>
            </c:strRef>
          </c:cat>
          <c:val>
            <c:numRef>
              <c:f>Sheet1!$B$2:$K$2</c:f>
              <c:numCache>
                <c:formatCode>0.0</c:formatCode>
                <c:ptCount val="7"/>
                <c:pt idx="0">
                  <c:v>8.3380204521360692</c:v>
                </c:pt>
                <c:pt idx="1">
                  <c:v>5.915272180311657</c:v>
                </c:pt>
                <c:pt idx="2">
                  <c:v>7.0589350498492642</c:v>
                </c:pt>
                <c:pt idx="3">
                  <c:v>5.5675814108653299</c:v>
                </c:pt>
                <c:pt idx="4">
                  <c:v>5.8165143351429833</c:v>
                </c:pt>
                <c:pt idx="5">
                  <c:v>6.0968714086500029</c:v>
                </c:pt>
                <c:pt idx="6">
                  <c:v>5.941696802790986</c:v>
                </c:pt>
              </c:numCache>
            </c:numRef>
          </c:val>
          <c:smooth val="0"/>
          <c:extLst>
            <c:ext xmlns:c16="http://schemas.microsoft.com/office/drawing/2014/chart" uri="{C3380CC4-5D6E-409C-BE32-E72D297353CC}">
              <c16:uniqueId val="{0000000C-3C3E-4238-BB19-22A818AA2412}"/>
            </c:ext>
          </c:extLst>
        </c:ser>
        <c:dLbls>
          <c:showLegendKey val="0"/>
          <c:showVal val="0"/>
          <c:showCatName val="0"/>
          <c:showSerName val="0"/>
          <c:showPercent val="0"/>
          <c:showBubbleSize val="0"/>
        </c:dLbls>
        <c:marker val="1"/>
        <c:smooth val="0"/>
        <c:axId val="1774142831"/>
        <c:axId val="1774198575"/>
      </c:lineChart>
      <c:catAx>
        <c:axId val="22297510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Arial Narrow" panose="020B0606020202030204" pitchFamily="34" charset="0"/>
                <a:ea typeface="Calibri" panose="020F0502020204030204" pitchFamily="34" charset="0"/>
                <a:cs typeface="Calibri" panose="020F0502020204030204" pitchFamily="34" charset="0"/>
              </a:defRPr>
            </a:pPr>
            <a:endParaRPr lang="en-US"/>
          </a:p>
        </c:txPr>
        <c:crossAx val="222976640"/>
        <c:crosses val="autoZero"/>
        <c:auto val="1"/>
        <c:lblAlgn val="ctr"/>
        <c:lblOffset val="100"/>
        <c:noMultiLvlLbl val="0"/>
      </c:catAx>
      <c:valAx>
        <c:axId val="222976640"/>
        <c:scaling>
          <c:orientation val="minMax"/>
          <c:max val="10"/>
          <c:min val="-2"/>
        </c:scaling>
        <c:delete val="0"/>
        <c:axPos val="l"/>
        <c:numFmt formatCode="0.0" sourceLinked="1"/>
        <c:majorTickMark val="none"/>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Arial Narrow" panose="020B0606020202030204" pitchFamily="34" charset="0"/>
                <a:ea typeface="Calibri" panose="020F0502020204030204" pitchFamily="34" charset="0"/>
                <a:cs typeface="Calibri" panose="020F0502020204030204" pitchFamily="34" charset="0"/>
              </a:defRPr>
            </a:pPr>
            <a:endParaRPr lang="en-US"/>
          </a:p>
        </c:txPr>
        <c:crossAx val="222975104"/>
        <c:crosses val="autoZero"/>
        <c:crossBetween val="between"/>
        <c:majorUnit val="2"/>
      </c:valAx>
      <c:valAx>
        <c:axId val="1774198575"/>
        <c:scaling>
          <c:orientation val="minMax"/>
          <c:max val="15"/>
        </c:scaling>
        <c:delete val="1"/>
        <c:axPos val="r"/>
        <c:numFmt formatCode="0.0" sourceLinked="1"/>
        <c:majorTickMark val="out"/>
        <c:minorTickMark val="none"/>
        <c:tickLblPos val="nextTo"/>
        <c:crossAx val="1774142831"/>
        <c:crosses val="max"/>
        <c:crossBetween val="between"/>
      </c:valAx>
      <c:catAx>
        <c:axId val="1774142831"/>
        <c:scaling>
          <c:orientation val="minMax"/>
        </c:scaling>
        <c:delete val="1"/>
        <c:axPos val="b"/>
        <c:numFmt formatCode="General" sourceLinked="1"/>
        <c:majorTickMark val="out"/>
        <c:minorTickMark val="none"/>
        <c:tickLblPos val="nextTo"/>
        <c:crossAx val="1774198575"/>
        <c:crosses val="autoZero"/>
        <c:auto val="1"/>
        <c:lblAlgn val="ctr"/>
        <c:lblOffset val="100"/>
        <c:noMultiLvlLbl val="0"/>
      </c:catAx>
      <c:spPr>
        <a:noFill/>
        <a:ln>
          <a:noFill/>
        </a:ln>
        <a:effectLst/>
      </c:spPr>
    </c:plotArea>
    <c:legend>
      <c:legendPos val="b"/>
      <c:layout>
        <c:manualLayout>
          <c:xMode val="edge"/>
          <c:yMode val="edge"/>
          <c:x val="0"/>
          <c:y val="0.78813829673729807"/>
          <c:w val="1"/>
          <c:h val="0.21186145134635948"/>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solidFill>
              <a:latin typeface="Arial Narrow" panose="020B0606020202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2700" cap="flat" cmpd="sng" algn="ctr">
      <a:noFill/>
      <a:prstDash val="solid"/>
      <a:round/>
    </a:ln>
    <a:effectLst/>
  </c:spPr>
  <c:txPr>
    <a:bodyPr/>
    <a:lstStyle/>
    <a:p>
      <a:pPr>
        <a:defRPr sz="800">
          <a:latin typeface="Arial Narrow" panose="020B0606020202030204" pitchFamily="34" charset="0"/>
          <a:ea typeface="Calibri" panose="020F0502020204030204" pitchFamily="34" charset="0"/>
          <a:cs typeface="Calibri" panose="020F0502020204030204" pitchFamily="34" charset="0"/>
        </a:defRPr>
      </a:pPr>
      <a:endParaRPr lang="en-US"/>
    </a:p>
  </c:txPr>
  <c:externalData r:id="rId4">
    <c:autoUpdate val="0"/>
  </c:externalData>
  <c:userShapes r:id="rId5"/>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030597210264042"/>
          <c:y val="7.201309328968912E-2"/>
          <c:w val="0.81369779122581465"/>
          <c:h val="0.58559531940667808"/>
        </c:manualLayout>
      </c:layout>
      <c:barChart>
        <c:barDir val="col"/>
        <c:grouping val="stacked"/>
        <c:varyColors val="0"/>
        <c:ser>
          <c:idx val="1"/>
          <c:order val="1"/>
          <c:tx>
            <c:strRef>
              <c:f>Sheet1!$A$3</c:f>
              <c:strCache>
                <c:ptCount val="1"/>
                <c:pt idx="0">
                  <c:v>Սպառում</c:v>
                </c:pt>
              </c:strCache>
            </c:strRef>
          </c:tx>
          <c:spPr>
            <a:solidFill>
              <a:schemeClr val="accent2"/>
            </a:solidFill>
            <a:ln>
              <a:noFill/>
            </a:ln>
            <a:effectLst/>
          </c:spPr>
          <c:invertIfNegative val="0"/>
          <c:cat>
            <c:strRef>
              <c:f>Sheet1!$B$1:$K$1</c:f>
              <c:strCache>
                <c:ptCount val="7"/>
                <c:pt idx="0">
                  <c:v>2023</c:v>
                </c:pt>
                <c:pt idx="1">
                  <c:v>2024</c:v>
                </c:pt>
                <c:pt idx="2">
                  <c:v>2025</c:v>
                </c:pt>
                <c:pt idx="3">
                  <c:v>2026</c:v>
                </c:pt>
                <c:pt idx="4">
                  <c:v>2027</c:v>
                </c:pt>
                <c:pt idx="5">
                  <c:v>2028</c:v>
                </c:pt>
                <c:pt idx="6">
                  <c:v>2029</c:v>
                </c:pt>
              </c:strCache>
            </c:strRef>
          </c:cat>
          <c:val>
            <c:numRef>
              <c:f>Sheet1!$B$3:$K$3</c:f>
              <c:numCache>
                <c:formatCode>0.0</c:formatCode>
                <c:ptCount val="7"/>
                <c:pt idx="0">
                  <c:v>5.4487591257087047</c:v>
                </c:pt>
                <c:pt idx="1">
                  <c:v>5.6568862429913374</c:v>
                </c:pt>
                <c:pt idx="2">
                  <c:v>7.0448976615562326</c:v>
                </c:pt>
                <c:pt idx="3">
                  <c:v>3.9620229409900629</c:v>
                </c:pt>
                <c:pt idx="4">
                  <c:v>4.4097066206939894</c:v>
                </c:pt>
                <c:pt idx="5">
                  <c:v>3.9220986447094113</c:v>
                </c:pt>
                <c:pt idx="6">
                  <c:v>4.3290806197197584</c:v>
                </c:pt>
              </c:numCache>
            </c:numRef>
          </c:val>
          <c:extLst>
            <c:ext xmlns:c16="http://schemas.microsoft.com/office/drawing/2014/chart" uri="{C3380CC4-5D6E-409C-BE32-E72D297353CC}">
              <c16:uniqueId val="{00000000-ED09-4F0D-A70D-2823DA07776A}"/>
            </c:ext>
          </c:extLst>
        </c:ser>
        <c:ser>
          <c:idx val="2"/>
          <c:order val="2"/>
          <c:tx>
            <c:strRef>
              <c:f>Sheet1!$A$4</c:f>
              <c:strCache>
                <c:ptCount val="1"/>
                <c:pt idx="0">
                  <c:v>Հիմնական միջոցներում կապիտալ ներդրումներ</c:v>
                </c:pt>
              </c:strCache>
            </c:strRef>
          </c:tx>
          <c:spPr>
            <a:solidFill>
              <a:schemeClr val="accent3"/>
            </a:solidFill>
            <a:ln>
              <a:noFill/>
            </a:ln>
            <a:effectLst/>
          </c:spPr>
          <c:invertIfNegative val="0"/>
          <c:cat>
            <c:strRef>
              <c:f>Sheet1!$B$1:$K$1</c:f>
              <c:strCache>
                <c:ptCount val="7"/>
                <c:pt idx="0">
                  <c:v>2023</c:v>
                </c:pt>
                <c:pt idx="1">
                  <c:v>2024</c:v>
                </c:pt>
                <c:pt idx="2">
                  <c:v>2025</c:v>
                </c:pt>
                <c:pt idx="3">
                  <c:v>2026</c:v>
                </c:pt>
                <c:pt idx="4">
                  <c:v>2027</c:v>
                </c:pt>
                <c:pt idx="5">
                  <c:v>2028</c:v>
                </c:pt>
                <c:pt idx="6">
                  <c:v>2029</c:v>
                </c:pt>
              </c:strCache>
            </c:strRef>
          </c:cat>
          <c:val>
            <c:numRef>
              <c:f>Sheet1!$B$4:$K$4</c:f>
              <c:numCache>
                <c:formatCode>0.0</c:formatCode>
                <c:ptCount val="7"/>
                <c:pt idx="0">
                  <c:v>1.8996913632162287</c:v>
                </c:pt>
                <c:pt idx="1">
                  <c:v>2.4524756312454845</c:v>
                </c:pt>
                <c:pt idx="2">
                  <c:v>3.1883993805558144</c:v>
                </c:pt>
                <c:pt idx="3">
                  <c:v>3.375881201329892</c:v>
                </c:pt>
                <c:pt idx="4">
                  <c:v>2.0382840001458749</c:v>
                </c:pt>
                <c:pt idx="5">
                  <c:v>1.7442123504891793</c:v>
                </c:pt>
                <c:pt idx="6">
                  <c:v>1.6124318322873161</c:v>
                </c:pt>
              </c:numCache>
            </c:numRef>
          </c:val>
          <c:extLst>
            <c:ext xmlns:c16="http://schemas.microsoft.com/office/drawing/2014/chart" uri="{C3380CC4-5D6E-409C-BE32-E72D297353CC}">
              <c16:uniqueId val="{00000001-ED09-4F0D-A70D-2823DA07776A}"/>
            </c:ext>
          </c:extLst>
        </c:ser>
        <c:ser>
          <c:idx val="3"/>
          <c:order val="3"/>
          <c:tx>
            <c:strRef>
              <c:f>Sheet1!$A$5</c:f>
              <c:strCache>
                <c:ptCount val="1"/>
                <c:pt idx="0">
                  <c:v>Զուտ արտահանում</c:v>
                </c:pt>
              </c:strCache>
            </c:strRef>
          </c:tx>
          <c:spPr>
            <a:solidFill>
              <a:srgbClr val="FFC000"/>
            </a:solidFill>
            <a:ln>
              <a:noFill/>
            </a:ln>
            <a:effectLst/>
          </c:spPr>
          <c:invertIfNegative val="0"/>
          <c:cat>
            <c:strRef>
              <c:f>Sheet1!$B$1:$K$1</c:f>
              <c:strCache>
                <c:ptCount val="7"/>
                <c:pt idx="0">
                  <c:v>2023</c:v>
                </c:pt>
                <c:pt idx="1">
                  <c:v>2024</c:v>
                </c:pt>
                <c:pt idx="2">
                  <c:v>2025</c:v>
                </c:pt>
                <c:pt idx="3">
                  <c:v>2026</c:v>
                </c:pt>
                <c:pt idx="4">
                  <c:v>2027</c:v>
                </c:pt>
                <c:pt idx="5">
                  <c:v>2028</c:v>
                </c:pt>
                <c:pt idx="6">
                  <c:v>2029</c:v>
                </c:pt>
              </c:strCache>
            </c:strRef>
          </c:cat>
          <c:val>
            <c:numRef>
              <c:f>Sheet1!$B$5:$K$5</c:f>
              <c:numCache>
                <c:formatCode>0.0</c:formatCode>
                <c:ptCount val="7"/>
                <c:pt idx="0">
                  <c:v>-0.37133668054332603</c:v>
                </c:pt>
                <c:pt idx="1">
                  <c:v>-2.0742267398007286</c:v>
                </c:pt>
                <c:pt idx="2">
                  <c:v>-3.9062984233431202</c:v>
                </c:pt>
                <c:pt idx="3">
                  <c:v>-0.93199499820051912</c:v>
                </c:pt>
                <c:pt idx="4">
                  <c:v>-2.8397086105909963E-2</c:v>
                </c:pt>
                <c:pt idx="5">
                  <c:v>1.3362244835795596</c:v>
                </c:pt>
                <c:pt idx="6">
                  <c:v>0.95315404461519782</c:v>
                </c:pt>
              </c:numCache>
            </c:numRef>
          </c:val>
          <c:extLst>
            <c:ext xmlns:c16="http://schemas.microsoft.com/office/drawing/2014/chart" uri="{C3380CC4-5D6E-409C-BE32-E72D297353CC}">
              <c16:uniqueId val="{00000002-ED09-4F0D-A70D-2823DA07776A}"/>
            </c:ext>
          </c:extLst>
        </c:ser>
        <c:dLbls>
          <c:showLegendKey val="0"/>
          <c:showVal val="0"/>
          <c:showCatName val="0"/>
          <c:showSerName val="0"/>
          <c:showPercent val="0"/>
          <c:showBubbleSize val="0"/>
        </c:dLbls>
        <c:gapWidth val="70"/>
        <c:overlap val="100"/>
        <c:axId val="222975104"/>
        <c:axId val="222976640"/>
      </c:barChart>
      <c:lineChart>
        <c:grouping val="standard"/>
        <c:varyColors val="0"/>
        <c:ser>
          <c:idx val="0"/>
          <c:order val="0"/>
          <c:tx>
            <c:strRef>
              <c:f>Sheet1!$A$2</c:f>
              <c:strCache>
                <c:ptCount val="1"/>
                <c:pt idx="0">
                  <c:v>ՀՆԱ</c:v>
                </c:pt>
              </c:strCache>
            </c:strRef>
          </c:tx>
          <c:spPr>
            <a:ln w="19050" cap="rnd" cmpd="sng" algn="ctr">
              <a:solidFill>
                <a:schemeClr val="accent1"/>
              </a:solidFill>
              <a:prstDash val="solid"/>
              <a:round/>
            </a:ln>
            <a:effectLst/>
          </c:spPr>
          <c:marker>
            <c:symbol val="none"/>
          </c:marker>
          <c:dLbls>
            <c:dLbl>
              <c:idx val="0"/>
              <c:layout>
                <c:manualLayout>
                  <c:x val="-4.8790404553771163E-2"/>
                  <c:y val="-4.03726641579728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D09-4F0D-A70D-2823DA07776A}"/>
                </c:ext>
              </c:extLst>
            </c:dLbl>
            <c:dLbl>
              <c:idx val="1"/>
              <c:layout>
                <c:manualLayout>
                  <c:x val="-5.9117386703974394E-2"/>
                  <c:y val="-4.58004357205179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D09-4F0D-A70D-2823DA07776A}"/>
                </c:ext>
              </c:extLst>
            </c:dLbl>
            <c:dLbl>
              <c:idx val="2"/>
              <c:layout>
                <c:manualLayout>
                  <c:x val="-5.8613475307861367E-2"/>
                  <c:y val="-4.06654640637629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D09-4F0D-A70D-2823DA07776A}"/>
                </c:ext>
              </c:extLst>
            </c:dLbl>
            <c:dLbl>
              <c:idx val="3"/>
              <c:layout>
                <c:manualLayout>
                  <c:x val="-5.7077045056867969E-2"/>
                  <c:y val="-4.83020089778497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D09-4F0D-A70D-2823DA07776A}"/>
                </c:ext>
              </c:extLst>
            </c:dLbl>
            <c:dLbl>
              <c:idx val="4"/>
              <c:layout>
                <c:manualLayout>
                  <c:x val="-5.6922138646066274E-2"/>
                  <c:y val="-4.7586675730795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D09-4F0D-A70D-2823DA07776A}"/>
                </c:ext>
              </c:extLst>
            </c:dLbl>
            <c:dLbl>
              <c:idx val="5"/>
              <c:layout>
                <c:manualLayout>
                  <c:x val="-4.8790404553771094E-2"/>
                  <c:y val="-4.07885791978246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D09-4F0D-A70D-2823DA07776A}"/>
                </c:ext>
              </c:extLst>
            </c:dLbl>
            <c:dLbl>
              <c:idx val="6"/>
              <c:layout>
                <c:manualLayout>
                  <c:x val="-6.5104166666666671E-2"/>
                  <c:y val="-4.48598130841121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D09-4F0D-A70D-2823DA07776A}"/>
                </c:ext>
              </c:extLst>
            </c:dLbl>
            <c:spPr>
              <a:noFill/>
              <a:ln>
                <a:noFill/>
              </a:ln>
              <a:effectLst/>
            </c:spPr>
            <c:txPr>
              <a:bodyPr rot="0" spcFirstLastPara="1" vertOverflow="ellipsis" vert="horz" wrap="square" anchor="ctr" anchorCtr="1"/>
              <a:lstStyle/>
              <a:p>
                <a:pPr>
                  <a:defRPr sz="800" b="1"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Sheet1!$B$1:$K$1</c:f>
              <c:strCache>
                <c:ptCount val="7"/>
                <c:pt idx="0">
                  <c:v>2023</c:v>
                </c:pt>
                <c:pt idx="1">
                  <c:v>2024</c:v>
                </c:pt>
                <c:pt idx="2">
                  <c:v>2025</c:v>
                </c:pt>
                <c:pt idx="3">
                  <c:v>2026</c:v>
                </c:pt>
                <c:pt idx="4">
                  <c:v>2027</c:v>
                </c:pt>
                <c:pt idx="5">
                  <c:v>2028</c:v>
                </c:pt>
                <c:pt idx="6">
                  <c:v>2029</c:v>
                </c:pt>
              </c:strCache>
            </c:strRef>
          </c:cat>
          <c:val>
            <c:numRef>
              <c:f>Sheet1!$B$2:$K$2</c:f>
              <c:numCache>
                <c:formatCode>0.0</c:formatCode>
                <c:ptCount val="7"/>
                <c:pt idx="0">
                  <c:v>8.3439372114589929</c:v>
                </c:pt>
                <c:pt idx="1">
                  <c:v>5.915032437717997</c:v>
                </c:pt>
                <c:pt idx="2">
                  <c:v>7.0589350498489978</c:v>
                </c:pt>
                <c:pt idx="3">
                  <c:v>5.5675814108653299</c:v>
                </c:pt>
                <c:pt idx="4">
                  <c:v>5.8165143351429833</c:v>
                </c:pt>
                <c:pt idx="5">
                  <c:v>6.0968714086500029</c:v>
                </c:pt>
                <c:pt idx="6">
                  <c:v>5.941696802790986</c:v>
                </c:pt>
              </c:numCache>
            </c:numRef>
          </c:val>
          <c:smooth val="0"/>
          <c:extLst>
            <c:ext xmlns:c16="http://schemas.microsoft.com/office/drawing/2014/chart" uri="{C3380CC4-5D6E-409C-BE32-E72D297353CC}">
              <c16:uniqueId val="{0000000A-ED09-4F0D-A70D-2823DA07776A}"/>
            </c:ext>
          </c:extLst>
        </c:ser>
        <c:dLbls>
          <c:showLegendKey val="0"/>
          <c:showVal val="0"/>
          <c:showCatName val="0"/>
          <c:showSerName val="0"/>
          <c:showPercent val="0"/>
          <c:showBubbleSize val="0"/>
        </c:dLbls>
        <c:marker val="1"/>
        <c:smooth val="0"/>
        <c:axId val="222975104"/>
        <c:axId val="222976640"/>
      </c:lineChart>
      <c:catAx>
        <c:axId val="22297510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22976640"/>
        <c:crosses val="autoZero"/>
        <c:auto val="1"/>
        <c:lblAlgn val="ctr"/>
        <c:lblOffset val="100"/>
        <c:noMultiLvlLbl val="0"/>
      </c:catAx>
      <c:valAx>
        <c:axId val="222976640"/>
        <c:scaling>
          <c:orientation val="minMax"/>
          <c:max val="15"/>
          <c:min val="-2"/>
        </c:scaling>
        <c:delete val="0"/>
        <c:axPos val="l"/>
        <c:numFmt formatCode="0.0" sourceLinked="1"/>
        <c:majorTickMark val="none"/>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22975104"/>
        <c:crosses val="autoZero"/>
        <c:crossBetween val="between"/>
        <c:majorUnit val="2"/>
      </c:valAx>
      <c:spPr>
        <a:noFill/>
        <a:ln>
          <a:noFill/>
        </a:ln>
        <a:effectLst/>
      </c:spPr>
    </c:plotArea>
    <c:legend>
      <c:legendPos val="b"/>
      <c:layout>
        <c:manualLayout>
          <c:xMode val="edge"/>
          <c:yMode val="edge"/>
          <c:x val="0"/>
          <c:y val="0.78813854865364052"/>
          <c:w val="1"/>
          <c:h val="0.21186116979280029"/>
        </c:manualLayout>
      </c:layout>
      <c:overlay val="0"/>
      <c:spPr>
        <a:noFill/>
        <a:ln>
          <a:noFill/>
        </a:ln>
        <a:effectLst/>
      </c:spPr>
      <c:txPr>
        <a:bodyPr rot="0" spcFirstLastPara="1" vertOverflow="ellipsis" vert="horz" wrap="square" anchor="ctr" anchorCtr="1"/>
        <a:lstStyle/>
        <a:p>
          <a:pPr>
            <a:defRPr sz="5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2700" cap="flat" cmpd="sng" algn="ctr">
      <a:solidFill>
        <a:sysClr val="window" lastClr="FFFFFF"/>
      </a:solidFill>
      <a:prstDash val="solid"/>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userShapes r:id="rId5"/>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7122703412073505E-2"/>
          <c:y val="0.11364372136409777"/>
          <c:w val="0.87232174103237092"/>
          <c:h val="0.52027380723750993"/>
        </c:manualLayout>
      </c:layout>
      <c:barChart>
        <c:barDir val="col"/>
        <c:grouping val="percentStacked"/>
        <c:varyColors val="0"/>
        <c:ser>
          <c:idx val="0"/>
          <c:order val="0"/>
          <c:tx>
            <c:strRef>
              <c:f>Sheet1!$A$2</c:f>
              <c:strCache>
                <c:ptCount val="1"/>
                <c:pt idx="0">
                  <c:v>Սպառում</c:v>
                </c:pt>
              </c:strCache>
            </c:strRef>
          </c:tx>
          <c:invertIfNegative val="0"/>
          <c:cat>
            <c:strRef>
              <c:f>Sheet1!$B$1:$K$1</c:f>
              <c:strCache>
                <c:ptCount val="7"/>
                <c:pt idx="0">
                  <c:v>2023</c:v>
                </c:pt>
                <c:pt idx="1">
                  <c:v>2024</c:v>
                </c:pt>
                <c:pt idx="2">
                  <c:v>2025</c:v>
                </c:pt>
                <c:pt idx="3">
                  <c:v>2026</c:v>
                </c:pt>
                <c:pt idx="4">
                  <c:v>2027</c:v>
                </c:pt>
                <c:pt idx="5">
                  <c:v>2028</c:v>
                </c:pt>
                <c:pt idx="6">
                  <c:v>2029</c:v>
                </c:pt>
              </c:strCache>
            </c:strRef>
          </c:cat>
          <c:val>
            <c:numRef>
              <c:f>Sheet1!$B$2:$K$2</c:f>
              <c:numCache>
                <c:formatCode>0.0</c:formatCode>
                <c:ptCount val="7"/>
                <c:pt idx="0">
                  <c:v>78.460785674033687</c:v>
                </c:pt>
                <c:pt idx="1">
                  <c:v>81.255158713367791</c:v>
                </c:pt>
                <c:pt idx="2">
                  <c:v>82.970824026644038</c:v>
                </c:pt>
                <c:pt idx="3">
                  <c:v>82.366734210275609</c:v>
                </c:pt>
                <c:pt idx="4">
                  <c:v>82.235085347403128</c:v>
                </c:pt>
                <c:pt idx="5">
                  <c:v>81.284935161901387</c:v>
                </c:pt>
                <c:pt idx="6">
                  <c:v>80.812388667882544</c:v>
                </c:pt>
              </c:numCache>
            </c:numRef>
          </c:val>
          <c:extLst>
            <c:ext xmlns:c16="http://schemas.microsoft.com/office/drawing/2014/chart" uri="{C3380CC4-5D6E-409C-BE32-E72D297353CC}">
              <c16:uniqueId val="{00000000-DF3C-4E10-99BB-AFB702D7045B}"/>
            </c:ext>
          </c:extLst>
        </c:ser>
        <c:ser>
          <c:idx val="1"/>
          <c:order val="1"/>
          <c:tx>
            <c:strRef>
              <c:f>Sheet1!$A$3</c:f>
              <c:strCache>
                <c:ptCount val="1"/>
                <c:pt idx="0">
                  <c:v>Կապիտալ ներդրումներ</c:v>
                </c:pt>
              </c:strCache>
            </c:strRef>
          </c:tx>
          <c:invertIfNegative val="0"/>
          <c:cat>
            <c:strRef>
              <c:f>Sheet1!$B$1:$K$1</c:f>
              <c:strCache>
                <c:ptCount val="7"/>
                <c:pt idx="0">
                  <c:v>2023</c:v>
                </c:pt>
                <c:pt idx="1">
                  <c:v>2024</c:v>
                </c:pt>
                <c:pt idx="2">
                  <c:v>2025</c:v>
                </c:pt>
                <c:pt idx="3">
                  <c:v>2026</c:v>
                </c:pt>
                <c:pt idx="4">
                  <c:v>2027</c:v>
                </c:pt>
                <c:pt idx="5">
                  <c:v>2028</c:v>
                </c:pt>
                <c:pt idx="6">
                  <c:v>2029</c:v>
                </c:pt>
              </c:strCache>
            </c:strRef>
          </c:cat>
          <c:val>
            <c:numRef>
              <c:f>Sheet1!$B$3:$K$3</c:f>
              <c:numCache>
                <c:formatCode>0.0</c:formatCode>
                <c:ptCount val="7"/>
                <c:pt idx="0">
                  <c:v>20.573661922215909</c:v>
                </c:pt>
                <c:pt idx="1">
                  <c:v>21.370413398255899</c:v>
                </c:pt>
                <c:pt idx="2">
                  <c:v>21.369332345572584</c:v>
                </c:pt>
                <c:pt idx="3">
                  <c:v>22.291798016172031</c:v>
                </c:pt>
                <c:pt idx="4">
                  <c:v>22.989960998992391</c:v>
                </c:pt>
                <c:pt idx="5">
                  <c:v>23.335438599988311</c:v>
                </c:pt>
                <c:pt idx="6">
                  <c:v>23.54867930680377</c:v>
                </c:pt>
              </c:numCache>
            </c:numRef>
          </c:val>
          <c:extLst>
            <c:ext xmlns:c16="http://schemas.microsoft.com/office/drawing/2014/chart" uri="{C3380CC4-5D6E-409C-BE32-E72D297353CC}">
              <c16:uniqueId val="{00000001-DF3C-4E10-99BB-AFB702D7045B}"/>
            </c:ext>
          </c:extLst>
        </c:ser>
        <c:ser>
          <c:idx val="2"/>
          <c:order val="2"/>
          <c:tx>
            <c:strRef>
              <c:f>Sheet1!$A$4</c:f>
              <c:strCache>
                <c:ptCount val="1"/>
                <c:pt idx="0">
                  <c:v>Ապրանք. և ծառ. արտահանում </c:v>
                </c:pt>
              </c:strCache>
            </c:strRef>
          </c:tx>
          <c:invertIfNegative val="0"/>
          <c:cat>
            <c:strRef>
              <c:f>Sheet1!$B$1:$K$1</c:f>
              <c:strCache>
                <c:ptCount val="7"/>
                <c:pt idx="0">
                  <c:v>2023</c:v>
                </c:pt>
                <c:pt idx="1">
                  <c:v>2024</c:v>
                </c:pt>
                <c:pt idx="2">
                  <c:v>2025</c:v>
                </c:pt>
                <c:pt idx="3">
                  <c:v>2026</c:v>
                </c:pt>
                <c:pt idx="4">
                  <c:v>2027</c:v>
                </c:pt>
                <c:pt idx="5">
                  <c:v>2028</c:v>
                </c:pt>
                <c:pt idx="6">
                  <c:v>2029</c:v>
                </c:pt>
              </c:strCache>
            </c:strRef>
          </c:cat>
          <c:val>
            <c:numRef>
              <c:f>Sheet1!$B$4:$K$4</c:f>
              <c:numCache>
                <c:formatCode>0.0</c:formatCode>
                <c:ptCount val="7"/>
                <c:pt idx="0">
                  <c:v>61.008329479156011</c:v>
                </c:pt>
                <c:pt idx="1">
                  <c:v>73.09065347896248</c:v>
                </c:pt>
                <c:pt idx="2">
                  <c:v>49.427101203226641</c:v>
                </c:pt>
                <c:pt idx="3">
                  <c:v>43.000078983367068</c:v>
                </c:pt>
                <c:pt idx="4">
                  <c:v>43.584088577504396</c:v>
                </c:pt>
                <c:pt idx="5">
                  <c:v>43.583203008572738</c:v>
                </c:pt>
                <c:pt idx="6">
                  <c:v>43.099115199328445</c:v>
                </c:pt>
              </c:numCache>
            </c:numRef>
          </c:val>
          <c:extLst>
            <c:ext xmlns:c16="http://schemas.microsoft.com/office/drawing/2014/chart" uri="{C3380CC4-5D6E-409C-BE32-E72D297353CC}">
              <c16:uniqueId val="{00000002-DF3C-4E10-99BB-AFB702D7045B}"/>
            </c:ext>
          </c:extLst>
        </c:ser>
        <c:ser>
          <c:idx val="3"/>
          <c:order val="3"/>
          <c:tx>
            <c:strRef>
              <c:f>Sheet1!$A$5</c:f>
              <c:strCache>
                <c:ptCount val="1"/>
                <c:pt idx="0">
                  <c:v>Ապրանք. և ծառ. ներմուծում </c:v>
                </c:pt>
              </c:strCache>
            </c:strRef>
          </c:tx>
          <c:invertIfNegative val="0"/>
          <c:cat>
            <c:strRef>
              <c:f>Sheet1!$B$1:$K$1</c:f>
              <c:strCache>
                <c:ptCount val="7"/>
                <c:pt idx="0">
                  <c:v>2023</c:v>
                </c:pt>
                <c:pt idx="1">
                  <c:v>2024</c:v>
                </c:pt>
                <c:pt idx="2">
                  <c:v>2025</c:v>
                </c:pt>
                <c:pt idx="3">
                  <c:v>2026</c:v>
                </c:pt>
                <c:pt idx="4">
                  <c:v>2027</c:v>
                </c:pt>
                <c:pt idx="5">
                  <c:v>2028</c:v>
                </c:pt>
                <c:pt idx="6">
                  <c:v>2029</c:v>
                </c:pt>
              </c:strCache>
            </c:strRef>
          </c:cat>
          <c:val>
            <c:numRef>
              <c:f>Sheet1!$B$5:$K$5</c:f>
              <c:numCache>
                <c:formatCode>0.0</c:formatCode>
                <c:ptCount val="7"/>
                <c:pt idx="0">
                  <c:v>-62.410420598470942</c:v>
                </c:pt>
                <c:pt idx="1">
                  <c:v>-78.013839120427477</c:v>
                </c:pt>
                <c:pt idx="2">
                  <c:v>-56.463740748261657</c:v>
                </c:pt>
                <c:pt idx="3">
                  <c:v>-49.004768461441998</c:v>
                </c:pt>
                <c:pt idx="4">
                  <c:v>-48.45180346303156</c:v>
                </c:pt>
                <c:pt idx="5">
                  <c:v>-47.683657403866597</c:v>
                </c:pt>
                <c:pt idx="6">
                  <c:v>-46.94882753944615</c:v>
                </c:pt>
              </c:numCache>
            </c:numRef>
          </c:val>
          <c:extLst>
            <c:ext xmlns:c16="http://schemas.microsoft.com/office/drawing/2014/chart" uri="{C3380CC4-5D6E-409C-BE32-E72D297353CC}">
              <c16:uniqueId val="{00000003-DF3C-4E10-99BB-AFB702D7045B}"/>
            </c:ext>
          </c:extLst>
        </c:ser>
        <c:dLbls>
          <c:showLegendKey val="0"/>
          <c:showVal val="0"/>
          <c:showCatName val="0"/>
          <c:showSerName val="0"/>
          <c:showPercent val="0"/>
          <c:showBubbleSize val="0"/>
        </c:dLbls>
        <c:gapWidth val="150"/>
        <c:overlap val="100"/>
        <c:axId val="256719488"/>
        <c:axId val="256721280"/>
      </c:barChart>
      <c:catAx>
        <c:axId val="256719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56721280"/>
        <c:crosses val="autoZero"/>
        <c:auto val="1"/>
        <c:lblAlgn val="ctr"/>
        <c:lblOffset val="100"/>
        <c:noMultiLvlLbl val="0"/>
      </c:catAx>
      <c:valAx>
        <c:axId val="256721280"/>
        <c:scaling>
          <c:orientation val="minMax"/>
        </c:scaling>
        <c:delete val="0"/>
        <c:axPos val="l"/>
        <c:numFmt formatCode="0%" sourceLinked="1"/>
        <c:majorTickMark val="none"/>
        <c:minorTickMark val="none"/>
        <c:tickLblPos val="nextTo"/>
        <c:spPr>
          <a:noFill/>
          <a:ln>
            <a:noFill/>
          </a:ln>
          <a:effectLst/>
        </c:spPr>
        <c:txPr>
          <a:bodyPr rot="-60000000" vert="horz"/>
          <a:lstStyle/>
          <a:p>
            <a:pPr>
              <a:defRPr/>
            </a:pPr>
            <a:endParaRPr lang="en-US"/>
          </a:p>
        </c:txPr>
        <c:crossAx val="256719488"/>
        <c:crosses val="autoZero"/>
        <c:crossBetween val="between"/>
      </c:valAx>
      <c:spPr>
        <a:noFill/>
        <a:ln>
          <a:noFill/>
        </a:ln>
        <a:effectLst/>
      </c:spPr>
    </c:plotArea>
    <c:legend>
      <c:legendPos val="b"/>
      <c:layout>
        <c:manualLayout>
          <c:xMode val="edge"/>
          <c:yMode val="edge"/>
          <c:x val="0"/>
          <c:y val="0.72863381539899719"/>
          <c:w val="1"/>
          <c:h val="0.26466372946795774"/>
        </c:manualLayout>
      </c:layout>
      <c:overlay val="0"/>
      <c:spPr>
        <a:noFill/>
        <a:ln>
          <a:noFill/>
        </a:ln>
        <a:effectLst/>
      </c:spPr>
      <c:txPr>
        <a:bodyPr rot="0" vert="horz"/>
        <a:lstStyle/>
        <a:p>
          <a:pPr>
            <a:defRPr/>
          </a:pPr>
          <a:endParaRPr lang="en-US"/>
        </a:p>
      </c:txPr>
    </c:legend>
    <c:plotVisOnly val="1"/>
    <c:dispBlanksAs val="gap"/>
    <c:showDLblsOverMax val="0"/>
  </c:chart>
  <c:spPr>
    <a:noFill/>
    <a:ln w="12700" cap="flat" cmpd="sng" algn="ctr">
      <a:noFill/>
      <a:round/>
    </a:ln>
    <a:effectLst/>
  </c:spPr>
  <c:txPr>
    <a:bodyPr/>
    <a:lstStyle/>
    <a:p>
      <a:pPr>
        <a:defRPr sz="600">
          <a:latin typeface="Arial Narrow" panose="020B0606020202030204" pitchFamily="34" charset="0"/>
          <a:ea typeface="Calibri" panose="020F0502020204030204" pitchFamily="34" charset="0"/>
          <a:cs typeface="Calibri" panose="020F0502020204030204" pitchFamily="34" charset="0"/>
        </a:defRPr>
      </a:pPr>
      <a:endParaRPr lang="en-US"/>
    </a:p>
  </c:txPr>
  <c:externalData r:id="rId2">
    <c:autoUpdate val="0"/>
  </c:externalData>
  <c:userShapes r:id="rId3"/>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7122703412073505E-2"/>
          <c:y val="0.11364372136409777"/>
          <c:w val="0.87232174103237092"/>
          <c:h val="0.52027380723750993"/>
        </c:manualLayout>
      </c:layout>
      <c:barChart>
        <c:barDir val="col"/>
        <c:grouping val="percentStacked"/>
        <c:varyColors val="0"/>
        <c:ser>
          <c:idx val="0"/>
          <c:order val="0"/>
          <c:tx>
            <c:strRef>
              <c:f>Sheet1!$A$8</c:f>
              <c:strCache>
                <c:ptCount val="1"/>
                <c:pt idx="0">
                  <c:v>Արդյունաբերություն</c:v>
                </c:pt>
              </c:strCache>
            </c:strRef>
          </c:tx>
          <c:spPr>
            <a:solidFill>
              <a:srgbClr val="B4C7E7"/>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Sheet1!$B$7:$K$7</c:f>
              <c:strCache>
                <c:ptCount val="7"/>
                <c:pt idx="0">
                  <c:v>2023</c:v>
                </c:pt>
                <c:pt idx="1">
                  <c:v>2024</c:v>
                </c:pt>
                <c:pt idx="2">
                  <c:v>2025</c:v>
                </c:pt>
                <c:pt idx="3">
                  <c:v>2026</c:v>
                </c:pt>
                <c:pt idx="4">
                  <c:v>2027</c:v>
                </c:pt>
                <c:pt idx="5">
                  <c:v>2028</c:v>
                </c:pt>
                <c:pt idx="6">
                  <c:v>2029</c:v>
                </c:pt>
              </c:strCache>
            </c:strRef>
          </c:cat>
          <c:val>
            <c:numRef>
              <c:f>Sheet1!$B$8:$K$8</c:f>
              <c:numCache>
                <c:formatCode>0.0</c:formatCode>
                <c:ptCount val="7"/>
                <c:pt idx="0">
                  <c:v>15.97963355188203</c:v>
                </c:pt>
                <c:pt idx="1">
                  <c:v>15.177781698299395</c:v>
                </c:pt>
                <c:pt idx="2">
                  <c:v>16.005526624202737</c:v>
                </c:pt>
                <c:pt idx="3">
                  <c:v>17.371125104367906</c:v>
                </c:pt>
                <c:pt idx="4">
                  <c:v>17.76159113821112</c:v>
                </c:pt>
                <c:pt idx="5">
                  <c:v>17.795984444921061</c:v>
                </c:pt>
                <c:pt idx="6">
                  <c:v>17.805778159973144</c:v>
                </c:pt>
              </c:numCache>
            </c:numRef>
          </c:val>
          <c:extLst>
            <c:ext xmlns:c16="http://schemas.microsoft.com/office/drawing/2014/chart" uri="{C3380CC4-5D6E-409C-BE32-E72D297353CC}">
              <c16:uniqueId val="{00000000-1778-4AC0-A5B3-B9581037B44F}"/>
            </c:ext>
          </c:extLst>
        </c:ser>
        <c:ser>
          <c:idx val="1"/>
          <c:order val="1"/>
          <c:tx>
            <c:strRef>
              <c:f>Sheet1!$A$9</c:f>
              <c:strCache>
                <c:ptCount val="1"/>
                <c:pt idx="0">
                  <c:v>Գյուղատնտեսություն և անտառային տնտեսություն</c:v>
                </c:pt>
              </c:strCache>
            </c:strRef>
          </c:tx>
          <c:spPr>
            <a:solidFill>
              <a:srgbClr val="8064A2"/>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Sheet1!$B$7:$K$7</c:f>
              <c:strCache>
                <c:ptCount val="7"/>
                <c:pt idx="0">
                  <c:v>2023</c:v>
                </c:pt>
                <c:pt idx="1">
                  <c:v>2024</c:v>
                </c:pt>
                <c:pt idx="2">
                  <c:v>2025</c:v>
                </c:pt>
                <c:pt idx="3">
                  <c:v>2026</c:v>
                </c:pt>
                <c:pt idx="4">
                  <c:v>2027</c:v>
                </c:pt>
                <c:pt idx="5">
                  <c:v>2028</c:v>
                </c:pt>
                <c:pt idx="6">
                  <c:v>2029</c:v>
                </c:pt>
              </c:strCache>
            </c:strRef>
          </c:cat>
          <c:val>
            <c:numRef>
              <c:f>Sheet1!$B$9:$K$9</c:f>
              <c:numCache>
                <c:formatCode>0.0</c:formatCode>
                <c:ptCount val="7"/>
                <c:pt idx="0">
                  <c:v>8.1022379918879839</c:v>
                </c:pt>
                <c:pt idx="1">
                  <c:v>7.5617902407740845</c:v>
                </c:pt>
                <c:pt idx="2">
                  <c:v>7.7034071459945297</c:v>
                </c:pt>
                <c:pt idx="3">
                  <c:v>7.2372246149993966</c:v>
                </c:pt>
                <c:pt idx="4">
                  <c:v>7.0505886657334882</c:v>
                </c:pt>
                <c:pt idx="5">
                  <c:v>6.8647199914748924</c:v>
                </c:pt>
                <c:pt idx="6">
                  <c:v>6.6935455681758986</c:v>
                </c:pt>
              </c:numCache>
            </c:numRef>
          </c:val>
          <c:extLst>
            <c:ext xmlns:c16="http://schemas.microsoft.com/office/drawing/2014/chart" uri="{C3380CC4-5D6E-409C-BE32-E72D297353CC}">
              <c16:uniqueId val="{00000001-1778-4AC0-A5B3-B9581037B44F}"/>
            </c:ext>
          </c:extLst>
        </c:ser>
        <c:ser>
          <c:idx val="2"/>
          <c:order val="2"/>
          <c:tx>
            <c:strRef>
              <c:f>Sheet1!$A$10</c:f>
              <c:strCache>
                <c:ptCount val="1"/>
                <c:pt idx="0">
                  <c:v>Շինարարություն</c:v>
                </c:pt>
              </c:strCache>
            </c:strRef>
          </c:tx>
          <c:spPr>
            <a:solidFill>
              <a:schemeClr val="accent3"/>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Sheet1!$B$7:$K$7</c:f>
              <c:strCache>
                <c:ptCount val="7"/>
                <c:pt idx="0">
                  <c:v>2023</c:v>
                </c:pt>
                <c:pt idx="1">
                  <c:v>2024</c:v>
                </c:pt>
                <c:pt idx="2">
                  <c:v>2025</c:v>
                </c:pt>
                <c:pt idx="3">
                  <c:v>2026</c:v>
                </c:pt>
                <c:pt idx="4">
                  <c:v>2027</c:v>
                </c:pt>
                <c:pt idx="5">
                  <c:v>2028</c:v>
                </c:pt>
                <c:pt idx="6">
                  <c:v>2029</c:v>
                </c:pt>
              </c:strCache>
            </c:strRef>
          </c:cat>
          <c:val>
            <c:numRef>
              <c:f>Sheet1!$B$10:$K$10</c:f>
              <c:numCache>
                <c:formatCode>0.0</c:formatCode>
                <c:ptCount val="7"/>
                <c:pt idx="0">
                  <c:v>6.9004626097850599</c:v>
                </c:pt>
                <c:pt idx="1">
                  <c:v>7.0280963087766466</c:v>
                </c:pt>
                <c:pt idx="2">
                  <c:v>6.5702476449882123</c:v>
                </c:pt>
                <c:pt idx="3">
                  <c:v>6.7619308093784261</c:v>
                </c:pt>
                <c:pt idx="4">
                  <c:v>6.862299451635363</c:v>
                </c:pt>
                <c:pt idx="5">
                  <c:v>6.9339020786421193</c:v>
                </c:pt>
                <c:pt idx="6">
                  <c:v>7.0031682029389666</c:v>
                </c:pt>
              </c:numCache>
            </c:numRef>
          </c:val>
          <c:extLst>
            <c:ext xmlns:c16="http://schemas.microsoft.com/office/drawing/2014/chart" uri="{C3380CC4-5D6E-409C-BE32-E72D297353CC}">
              <c16:uniqueId val="{00000002-1778-4AC0-A5B3-B9581037B44F}"/>
            </c:ext>
          </c:extLst>
        </c:ser>
        <c:ser>
          <c:idx val="3"/>
          <c:order val="3"/>
          <c:tx>
            <c:strRef>
              <c:f>Sheet1!$A$11</c:f>
              <c:strCache>
                <c:ptCount val="1"/>
                <c:pt idx="0">
                  <c:v>Ծառայություններ</c:v>
                </c:pt>
              </c:strCache>
            </c:strRef>
          </c:tx>
          <c:spPr>
            <a:solidFill>
              <a:srgbClr val="ED7D31">
                <a:lumMod val="60000"/>
                <a:lumOff val="40000"/>
              </a:srgbClr>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Sheet1!$B$7:$K$7</c:f>
              <c:strCache>
                <c:ptCount val="7"/>
                <c:pt idx="0">
                  <c:v>2023</c:v>
                </c:pt>
                <c:pt idx="1">
                  <c:v>2024</c:v>
                </c:pt>
                <c:pt idx="2">
                  <c:v>2025</c:v>
                </c:pt>
                <c:pt idx="3">
                  <c:v>2026</c:v>
                </c:pt>
                <c:pt idx="4">
                  <c:v>2027</c:v>
                </c:pt>
                <c:pt idx="5">
                  <c:v>2028</c:v>
                </c:pt>
                <c:pt idx="6">
                  <c:v>2029</c:v>
                </c:pt>
              </c:strCache>
            </c:strRef>
          </c:cat>
          <c:val>
            <c:numRef>
              <c:f>Sheet1!$B$11:$K$11</c:f>
              <c:numCache>
                <c:formatCode>0.0</c:formatCode>
                <c:ptCount val="7"/>
                <c:pt idx="0">
                  <c:v>58.290869258948618</c:v>
                </c:pt>
                <c:pt idx="1">
                  <c:v>60.344499050656729</c:v>
                </c:pt>
                <c:pt idx="2">
                  <c:v>59.098845197490014</c:v>
                </c:pt>
                <c:pt idx="3">
                  <c:v>58.014690956352219</c:v>
                </c:pt>
                <c:pt idx="4">
                  <c:v>57.713416818993522</c:v>
                </c:pt>
                <c:pt idx="5">
                  <c:v>57.782680531117862</c:v>
                </c:pt>
                <c:pt idx="6">
                  <c:v>57.765759194017754</c:v>
                </c:pt>
              </c:numCache>
            </c:numRef>
          </c:val>
          <c:extLst>
            <c:ext xmlns:c16="http://schemas.microsoft.com/office/drawing/2014/chart" uri="{C3380CC4-5D6E-409C-BE32-E72D297353CC}">
              <c16:uniqueId val="{00000003-1778-4AC0-A5B3-B9581037B44F}"/>
            </c:ext>
          </c:extLst>
        </c:ser>
        <c:ser>
          <c:idx val="4"/>
          <c:order val="4"/>
          <c:tx>
            <c:strRef>
              <c:f>Sheet1!$A$12</c:f>
              <c:strCache>
                <c:ptCount val="1"/>
                <c:pt idx="0">
                  <c:v>Զուտ հարկեր</c:v>
                </c:pt>
              </c:strCache>
            </c:strRef>
          </c:tx>
          <c:spPr>
            <a:solidFill>
              <a:schemeClr val="accent5"/>
            </a:solidFill>
            <a:ln>
              <a:noFill/>
            </a:ln>
            <a:effectLst/>
          </c:spPr>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Sheet1!$B$7:$K$7</c:f>
              <c:strCache>
                <c:ptCount val="7"/>
                <c:pt idx="0">
                  <c:v>2023</c:v>
                </c:pt>
                <c:pt idx="1">
                  <c:v>2024</c:v>
                </c:pt>
                <c:pt idx="2">
                  <c:v>2025</c:v>
                </c:pt>
                <c:pt idx="3">
                  <c:v>2026</c:v>
                </c:pt>
                <c:pt idx="4">
                  <c:v>2027</c:v>
                </c:pt>
                <c:pt idx="5">
                  <c:v>2028</c:v>
                </c:pt>
                <c:pt idx="6">
                  <c:v>2029</c:v>
                </c:pt>
              </c:strCache>
            </c:strRef>
          </c:cat>
          <c:val>
            <c:numRef>
              <c:f>Sheet1!$B$12:$K$12</c:f>
              <c:numCache>
                <c:formatCode>0.0</c:formatCode>
                <c:ptCount val="7"/>
                <c:pt idx="0">
                  <c:v>10.726796587496313</c:v>
                </c:pt>
                <c:pt idx="1">
                  <c:v>9.8878327014931298</c:v>
                </c:pt>
                <c:pt idx="2">
                  <c:v>10.621973387324509</c:v>
                </c:pt>
                <c:pt idx="3">
                  <c:v>10.615028514902045</c:v>
                </c:pt>
                <c:pt idx="4">
                  <c:v>10.612103925426505</c:v>
                </c:pt>
                <c:pt idx="5">
                  <c:v>10.622712953844077</c:v>
                </c:pt>
                <c:pt idx="6">
                  <c:v>10.731748874894238</c:v>
                </c:pt>
              </c:numCache>
            </c:numRef>
          </c:val>
          <c:extLst>
            <c:ext xmlns:c16="http://schemas.microsoft.com/office/drawing/2014/chart" uri="{C3380CC4-5D6E-409C-BE32-E72D297353CC}">
              <c16:uniqueId val="{00000004-1778-4AC0-A5B3-B9581037B44F}"/>
            </c:ext>
          </c:extLst>
        </c:ser>
        <c:dLbls>
          <c:showLegendKey val="0"/>
          <c:showVal val="0"/>
          <c:showCatName val="0"/>
          <c:showSerName val="0"/>
          <c:showPercent val="0"/>
          <c:showBubbleSize val="0"/>
        </c:dLbls>
        <c:gapWidth val="150"/>
        <c:overlap val="100"/>
        <c:axId val="256719488"/>
        <c:axId val="256721280"/>
      </c:barChart>
      <c:catAx>
        <c:axId val="256719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56721280"/>
        <c:crosses val="autoZero"/>
        <c:auto val="1"/>
        <c:lblAlgn val="ctr"/>
        <c:lblOffset val="100"/>
        <c:noMultiLvlLbl val="0"/>
      </c:catAx>
      <c:valAx>
        <c:axId val="256721280"/>
        <c:scaling>
          <c:orientation val="minMax"/>
        </c:scaling>
        <c:delete val="0"/>
        <c:axPos val="l"/>
        <c:numFmt formatCode="0%" sourceLinked="1"/>
        <c:majorTickMark val="none"/>
        <c:minorTickMark val="none"/>
        <c:tickLblPos val="nextTo"/>
        <c:spPr>
          <a:noFill/>
          <a:ln>
            <a:noFill/>
          </a:ln>
          <a:effectLst/>
        </c:spPr>
        <c:txPr>
          <a:bodyPr rot="-60000000" vert="horz"/>
          <a:lstStyle/>
          <a:p>
            <a:pPr>
              <a:defRPr/>
            </a:pPr>
            <a:endParaRPr lang="en-US"/>
          </a:p>
        </c:txPr>
        <c:crossAx val="256719488"/>
        <c:crosses val="autoZero"/>
        <c:crossBetween val="between"/>
      </c:valAx>
      <c:spPr>
        <a:noFill/>
        <a:ln>
          <a:noFill/>
        </a:ln>
        <a:effectLst/>
      </c:spPr>
    </c:plotArea>
    <c:legend>
      <c:legendPos val="b"/>
      <c:layout>
        <c:manualLayout>
          <c:xMode val="edge"/>
          <c:yMode val="edge"/>
          <c:x val="0"/>
          <c:y val="0.72863381539899719"/>
          <c:w val="1"/>
          <c:h val="0.26466372946795774"/>
        </c:manualLayout>
      </c:layout>
      <c:overlay val="0"/>
      <c:spPr>
        <a:noFill/>
        <a:ln>
          <a:noFill/>
        </a:ln>
        <a:effectLst/>
      </c:spPr>
      <c:txPr>
        <a:bodyPr rot="0" vert="horz"/>
        <a:lstStyle/>
        <a:p>
          <a:pPr>
            <a:defRPr/>
          </a:pPr>
          <a:endParaRPr lang="en-US"/>
        </a:p>
      </c:txPr>
    </c:legend>
    <c:plotVisOnly val="1"/>
    <c:dispBlanksAs val="gap"/>
    <c:showDLblsOverMax val="0"/>
  </c:chart>
  <c:spPr>
    <a:noFill/>
    <a:ln w="12700" cap="flat" cmpd="sng" algn="ctr">
      <a:noFill/>
      <a:round/>
    </a:ln>
    <a:effectLst/>
  </c:spPr>
  <c:txPr>
    <a:bodyPr/>
    <a:lstStyle/>
    <a:p>
      <a:pPr>
        <a:defRPr sz="600">
          <a:latin typeface="Arial Narrow" panose="020B0606020202030204" pitchFamily="34" charset="0"/>
          <a:ea typeface="Calibri" panose="020F0502020204030204" pitchFamily="34" charset="0"/>
          <a:cs typeface="Calibri" panose="020F0502020204030204" pitchFamily="34" charset="0"/>
        </a:defRPr>
      </a:pPr>
      <a:endParaRPr lang="en-US"/>
    </a:p>
  </c:txPr>
  <c:externalData r:id="rId2">
    <c:autoUpdate val="0"/>
  </c:externalData>
  <c:userShapes r:id="rId3"/>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2128998080626117E-2"/>
          <c:y val="8.6783342365605115E-2"/>
          <c:w val="0.86738548033670992"/>
          <c:h val="0.67078929133858256"/>
        </c:manualLayout>
      </c:layout>
      <c:barChart>
        <c:barDir val="col"/>
        <c:grouping val="clustered"/>
        <c:varyColors val="0"/>
        <c:ser>
          <c:idx val="0"/>
          <c:order val="0"/>
          <c:tx>
            <c:strRef>
              <c:f>Лист1!$B$1</c:f>
              <c:strCache>
                <c:ptCount val="1"/>
                <c:pt idx="0">
                  <c:v>Զբաղվածներ, հազ. մարդ</c:v>
                </c:pt>
              </c:strCache>
            </c:strRef>
          </c:tx>
          <c:spPr>
            <a:solidFill>
              <a:srgbClr val="5B9BD5">
                <a:lumMod val="60000"/>
                <a:lumOff val="40000"/>
              </a:srgbClr>
            </a:solidFill>
            <a:ln>
              <a:noFill/>
            </a:ln>
            <a:effectLst/>
          </c:spPr>
          <c:invertIfNegative val="0"/>
          <c:dLbls>
            <c:dLbl>
              <c:idx val="5"/>
              <c:layout>
                <c:manualLayout>
                  <c:x val="0"/>
                  <c:y val="0.43381963254593175"/>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123-49FA-82AF-10324B4E4B31}"/>
                </c:ext>
              </c:extLst>
            </c:dLbl>
            <c:dLbl>
              <c:idx val="6"/>
              <c:layout>
                <c:manualLayout>
                  <c:x val="-1.4838625291419498E-16"/>
                  <c:y val="0.46742803149606299"/>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123-49FA-82AF-10324B4E4B31}"/>
                </c:ext>
              </c:extLst>
            </c:dLbl>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Лист1!$A$2:$A$11</c:f>
              <c:numCache>
                <c:formatCode>General</c:formatCode>
                <c:ptCount val="7"/>
                <c:pt idx="0">
                  <c:v>2023</c:v>
                </c:pt>
                <c:pt idx="1">
                  <c:v>2024</c:v>
                </c:pt>
                <c:pt idx="2">
                  <c:v>2025</c:v>
                </c:pt>
                <c:pt idx="3">
                  <c:v>2026</c:v>
                </c:pt>
                <c:pt idx="4">
                  <c:v>2027</c:v>
                </c:pt>
                <c:pt idx="5">
                  <c:v>2028</c:v>
                </c:pt>
                <c:pt idx="6">
                  <c:v>2029</c:v>
                </c:pt>
              </c:numCache>
            </c:numRef>
          </c:cat>
          <c:val>
            <c:numRef>
              <c:f>Лист1!$B$2:$B$11</c:f>
              <c:numCache>
                <c:formatCode>0</c:formatCode>
                <c:ptCount val="7"/>
                <c:pt idx="0">
                  <c:v>1174.431</c:v>
                </c:pt>
                <c:pt idx="1">
                  <c:v>1176.0697582269288</c:v>
                </c:pt>
                <c:pt idx="2">
                  <c:v>1177.2329569851522</c:v>
                </c:pt>
                <c:pt idx="3">
                  <c:v>1180.6845330114311</c:v>
                </c:pt>
                <c:pt idx="4">
                  <c:v>1186.3518370719928</c:v>
                </c:pt>
                <c:pt idx="5">
                  <c:v>1192.9597471114525</c:v>
                </c:pt>
                <c:pt idx="6">
                  <c:v>1199.913218961711</c:v>
                </c:pt>
              </c:numCache>
            </c:numRef>
          </c:val>
          <c:extLst>
            <c:ext xmlns:c16="http://schemas.microsoft.com/office/drawing/2014/chart" uri="{C3380CC4-5D6E-409C-BE32-E72D297353CC}">
              <c16:uniqueId val="{00000002-5123-49FA-82AF-10324B4E4B31}"/>
            </c:ext>
          </c:extLst>
        </c:ser>
        <c:ser>
          <c:idx val="1"/>
          <c:order val="1"/>
          <c:tx>
            <c:strRef>
              <c:f>Лист1!$C$1</c:f>
              <c:strCache>
                <c:ptCount val="1"/>
                <c:pt idx="0">
                  <c:v>Վարձու աշխատողներ, հազ. մարդ</c:v>
                </c:pt>
              </c:strCache>
            </c:strRef>
          </c:tx>
          <c:spPr>
            <a:solidFill>
              <a:srgbClr val="5B9BD5">
                <a:lumMod val="75000"/>
              </a:srgbClr>
            </a:solidFill>
            <a:ln>
              <a:noFill/>
            </a:ln>
            <a:effectLst/>
          </c:spPr>
          <c:invertIfNegative val="0"/>
          <c:cat>
            <c:numRef>
              <c:f>Лист1!$A$2:$A$11</c:f>
              <c:numCache>
                <c:formatCode>General</c:formatCode>
                <c:ptCount val="7"/>
                <c:pt idx="0">
                  <c:v>2023</c:v>
                </c:pt>
                <c:pt idx="1">
                  <c:v>2024</c:v>
                </c:pt>
                <c:pt idx="2">
                  <c:v>2025</c:v>
                </c:pt>
                <c:pt idx="3">
                  <c:v>2026</c:v>
                </c:pt>
                <c:pt idx="4">
                  <c:v>2027</c:v>
                </c:pt>
                <c:pt idx="5">
                  <c:v>2028</c:v>
                </c:pt>
                <c:pt idx="6">
                  <c:v>2029</c:v>
                </c:pt>
              </c:numCache>
            </c:numRef>
          </c:cat>
          <c:val>
            <c:numRef>
              <c:f>Лист1!$C$2:$C$11</c:f>
            </c:numRef>
          </c:val>
          <c:extLst>
            <c:ext xmlns:c16="http://schemas.microsoft.com/office/drawing/2014/chart" uri="{C3380CC4-5D6E-409C-BE32-E72D297353CC}">
              <c16:uniqueId val="{00000003-5123-49FA-82AF-10324B4E4B31}"/>
            </c:ext>
          </c:extLst>
        </c:ser>
        <c:dLbls>
          <c:showLegendKey val="0"/>
          <c:showVal val="0"/>
          <c:showCatName val="0"/>
          <c:showSerName val="0"/>
          <c:showPercent val="0"/>
          <c:showBubbleSize val="0"/>
        </c:dLbls>
        <c:gapWidth val="150"/>
        <c:axId val="216748032"/>
        <c:axId val="263046272"/>
      </c:barChart>
      <c:lineChart>
        <c:grouping val="standard"/>
        <c:varyColors val="0"/>
        <c:ser>
          <c:idx val="2"/>
          <c:order val="2"/>
          <c:tx>
            <c:strRef>
              <c:f>Лист1!$D$1</c:f>
              <c:strCache>
                <c:ptCount val="1"/>
                <c:pt idx="0">
                  <c:v>Գործազրկության մակարդակ, %, աջ առանցք</c:v>
                </c:pt>
              </c:strCache>
            </c:strRef>
          </c:tx>
          <c:spPr>
            <a:ln>
              <a:solidFill>
                <a:srgbClr val="4472C4">
                  <a:lumMod val="50000"/>
                </a:srgbClr>
              </a:solidFill>
            </a:ln>
            <a:effectLst/>
          </c:spPr>
          <c:marker>
            <c:symbol val="none"/>
          </c:marker>
          <c:dLbls>
            <c:dLbl>
              <c:idx val="1"/>
              <c:layout>
                <c:manualLayout>
                  <c:x val="-3.2805584146174363E-2"/>
                  <c:y val="-3.36667716535433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123-49FA-82AF-10324B4E4B31}"/>
                </c:ext>
              </c:extLst>
            </c:dLbl>
            <c:dLbl>
              <c:idx val="2"/>
              <c:layout>
                <c:manualLayout>
                  <c:x val="-3.0913717230105442E-2"/>
                  <c:y val="-4.4333438320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123-49FA-82AF-10324B4E4B31}"/>
                </c:ext>
              </c:extLst>
            </c:dLbl>
            <c:dLbl>
              <c:idx val="3"/>
              <c:layout>
                <c:manualLayout>
                  <c:x val="-3.2314852286523747E-2"/>
                  <c:y val="-5.50001049868766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123-49FA-82AF-10324B4E4B31}"/>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Лист1!$A$2:$A$11</c:f>
              <c:numCache>
                <c:formatCode>General</c:formatCode>
                <c:ptCount val="7"/>
                <c:pt idx="0">
                  <c:v>2023</c:v>
                </c:pt>
                <c:pt idx="1">
                  <c:v>2024</c:v>
                </c:pt>
                <c:pt idx="2">
                  <c:v>2025</c:v>
                </c:pt>
                <c:pt idx="3">
                  <c:v>2026</c:v>
                </c:pt>
                <c:pt idx="4">
                  <c:v>2027</c:v>
                </c:pt>
                <c:pt idx="5">
                  <c:v>2028</c:v>
                </c:pt>
                <c:pt idx="6">
                  <c:v>2029</c:v>
                </c:pt>
              </c:numCache>
            </c:numRef>
          </c:cat>
          <c:val>
            <c:numRef>
              <c:f>Лист1!$D$2:$D$11</c:f>
              <c:numCache>
                <c:formatCode>0.0</c:formatCode>
                <c:ptCount val="7"/>
                <c:pt idx="0">
                  <c:v>12.43111327508983</c:v>
                </c:pt>
                <c:pt idx="1">
                  <c:v>13.351061396187367</c:v>
                </c:pt>
                <c:pt idx="2">
                  <c:v>12.766602717193789</c:v>
                </c:pt>
                <c:pt idx="3">
                  <c:v>12.510839657753715</c:v>
                </c:pt>
                <c:pt idx="4">
                  <c:v>12.125585153988814</c:v>
                </c:pt>
                <c:pt idx="5">
                  <c:v>11.726007197685702</c:v>
                </c:pt>
                <c:pt idx="6">
                  <c:v>11.318280641246538</c:v>
                </c:pt>
              </c:numCache>
            </c:numRef>
          </c:val>
          <c:smooth val="0"/>
          <c:extLst>
            <c:ext xmlns:c16="http://schemas.microsoft.com/office/drawing/2014/chart" uri="{C3380CC4-5D6E-409C-BE32-E72D297353CC}">
              <c16:uniqueId val="{00000007-5123-49FA-82AF-10324B4E4B31}"/>
            </c:ext>
          </c:extLst>
        </c:ser>
        <c:dLbls>
          <c:showLegendKey val="0"/>
          <c:showVal val="0"/>
          <c:showCatName val="0"/>
          <c:showSerName val="0"/>
          <c:showPercent val="0"/>
          <c:showBubbleSize val="0"/>
        </c:dLbls>
        <c:marker val="1"/>
        <c:smooth val="0"/>
        <c:axId val="216750592"/>
        <c:axId val="263046848"/>
      </c:lineChart>
      <c:catAx>
        <c:axId val="216748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63046272"/>
        <c:crosses val="autoZero"/>
        <c:auto val="1"/>
        <c:lblAlgn val="ctr"/>
        <c:lblOffset val="100"/>
        <c:noMultiLvlLbl val="0"/>
      </c:catAx>
      <c:valAx>
        <c:axId val="263046272"/>
        <c:scaling>
          <c:orientation val="minMax"/>
          <c:max val="1450"/>
          <c:min val="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vert="horz"/>
          <a:lstStyle/>
          <a:p>
            <a:pPr>
              <a:defRPr/>
            </a:pPr>
            <a:endParaRPr lang="en-US"/>
          </a:p>
        </c:txPr>
        <c:crossAx val="216748032"/>
        <c:crosses val="autoZero"/>
        <c:crossBetween val="between"/>
        <c:majorUnit val="200"/>
      </c:valAx>
      <c:valAx>
        <c:axId val="263046848"/>
        <c:scaling>
          <c:orientation val="minMax"/>
        </c:scaling>
        <c:delete val="0"/>
        <c:axPos val="r"/>
        <c:numFmt formatCode="0.0" sourceLinked="1"/>
        <c:majorTickMark val="none"/>
        <c:minorTickMark val="none"/>
        <c:tickLblPos val="nextTo"/>
        <c:crossAx val="216750592"/>
        <c:crosses val="max"/>
        <c:crossBetween val="between"/>
      </c:valAx>
      <c:catAx>
        <c:axId val="216750592"/>
        <c:scaling>
          <c:orientation val="minMax"/>
        </c:scaling>
        <c:delete val="1"/>
        <c:axPos val="b"/>
        <c:numFmt formatCode="General" sourceLinked="1"/>
        <c:majorTickMark val="out"/>
        <c:minorTickMark val="none"/>
        <c:tickLblPos val="nextTo"/>
        <c:crossAx val="263046848"/>
        <c:crosses val="autoZero"/>
        <c:auto val="1"/>
        <c:lblAlgn val="ctr"/>
        <c:lblOffset val="100"/>
        <c:noMultiLvlLbl val="0"/>
      </c:catAx>
      <c:spPr>
        <a:noFill/>
        <a:ln>
          <a:noFill/>
        </a:ln>
        <a:effectLst/>
      </c:spPr>
    </c:plotArea>
    <c:legend>
      <c:legendPos val="b"/>
      <c:legendEntry>
        <c:idx val="1"/>
        <c:txPr>
          <a:bodyPr rot="0" vert="horz"/>
          <a:lstStyle/>
          <a:p>
            <a:pPr>
              <a:defRPr/>
            </a:pPr>
            <a:endParaRPr lang="en-US"/>
          </a:p>
        </c:txPr>
      </c:legendEntry>
      <c:layout>
        <c:manualLayout>
          <c:xMode val="edge"/>
          <c:yMode val="edge"/>
          <c:x val="0"/>
          <c:y val="0.83846803149606297"/>
          <c:w val="0.77954285459360073"/>
          <c:h val="0.161531968503937"/>
        </c:manualLayout>
      </c:layout>
      <c:overlay val="0"/>
      <c:spPr>
        <a:noFill/>
        <a:ln>
          <a:noFill/>
        </a:ln>
        <a:effectLst/>
      </c:spPr>
      <c:txPr>
        <a:bodyPr rot="0" vert="horz"/>
        <a:lstStyle/>
        <a:p>
          <a:pPr>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Arial Narrow" panose="020B0606020202030204" pitchFamily="34" charset="0"/>
        </a:defRPr>
      </a:pPr>
      <a:endParaRPr lang="en-US"/>
    </a:p>
  </c:txPr>
  <c:externalData r:id="rId2">
    <c:autoUpdate val="0"/>
  </c:externalData>
  <c:userShapes r:id="rId3"/>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553434608552719"/>
          <c:y val="8.6783342365605115E-2"/>
          <c:w val="0.79438558816511551"/>
          <c:h val="0.67078929133858256"/>
        </c:manualLayout>
      </c:layout>
      <c:barChart>
        <c:barDir val="col"/>
        <c:grouping val="clustered"/>
        <c:varyColors val="0"/>
        <c:ser>
          <c:idx val="0"/>
          <c:order val="0"/>
          <c:tx>
            <c:strRef>
              <c:f>Лист1!$B$1</c:f>
              <c:strCache>
                <c:ptCount val="1"/>
                <c:pt idx="0">
                  <c:v>Վարձու աշխատողներ, հազ. մարդ</c:v>
                </c:pt>
              </c:strCache>
            </c:strRef>
          </c:tx>
          <c:spPr>
            <a:solidFill>
              <a:srgbClr val="5B9BD5">
                <a:lumMod val="60000"/>
                <a:lumOff val="40000"/>
              </a:srgbClr>
            </a:solidFill>
            <a:ln>
              <a:noFill/>
            </a:ln>
            <a:effectLst/>
          </c:spPr>
          <c:invertIfNegative val="0"/>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Лист1!$A$2:$A$11</c:f>
              <c:numCache>
                <c:formatCode>General</c:formatCode>
                <c:ptCount val="7"/>
                <c:pt idx="0">
                  <c:v>2023</c:v>
                </c:pt>
                <c:pt idx="1">
                  <c:v>2024</c:v>
                </c:pt>
                <c:pt idx="2">
                  <c:v>2025</c:v>
                </c:pt>
                <c:pt idx="3">
                  <c:v>2026</c:v>
                </c:pt>
                <c:pt idx="4">
                  <c:v>2027</c:v>
                </c:pt>
                <c:pt idx="5">
                  <c:v>2028</c:v>
                </c:pt>
                <c:pt idx="6">
                  <c:v>2029</c:v>
                </c:pt>
              </c:numCache>
            </c:numRef>
          </c:cat>
          <c:val>
            <c:numRef>
              <c:f>Лист1!$B$2:$B$11</c:f>
              <c:numCache>
                <c:formatCode>0</c:formatCode>
                <c:ptCount val="7"/>
                <c:pt idx="0">
                  <c:v>722.6733333333334</c:v>
                </c:pt>
                <c:pt idx="1">
                  <c:v>760.5549166666666</c:v>
                </c:pt>
                <c:pt idx="2">
                  <c:v>795.21191666666664</c:v>
                </c:pt>
                <c:pt idx="3">
                  <c:v>821.9783913231513</c:v>
                </c:pt>
                <c:pt idx="4">
                  <c:v>847.29359812015934</c:v>
                </c:pt>
                <c:pt idx="5">
                  <c:v>872.25391094188114</c:v>
                </c:pt>
                <c:pt idx="6">
                  <c:v>896.77794628601623</c:v>
                </c:pt>
              </c:numCache>
            </c:numRef>
          </c:val>
          <c:extLst>
            <c:ext xmlns:c16="http://schemas.microsoft.com/office/drawing/2014/chart" uri="{C3380CC4-5D6E-409C-BE32-E72D297353CC}">
              <c16:uniqueId val="{00000000-A213-4AEA-A901-33FF9B967F47}"/>
            </c:ext>
          </c:extLst>
        </c:ser>
        <c:dLbls>
          <c:showLegendKey val="0"/>
          <c:showVal val="0"/>
          <c:showCatName val="0"/>
          <c:showSerName val="0"/>
          <c:showPercent val="0"/>
          <c:showBubbleSize val="0"/>
        </c:dLbls>
        <c:gapWidth val="150"/>
        <c:axId val="216978432"/>
        <c:axId val="263045120"/>
      </c:barChart>
      <c:lineChart>
        <c:grouping val="standard"/>
        <c:varyColors val="0"/>
        <c:ser>
          <c:idx val="1"/>
          <c:order val="1"/>
          <c:tx>
            <c:strRef>
              <c:f>Лист1!$C$1</c:f>
              <c:strCache>
                <c:ptCount val="1"/>
                <c:pt idx="0">
                  <c:v>Աճը, %</c:v>
                </c:pt>
              </c:strCache>
            </c:strRef>
          </c:tx>
          <c:spPr>
            <a:ln>
              <a:solidFill>
                <a:srgbClr val="4472C4">
                  <a:lumMod val="50000"/>
                </a:srgbClr>
              </a:solidFill>
            </a:ln>
            <a:effectLst/>
          </c:spPr>
          <c:marker>
            <c:symbol val="none"/>
          </c:marker>
          <c:dLbls>
            <c:dLbl>
              <c:idx val="0"/>
              <c:layout>
                <c:manualLayout>
                  <c:x val="-6.1805639679655425E-2"/>
                  <c:y val="-3.366677165354332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213-4AEA-A901-33FF9B967F47}"/>
                </c:ext>
              </c:extLst>
            </c:dLbl>
            <c:dLbl>
              <c:idx val="1"/>
              <c:layout>
                <c:manualLayout>
                  <c:x val="-4.8183928931960468E-2"/>
                  <c:y val="-3.36667716535433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213-4AEA-A901-33FF9B967F47}"/>
                </c:ext>
              </c:extLst>
            </c:dLbl>
            <c:dLbl>
              <c:idx val="2"/>
              <c:layout>
                <c:manualLayout>
                  <c:x val="-6.2457433205464777E-2"/>
                  <c:y val="-5.50001049868766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213-4AEA-A901-33FF9B967F47}"/>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Лист1!$A$2:$A$11</c:f>
              <c:numCache>
                <c:formatCode>General</c:formatCode>
                <c:ptCount val="7"/>
                <c:pt idx="0">
                  <c:v>2023</c:v>
                </c:pt>
                <c:pt idx="1">
                  <c:v>2024</c:v>
                </c:pt>
                <c:pt idx="2">
                  <c:v>2025</c:v>
                </c:pt>
                <c:pt idx="3">
                  <c:v>2026</c:v>
                </c:pt>
                <c:pt idx="4">
                  <c:v>2027</c:v>
                </c:pt>
                <c:pt idx="5">
                  <c:v>2028</c:v>
                </c:pt>
                <c:pt idx="6">
                  <c:v>2029</c:v>
                </c:pt>
              </c:numCache>
            </c:numRef>
          </c:cat>
          <c:val>
            <c:numRef>
              <c:f>Лист1!$C$2:$C$11</c:f>
              <c:numCache>
                <c:formatCode>0.0</c:formatCode>
                <c:ptCount val="7"/>
                <c:pt idx="0">
                  <c:v>5.5332012152269812</c:v>
                </c:pt>
                <c:pt idx="1">
                  <c:v>5.2418681561978104</c:v>
                </c:pt>
                <c:pt idx="2">
                  <c:v>4.5568044122169908</c:v>
                </c:pt>
                <c:pt idx="3">
                  <c:v>3.365954922894403</c:v>
                </c:pt>
                <c:pt idx="4">
                  <c:v>3.0797898173767919</c:v>
                </c:pt>
                <c:pt idx="5">
                  <c:v>2.9458871018381103</c:v>
                </c:pt>
                <c:pt idx="6">
                  <c:v>2.8115706947823753</c:v>
                </c:pt>
              </c:numCache>
            </c:numRef>
          </c:val>
          <c:smooth val="0"/>
          <c:extLst>
            <c:ext xmlns:c16="http://schemas.microsoft.com/office/drawing/2014/chart" uri="{C3380CC4-5D6E-409C-BE32-E72D297353CC}">
              <c16:uniqueId val="{00000004-A213-4AEA-A901-33FF9B967F47}"/>
            </c:ext>
          </c:extLst>
        </c:ser>
        <c:dLbls>
          <c:showLegendKey val="0"/>
          <c:showVal val="0"/>
          <c:showCatName val="0"/>
          <c:showSerName val="0"/>
          <c:showPercent val="0"/>
          <c:showBubbleSize val="0"/>
        </c:dLbls>
        <c:marker val="1"/>
        <c:smooth val="0"/>
        <c:axId val="269820928"/>
        <c:axId val="263049152"/>
      </c:lineChart>
      <c:catAx>
        <c:axId val="216978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63045120"/>
        <c:crosses val="autoZero"/>
        <c:auto val="1"/>
        <c:lblAlgn val="ctr"/>
        <c:lblOffset val="100"/>
        <c:noMultiLvlLbl val="0"/>
      </c:catAx>
      <c:valAx>
        <c:axId val="263045120"/>
        <c:scaling>
          <c:orientation val="minMax"/>
          <c:max val="1200"/>
          <c:min val="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vert="horz"/>
          <a:lstStyle/>
          <a:p>
            <a:pPr>
              <a:defRPr/>
            </a:pPr>
            <a:endParaRPr lang="en-US"/>
          </a:p>
        </c:txPr>
        <c:crossAx val="216978432"/>
        <c:crosses val="autoZero"/>
        <c:crossBetween val="between"/>
        <c:majorUnit val="200"/>
      </c:valAx>
      <c:valAx>
        <c:axId val="263049152"/>
        <c:scaling>
          <c:orientation val="minMax"/>
        </c:scaling>
        <c:delete val="0"/>
        <c:axPos val="r"/>
        <c:numFmt formatCode="0.0" sourceLinked="1"/>
        <c:majorTickMark val="none"/>
        <c:minorTickMark val="none"/>
        <c:tickLblPos val="nextTo"/>
        <c:crossAx val="269820928"/>
        <c:crosses val="max"/>
        <c:crossBetween val="between"/>
      </c:valAx>
      <c:catAx>
        <c:axId val="269820928"/>
        <c:scaling>
          <c:orientation val="minMax"/>
        </c:scaling>
        <c:delete val="1"/>
        <c:axPos val="b"/>
        <c:numFmt formatCode="General" sourceLinked="1"/>
        <c:majorTickMark val="out"/>
        <c:minorTickMark val="none"/>
        <c:tickLblPos val="nextTo"/>
        <c:crossAx val="263049152"/>
        <c:crosses val="autoZero"/>
        <c:auto val="1"/>
        <c:lblAlgn val="ctr"/>
        <c:lblOffset val="100"/>
        <c:noMultiLvlLbl val="0"/>
      </c:catAx>
      <c:spPr>
        <a:noFill/>
        <a:ln>
          <a:noFill/>
        </a:ln>
        <a:effectLst/>
      </c:spPr>
    </c:plotArea>
    <c:legend>
      <c:legendPos val="b"/>
      <c:layout>
        <c:manualLayout>
          <c:xMode val="edge"/>
          <c:yMode val="edge"/>
          <c:x val="0"/>
          <c:y val="0.83846803149606297"/>
          <c:w val="0.99420822397200348"/>
          <c:h val="0.161531968503937"/>
        </c:manualLayout>
      </c:layout>
      <c:overlay val="0"/>
      <c:spPr>
        <a:noFill/>
        <a:ln>
          <a:noFill/>
        </a:ln>
        <a:effectLst/>
      </c:spPr>
      <c:txPr>
        <a:bodyPr rot="0" vert="horz"/>
        <a:lstStyle/>
        <a:p>
          <a:pPr>
            <a:defRPr sz="800"/>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Arial Narrow" panose="020B0606020202030204" pitchFamily="34" charset="0"/>
        </a:defRPr>
      </a:pPr>
      <a:endParaRPr lang="en-US"/>
    </a:p>
  </c:txPr>
  <c:externalData r:id="rId2">
    <c:autoUpdate val="0"/>
  </c:externalData>
  <c:userShapes r:id="rId3"/>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endParaRPr lang="en-US"/>
          </a:p>
          <a:p>
            <a:pPr>
              <a:defRPr/>
            </a:pPr>
            <a:endParaRPr lang="ru-RU"/>
          </a:p>
        </c:rich>
      </c:tx>
      <c:layout>
        <c:manualLayout>
          <c:xMode val="edge"/>
          <c:yMode val="edge"/>
          <c:x val="9.3106574844288706E-2"/>
          <c:y val="0"/>
        </c:manualLayout>
      </c:layout>
      <c:overlay val="0"/>
      <c:spPr>
        <a:noFill/>
        <a:ln>
          <a:noFill/>
        </a:ln>
        <a:effectLst/>
      </c:spPr>
    </c:title>
    <c:autoTitleDeleted val="0"/>
    <c:plotArea>
      <c:layout>
        <c:manualLayout>
          <c:layoutTarget val="inner"/>
          <c:xMode val="edge"/>
          <c:yMode val="edge"/>
          <c:x val="0.11873917014291722"/>
          <c:y val="7.0087221630047492E-2"/>
          <c:w val="0.80804307316570445"/>
          <c:h val="0.65338072619465082"/>
        </c:manualLayout>
      </c:layout>
      <c:barChart>
        <c:barDir val="col"/>
        <c:grouping val="clustered"/>
        <c:varyColors val="0"/>
        <c:ser>
          <c:idx val="0"/>
          <c:order val="0"/>
          <c:tx>
            <c:strRef>
              <c:f>Лист1!$B$1</c:f>
              <c:strCache>
                <c:ptCount val="1"/>
                <c:pt idx="0">
                  <c:v>Միջին ամսական անվանական աշխատավարձ, հազ. դրամ</c:v>
                </c:pt>
              </c:strCache>
            </c:strRef>
          </c:tx>
          <c:spPr>
            <a:solidFill>
              <a:srgbClr val="5B9BD5">
                <a:lumMod val="60000"/>
                <a:lumOff val="40000"/>
              </a:srgbClr>
            </a:solidFill>
            <a:ln>
              <a:noFill/>
            </a:ln>
            <a:effectLst/>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Лист1!$A$2:$A$10</c:f>
              <c:numCache>
                <c:formatCode>General</c:formatCode>
                <c:ptCount val="7"/>
                <c:pt idx="0">
                  <c:v>2023</c:v>
                </c:pt>
                <c:pt idx="1">
                  <c:v>2024</c:v>
                </c:pt>
                <c:pt idx="2">
                  <c:v>2025</c:v>
                </c:pt>
                <c:pt idx="3">
                  <c:v>2026</c:v>
                </c:pt>
                <c:pt idx="4">
                  <c:v>2027</c:v>
                </c:pt>
                <c:pt idx="5">
                  <c:v>2028</c:v>
                </c:pt>
                <c:pt idx="6">
                  <c:v>2029</c:v>
                </c:pt>
              </c:numCache>
            </c:numRef>
          </c:cat>
          <c:val>
            <c:numRef>
              <c:f>Лист1!$B$2:$B$10</c:f>
              <c:numCache>
                <c:formatCode>0</c:formatCode>
                <c:ptCount val="7"/>
                <c:pt idx="0">
                  <c:v>269.99400000000003</c:v>
                </c:pt>
                <c:pt idx="1">
                  <c:v>287.17200000000003</c:v>
                </c:pt>
                <c:pt idx="2">
                  <c:v>303.14</c:v>
                </c:pt>
                <c:pt idx="3">
                  <c:v>319.86341186859806</c:v>
                </c:pt>
                <c:pt idx="4">
                  <c:v>337.08249523831228</c:v>
                </c:pt>
                <c:pt idx="5">
                  <c:v>354.46941558303979</c:v>
                </c:pt>
                <c:pt idx="6">
                  <c:v>371.69240552824749</c:v>
                </c:pt>
              </c:numCache>
            </c:numRef>
          </c:val>
          <c:extLst>
            <c:ext xmlns:c16="http://schemas.microsoft.com/office/drawing/2014/chart" uri="{C3380CC4-5D6E-409C-BE32-E72D297353CC}">
              <c16:uniqueId val="{00000000-D153-4D7B-A4DB-6007DA511702}"/>
            </c:ext>
          </c:extLst>
        </c:ser>
        <c:dLbls>
          <c:showLegendKey val="0"/>
          <c:showVal val="0"/>
          <c:showCatName val="0"/>
          <c:showSerName val="0"/>
          <c:showPercent val="0"/>
          <c:showBubbleSize val="0"/>
        </c:dLbls>
        <c:gapWidth val="219"/>
        <c:overlap val="-27"/>
        <c:axId val="218514944"/>
        <c:axId val="263051456"/>
      </c:barChart>
      <c:lineChart>
        <c:grouping val="standard"/>
        <c:varyColors val="0"/>
        <c:ser>
          <c:idx val="1"/>
          <c:order val="1"/>
          <c:tx>
            <c:strRef>
              <c:f>Лист1!$C$1</c:f>
              <c:strCache>
                <c:ptCount val="1"/>
                <c:pt idx="0">
                  <c:v>Անվանական աճ, %</c:v>
                </c:pt>
              </c:strCache>
            </c:strRef>
          </c:tx>
          <c:spPr>
            <a:ln w="28575" cap="rnd">
              <a:solidFill>
                <a:srgbClr val="4472C4">
                  <a:lumMod val="50000"/>
                </a:srgbClr>
              </a:solidFill>
              <a:round/>
            </a:ln>
            <a:effectLst/>
          </c:spPr>
          <c:marker>
            <c:symbol val="none"/>
          </c:marker>
          <c:dLbls>
            <c:dLbl>
              <c:idx val="0"/>
              <c:layout>
                <c:manualLayout>
                  <c:x val="-5.5827828681014281E-3"/>
                  <c:y val="3.867831298415633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153-4D7B-A4DB-6007DA511702}"/>
                </c:ext>
              </c:extLst>
            </c:dLbl>
            <c:dLbl>
              <c:idx val="1"/>
              <c:layout>
                <c:manualLayout>
                  <c:x val="-3.671442305595031E-2"/>
                  <c:y val="-5.38607269233046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153-4D7B-A4DB-6007DA511702}"/>
                </c:ext>
              </c:extLst>
            </c:dLbl>
            <c:dLbl>
              <c:idx val="2"/>
              <c:layout>
                <c:manualLayout>
                  <c:x val="-6.2081740102112211E-2"/>
                  <c:y val="-5.386072692330473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153-4D7B-A4DB-6007DA511702}"/>
                </c:ext>
              </c:extLst>
            </c:dLbl>
            <c:dLbl>
              <c:idx val="3"/>
              <c:layout>
                <c:manualLayout>
                  <c:x val="-6.2529382846960885E-2"/>
                  <c:y val="-3.072596694643938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153-4D7B-A4DB-6007DA511702}"/>
                </c:ext>
              </c:extLst>
            </c:dLbl>
            <c:dLbl>
              <c:idx val="4"/>
              <c:layout>
                <c:manualLayout>
                  <c:x val="-6.2113954272656043E-2"/>
                  <c:y val="-4.229334693487200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153-4D7B-A4DB-6007DA511702}"/>
                </c:ext>
              </c:extLst>
            </c:dLbl>
            <c:dLbl>
              <c:idx val="5"/>
              <c:layout>
                <c:manualLayout>
                  <c:x val="-6.2081740102112287E-2"/>
                  <c:y val="-4.807703692908826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153-4D7B-A4DB-6007DA511702}"/>
                </c:ext>
              </c:extLst>
            </c:dLbl>
            <c:dLbl>
              <c:idx val="6"/>
              <c:layout>
                <c:manualLayout>
                  <c:x val="-5.7820073790584479E-2"/>
                  <c:y val="-4.22933469348720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153-4D7B-A4DB-6007DA511702}"/>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Лист1!$A$2:$A$10</c:f>
              <c:numCache>
                <c:formatCode>General</c:formatCode>
                <c:ptCount val="7"/>
                <c:pt idx="0">
                  <c:v>2023</c:v>
                </c:pt>
                <c:pt idx="1">
                  <c:v>2024</c:v>
                </c:pt>
                <c:pt idx="2">
                  <c:v>2025</c:v>
                </c:pt>
                <c:pt idx="3">
                  <c:v>2026</c:v>
                </c:pt>
                <c:pt idx="4">
                  <c:v>2027</c:v>
                </c:pt>
                <c:pt idx="5">
                  <c:v>2028</c:v>
                </c:pt>
                <c:pt idx="6">
                  <c:v>2029</c:v>
                </c:pt>
              </c:numCache>
            </c:numRef>
          </c:cat>
          <c:val>
            <c:numRef>
              <c:f>Лист1!$C$2:$C$10</c:f>
              <c:numCache>
                <c:formatCode>0.0</c:formatCode>
                <c:ptCount val="7"/>
                <c:pt idx="0">
                  <c:v>14.610147043841465</c:v>
                </c:pt>
                <c:pt idx="1">
                  <c:v>6.3623636080801731</c:v>
                </c:pt>
                <c:pt idx="2">
                  <c:v>5.5604306826570848</c:v>
                </c:pt>
                <c:pt idx="3">
                  <c:v>5.5167288607897547</c:v>
                </c:pt>
                <c:pt idx="4">
                  <c:v>5.3832613330554722</c:v>
                </c:pt>
                <c:pt idx="5">
                  <c:v>5.1580608872719012</c:v>
                </c:pt>
                <c:pt idx="6">
                  <c:v>4.8588084579536712</c:v>
                </c:pt>
              </c:numCache>
            </c:numRef>
          </c:val>
          <c:smooth val="0"/>
          <c:extLst>
            <c:ext xmlns:c16="http://schemas.microsoft.com/office/drawing/2014/chart" uri="{C3380CC4-5D6E-409C-BE32-E72D297353CC}">
              <c16:uniqueId val="{00000008-D153-4D7B-A4DB-6007DA511702}"/>
            </c:ext>
          </c:extLst>
        </c:ser>
        <c:dLbls>
          <c:showLegendKey val="0"/>
          <c:showVal val="0"/>
          <c:showCatName val="0"/>
          <c:showSerName val="0"/>
          <c:showPercent val="0"/>
          <c:showBubbleSize val="0"/>
        </c:dLbls>
        <c:marker val="1"/>
        <c:smooth val="0"/>
        <c:axId val="216979968"/>
        <c:axId val="263052032"/>
      </c:lineChart>
      <c:catAx>
        <c:axId val="218514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63051456"/>
        <c:crosses val="autoZero"/>
        <c:auto val="1"/>
        <c:lblAlgn val="ctr"/>
        <c:lblOffset val="100"/>
        <c:noMultiLvlLbl val="0"/>
      </c:catAx>
      <c:valAx>
        <c:axId val="2630514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vert="horz"/>
          <a:lstStyle/>
          <a:p>
            <a:pPr>
              <a:defRPr/>
            </a:pPr>
            <a:endParaRPr lang="en-US"/>
          </a:p>
        </c:txPr>
        <c:crossAx val="218514944"/>
        <c:crosses val="autoZero"/>
        <c:crossBetween val="between"/>
      </c:valAx>
      <c:valAx>
        <c:axId val="263052032"/>
        <c:scaling>
          <c:orientation val="minMax"/>
        </c:scaling>
        <c:delete val="0"/>
        <c:axPos val="r"/>
        <c:numFmt formatCode="0.0" sourceLinked="1"/>
        <c:majorTickMark val="none"/>
        <c:minorTickMark val="none"/>
        <c:tickLblPos val="nextTo"/>
        <c:crossAx val="216979968"/>
        <c:crosses val="max"/>
        <c:crossBetween val="between"/>
      </c:valAx>
      <c:catAx>
        <c:axId val="216979968"/>
        <c:scaling>
          <c:orientation val="minMax"/>
        </c:scaling>
        <c:delete val="1"/>
        <c:axPos val="b"/>
        <c:numFmt formatCode="General" sourceLinked="1"/>
        <c:majorTickMark val="out"/>
        <c:minorTickMark val="none"/>
        <c:tickLblPos val="nextTo"/>
        <c:crossAx val="263052032"/>
        <c:crosses val="autoZero"/>
        <c:auto val="1"/>
        <c:lblAlgn val="ctr"/>
        <c:lblOffset val="100"/>
        <c:noMultiLvlLbl val="0"/>
      </c:catAx>
      <c:spPr>
        <a:noFill/>
        <a:ln>
          <a:noFill/>
        </a:ln>
        <a:effectLst/>
      </c:spPr>
    </c:plotArea>
    <c:legend>
      <c:legendPos val="b"/>
      <c:layout>
        <c:manualLayout>
          <c:xMode val="edge"/>
          <c:yMode val="edge"/>
          <c:x val="3.7535213276265036E-2"/>
          <c:y val="0.84420970658019978"/>
          <c:w val="0.93535052205412317"/>
          <c:h val="0.15297176921710695"/>
        </c:manualLayout>
      </c:layout>
      <c:overlay val="0"/>
      <c:spPr>
        <a:noFill/>
        <a:ln>
          <a:noFill/>
        </a:ln>
        <a:effectLst/>
      </c:spPr>
      <c:txPr>
        <a:bodyPr rot="0" vert="horz"/>
        <a:lstStyle/>
        <a:p>
          <a:pPr>
            <a:defRPr sz="700"/>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Arial Narrow" panose="020B0606020202030204" pitchFamily="34" charset="0"/>
        </a:defRPr>
      </a:pPr>
      <a:endParaRPr lang="en-US"/>
    </a:p>
  </c:txPr>
  <c:externalData r:id="rId2">
    <c:autoUpdate val="0"/>
  </c:externalData>
  <c:userShapes r:id="rId3"/>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53536449004193654"/>
        </c:manualLayout>
      </c:layout>
      <c:barChart>
        <c:barDir val="col"/>
        <c:grouping val="stacked"/>
        <c:varyColors val="0"/>
        <c:ser>
          <c:idx val="1"/>
          <c:order val="0"/>
          <c:tx>
            <c:strRef>
              <c:f>Sheet1!$A$2</c:f>
              <c:strCache>
                <c:ptCount val="1"/>
                <c:pt idx="0">
                  <c:v>Ապրանքների հաշվեկշիռ</c:v>
                </c:pt>
              </c:strCache>
            </c:strRef>
          </c:tx>
          <c:spPr>
            <a:solidFill>
              <a:sysClr val="window" lastClr="FFFFFF">
                <a:lumMod val="75000"/>
              </a:sysClr>
            </a:solidFill>
            <a:ln>
              <a:noFill/>
            </a:ln>
            <a:effectLst/>
          </c:spPr>
          <c:invertIfNegative val="0"/>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Sheet1!$B$2:$M$2</c:f>
              <c:numCache>
                <c:formatCode>0.0</c:formatCode>
                <c:ptCount val="7"/>
                <c:pt idx="0">
                  <c:v>-12.207762909454257</c:v>
                </c:pt>
                <c:pt idx="1">
                  <c:v>-11.500461260444247</c:v>
                </c:pt>
                <c:pt idx="2">
                  <c:v>-13.121323035737859</c:v>
                </c:pt>
                <c:pt idx="3">
                  <c:v>-13.411176532801115</c:v>
                </c:pt>
                <c:pt idx="4">
                  <c:v>-12.535355159882391</c:v>
                </c:pt>
                <c:pt idx="5">
                  <c:v>-11.977429991083936</c:v>
                </c:pt>
                <c:pt idx="6">
                  <c:v>-11.988709306766552</c:v>
                </c:pt>
              </c:numCache>
            </c:numRef>
          </c:val>
          <c:extLst>
            <c:ext xmlns:c16="http://schemas.microsoft.com/office/drawing/2014/chart" uri="{C3380CC4-5D6E-409C-BE32-E72D297353CC}">
              <c16:uniqueId val="{00000000-0CF7-4411-BED9-194A84275B74}"/>
            </c:ext>
          </c:extLst>
        </c:ser>
        <c:ser>
          <c:idx val="2"/>
          <c:order val="2"/>
          <c:tx>
            <c:strRef>
              <c:f>Sheet1!$A$4</c:f>
              <c:strCache>
                <c:ptCount val="1"/>
                <c:pt idx="0">
                  <c:v>Ծառայությունների հաշվեկշիռ</c:v>
                </c:pt>
              </c:strCache>
            </c:strRef>
          </c:tx>
          <c:spPr>
            <a:solidFill>
              <a:schemeClr val="accent1">
                <a:lumMod val="60000"/>
                <a:lumOff val="40000"/>
              </a:schemeClr>
            </a:solidFill>
            <a:ln>
              <a:noFill/>
            </a:ln>
            <a:effectLst/>
          </c:spPr>
          <c:invertIfNegative val="0"/>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Sheet1!$B$4:$M$4</c:f>
              <c:numCache>
                <c:formatCode>0.0</c:formatCode>
                <c:ptCount val="7"/>
                <c:pt idx="0">
                  <c:v>10.029396916676388</c:v>
                </c:pt>
                <c:pt idx="1">
                  <c:v>6.6753234608426677</c:v>
                </c:pt>
                <c:pt idx="2">
                  <c:v>6.1081800877134445</c:v>
                </c:pt>
                <c:pt idx="3">
                  <c:v>7.427067920131071</c:v>
                </c:pt>
                <c:pt idx="4">
                  <c:v>7.6899542522042452</c:v>
                </c:pt>
                <c:pt idx="5">
                  <c:v>7.9002042733674713</c:v>
                </c:pt>
                <c:pt idx="6">
                  <c:v>8.1622124200692543</c:v>
                </c:pt>
              </c:numCache>
            </c:numRef>
          </c:val>
          <c:extLst>
            <c:ext xmlns:c16="http://schemas.microsoft.com/office/drawing/2014/chart" uri="{C3380CC4-5D6E-409C-BE32-E72D297353CC}">
              <c16:uniqueId val="{00000001-0CF7-4411-BED9-194A84275B74}"/>
            </c:ext>
          </c:extLst>
        </c:ser>
        <c:ser>
          <c:idx val="5"/>
          <c:order val="5"/>
          <c:tx>
            <c:strRef>
              <c:f>Sheet1!$A$7</c:f>
              <c:strCache>
                <c:ptCount val="1"/>
                <c:pt idx="0">
                  <c:v>Զուտ դրամական փոխանցումներ</c:v>
                </c:pt>
              </c:strCache>
            </c:strRef>
          </c:tx>
          <c:spPr>
            <a:solidFill>
              <a:srgbClr val="5B9BD5">
                <a:lumMod val="75000"/>
              </a:srgb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Sheet1!$B$7:$M$7</c:f>
              <c:numCache>
                <c:formatCode>0.0</c:formatCode>
                <c:ptCount val="7"/>
                <c:pt idx="0">
                  <c:v>4.1744216400382541</c:v>
                </c:pt>
                <c:pt idx="1">
                  <c:v>3.5205152651660216</c:v>
                </c:pt>
                <c:pt idx="2">
                  <c:v>3.368910173418036</c:v>
                </c:pt>
                <c:pt idx="3">
                  <c:v>3.4627514610723686</c:v>
                </c:pt>
                <c:pt idx="4">
                  <c:v>3.3620512137275891</c:v>
                </c:pt>
                <c:pt idx="5">
                  <c:v>3.2813475144480617</c:v>
                </c:pt>
                <c:pt idx="6">
                  <c:v>3.2211902187559676</c:v>
                </c:pt>
              </c:numCache>
            </c:numRef>
          </c:val>
          <c:extLst>
            <c:ext xmlns:c16="http://schemas.microsoft.com/office/drawing/2014/chart" uri="{C3380CC4-5D6E-409C-BE32-E72D297353CC}">
              <c16:uniqueId val="{00000002-0CF7-4411-BED9-194A84275B74}"/>
            </c:ext>
          </c:extLst>
        </c:ser>
        <c:dLbls>
          <c:showLegendKey val="0"/>
          <c:showVal val="0"/>
          <c:showCatName val="0"/>
          <c:showSerName val="0"/>
          <c:showPercent val="0"/>
          <c:showBubbleSize val="0"/>
        </c:dLbls>
        <c:gapWidth val="150"/>
        <c:overlap val="100"/>
        <c:axId val="452835328"/>
        <c:axId val="450240512"/>
      </c:barChart>
      <c:barChart>
        <c:barDir val="col"/>
        <c:grouping val="stacked"/>
        <c:varyColors val="0"/>
        <c:ser>
          <c:idx val="3"/>
          <c:order val="3"/>
          <c:tx>
            <c:strRef>
              <c:f>Sheet1!$A$5</c:f>
              <c:strCache>
                <c:ptCount val="1"/>
                <c:pt idx="0">
                  <c:v>Սկզբնական եկամուտներ</c:v>
                </c:pt>
              </c:strCache>
            </c:strRef>
          </c:tx>
          <c:spPr>
            <a:solidFill>
              <a:srgbClr val="4F81BD"/>
            </a:solidFill>
            <a:ln w="25375">
              <a:noFill/>
            </a:ln>
          </c:spPr>
          <c:invertIfNegative val="0"/>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Sheet1!$B$5:$M$5</c:f>
            </c:numRef>
          </c:val>
          <c:extLst>
            <c:ext xmlns:c16="http://schemas.microsoft.com/office/drawing/2014/chart" uri="{C3380CC4-5D6E-409C-BE32-E72D297353CC}">
              <c16:uniqueId val="{00000003-0CF7-4411-BED9-194A84275B74}"/>
            </c:ext>
          </c:extLst>
        </c:ser>
        <c:ser>
          <c:idx val="4"/>
          <c:order val="4"/>
          <c:tx>
            <c:strRef>
              <c:f>Sheet1!$A$6</c:f>
              <c:strCache>
                <c:ptCount val="1"/>
                <c:pt idx="0">
                  <c:v>Երկրորդային եկամուտներ</c:v>
                </c:pt>
              </c:strCache>
            </c:strRef>
          </c:tx>
          <c:spPr>
            <a:solidFill>
              <a:srgbClr val="1F497D"/>
            </a:solidFill>
            <a:ln w="25375">
              <a:noFill/>
            </a:ln>
          </c:spPr>
          <c:invertIfNegative val="0"/>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Sheet1!$B$6:$M$6</c:f>
            </c:numRef>
          </c:val>
          <c:extLst>
            <c:ext xmlns:c16="http://schemas.microsoft.com/office/drawing/2014/chart" uri="{C3380CC4-5D6E-409C-BE32-E72D297353CC}">
              <c16:uniqueId val="{00000004-0CF7-4411-BED9-194A84275B74}"/>
            </c:ext>
          </c:extLst>
        </c:ser>
        <c:dLbls>
          <c:showLegendKey val="0"/>
          <c:showVal val="0"/>
          <c:showCatName val="0"/>
          <c:showSerName val="0"/>
          <c:showPercent val="0"/>
          <c:showBubbleSize val="0"/>
        </c:dLbls>
        <c:gapWidth val="150"/>
        <c:overlap val="100"/>
        <c:axId val="452835328"/>
        <c:axId val="450240512"/>
      </c:barChart>
      <c:lineChart>
        <c:grouping val="standard"/>
        <c:varyColors val="0"/>
        <c:ser>
          <c:idx val="0"/>
          <c:order val="1"/>
          <c:tx>
            <c:strRef>
              <c:f>Sheet1!$A$3</c:f>
              <c:strCache>
                <c:ptCount val="1"/>
                <c:pt idx="0">
                  <c:v>Ընթացիկ հաշիվ</c:v>
                </c:pt>
              </c:strCache>
            </c:strRef>
          </c:tx>
          <c:spPr>
            <a:ln w="28547" cap="rnd">
              <a:solidFill>
                <a:schemeClr val="accent1"/>
              </a:solidFill>
              <a:round/>
            </a:ln>
            <a:effectLst/>
          </c:spPr>
          <c:marker>
            <c:symbol val="circle"/>
            <c:size val="4"/>
            <c:spPr>
              <a:solidFill>
                <a:schemeClr val="accent1"/>
              </a:solidFill>
              <a:ln w="9516">
                <a:solidFill>
                  <a:schemeClr val="accent1"/>
                </a:solidFill>
              </a:ln>
              <a:effectLst/>
            </c:spPr>
          </c:marker>
          <c:dLbls>
            <c:spPr>
              <a:noFill/>
              <a:ln w="25375">
                <a:noFill/>
              </a:ln>
            </c:spPr>
            <c:txPr>
              <a:bodyPr rot="0" spcFirstLastPara="1" vertOverflow="ellipsis" vert="horz" wrap="square" anchor="ctr" anchorCtr="1"/>
              <a:lstStyle/>
              <a:p>
                <a:pPr>
                  <a:defRPr sz="899"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Sheet1!$B$3:$M$3</c:f>
              <c:numCache>
                <c:formatCode>0.0</c:formatCode>
                <c:ptCount val="7"/>
                <c:pt idx="0">
                  <c:v>-3.544616905742251</c:v>
                </c:pt>
                <c:pt idx="1">
                  <c:v>-6.1888021052814146</c:v>
                </c:pt>
                <c:pt idx="2">
                  <c:v>-8.7129974295160277</c:v>
                </c:pt>
                <c:pt idx="3">
                  <c:v>-6.3147085295974792</c:v>
                </c:pt>
                <c:pt idx="4">
                  <c:v>-5.3239147262074464</c:v>
                </c:pt>
                <c:pt idx="5">
                  <c:v>-4.769377225517994</c:v>
                </c:pt>
                <c:pt idx="6">
                  <c:v>-4.4468312647968045</c:v>
                </c:pt>
              </c:numCache>
            </c:numRef>
          </c:val>
          <c:smooth val="0"/>
          <c:extLst>
            <c:ext xmlns:c16="http://schemas.microsoft.com/office/drawing/2014/chart" uri="{C3380CC4-5D6E-409C-BE32-E72D297353CC}">
              <c16:uniqueId val="{00000005-0CF7-4411-BED9-194A84275B74}"/>
            </c:ext>
          </c:extLst>
        </c:ser>
        <c:dLbls>
          <c:showLegendKey val="0"/>
          <c:showVal val="0"/>
          <c:showCatName val="0"/>
          <c:showSerName val="0"/>
          <c:showPercent val="0"/>
          <c:showBubbleSize val="0"/>
        </c:dLbls>
        <c:marker val="1"/>
        <c:smooth val="0"/>
        <c:axId val="452835328"/>
        <c:axId val="450240512"/>
      </c:lineChart>
      <c:catAx>
        <c:axId val="452835328"/>
        <c:scaling>
          <c:orientation val="minMax"/>
        </c:scaling>
        <c:delete val="0"/>
        <c:axPos val="b"/>
        <c:numFmt formatCode="General" sourceLinked="1"/>
        <c:majorTickMark val="none"/>
        <c:minorTickMark val="none"/>
        <c:tickLblPos val="low"/>
        <c:spPr>
          <a:noFill/>
          <a:ln w="9516" cap="flat" cmpd="sng" algn="ctr">
            <a:solidFill>
              <a:schemeClr val="tx1">
                <a:lumMod val="15000"/>
                <a:lumOff val="85000"/>
              </a:schemeClr>
            </a:solidFill>
            <a:round/>
          </a:ln>
          <a:effectLst/>
        </c:spPr>
        <c:txPr>
          <a:bodyPr rot="0" spcFirstLastPara="1" vertOverflow="ellipsis"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0240512"/>
        <c:crosses val="autoZero"/>
        <c:auto val="0"/>
        <c:lblAlgn val="ctr"/>
        <c:lblOffset val="100"/>
        <c:noMultiLvlLbl val="0"/>
      </c:catAx>
      <c:valAx>
        <c:axId val="450240512"/>
        <c:scaling>
          <c:orientation val="minMax"/>
        </c:scaling>
        <c:delete val="0"/>
        <c:axPos val="l"/>
        <c:majorGridlines>
          <c:spPr>
            <a:ln w="9516" cap="flat" cmpd="sng" algn="ctr">
              <a:solidFill>
                <a:schemeClr val="tx1">
                  <a:lumMod val="15000"/>
                  <a:lumOff val="85000"/>
                </a:schemeClr>
              </a:solidFill>
              <a:round/>
            </a:ln>
            <a:effectLst/>
          </c:spPr>
        </c:majorGridlines>
        <c:numFmt formatCode="0.0" sourceLinked="1"/>
        <c:majorTickMark val="none"/>
        <c:minorTickMark val="none"/>
        <c:tickLblPos val="nextTo"/>
        <c:spPr>
          <a:ln w="9516">
            <a:noFill/>
          </a:ln>
        </c:spPr>
        <c:txPr>
          <a:bodyPr rot="0" spcFirstLastPara="1" vertOverflow="ellipsis"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2835328"/>
        <c:crosses val="autoZero"/>
        <c:crossBetween val="between"/>
        <c:majorUnit val="5"/>
      </c:valAx>
      <c:spPr>
        <a:noFill/>
        <a:ln w="25375">
          <a:noFill/>
        </a:ln>
      </c:spPr>
    </c:plotArea>
    <c:legend>
      <c:legendPos val="b"/>
      <c:layout>
        <c:manualLayout>
          <c:xMode val="edge"/>
          <c:yMode val="edge"/>
          <c:x val="0"/>
          <c:y val="0.7034794100838202"/>
          <c:w val="0.99335345057915647"/>
          <c:h val="0.293818659512319"/>
        </c:manualLayout>
      </c:layout>
      <c:overlay val="0"/>
      <c:spPr>
        <a:noFill/>
        <a:ln w="25375">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16"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64150943396226412"/>
        </c:manualLayout>
      </c:layout>
      <c:barChart>
        <c:barDir val="col"/>
        <c:grouping val="stacked"/>
        <c:varyColors val="0"/>
        <c:ser>
          <c:idx val="1"/>
          <c:order val="0"/>
          <c:tx>
            <c:strRef>
              <c:f>Sheet1!$A$2</c:f>
              <c:strCache>
                <c:ptCount val="1"/>
                <c:pt idx="0">
                  <c:v>Արտահանում</c:v>
                </c:pt>
              </c:strCache>
            </c:strRef>
          </c:tx>
          <c:spPr>
            <a:solidFill>
              <a:schemeClr val="accent1">
                <a:lumMod val="60000"/>
                <a:lumOff val="40000"/>
              </a:schemeClr>
            </a:solidFill>
            <a:ln>
              <a:noFill/>
            </a:ln>
            <a:effectLst/>
          </c:spPr>
          <c:invertIfNegative val="0"/>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Sheet1!$B$2:$M$2</c:f>
              <c:numCache>
                <c:formatCode>0</c:formatCode>
                <c:ptCount val="7"/>
                <c:pt idx="0">
                  <c:v>5813.9810568458552</c:v>
                </c:pt>
                <c:pt idx="1">
                  <c:v>5849.1741971227857</c:v>
                </c:pt>
                <c:pt idx="2">
                  <c:v>6072.9189059838</c:v>
                </c:pt>
                <c:pt idx="3">
                  <c:v>6872.0663736001388</c:v>
                </c:pt>
                <c:pt idx="4">
                  <c:v>7388.3988709461064</c:v>
                </c:pt>
                <c:pt idx="5">
                  <c:v>7930.153939257335</c:v>
                </c:pt>
                <c:pt idx="6">
                  <c:v>8526.0169517773957</c:v>
                </c:pt>
              </c:numCache>
            </c:numRef>
          </c:val>
          <c:extLst>
            <c:ext xmlns:c16="http://schemas.microsoft.com/office/drawing/2014/chart" uri="{C3380CC4-5D6E-409C-BE32-E72D297353CC}">
              <c16:uniqueId val="{00000000-003C-45B7-9925-D6417500E47E}"/>
            </c:ext>
          </c:extLst>
        </c:ser>
        <c:ser>
          <c:idx val="2"/>
          <c:order val="2"/>
          <c:tx>
            <c:strRef>
              <c:f>Sheet1!$A$4</c:f>
              <c:strCache>
                <c:ptCount val="1"/>
                <c:pt idx="0">
                  <c:v>Ներմուծում</c:v>
                </c:pt>
              </c:strCache>
            </c:strRef>
          </c:tx>
          <c:spPr>
            <a:solidFill>
              <a:srgbClr val="1F497D"/>
            </a:solidFill>
            <a:ln w="25392">
              <a:noFill/>
            </a:ln>
          </c:spPr>
          <c:invertIfNegative val="0"/>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Sheet1!$B$4:$M$4</c:f>
              <c:numCache>
                <c:formatCode>0</c:formatCode>
                <c:ptCount val="7"/>
                <c:pt idx="0">
                  <c:v>-3388.2729022411227</c:v>
                </c:pt>
                <c:pt idx="1">
                  <c:v>-4106.996887477253</c:v>
                </c:pt>
                <c:pt idx="2">
                  <c:v>-4282.7013485255266</c:v>
                </c:pt>
                <c:pt idx="3">
                  <c:v>-4434.3163178903906</c:v>
                </c:pt>
                <c:pt idx="4">
                  <c:v>-4701.3288379311043</c:v>
                </c:pt>
                <c:pt idx="5">
                  <c:v>-4982.9799750161519</c:v>
                </c:pt>
                <c:pt idx="6">
                  <c:v>-5280.7138641264755</c:v>
                </c:pt>
              </c:numCache>
            </c:numRef>
          </c:val>
          <c:extLst>
            <c:ext xmlns:c16="http://schemas.microsoft.com/office/drawing/2014/chart" uri="{C3380CC4-5D6E-409C-BE32-E72D297353CC}">
              <c16:uniqueId val="{00000001-003C-45B7-9925-D6417500E47E}"/>
            </c:ext>
          </c:extLst>
        </c:ser>
        <c:dLbls>
          <c:showLegendKey val="0"/>
          <c:showVal val="0"/>
          <c:showCatName val="0"/>
          <c:showSerName val="0"/>
          <c:showPercent val="0"/>
          <c:showBubbleSize val="0"/>
        </c:dLbls>
        <c:gapWidth val="150"/>
        <c:overlap val="100"/>
        <c:axId val="452836864"/>
        <c:axId val="450242240"/>
      </c:barChart>
      <c:lineChart>
        <c:grouping val="standard"/>
        <c:varyColors val="0"/>
        <c:ser>
          <c:idx val="0"/>
          <c:order val="1"/>
          <c:tx>
            <c:strRef>
              <c:f>Sheet1!$A$3</c:f>
              <c:strCache>
                <c:ptCount val="1"/>
                <c:pt idx="0">
                  <c:v>Ծառայությունների հաշվեկշիռ</c:v>
                </c:pt>
              </c:strCache>
            </c:strRef>
          </c:tx>
          <c:spPr>
            <a:ln w="28566" cap="rnd">
              <a:solidFill>
                <a:schemeClr val="accent1"/>
              </a:solidFill>
              <a:round/>
            </a:ln>
            <a:effectLst/>
          </c:spPr>
          <c:marker>
            <c:symbol val="circle"/>
            <c:size val="4"/>
            <c:spPr>
              <a:solidFill>
                <a:schemeClr val="accent1"/>
              </a:solidFill>
              <a:ln w="9522">
                <a:solidFill>
                  <a:schemeClr val="accent1"/>
                </a:solidFill>
              </a:ln>
              <a:effectLst/>
            </c:spPr>
          </c:marker>
          <c:dLbls>
            <c:spPr>
              <a:noFill/>
              <a:ln w="25392">
                <a:noFill/>
              </a:ln>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Sheet1!$B$3:$M$3</c:f>
              <c:numCache>
                <c:formatCode>0</c:formatCode>
                <c:ptCount val="7"/>
                <c:pt idx="0">
                  <c:v>2425.7081546047325</c:v>
                </c:pt>
                <c:pt idx="1">
                  <c:v>1742.1773096455327</c:v>
                </c:pt>
                <c:pt idx="2">
                  <c:v>1790.2175574582734</c:v>
                </c:pt>
                <c:pt idx="3">
                  <c:v>2437.7500557097483</c:v>
                </c:pt>
                <c:pt idx="4">
                  <c:v>2687.0700330150021</c:v>
                </c:pt>
                <c:pt idx="5">
                  <c:v>2947.1739642411831</c:v>
                </c:pt>
                <c:pt idx="6">
                  <c:v>3245.3030876509201</c:v>
                </c:pt>
              </c:numCache>
            </c:numRef>
          </c:val>
          <c:smooth val="0"/>
          <c:extLst>
            <c:ext xmlns:c16="http://schemas.microsoft.com/office/drawing/2014/chart" uri="{C3380CC4-5D6E-409C-BE32-E72D297353CC}">
              <c16:uniqueId val="{00000002-003C-45B7-9925-D6417500E47E}"/>
            </c:ext>
          </c:extLst>
        </c:ser>
        <c:dLbls>
          <c:showLegendKey val="0"/>
          <c:showVal val="0"/>
          <c:showCatName val="0"/>
          <c:showSerName val="0"/>
          <c:showPercent val="0"/>
          <c:showBubbleSize val="0"/>
        </c:dLbls>
        <c:marker val="1"/>
        <c:smooth val="0"/>
        <c:axId val="452836864"/>
        <c:axId val="450242240"/>
      </c:lineChart>
      <c:catAx>
        <c:axId val="452836864"/>
        <c:scaling>
          <c:orientation val="minMax"/>
        </c:scaling>
        <c:delete val="0"/>
        <c:axPos val="b"/>
        <c:numFmt formatCode="General" sourceLinked="1"/>
        <c:majorTickMark val="none"/>
        <c:minorTickMark val="none"/>
        <c:tickLblPos val="low"/>
        <c:spPr>
          <a:noFill/>
          <a:ln w="9522"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0242240"/>
        <c:crosses val="autoZero"/>
        <c:auto val="0"/>
        <c:lblAlgn val="ctr"/>
        <c:lblOffset val="100"/>
        <c:noMultiLvlLbl val="0"/>
      </c:catAx>
      <c:valAx>
        <c:axId val="450242240"/>
        <c:scaling>
          <c:orientation val="minMax"/>
          <c:max val="8000"/>
        </c:scaling>
        <c:delete val="0"/>
        <c:axPos val="l"/>
        <c:majorGridlines>
          <c:spPr>
            <a:ln w="9522" cap="flat" cmpd="sng" algn="ctr">
              <a:solidFill>
                <a:schemeClr val="tx1">
                  <a:lumMod val="15000"/>
                  <a:lumOff val="85000"/>
                </a:schemeClr>
              </a:solidFill>
              <a:round/>
            </a:ln>
            <a:effectLst/>
          </c:spPr>
        </c:majorGridlines>
        <c:numFmt formatCode="0" sourceLinked="1"/>
        <c:majorTickMark val="none"/>
        <c:minorTickMark val="none"/>
        <c:tickLblPos val="nextTo"/>
        <c:spPr>
          <a:ln w="9522">
            <a:noFill/>
          </a:ln>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2836864"/>
        <c:crosses val="autoZero"/>
        <c:crossBetween val="between"/>
      </c:valAx>
      <c:spPr>
        <a:noFill/>
        <a:ln w="25392">
          <a:noFill/>
        </a:ln>
      </c:spPr>
    </c:plotArea>
    <c:legend>
      <c:legendPos val="b"/>
      <c:layout>
        <c:manualLayout>
          <c:xMode val="edge"/>
          <c:yMode val="edge"/>
          <c:x val="2.6643914092781745E-2"/>
          <c:y val="0.78998287185932747"/>
          <c:w val="0.93878777536708835"/>
          <c:h val="0.17414266878612006"/>
        </c:manualLayout>
      </c:layout>
      <c:overlay val="0"/>
      <c:spPr>
        <a:noFill/>
        <a:ln w="25392">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2"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56034061083273679"/>
        </c:manualLayout>
      </c:layout>
      <c:barChart>
        <c:barDir val="col"/>
        <c:grouping val="stacked"/>
        <c:varyColors val="0"/>
        <c:ser>
          <c:idx val="1"/>
          <c:order val="0"/>
          <c:tx>
            <c:strRef>
              <c:f>Sheet1!$A$2</c:f>
              <c:strCache>
                <c:ptCount val="1"/>
                <c:pt idx="0">
                  <c:v>Արտահանում</c:v>
                </c:pt>
              </c:strCache>
            </c:strRef>
          </c:tx>
          <c:spPr>
            <a:solidFill>
              <a:srgbClr val="1F497D"/>
            </a:solidFill>
            <a:ln w="25392">
              <a:noFill/>
            </a:ln>
          </c:spPr>
          <c:invertIfNegative val="0"/>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Sheet1!$B$2:$M$2</c:f>
              <c:numCache>
                <c:formatCode>0</c:formatCode>
                <c:ptCount val="7"/>
                <c:pt idx="0">
                  <c:v>8866.5004445557606</c:v>
                </c:pt>
                <c:pt idx="1">
                  <c:v>13216.870353293758</c:v>
                </c:pt>
                <c:pt idx="2">
                  <c:v>8440.0635381906395</c:v>
                </c:pt>
                <c:pt idx="3">
                  <c:v>7267.5811283694229</c:v>
                </c:pt>
                <c:pt idx="4">
                  <c:v>7869.0087063886485</c:v>
                </c:pt>
                <c:pt idx="5">
                  <c:v>8358.4605648348697</c:v>
                </c:pt>
                <c:pt idx="6">
                  <c:v>8641.7288551235706</c:v>
                </c:pt>
              </c:numCache>
            </c:numRef>
          </c:val>
          <c:extLst>
            <c:ext xmlns:c16="http://schemas.microsoft.com/office/drawing/2014/chart" uri="{C3380CC4-5D6E-409C-BE32-E72D297353CC}">
              <c16:uniqueId val="{00000000-0236-4F2D-9F66-BF5988B0C2BA}"/>
            </c:ext>
          </c:extLst>
        </c:ser>
        <c:ser>
          <c:idx val="2"/>
          <c:order val="2"/>
          <c:tx>
            <c:strRef>
              <c:f>Sheet1!$A$4</c:f>
              <c:strCache>
                <c:ptCount val="1"/>
                <c:pt idx="0">
                  <c:v>Ներմուծում</c:v>
                </c:pt>
              </c:strCache>
            </c:strRef>
          </c:tx>
          <c:spPr>
            <a:solidFill>
              <a:schemeClr val="accent1">
                <a:lumMod val="60000"/>
                <a:lumOff val="40000"/>
              </a:schemeClr>
            </a:solidFill>
            <a:ln>
              <a:noFill/>
            </a:ln>
            <a:effectLst/>
          </c:spPr>
          <c:invertIfNegative val="0"/>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Sheet1!$B$4:$M$4</c:f>
              <c:numCache>
                <c:formatCode>0</c:formatCode>
                <c:ptCount val="7"/>
                <c:pt idx="0">
                  <c:v>-11819.067810765609</c:v>
                </c:pt>
                <c:pt idx="1">
                  <c:v>-16218.349274267901</c:v>
                </c:pt>
                <c:pt idx="2">
                  <c:v>-12285.729929545014</c:v>
                </c:pt>
                <c:pt idx="3">
                  <c:v>-11669.465787503148</c:v>
                </c:pt>
                <c:pt idx="4">
                  <c:v>-12249.187846422539</c:v>
                </c:pt>
                <c:pt idx="5">
                  <c:v>-12826.64500751354</c:v>
                </c:pt>
                <c:pt idx="6">
                  <c:v>-13408.450587889831</c:v>
                </c:pt>
              </c:numCache>
            </c:numRef>
          </c:val>
          <c:extLst>
            <c:ext xmlns:c16="http://schemas.microsoft.com/office/drawing/2014/chart" uri="{C3380CC4-5D6E-409C-BE32-E72D297353CC}">
              <c16:uniqueId val="{00000001-0236-4F2D-9F66-BF5988B0C2BA}"/>
            </c:ext>
          </c:extLst>
        </c:ser>
        <c:dLbls>
          <c:showLegendKey val="0"/>
          <c:showVal val="0"/>
          <c:showCatName val="0"/>
          <c:showSerName val="0"/>
          <c:showPercent val="0"/>
          <c:showBubbleSize val="0"/>
        </c:dLbls>
        <c:gapWidth val="150"/>
        <c:overlap val="100"/>
        <c:axId val="466250240"/>
        <c:axId val="450246272"/>
      </c:barChart>
      <c:lineChart>
        <c:grouping val="standard"/>
        <c:varyColors val="0"/>
        <c:ser>
          <c:idx val="0"/>
          <c:order val="1"/>
          <c:tx>
            <c:strRef>
              <c:f>Sheet1!$A$3</c:f>
              <c:strCache>
                <c:ptCount val="1"/>
                <c:pt idx="0">
                  <c:v>Առևտրային հաշվեկշիռ</c:v>
                </c:pt>
              </c:strCache>
            </c:strRef>
          </c:tx>
          <c:spPr>
            <a:ln w="28566" cap="rnd">
              <a:solidFill>
                <a:schemeClr val="accent1"/>
              </a:solidFill>
              <a:round/>
            </a:ln>
            <a:effectLst/>
          </c:spPr>
          <c:marker>
            <c:symbol val="circle"/>
            <c:size val="4"/>
            <c:spPr>
              <a:solidFill>
                <a:schemeClr val="accent1"/>
              </a:solidFill>
              <a:ln w="9522">
                <a:solidFill>
                  <a:schemeClr val="accent1"/>
                </a:solidFill>
              </a:ln>
              <a:effectLst/>
            </c:spPr>
          </c:marker>
          <c:dLbls>
            <c:spPr>
              <a:noFill/>
              <a:ln w="25392">
                <a:noFill/>
              </a:ln>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Sheet1!$B$3:$M$3</c:f>
              <c:numCache>
                <c:formatCode>0</c:formatCode>
                <c:ptCount val="7"/>
                <c:pt idx="0">
                  <c:v>-2952.5673662098488</c:v>
                </c:pt>
                <c:pt idx="1">
                  <c:v>-3001.478920974143</c:v>
                </c:pt>
                <c:pt idx="2">
                  <c:v>-3845.6663913543744</c:v>
                </c:pt>
                <c:pt idx="3">
                  <c:v>-4401.8846591337251</c:v>
                </c:pt>
                <c:pt idx="4">
                  <c:v>-4380.1791400338907</c:v>
                </c:pt>
                <c:pt idx="5">
                  <c:v>-4468.1844426786702</c:v>
                </c:pt>
                <c:pt idx="6">
                  <c:v>-4766.7217327662602</c:v>
                </c:pt>
              </c:numCache>
            </c:numRef>
          </c:val>
          <c:smooth val="0"/>
          <c:extLst>
            <c:ext xmlns:c16="http://schemas.microsoft.com/office/drawing/2014/chart" uri="{C3380CC4-5D6E-409C-BE32-E72D297353CC}">
              <c16:uniqueId val="{00000002-0236-4F2D-9F66-BF5988B0C2BA}"/>
            </c:ext>
          </c:extLst>
        </c:ser>
        <c:dLbls>
          <c:showLegendKey val="0"/>
          <c:showVal val="0"/>
          <c:showCatName val="0"/>
          <c:showSerName val="0"/>
          <c:showPercent val="0"/>
          <c:showBubbleSize val="0"/>
        </c:dLbls>
        <c:marker val="1"/>
        <c:smooth val="0"/>
        <c:axId val="466250240"/>
        <c:axId val="450246272"/>
      </c:lineChart>
      <c:catAx>
        <c:axId val="466250240"/>
        <c:scaling>
          <c:orientation val="minMax"/>
        </c:scaling>
        <c:delete val="0"/>
        <c:axPos val="b"/>
        <c:numFmt formatCode="General" sourceLinked="1"/>
        <c:majorTickMark val="none"/>
        <c:minorTickMark val="none"/>
        <c:tickLblPos val="low"/>
        <c:spPr>
          <a:noFill/>
          <a:ln w="9522"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0246272"/>
        <c:crosses val="autoZero"/>
        <c:auto val="0"/>
        <c:lblAlgn val="ctr"/>
        <c:lblOffset val="100"/>
        <c:noMultiLvlLbl val="0"/>
      </c:catAx>
      <c:valAx>
        <c:axId val="450246272"/>
        <c:scaling>
          <c:orientation val="minMax"/>
        </c:scaling>
        <c:delete val="0"/>
        <c:axPos val="l"/>
        <c:majorGridlines>
          <c:spPr>
            <a:ln w="9522" cap="flat" cmpd="sng" algn="ctr">
              <a:solidFill>
                <a:schemeClr val="tx1">
                  <a:lumMod val="15000"/>
                  <a:lumOff val="85000"/>
                </a:schemeClr>
              </a:solidFill>
              <a:round/>
            </a:ln>
            <a:effectLst/>
          </c:spPr>
        </c:majorGridlines>
        <c:numFmt formatCode="0" sourceLinked="1"/>
        <c:majorTickMark val="none"/>
        <c:minorTickMark val="none"/>
        <c:tickLblPos val="nextTo"/>
        <c:spPr>
          <a:ln w="9522">
            <a:noFill/>
          </a:ln>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6250240"/>
        <c:crosses val="autoZero"/>
        <c:crossBetween val="between"/>
      </c:valAx>
      <c:spPr>
        <a:noFill/>
        <a:ln w="25392">
          <a:noFill/>
        </a:ln>
      </c:spPr>
    </c:plotArea>
    <c:legend>
      <c:legendPos val="b"/>
      <c:layout>
        <c:manualLayout>
          <c:xMode val="edge"/>
          <c:yMode val="edge"/>
          <c:x val="1.5852546370046714E-2"/>
          <c:y val="0.72833631177668701"/>
          <c:w val="0.96779795589135176"/>
          <c:h val="0.25702223297409926"/>
        </c:manualLayout>
      </c:layout>
      <c:overlay val="0"/>
      <c:spPr>
        <a:noFill/>
        <a:ln w="25392">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2"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64150943396226412"/>
        </c:manualLayout>
      </c:layout>
      <c:barChart>
        <c:barDir val="col"/>
        <c:grouping val="stacked"/>
        <c:varyColors val="0"/>
        <c:ser>
          <c:idx val="1"/>
          <c:order val="0"/>
          <c:tx>
            <c:strRef>
              <c:f>Sheet1!$A$2</c:f>
              <c:strCache>
                <c:ptCount val="1"/>
                <c:pt idx="0">
                  <c:v>Տրանսֆերտներ</c:v>
                </c:pt>
              </c:strCache>
            </c:strRef>
          </c:tx>
          <c:spPr>
            <a:solidFill>
              <a:srgbClr val="1F497D"/>
            </a:solidFill>
            <a:ln w="25379">
              <a:noFill/>
            </a:ln>
          </c:spPr>
          <c:invertIfNegative val="0"/>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Sheet1!$B$2:$M$2</c:f>
              <c:numCache>
                <c:formatCode>0</c:formatCode>
                <c:ptCount val="7"/>
                <c:pt idx="0">
                  <c:v>522.88973322694187</c:v>
                </c:pt>
                <c:pt idx="1">
                  <c:v>560.77838440549795</c:v>
                </c:pt>
                <c:pt idx="2">
                  <c:v>567.90802657219501</c:v>
                </c:pt>
                <c:pt idx="3">
                  <c:v>653.72223123993319</c:v>
                </c:pt>
                <c:pt idx="4">
                  <c:v>675.70096266134283</c:v>
                </c:pt>
                <c:pt idx="5">
                  <c:v>704.06809045375246</c:v>
                </c:pt>
                <c:pt idx="6">
                  <c:v>736.64581375748833</c:v>
                </c:pt>
              </c:numCache>
            </c:numRef>
          </c:val>
          <c:extLst>
            <c:ext xmlns:c16="http://schemas.microsoft.com/office/drawing/2014/chart" uri="{C3380CC4-5D6E-409C-BE32-E72D297353CC}">
              <c16:uniqueId val="{00000000-CE75-49FE-847F-C816E2927C1C}"/>
            </c:ext>
          </c:extLst>
        </c:ser>
        <c:ser>
          <c:idx val="2"/>
          <c:order val="2"/>
          <c:tx>
            <c:strRef>
              <c:f>Sheet1!$A$4</c:f>
              <c:strCache>
                <c:ptCount val="1"/>
                <c:pt idx="0">
                  <c:v>Աշխատողների վարձատրություն</c:v>
                </c:pt>
              </c:strCache>
            </c:strRef>
          </c:tx>
          <c:spPr>
            <a:solidFill>
              <a:schemeClr val="accent1">
                <a:lumMod val="60000"/>
                <a:lumOff val="40000"/>
              </a:schemeClr>
            </a:solidFill>
            <a:ln>
              <a:noFill/>
            </a:ln>
            <a:effectLst/>
          </c:spPr>
          <c:invertIfNegative val="0"/>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Sheet1!$B$4:$M$4</c:f>
              <c:numCache>
                <c:formatCode>0</c:formatCode>
                <c:ptCount val="7"/>
                <c:pt idx="0">
                  <c:v>486.73588463271022</c:v>
                </c:pt>
                <c:pt idx="1">
                  <c:v>358.03385361965172</c:v>
                </c:pt>
                <c:pt idx="2">
                  <c:v>419.46901160403002</c:v>
                </c:pt>
                <c:pt idx="3">
                  <c:v>482.85321807638923</c:v>
                </c:pt>
                <c:pt idx="4">
                  <c:v>499.08717905999418</c:v>
                </c:pt>
                <c:pt idx="5">
                  <c:v>520.0397462018052</c:v>
                </c:pt>
                <c:pt idx="6">
                  <c:v>544.10234922048335</c:v>
                </c:pt>
              </c:numCache>
            </c:numRef>
          </c:val>
          <c:extLst>
            <c:ext xmlns:c16="http://schemas.microsoft.com/office/drawing/2014/chart" uri="{C3380CC4-5D6E-409C-BE32-E72D297353CC}">
              <c16:uniqueId val="{00000001-CE75-49FE-847F-C816E2927C1C}"/>
            </c:ext>
          </c:extLst>
        </c:ser>
        <c:dLbls>
          <c:showLegendKey val="0"/>
          <c:showVal val="0"/>
          <c:showCatName val="0"/>
          <c:showSerName val="0"/>
          <c:showPercent val="0"/>
          <c:showBubbleSize val="0"/>
        </c:dLbls>
        <c:gapWidth val="150"/>
        <c:overlap val="100"/>
        <c:axId val="467484672"/>
        <c:axId val="450248000"/>
      </c:barChart>
      <c:lineChart>
        <c:grouping val="standard"/>
        <c:varyColors val="0"/>
        <c:ser>
          <c:idx val="0"/>
          <c:order val="1"/>
          <c:tx>
            <c:strRef>
              <c:f>Sheet1!$A$3</c:f>
              <c:strCache>
                <c:ptCount val="1"/>
                <c:pt idx="0">
                  <c:v>Դրամական փոխանցումներ</c:v>
                </c:pt>
              </c:strCache>
            </c:strRef>
          </c:tx>
          <c:spPr>
            <a:ln w="28552" cap="rnd">
              <a:solidFill>
                <a:schemeClr val="accent1"/>
              </a:solidFill>
              <a:round/>
            </a:ln>
            <a:effectLst/>
          </c:spPr>
          <c:marker>
            <c:symbol val="circle"/>
            <c:size val="4"/>
            <c:spPr>
              <a:solidFill>
                <a:schemeClr val="accent1"/>
              </a:solidFill>
              <a:ln w="9517">
                <a:solidFill>
                  <a:schemeClr val="accent1"/>
                </a:solidFill>
              </a:ln>
              <a:effectLst/>
            </c:spPr>
          </c:marker>
          <c:dLbls>
            <c:spPr>
              <a:noFill/>
              <a:ln w="25379">
                <a:noFill/>
              </a:ln>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Sheet1!$B$1:$M$1</c:f>
              <c:numCache>
                <c:formatCode>General</c:formatCode>
                <c:ptCount val="7"/>
                <c:pt idx="0">
                  <c:v>2023</c:v>
                </c:pt>
                <c:pt idx="1">
                  <c:v>2024</c:v>
                </c:pt>
                <c:pt idx="2">
                  <c:v>2025</c:v>
                </c:pt>
                <c:pt idx="3">
                  <c:v>2026</c:v>
                </c:pt>
                <c:pt idx="4">
                  <c:v>2027</c:v>
                </c:pt>
                <c:pt idx="5">
                  <c:v>2028</c:v>
                </c:pt>
                <c:pt idx="6">
                  <c:v>2029</c:v>
                </c:pt>
              </c:numCache>
            </c:numRef>
          </c:cat>
          <c:val>
            <c:numRef>
              <c:f>Sheet1!$B$3:$M$3</c:f>
              <c:numCache>
                <c:formatCode>0</c:formatCode>
                <c:ptCount val="7"/>
                <c:pt idx="0">
                  <c:v>1009.625617859652</c:v>
                </c:pt>
                <c:pt idx="1">
                  <c:v>918.81223802514967</c:v>
                </c:pt>
                <c:pt idx="2">
                  <c:v>987.37703817622503</c:v>
                </c:pt>
                <c:pt idx="3">
                  <c:v>1136.5754493163224</c:v>
                </c:pt>
                <c:pt idx="4">
                  <c:v>1174.7881417213371</c:v>
                </c:pt>
                <c:pt idx="5">
                  <c:v>1224.1078366555575</c:v>
                </c:pt>
                <c:pt idx="6">
                  <c:v>1280.7481629779718</c:v>
                </c:pt>
              </c:numCache>
            </c:numRef>
          </c:val>
          <c:smooth val="0"/>
          <c:extLst>
            <c:ext xmlns:c16="http://schemas.microsoft.com/office/drawing/2014/chart" uri="{C3380CC4-5D6E-409C-BE32-E72D297353CC}">
              <c16:uniqueId val="{00000002-CE75-49FE-847F-C816E2927C1C}"/>
            </c:ext>
          </c:extLst>
        </c:ser>
        <c:dLbls>
          <c:showLegendKey val="0"/>
          <c:showVal val="0"/>
          <c:showCatName val="0"/>
          <c:showSerName val="0"/>
          <c:showPercent val="0"/>
          <c:showBubbleSize val="0"/>
        </c:dLbls>
        <c:marker val="1"/>
        <c:smooth val="0"/>
        <c:axId val="467484672"/>
        <c:axId val="450248000"/>
      </c:lineChart>
      <c:catAx>
        <c:axId val="467484672"/>
        <c:scaling>
          <c:orientation val="minMax"/>
        </c:scaling>
        <c:delete val="0"/>
        <c:axPos val="b"/>
        <c:numFmt formatCode="General" sourceLinked="1"/>
        <c:majorTickMark val="none"/>
        <c:minorTickMark val="none"/>
        <c:tickLblPos val="low"/>
        <c:spPr>
          <a:noFill/>
          <a:ln w="9517" cap="flat" cmpd="sng" algn="ctr">
            <a:solidFill>
              <a:schemeClr val="tx1">
                <a:lumMod val="15000"/>
                <a:lumOff val="85000"/>
              </a:schemeClr>
            </a:solidFill>
            <a:round/>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0248000"/>
        <c:crosses val="autoZero"/>
        <c:auto val="0"/>
        <c:lblAlgn val="ctr"/>
        <c:lblOffset val="100"/>
        <c:noMultiLvlLbl val="0"/>
      </c:catAx>
      <c:valAx>
        <c:axId val="450248000"/>
        <c:scaling>
          <c:orientation val="minMax"/>
        </c:scaling>
        <c:delete val="0"/>
        <c:axPos val="l"/>
        <c:majorGridlines>
          <c:spPr>
            <a:ln w="9517" cap="flat" cmpd="sng" algn="ctr">
              <a:solidFill>
                <a:schemeClr val="tx1">
                  <a:lumMod val="15000"/>
                  <a:lumOff val="85000"/>
                </a:schemeClr>
              </a:solidFill>
              <a:round/>
            </a:ln>
            <a:effectLst/>
          </c:spPr>
        </c:majorGridlines>
        <c:numFmt formatCode="0" sourceLinked="1"/>
        <c:majorTickMark val="none"/>
        <c:minorTickMark val="none"/>
        <c:tickLblPos val="nextTo"/>
        <c:spPr>
          <a:ln w="9517">
            <a:noFill/>
          </a:ln>
        </c:spPr>
        <c:txPr>
          <a:bodyPr rot="0" spcFirstLastPara="1" vertOverflow="ellipsis"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7484672"/>
        <c:crosses val="autoZero"/>
        <c:crossBetween val="between"/>
      </c:valAx>
      <c:spPr>
        <a:noFill/>
        <a:ln w="25379">
          <a:noFill/>
        </a:ln>
      </c:spPr>
    </c:plotArea>
    <c:legend>
      <c:legendPos val="b"/>
      <c:layout>
        <c:manualLayout>
          <c:xMode val="edge"/>
          <c:yMode val="edge"/>
          <c:x val="8.2198548710822918E-3"/>
          <c:y val="0.79954388476560057"/>
          <c:w val="0.92742579004249859"/>
          <c:h val="0.18230192517801302"/>
        </c:manualLayout>
      </c:layout>
      <c:overlay val="0"/>
      <c:spPr>
        <a:noFill/>
        <a:ln w="25379">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17"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202475667104113"/>
          <c:y val="8.3970059298143288E-2"/>
          <c:w val="0.80150371828521438"/>
          <c:h val="0.57249068965980843"/>
        </c:manualLayout>
      </c:layout>
      <c:lineChart>
        <c:grouping val="standard"/>
        <c:varyColors val="0"/>
        <c:ser>
          <c:idx val="0"/>
          <c:order val="0"/>
          <c:tx>
            <c:strRef>
              <c:f>Sheet1!$A$2</c:f>
              <c:strCache>
                <c:ptCount val="1"/>
                <c:pt idx="0">
                  <c:v>12 ամսյա փոփոխություն, % </c:v>
                </c:pt>
              </c:strCache>
            </c:strRef>
          </c:tx>
          <c:spPr>
            <a:ln w="28575" cap="rnd">
              <a:solidFill>
                <a:srgbClr val="1F497D"/>
              </a:solidFill>
              <a:round/>
            </a:ln>
            <a:effectLst/>
          </c:spPr>
          <c:marker>
            <c:symbol val="circle"/>
            <c:size val="5"/>
            <c:spPr>
              <a:solidFill>
                <a:srgbClr val="1F497D"/>
              </a:solidFill>
              <a:ln w="9525">
                <a:solidFill>
                  <a:srgbClr val="1F497D"/>
                </a:solidFill>
              </a:ln>
              <a:effectLst/>
            </c:spPr>
          </c:marker>
          <c:dLbls>
            <c:dLbl>
              <c:idx val="1"/>
              <c:layout>
                <c:manualLayout>
                  <c:x val="-8.5286458333333329E-2"/>
                  <c:y val="-0.11192694663167108"/>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643-4F54-A441-C2CC921B2B7B}"/>
                </c:ext>
              </c:extLst>
            </c:dLbl>
            <c:spPr>
              <a:noFill/>
              <a:ln>
                <a:noFill/>
              </a:ln>
              <a:effectLst/>
            </c:spPr>
            <c:txPr>
              <a:bodyPr/>
              <a:lstStyle/>
              <a:p>
                <a:pPr>
                  <a:defRPr b="1"/>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Sheet1!$B$2:$T$2</c:f>
              <c:numCache>
                <c:formatCode>0.0</c:formatCode>
                <c:ptCount val="7"/>
                <c:pt idx="0">
                  <c:v>-6.4</c:v>
                </c:pt>
                <c:pt idx="1">
                  <c:v>41.1</c:v>
                </c:pt>
                <c:pt idx="2">
                  <c:v>-7.8</c:v>
                </c:pt>
                <c:pt idx="3">
                  <c:v>-22.700000000000003</c:v>
                </c:pt>
                <c:pt idx="4">
                  <c:v>-10.099999999999994</c:v>
                </c:pt>
                <c:pt idx="5">
                  <c:v>-19.400000000000006</c:v>
                </c:pt>
                <c:pt idx="6">
                  <c:v>-25.700000000000003</c:v>
                </c:pt>
              </c:numCache>
            </c:numRef>
          </c:val>
          <c:smooth val="0"/>
          <c:extLst>
            <c:ext xmlns:c16="http://schemas.microsoft.com/office/drawing/2014/chart" uri="{C3380CC4-5D6E-409C-BE32-E72D297353CC}">
              <c16:uniqueId val="{00000001-A643-4F54-A441-C2CC921B2B7B}"/>
            </c:ext>
          </c:extLst>
        </c:ser>
        <c:ser>
          <c:idx val="1"/>
          <c:order val="1"/>
          <c:tx>
            <c:strRef>
              <c:f>Sheet1!$A$3</c:f>
              <c:strCache>
                <c:ptCount val="1"/>
                <c:pt idx="0">
                  <c:v>Կուտակային փոփոխություն, %</c:v>
                </c:pt>
              </c:strCache>
            </c:strRef>
          </c:tx>
          <c:spPr>
            <a:ln>
              <a:solidFill>
                <a:srgbClr val="F79646"/>
              </a:solidFill>
            </a:ln>
          </c:spPr>
          <c:marker>
            <c:symbol val="circle"/>
            <c:size val="5"/>
            <c:spPr>
              <a:solidFill>
                <a:srgbClr val="F79646"/>
              </a:solidFill>
              <a:ln>
                <a:solidFill>
                  <a:srgbClr val="F79646"/>
                </a:solidFill>
              </a:ln>
            </c:spPr>
          </c:marker>
          <c:dLbls>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Sheet1!$B$3:$T$3</c:f>
              <c:numCache>
                <c:formatCode>0.0</c:formatCode>
                <c:ptCount val="7"/>
                <c:pt idx="0">
                  <c:v>-6.4492301924831272</c:v>
                </c:pt>
                <c:pt idx="1">
                  <c:v>16.767479178896828</c:v>
                </c:pt>
                <c:pt idx="2">
                  <c:v>7.2667520201355842</c:v>
                </c:pt>
                <c:pt idx="3">
                  <c:v>-1.6727718593159435</c:v>
                </c:pt>
                <c:pt idx="4">
                  <c:v>-3.3437406772733596</c:v>
                </c:pt>
                <c:pt idx="5">
                  <c:v>-6.403582962687409</c:v>
                </c:pt>
                <c:pt idx="6">
                  <c:v>-7.8934513231477181</c:v>
                </c:pt>
              </c:numCache>
            </c:numRef>
          </c:val>
          <c:smooth val="0"/>
          <c:extLst>
            <c:ext xmlns:c16="http://schemas.microsoft.com/office/drawing/2014/chart" uri="{C3380CC4-5D6E-409C-BE32-E72D297353CC}">
              <c16:uniqueId val="{00000002-A643-4F54-A441-C2CC921B2B7B}"/>
            </c:ext>
          </c:extLst>
        </c:ser>
        <c:dLbls>
          <c:dLblPos val="t"/>
          <c:showLegendKey val="0"/>
          <c:showVal val="1"/>
          <c:showCatName val="0"/>
          <c:showSerName val="0"/>
          <c:showPercent val="0"/>
          <c:showBubbleSize val="0"/>
        </c:dLbls>
        <c:marker val="1"/>
        <c:smooth val="0"/>
        <c:axId val="-844294672"/>
        <c:axId val="-844293584"/>
      </c:lineChart>
      <c:catAx>
        <c:axId val="-84429467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b="1"/>
            </a:pPr>
            <a:endParaRPr lang="en-US"/>
          </a:p>
        </c:txPr>
        <c:crossAx val="-844293584"/>
        <c:crosses val="autoZero"/>
        <c:auto val="1"/>
        <c:lblAlgn val="ctr"/>
        <c:lblOffset val="100"/>
        <c:noMultiLvlLbl val="0"/>
      </c:catAx>
      <c:valAx>
        <c:axId val="-844293584"/>
        <c:scaling>
          <c:orientation val="minMax"/>
        </c:scaling>
        <c:delete val="0"/>
        <c:axPos val="l"/>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844294672"/>
        <c:crosses val="autoZero"/>
        <c:crossBetween val="between"/>
      </c:valAx>
      <c:spPr>
        <a:noFill/>
        <a:ln>
          <a:noFill/>
        </a:ln>
        <a:effectLst/>
      </c:spPr>
    </c:plotArea>
    <c:legend>
      <c:legendPos val="b"/>
      <c:layout>
        <c:manualLayout>
          <c:xMode val="edge"/>
          <c:yMode val="edge"/>
          <c:x val="1.3563942227710003E-2"/>
          <c:y val="0.82180139063655933"/>
          <c:w val="0.98189815825260651"/>
          <c:h val="0.15998802023150455"/>
        </c:manualLayout>
      </c:layout>
      <c:overlay val="0"/>
      <c:spPr>
        <a:noFill/>
        <a:ln>
          <a:noFill/>
        </a:ln>
        <a:effectLst/>
      </c:spPr>
      <c:txPr>
        <a:bodyPr rot="0" vert="horz"/>
        <a:lstStyle/>
        <a:p>
          <a:pPr>
            <a:defRPr/>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351343777340333"/>
          <c:y val="9.3229440069991246E-2"/>
          <c:w val="0.8216019384295713"/>
          <c:h val="0.62749234470691162"/>
        </c:manualLayout>
      </c:layout>
      <c:lineChart>
        <c:grouping val="standard"/>
        <c:varyColors val="0"/>
        <c:ser>
          <c:idx val="0"/>
          <c:order val="0"/>
          <c:tx>
            <c:strRef>
              <c:f>Sheet1!$A$2</c:f>
              <c:strCache>
                <c:ptCount val="1"/>
                <c:pt idx="0">
                  <c:v>Իրական փոփոխությունը (կուտակային)</c:v>
                </c:pt>
              </c:strCache>
            </c:strRef>
          </c:tx>
          <c:spPr>
            <a:ln w="28575" cap="rnd">
              <a:solidFill>
                <a:srgbClr val="1F497D"/>
              </a:solidFill>
              <a:round/>
            </a:ln>
            <a:effectLst/>
          </c:spPr>
          <c:marker>
            <c:symbol val="circle"/>
            <c:size val="5"/>
            <c:spPr>
              <a:solidFill>
                <a:srgbClr val="1F497D"/>
              </a:solidFill>
              <a:ln w="9525">
                <a:solidFill>
                  <a:srgbClr val="1F497D"/>
                </a:solidFill>
              </a:ln>
              <a:effectLst/>
            </c:spPr>
          </c:marker>
          <c:dLbls>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Sheet1!$B$2:$T$2</c:f>
              <c:numCache>
                <c:formatCode>0.0</c:formatCode>
                <c:ptCount val="7"/>
                <c:pt idx="0">
                  <c:v>-6.784872761560635</c:v>
                </c:pt>
                <c:pt idx="1">
                  <c:v>14.467844323405345</c:v>
                </c:pt>
                <c:pt idx="2">
                  <c:v>6.10899950600907</c:v>
                </c:pt>
                <c:pt idx="3">
                  <c:v>-2.4595007603963666</c:v>
                </c:pt>
                <c:pt idx="4">
                  <c:v>-3.5448919290266474</c:v>
                </c:pt>
                <c:pt idx="5">
                  <c:v>-5.749387961396252</c:v>
                </c:pt>
                <c:pt idx="6">
                  <c:v>-7.0151359531673876</c:v>
                </c:pt>
              </c:numCache>
            </c:numRef>
          </c:val>
          <c:smooth val="0"/>
          <c:extLst>
            <c:ext xmlns:c16="http://schemas.microsoft.com/office/drawing/2014/chart" uri="{C3380CC4-5D6E-409C-BE32-E72D297353CC}">
              <c16:uniqueId val="{00000000-1275-495E-9FEF-4A446CAE242C}"/>
            </c:ext>
          </c:extLst>
        </c:ser>
        <c:ser>
          <c:idx val="1"/>
          <c:order val="1"/>
          <c:tx>
            <c:strRef>
              <c:f>Sheet1!$A$3</c:f>
              <c:strCache>
                <c:ptCount val="1"/>
                <c:pt idx="0">
                  <c:v>Գնային փոփոխություն (կուտակային)</c:v>
                </c:pt>
              </c:strCache>
            </c:strRef>
          </c:tx>
          <c:spPr>
            <a:ln>
              <a:solidFill>
                <a:srgbClr val="F79646"/>
              </a:solidFill>
            </a:ln>
          </c:spPr>
          <c:marker>
            <c:spPr>
              <a:solidFill>
                <a:srgbClr val="F79646"/>
              </a:solidFill>
              <a:ln>
                <a:solidFill>
                  <a:srgbClr val="F79646"/>
                </a:solidFill>
              </a:ln>
            </c:spPr>
          </c:marker>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Sheet1!$B$3:$T$3</c:f>
              <c:numCache>
                <c:formatCode>0.0</c:formatCode>
                <c:ptCount val="7"/>
                <c:pt idx="0">
                  <c:v>-4.1573787614186699</c:v>
                </c:pt>
                <c:pt idx="1">
                  <c:v>-2.6139437213579129</c:v>
                </c:pt>
                <c:pt idx="2">
                  <c:v>-3.2873835583802702</c:v>
                </c:pt>
                <c:pt idx="3">
                  <c:v>-3.5313031885824557</c:v>
                </c:pt>
                <c:pt idx="4">
                  <c:v>-4.1772161276568482</c:v>
                </c:pt>
                <c:pt idx="5">
                  <c:v>-5.0041543019991508</c:v>
                </c:pt>
                <c:pt idx="6">
                  <c:v>-5.2622770014791342</c:v>
                </c:pt>
              </c:numCache>
            </c:numRef>
          </c:val>
          <c:smooth val="0"/>
          <c:extLst>
            <c:ext xmlns:c16="http://schemas.microsoft.com/office/drawing/2014/chart" uri="{C3380CC4-5D6E-409C-BE32-E72D297353CC}">
              <c16:uniqueId val="{00000001-1275-495E-9FEF-4A446CAE242C}"/>
            </c:ext>
          </c:extLst>
        </c:ser>
        <c:ser>
          <c:idx val="2"/>
          <c:order val="2"/>
          <c:tx>
            <c:strRef>
              <c:f>Sheet1!$A$4</c:f>
              <c:strCache>
                <c:ptCount val="1"/>
                <c:pt idx="0">
                  <c:v>Փոխարժեքի փոփոխություն (կուտակային)</c:v>
                </c:pt>
              </c:strCache>
            </c:strRef>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Sheet1!$B$4:$T$4</c:f>
              <c:numCache>
                <c:formatCode>0.0</c:formatCode>
                <c:ptCount val="7"/>
                <c:pt idx="0">
                  <c:v>4.7134059687352021</c:v>
                </c:pt>
                <c:pt idx="1">
                  <c:v>4.7470067192058423</c:v>
                </c:pt>
                <c:pt idx="2">
                  <c:v>4.5273110169267596</c:v>
                </c:pt>
                <c:pt idx="3">
                  <c:v>4.496660305343525</c:v>
                </c:pt>
                <c:pt idx="4">
                  <c:v>4.5769490911608699</c:v>
                </c:pt>
                <c:pt idx="5">
                  <c:v>4.5370959914155833</c:v>
                </c:pt>
                <c:pt idx="6">
                  <c:v>4.5575278817522928</c:v>
                </c:pt>
              </c:numCache>
            </c:numRef>
          </c:val>
          <c:smooth val="0"/>
          <c:extLst>
            <c:ext xmlns:c16="http://schemas.microsoft.com/office/drawing/2014/chart" uri="{C3380CC4-5D6E-409C-BE32-E72D297353CC}">
              <c16:uniqueId val="{00000002-1275-495E-9FEF-4A446CAE242C}"/>
            </c:ext>
          </c:extLst>
        </c:ser>
        <c:dLbls>
          <c:showLegendKey val="0"/>
          <c:showVal val="0"/>
          <c:showCatName val="0"/>
          <c:showSerName val="0"/>
          <c:showPercent val="0"/>
          <c:showBubbleSize val="0"/>
        </c:dLbls>
        <c:marker val="1"/>
        <c:smooth val="0"/>
        <c:axId val="-874331760"/>
        <c:axId val="-874330128"/>
      </c:lineChart>
      <c:catAx>
        <c:axId val="-87433176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b="1"/>
            </a:pPr>
            <a:endParaRPr lang="en-US"/>
          </a:p>
        </c:txPr>
        <c:crossAx val="-874330128"/>
        <c:crosses val="autoZero"/>
        <c:auto val="1"/>
        <c:lblAlgn val="ctr"/>
        <c:lblOffset val="100"/>
        <c:noMultiLvlLbl val="0"/>
      </c:catAx>
      <c:valAx>
        <c:axId val="-874330128"/>
        <c:scaling>
          <c:orientation val="minMax"/>
        </c:scaling>
        <c:delete val="0"/>
        <c:axPos val="l"/>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874331760"/>
        <c:crosses val="autoZero"/>
        <c:crossBetween val="between"/>
      </c:valAx>
      <c:spPr>
        <a:noFill/>
        <a:ln>
          <a:noFill/>
        </a:ln>
        <a:effectLst/>
      </c:spPr>
    </c:plotArea>
    <c:legend>
      <c:legendPos val="b"/>
      <c:layout>
        <c:manualLayout>
          <c:xMode val="edge"/>
          <c:yMode val="edge"/>
          <c:x val="0"/>
          <c:y val="0.78183453630796151"/>
          <c:w val="1"/>
          <c:h val="0.19038743736578381"/>
        </c:manualLayout>
      </c:layout>
      <c:overlay val="0"/>
      <c:spPr>
        <a:noFill/>
        <a:ln>
          <a:noFill/>
        </a:ln>
        <a:effectLst/>
      </c:spPr>
      <c:txPr>
        <a:bodyPr rot="0" vert="horz"/>
        <a:lstStyle/>
        <a:p>
          <a:pPr>
            <a:defRPr sz="800"/>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524749835958008"/>
          <c:y val="0.13103783902012248"/>
          <c:w val="0.8440791092519685"/>
          <c:h val="0.51278433945756785"/>
        </c:manualLayout>
      </c:layout>
      <c:lineChart>
        <c:grouping val="standard"/>
        <c:varyColors val="0"/>
        <c:ser>
          <c:idx val="0"/>
          <c:order val="0"/>
          <c:tx>
            <c:strRef>
              <c:f>Sheet1!$A$2</c:f>
              <c:strCache>
                <c:ptCount val="1"/>
                <c:pt idx="0">
                  <c:v>Իրական փոփոխությունը (կուտակային)</c:v>
                </c:pt>
              </c:strCache>
            </c:strRef>
          </c:tx>
          <c:spPr>
            <a:ln w="28575" cap="rnd">
              <a:solidFill>
                <a:srgbClr val="1F497D"/>
              </a:solidFill>
              <a:round/>
            </a:ln>
            <a:effectLst/>
          </c:spPr>
          <c:marker>
            <c:symbol val="circle"/>
            <c:size val="5"/>
            <c:spPr>
              <a:solidFill>
                <a:srgbClr val="1F497D"/>
              </a:solidFill>
              <a:ln w="9525">
                <a:solidFill>
                  <a:srgbClr val="1F497D"/>
                </a:solidFill>
              </a:ln>
              <a:effectLst/>
            </c:spPr>
          </c:marker>
          <c:dLbls>
            <c:spPr>
              <a:noFill/>
              <a:ln>
                <a:noFill/>
              </a:ln>
              <a:effectLst/>
            </c:spPr>
            <c:txPr>
              <a:bodyPr/>
              <a:lstStyle/>
              <a:p>
                <a:pPr>
                  <a:defRPr b="1"/>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Sheet1!$B$2:$T$2</c:f>
              <c:numCache>
                <c:formatCode>0.0</c:formatCode>
                <c:ptCount val="7"/>
                <c:pt idx="0">
                  <c:v>-25.747830911894567</c:v>
                </c:pt>
                <c:pt idx="1">
                  <c:v>-8.9182136942411034</c:v>
                </c:pt>
                <c:pt idx="2">
                  <c:v>-11.762544038426569</c:v>
                </c:pt>
                <c:pt idx="3">
                  <c:v>-12.66676838882195</c:v>
                </c:pt>
                <c:pt idx="4">
                  <c:v>-12.522142650081506</c:v>
                </c:pt>
                <c:pt idx="5">
                  <c:v>-9.4986414922567945</c:v>
                </c:pt>
                <c:pt idx="6">
                  <c:v>-6.5592752374964789</c:v>
                </c:pt>
              </c:numCache>
            </c:numRef>
          </c:val>
          <c:smooth val="0"/>
          <c:extLst>
            <c:ext xmlns:c16="http://schemas.microsoft.com/office/drawing/2014/chart" uri="{C3380CC4-5D6E-409C-BE32-E72D297353CC}">
              <c16:uniqueId val="{00000000-1E48-47A4-A1E4-7492206C9909}"/>
            </c:ext>
          </c:extLst>
        </c:ser>
        <c:ser>
          <c:idx val="1"/>
          <c:order val="1"/>
          <c:tx>
            <c:strRef>
              <c:f>Sheet1!$A$3</c:f>
              <c:strCache>
                <c:ptCount val="1"/>
                <c:pt idx="0">
                  <c:v>Գնային փոփոխություն (կուտակային)</c:v>
                </c:pt>
              </c:strCache>
            </c:strRef>
          </c:tx>
          <c:spPr>
            <a:ln>
              <a:solidFill>
                <a:srgbClr val="F79646"/>
              </a:solidFill>
            </a:ln>
          </c:spPr>
          <c:marker>
            <c:symbol val="circle"/>
            <c:size val="5"/>
            <c:spPr>
              <a:solidFill>
                <a:srgbClr val="F79646"/>
              </a:solidFill>
              <a:ln>
                <a:solidFill>
                  <a:srgbClr val="F79646"/>
                </a:solidFill>
              </a:ln>
            </c:spPr>
          </c:marker>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Sheet1!$B$3:$T$3</c:f>
              <c:numCache>
                <c:formatCode>0.0</c:formatCode>
                <c:ptCount val="7"/>
                <c:pt idx="0">
                  <c:v>15.361606974958477</c:v>
                </c:pt>
                <c:pt idx="1">
                  <c:v>15.097369338417479</c:v>
                </c:pt>
                <c:pt idx="2">
                  <c:v>14.99954705089128</c:v>
                </c:pt>
                <c:pt idx="3">
                  <c:v>13.394135878500876</c:v>
                </c:pt>
                <c:pt idx="4">
                  <c:v>12.677805998975941</c:v>
                </c:pt>
                <c:pt idx="5">
                  <c:v>11.163403274621757</c:v>
                </c:pt>
                <c:pt idx="6">
                  <c:v>10.198219123835003</c:v>
                </c:pt>
              </c:numCache>
            </c:numRef>
          </c:val>
          <c:smooth val="0"/>
          <c:extLst>
            <c:ext xmlns:c16="http://schemas.microsoft.com/office/drawing/2014/chart" uri="{C3380CC4-5D6E-409C-BE32-E72D297353CC}">
              <c16:uniqueId val="{00000001-1E48-47A4-A1E4-7492206C9909}"/>
            </c:ext>
          </c:extLst>
        </c:ser>
        <c:ser>
          <c:idx val="2"/>
          <c:order val="2"/>
          <c:tx>
            <c:strRef>
              <c:f>Sheet1!$A$4</c:f>
              <c:strCache>
                <c:ptCount val="1"/>
                <c:pt idx="0">
                  <c:v>Փոխարժեքի փոփոխություն (կուտակային)</c:v>
                </c:pt>
              </c:strCache>
            </c:strRef>
          </c:tx>
          <c:marker>
            <c:symbol val="circle"/>
            <c:size val="5"/>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Sheet1!$B$1:$T$1</c:f>
              <c:strCache>
                <c:ptCount val="7"/>
                <c:pt idx="0">
                  <c:v>1</c:v>
                </c:pt>
                <c:pt idx="1">
                  <c:v>2</c:v>
                </c:pt>
                <c:pt idx="2">
                  <c:v>3</c:v>
                </c:pt>
                <c:pt idx="3">
                  <c:v>4</c:v>
                </c:pt>
                <c:pt idx="4">
                  <c:v>5</c:v>
                </c:pt>
                <c:pt idx="5">
                  <c:v>6</c:v>
                </c:pt>
                <c:pt idx="6">
                  <c:v>7</c:v>
                </c:pt>
              </c:strCache>
            </c:strRef>
          </c:cat>
          <c:val>
            <c:numRef>
              <c:f>Sheet1!$B$4:$T$4</c:f>
              <c:numCache>
                <c:formatCode>0.0</c:formatCode>
                <c:ptCount val="7"/>
                <c:pt idx="0">
                  <c:v>4.7134059687352021</c:v>
                </c:pt>
                <c:pt idx="1">
                  <c:v>4.7470067192058423</c:v>
                </c:pt>
                <c:pt idx="2">
                  <c:v>4.5273110169267596</c:v>
                </c:pt>
                <c:pt idx="3">
                  <c:v>4.4966603053435303</c:v>
                </c:pt>
                <c:pt idx="4">
                  <c:v>4.5769490911608699</c:v>
                </c:pt>
                <c:pt idx="5">
                  <c:v>4.5370959914155797</c:v>
                </c:pt>
                <c:pt idx="6">
                  <c:v>4.5575278817522902</c:v>
                </c:pt>
              </c:numCache>
            </c:numRef>
          </c:val>
          <c:smooth val="0"/>
          <c:extLst>
            <c:ext xmlns:c16="http://schemas.microsoft.com/office/drawing/2014/chart" uri="{C3380CC4-5D6E-409C-BE32-E72D297353CC}">
              <c16:uniqueId val="{00000002-1E48-47A4-A1E4-7492206C9909}"/>
            </c:ext>
          </c:extLst>
        </c:ser>
        <c:dLbls>
          <c:showLegendKey val="0"/>
          <c:showVal val="0"/>
          <c:showCatName val="0"/>
          <c:showSerName val="0"/>
          <c:showPercent val="0"/>
          <c:showBubbleSize val="0"/>
        </c:dLbls>
        <c:marker val="1"/>
        <c:smooth val="0"/>
        <c:axId val="-796915120"/>
        <c:axId val="-796927088"/>
      </c:lineChart>
      <c:catAx>
        <c:axId val="-79691512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b="1"/>
            </a:pPr>
            <a:endParaRPr lang="en-US"/>
          </a:p>
        </c:txPr>
        <c:crossAx val="-796927088"/>
        <c:crosses val="autoZero"/>
        <c:auto val="1"/>
        <c:lblAlgn val="ctr"/>
        <c:lblOffset val="100"/>
        <c:noMultiLvlLbl val="0"/>
      </c:catAx>
      <c:valAx>
        <c:axId val="-796927088"/>
        <c:scaling>
          <c:orientation val="minMax"/>
        </c:scaling>
        <c:delete val="0"/>
        <c:axPos val="l"/>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796915120"/>
        <c:crosses val="autoZero"/>
        <c:crossBetween val="between"/>
      </c:valAx>
      <c:spPr>
        <a:noFill/>
        <a:ln>
          <a:noFill/>
        </a:ln>
        <a:effectLst/>
      </c:spPr>
    </c:plotArea>
    <c:legend>
      <c:legendPos val="b"/>
      <c:layout>
        <c:manualLayout>
          <c:xMode val="edge"/>
          <c:yMode val="edge"/>
          <c:x val="0"/>
          <c:y val="0.79642497812773394"/>
          <c:w val="1"/>
          <c:h val="0.17579712258189947"/>
        </c:manualLayout>
      </c:layout>
      <c:overlay val="0"/>
      <c:spPr>
        <a:noFill/>
        <a:ln>
          <a:noFill/>
        </a:ln>
        <a:effectLst/>
      </c:spPr>
      <c:txPr>
        <a:bodyPr rot="0" vert="horz"/>
        <a:lstStyle/>
        <a:p>
          <a:pPr>
            <a:defRPr sz="700"/>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260860947069116"/>
          <c:y val="0.11483425682900747"/>
          <c:w val="0.80227129811898512"/>
          <c:h val="0.51083934820647414"/>
        </c:manualLayout>
      </c:layout>
      <c:lineChart>
        <c:grouping val="standard"/>
        <c:varyColors val="0"/>
        <c:ser>
          <c:idx val="0"/>
          <c:order val="0"/>
          <c:tx>
            <c:strRef>
              <c:f>Sheet1!$A$2</c:f>
              <c:strCache>
                <c:ptCount val="1"/>
                <c:pt idx="0">
                  <c:v>12 ամսյա փոփոխություն, % </c:v>
                </c:pt>
              </c:strCache>
            </c:strRef>
          </c:tx>
          <c:spPr>
            <a:ln w="28575" cap="rnd">
              <a:solidFill>
                <a:srgbClr val="1F497D"/>
              </a:solidFill>
              <a:round/>
            </a:ln>
            <a:effectLst/>
          </c:spPr>
          <c:marker>
            <c:symbol val="circle"/>
            <c:size val="5"/>
            <c:spPr>
              <a:solidFill>
                <a:srgbClr val="1F497D"/>
              </a:solidFill>
              <a:ln w="9525">
                <a:solidFill>
                  <a:srgbClr val="1F497D"/>
                </a:solidFill>
              </a:ln>
              <a:effectLst/>
            </c:spPr>
          </c:marker>
          <c:dLbls>
            <c:dLbl>
              <c:idx val="0"/>
              <c:delete val="1"/>
              <c:extLst>
                <c:ext xmlns:c15="http://schemas.microsoft.com/office/drawing/2012/chart" uri="{CE6537A1-D6FC-4f65-9D91-7224C49458BB}"/>
                <c:ext xmlns:c16="http://schemas.microsoft.com/office/drawing/2014/chart" uri="{C3380CC4-5D6E-409C-BE32-E72D297353CC}">
                  <c16:uniqueId val="{00000000-08E1-4C63-9EED-B1E8273BE03E}"/>
                </c:ext>
              </c:extLst>
            </c:dLbl>
            <c:dLbl>
              <c:idx val="1"/>
              <c:layout>
                <c:manualLayout>
                  <c:x val="-6.7925347222222265E-2"/>
                  <c:y val="-0.104982502187226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8E1-4C63-9EED-B1E8273BE03E}"/>
                </c:ext>
              </c:extLst>
            </c:dLbl>
            <c:dLbl>
              <c:idx val="5"/>
              <c:layout>
                <c:manualLayout>
                  <c:x val="-9.3967013888888895E-2"/>
                  <c:y val="-5.637139107611551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8E1-4C63-9EED-B1E8273BE03E}"/>
                </c:ext>
              </c:extLst>
            </c:dLbl>
            <c:dLbl>
              <c:idx val="6"/>
              <c:layout>
                <c:manualLayout>
                  <c:x val="-7.1392101377952752E-2"/>
                  <c:y val="-4.94269466316710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8E1-4C63-9EED-B1E8273BE03E}"/>
                </c:ext>
              </c:extLst>
            </c:dLbl>
            <c:spPr>
              <a:noFill/>
              <a:ln>
                <a:noFill/>
              </a:ln>
              <a:effectLst/>
            </c:spPr>
            <c:txPr>
              <a:bodyPr/>
              <a:lstStyle/>
              <a:p>
                <a:pPr>
                  <a:defRPr b="1"/>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Sheet1!$B$1:$T$1</c:f>
              <c:strCache>
                <c:ptCount val="7"/>
                <c:pt idx="0">
                  <c:v>1</c:v>
                </c:pt>
                <c:pt idx="1">
                  <c:v>2</c:v>
                </c:pt>
                <c:pt idx="2">
                  <c:v>3</c:v>
                </c:pt>
                <c:pt idx="3">
                  <c:v>4</c:v>
                </c:pt>
                <c:pt idx="4">
                  <c:v>5</c:v>
                </c:pt>
                <c:pt idx="5">
                  <c:v>6</c:v>
                </c:pt>
                <c:pt idx="6">
                  <c:v>7</c:v>
                </c:pt>
              </c:strCache>
            </c:strRef>
          </c:cat>
          <c:val>
            <c:numRef>
              <c:f>Sheet1!$B$2:$T$2</c:f>
              <c:numCache>
                <c:formatCode>0.0</c:formatCode>
                <c:ptCount val="7"/>
                <c:pt idx="0">
                  <c:v>-10.240407188780701</c:v>
                </c:pt>
                <c:pt idx="1">
                  <c:v>31.3</c:v>
                </c:pt>
                <c:pt idx="2">
                  <c:v>-0.2</c:v>
                </c:pt>
                <c:pt idx="3">
                  <c:v>-3.2000000000000028</c:v>
                </c:pt>
                <c:pt idx="4">
                  <c:v>1.5</c:v>
                </c:pt>
                <c:pt idx="5">
                  <c:v>15.3</c:v>
                </c:pt>
                <c:pt idx="6">
                  <c:v>21.5</c:v>
                </c:pt>
              </c:numCache>
            </c:numRef>
          </c:val>
          <c:smooth val="0"/>
          <c:extLst>
            <c:ext xmlns:c16="http://schemas.microsoft.com/office/drawing/2014/chart" uri="{C3380CC4-5D6E-409C-BE32-E72D297353CC}">
              <c16:uniqueId val="{00000004-08E1-4C63-9EED-B1E8273BE03E}"/>
            </c:ext>
          </c:extLst>
        </c:ser>
        <c:ser>
          <c:idx val="1"/>
          <c:order val="1"/>
          <c:tx>
            <c:strRef>
              <c:f>Sheet1!$A$3</c:f>
              <c:strCache>
                <c:ptCount val="1"/>
                <c:pt idx="0">
                  <c:v>Կուտակային փոփոխություն, %</c:v>
                </c:pt>
              </c:strCache>
            </c:strRef>
          </c:tx>
          <c:spPr>
            <a:ln>
              <a:solidFill>
                <a:srgbClr val="F79646"/>
              </a:solidFill>
            </a:ln>
          </c:spPr>
          <c:marker>
            <c:symbol val="circle"/>
            <c:size val="5"/>
            <c:spPr>
              <a:solidFill>
                <a:srgbClr val="F79646"/>
              </a:solidFill>
              <a:ln>
                <a:solidFill>
                  <a:srgbClr val="F79646"/>
                </a:solidFill>
              </a:ln>
            </c:spPr>
          </c:marker>
          <c:dLbls>
            <c:spPr>
              <a:noFill/>
              <a:ln>
                <a:noFill/>
              </a:ln>
              <a:effectLst/>
            </c:spPr>
            <c:txPr>
              <a:bodyPr wrap="square" lIns="38100" tIns="19050" rIns="38100" bIns="19050" anchor="ctr">
                <a:spAutoFit/>
              </a:bodyPr>
              <a:lstStyle/>
              <a:p>
                <a:pPr>
                  <a:defRPr b="1"/>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Sheet1!$B$1:$T$1</c:f>
              <c:strCache>
                <c:ptCount val="7"/>
                <c:pt idx="0">
                  <c:v>1</c:v>
                </c:pt>
                <c:pt idx="1">
                  <c:v>2</c:v>
                </c:pt>
                <c:pt idx="2">
                  <c:v>3</c:v>
                </c:pt>
                <c:pt idx="3">
                  <c:v>4</c:v>
                </c:pt>
                <c:pt idx="4">
                  <c:v>5</c:v>
                </c:pt>
                <c:pt idx="5">
                  <c:v>6</c:v>
                </c:pt>
                <c:pt idx="6">
                  <c:v>7</c:v>
                </c:pt>
              </c:strCache>
            </c:strRef>
          </c:cat>
          <c:val>
            <c:numRef>
              <c:f>Sheet1!$B$3:$T$3</c:f>
              <c:numCache>
                <c:formatCode>0.0</c:formatCode>
                <c:ptCount val="7"/>
                <c:pt idx="0">
                  <c:v>-10.240407188780701</c:v>
                </c:pt>
                <c:pt idx="1">
                  <c:v>9.8091571953529808</c:v>
                </c:pt>
                <c:pt idx="2">
                  <c:v>6.0666582652251435</c:v>
                </c:pt>
                <c:pt idx="3">
                  <c:v>3.4838403445661754</c:v>
                </c:pt>
                <c:pt idx="4">
                  <c:v>3.0795435451727684</c:v>
                </c:pt>
                <c:pt idx="5">
                  <c:v>5.1689078786127993</c:v>
                </c:pt>
                <c:pt idx="6">
                  <c:v>7.6629017510475421</c:v>
                </c:pt>
              </c:numCache>
            </c:numRef>
          </c:val>
          <c:smooth val="0"/>
          <c:extLst>
            <c:ext xmlns:c16="http://schemas.microsoft.com/office/drawing/2014/chart" uri="{C3380CC4-5D6E-409C-BE32-E72D297353CC}">
              <c16:uniqueId val="{00000005-08E1-4C63-9EED-B1E8273BE03E}"/>
            </c:ext>
          </c:extLst>
        </c:ser>
        <c:dLbls>
          <c:dLblPos val="t"/>
          <c:showLegendKey val="0"/>
          <c:showVal val="1"/>
          <c:showCatName val="0"/>
          <c:showSerName val="0"/>
          <c:showPercent val="0"/>
          <c:showBubbleSize val="0"/>
        </c:dLbls>
        <c:marker val="1"/>
        <c:smooth val="0"/>
        <c:axId val="-874326320"/>
        <c:axId val="-874325776"/>
      </c:lineChart>
      <c:catAx>
        <c:axId val="-87432632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vert="horz"/>
          <a:lstStyle/>
          <a:p>
            <a:pPr>
              <a:defRPr b="1"/>
            </a:pPr>
            <a:endParaRPr lang="en-US"/>
          </a:p>
        </c:txPr>
        <c:crossAx val="-874325776"/>
        <c:crosses val="autoZero"/>
        <c:auto val="1"/>
        <c:lblAlgn val="ctr"/>
        <c:lblOffset val="400"/>
        <c:noMultiLvlLbl val="0"/>
      </c:catAx>
      <c:valAx>
        <c:axId val="-874325776"/>
        <c:scaling>
          <c:orientation val="minMax"/>
        </c:scaling>
        <c:delete val="0"/>
        <c:axPos val="l"/>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874326320"/>
        <c:crosses val="autoZero"/>
        <c:crossBetween val="between"/>
      </c:valAx>
      <c:spPr>
        <a:noFill/>
        <a:ln>
          <a:noFill/>
        </a:ln>
        <a:effectLst/>
      </c:spPr>
    </c:plotArea>
    <c:legend>
      <c:legendPos val="b"/>
      <c:layout>
        <c:manualLayout>
          <c:xMode val="edge"/>
          <c:yMode val="edge"/>
          <c:x val="1.3100462051618545E-2"/>
          <c:y val="0.80026465441819772"/>
          <c:w val="0.88092668877720004"/>
          <c:h val="0.12334645669291339"/>
        </c:manualLayout>
      </c:layout>
      <c:overlay val="0"/>
      <c:spPr>
        <a:noFill/>
        <a:ln w="19050">
          <a:noFill/>
        </a:ln>
        <a:effectLst/>
      </c:spPr>
      <c:txPr>
        <a:bodyPr rot="0" vert="horz"/>
        <a:lstStyle/>
        <a:p>
          <a:pPr>
            <a:defRPr/>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4"/>
          <c:order val="4"/>
          <c:tx>
            <c:strRef>
              <c:f>Sheet1!$F$1</c:f>
              <c:strCache>
                <c:ptCount val="1"/>
                <c:pt idx="0">
                  <c:v>2026</c:v>
                </c:pt>
              </c:strCache>
            </c:strRef>
          </c:tx>
          <c:spPr>
            <a:solidFill>
              <a:schemeClr val="tx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Sheet1!$A$2:$A$13</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Sheet1!$F$2:$F$13</c:f>
              <c:numCache>
                <c:formatCode>0</c:formatCode>
                <c:ptCount val="12"/>
                <c:pt idx="0">
                  <c:v>169.11255999999995</c:v>
                </c:pt>
                <c:pt idx="1">
                  <c:v>302.99328000000008</c:v>
                </c:pt>
                <c:pt idx="2">
                  <c:v>458.21059999999989</c:v>
                </c:pt>
                <c:pt idx="3">
                  <c:v>728.12644999999998</c:v>
                </c:pt>
                <c:pt idx="4">
                  <c:v>1084.9144899999999</c:v>
                </c:pt>
                <c:pt idx="5">
                  <c:v>1377.4230900000002</c:v>
                </c:pt>
                <c:pt idx="6">
                  <c:v>1867.7592200000001</c:v>
                </c:pt>
              </c:numCache>
            </c:numRef>
          </c:val>
          <c:extLst>
            <c:ext xmlns:c16="http://schemas.microsoft.com/office/drawing/2014/chart" uri="{C3380CC4-5D6E-409C-BE32-E72D297353CC}">
              <c16:uniqueId val="{00000000-22F3-421D-9801-F6171EF8EADB}"/>
            </c:ext>
          </c:extLst>
        </c:ser>
        <c:dLbls>
          <c:showLegendKey val="0"/>
          <c:showVal val="0"/>
          <c:showCatName val="0"/>
          <c:showSerName val="0"/>
          <c:showPercent val="0"/>
          <c:showBubbleSize val="0"/>
        </c:dLbls>
        <c:gapWidth val="219"/>
        <c:overlap val="-27"/>
        <c:axId val="1676873312"/>
        <c:axId val="1676875392"/>
      </c:barChart>
      <c:lineChart>
        <c:grouping val="standard"/>
        <c:varyColors val="0"/>
        <c:ser>
          <c:idx val="0"/>
          <c:order val="0"/>
          <c:tx>
            <c:strRef>
              <c:f>Sheet1!$B$1</c:f>
              <c:strCache>
                <c:ptCount val="1"/>
                <c:pt idx="0">
                  <c:v>2022</c:v>
                </c:pt>
              </c:strCache>
            </c:strRef>
          </c:tx>
          <c:spPr>
            <a:ln w="28575" cap="rnd">
              <a:solidFill>
                <a:schemeClr val="accent6">
                  <a:lumMod val="60000"/>
                  <a:lumOff val="40000"/>
                </a:schemeClr>
              </a:solidFill>
              <a:prstDash val="sysDash"/>
              <a:round/>
            </a:ln>
            <a:effectLst/>
          </c:spPr>
          <c:marker>
            <c:symbol val="none"/>
          </c:marker>
          <c:cat>
            <c:numRef>
              <c:f>Sheet1!$A$2:$A$13</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Sheet1!$B$2:$B$13</c:f>
              <c:numCache>
                <c:formatCode>0</c:formatCode>
                <c:ptCount val="12"/>
                <c:pt idx="0">
                  <c:v>40.456869999999995</c:v>
                </c:pt>
                <c:pt idx="1">
                  <c:v>96.559210000000007</c:v>
                </c:pt>
                <c:pt idx="2">
                  <c:v>190.29342</c:v>
                </c:pt>
                <c:pt idx="3">
                  <c:v>356.88243999999992</c:v>
                </c:pt>
                <c:pt idx="4">
                  <c:v>625.98016999999993</c:v>
                </c:pt>
                <c:pt idx="5">
                  <c:v>993.92444999999998</c:v>
                </c:pt>
                <c:pt idx="6">
                  <c:v>1129.3202699999999</c:v>
                </c:pt>
                <c:pt idx="7">
                  <c:v>1420.5126400000001</c:v>
                </c:pt>
                <c:pt idx="8">
                  <c:v>1729.5370700000001</c:v>
                </c:pt>
                <c:pt idx="9">
                  <c:v>2056.46036</c:v>
                </c:pt>
                <c:pt idx="10">
                  <c:v>2281.7817200000004</c:v>
                </c:pt>
                <c:pt idx="11">
                  <c:v>2583.6442099999999</c:v>
                </c:pt>
              </c:numCache>
            </c:numRef>
          </c:val>
          <c:smooth val="0"/>
          <c:extLst>
            <c:ext xmlns:c16="http://schemas.microsoft.com/office/drawing/2014/chart" uri="{C3380CC4-5D6E-409C-BE32-E72D297353CC}">
              <c16:uniqueId val="{00000001-22F3-421D-9801-F6171EF8EADB}"/>
            </c:ext>
          </c:extLst>
        </c:ser>
        <c:ser>
          <c:idx val="1"/>
          <c:order val="1"/>
          <c:tx>
            <c:strRef>
              <c:f>Sheet1!$C$1</c:f>
              <c:strCache>
                <c:ptCount val="1"/>
                <c:pt idx="0">
                  <c:v>2023</c:v>
                </c:pt>
              </c:strCache>
            </c:strRef>
          </c:tx>
          <c:spPr>
            <a:ln w="28575" cap="rnd">
              <a:solidFill>
                <a:schemeClr val="accent4">
                  <a:lumMod val="60000"/>
                  <a:lumOff val="40000"/>
                </a:schemeClr>
              </a:solidFill>
              <a:prstDash val="sysDash"/>
              <a:round/>
            </a:ln>
            <a:effectLst/>
          </c:spPr>
          <c:marker>
            <c:symbol val="none"/>
          </c:marker>
          <c:cat>
            <c:numRef>
              <c:f>Sheet1!$A$2:$A$13</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Sheet1!$C$2:$C$13</c:f>
              <c:numCache>
                <c:formatCode>0</c:formatCode>
                <c:ptCount val="12"/>
                <c:pt idx="0">
                  <c:v>170.19200999999998</c:v>
                </c:pt>
                <c:pt idx="1">
                  <c:v>502.31756000000007</c:v>
                </c:pt>
                <c:pt idx="2">
                  <c:v>553.18916000000013</c:v>
                </c:pt>
                <c:pt idx="3">
                  <c:v>719.74454000000014</c:v>
                </c:pt>
                <c:pt idx="4">
                  <c:v>767.29878000000019</c:v>
                </c:pt>
                <c:pt idx="5">
                  <c:v>897.68380000000002</c:v>
                </c:pt>
                <c:pt idx="6">
                  <c:v>1031.0321900000001</c:v>
                </c:pt>
                <c:pt idx="7">
                  <c:v>1233.4117000000001</c:v>
                </c:pt>
                <c:pt idx="8">
                  <c:v>1330.3843300000001</c:v>
                </c:pt>
                <c:pt idx="9">
                  <c:v>1455.76836</c:v>
                </c:pt>
                <c:pt idx="10">
                  <c:v>1495.3931</c:v>
                </c:pt>
                <c:pt idx="11">
                  <c:v>1654.7126500000002</c:v>
                </c:pt>
              </c:numCache>
            </c:numRef>
          </c:val>
          <c:smooth val="0"/>
          <c:extLst>
            <c:ext xmlns:c16="http://schemas.microsoft.com/office/drawing/2014/chart" uri="{C3380CC4-5D6E-409C-BE32-E72D297353CC}">
              <c16:uniqueId val="{00000002-22F3-421D-9801-F6171EF8EADB}"/>
            </c:ext>
          </c:extLst>
        </c:ser>
        <c:ser>
          <c:idx val="2"/>
          <c:order val="2"/>
          <c:tx>
            <c:strRef>
              <c:f>Sheet1!$D$1</c:f>
              <c:strCache>
                <c:ptCount val="1"/>
                <c:pt idx="0">
                  <c:v>2024</c:v>
                </c:pt>
              </c:strCache>
            </c:strRef>
          </c:tx>
          <c:spPr>
            <a:ln w="28575" cap="rnd">
              <a:solidFill>
                <a:schemeClr val="accent1">
                  <a:lumMod val="60000"/>
                  <a:lumOff val="40000"/>
                </a:schemeClr>
              </a:solidFill>
              <a:prstDash val="sysDash"/>
              <a:round/>
            </a:ln>
            <a:effectLst/>
          </c:spPr>
          <c:marker>
            <c:symbol val="none"/>
          </c:marker>
          <c:cat>
            <c:numRef>
              <c:f>Sheet1!$A$2:$A$13</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Sheet1!$D$2:$D$13</c:f>
              <c:numCache>
                <c:formatCode>0</c:formatCode>
                <c:ptCount val="12"/>
                <c:pt idx="0">
                  <c:v>32.822600000000001</c:v>
                </c:pt>
                <c:pt idx="1">
                  <c:v>153.86497</c:v>
                </c:pt>
                <c:pt idx="2">
                  <c:v>278.55962</c:v>
                </c:pt>
                <c:pt idx="3">
                  <c:v>327.52072999999996</c:v>
                </c:pt>
                <c:pt idx="4">
                  <c:v>449.36702000000002</c:v>
                </c:pt>
                <c:pt idx="5">
                  <c:v>595.40819999999997</c:v>
                </c:pt>
                <c:pt idx="6">
                  <c:v>758.68880999999999</c:v>
                </c:pt>
                <c:pt idx="7">
                  <c:v>790.74393999999995</c:v>
                </c:pt>
                <c:pt idx="8">
                  <c:v>887.98018999999999</c:v>
                </c:pt>
                <c:pt idx="9">
                  <c:v>1047.9971599999999</c:v>
                </c:pt>
                <c:pt idx="10">
                  <c:v>1124.4194299999999</c:v>
                </c:pt>
                <c:pt idx="11">
                  <c:v>1509.3740999999998</c:v>
                </c:pt>
              </c:numCache>
            </c:numRef>
          </c:val>
          <c:smooth val="0"/>
          <c:extLst>
            <c:ext xmlns:c16="http://schemas.microsoft.com/office/drawing/2014/chart" uri="{C3380CC4-5D6E-409C-BE32-E72D297353CC}">
              <c16:uniqueId val="{00000003-22F3-421D-9801-F6171EF8EADB}"/>
            </c:ext>
          </c:extLst>
        </c:ser>
        <c:ser>
          <c:idx val="3"/>
          <c:order val="3"/>
          <c:tx>
            <c:strRef>
              <c:f>Sheet1!$E$1</c:f>
              <c:strCache>
                <c:ptCount val="1"/>
                <c:pt idx="0">
                  <c:v>2025</c:v>
                </c:pt>
              </c:strCache>
            </c:strRef>
          </c:tx>
          <c:spPr>
            <a:ln w="28575" cap="rnd">
              <a:solidFill>
                <a:schemeClr val="accent3">
                  <a:lumMod val="60000"/>
                  <a:lumOff val="40000"/>
                </a:schemeClr>
              </a:solidFill>
              <a:round/>
            </a:ln>
            <a:effectLst/>
          </c:spPr>
          <c:marker>
            <c:symbol val="none"/>
          </c:marker>
          <c:cat>
            <c:numRef>
              <c:f>Sheet1!$A$2:$A$13</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Sheet1!$E$2:$E$13</c:f>
              <c:numCache>
                <c:formatCode>0</c:formatCode>
                <c:ptCount val="12"/>
                <c:pt idx="0">
                  <c:v>18.70975</c:v>
                </c:pt>
                <c:pt idx="1">
                  <c:v>87.531809999999993</c:v>
                </c:pt>
                <c:pt idx="2">
                  <c:v>143.68816999999999</c:v>
                </c:pt>
                <c:pt idx="3">
                  <c:v>273.40594999999996</c:v>
                </c:pt>
                <c:pt idx="4">
                  <c:v>511.72212000000002</c:v>
                </c:pt>
                <c:pt idx="5">
                  <c:v>587.61704000000009</c:v>
                </c:pt>
                <c:pt idx="6">
                  <c:v>716.61896000000013</c:v>
                </c:pt>
                <c:pt idx="7">
                  <c:v>889.32521000000008</c:v>
                </c:pt>
                <c:pt idx="8">
                  <c:v>1025.4422</c:v>
                </c:pt>
                <c:pt idx="9">
                  <c:v>1147.5584000000001</c:v>
                </c:pt>
                <c:pt idx="10">
                  <c:v>1324.4709400000002</c:v>
                </c:pt>
                <c:pt idx="11">
                  <c:v>1639.52883</c:v>
                </c:pt>
              </c:numCache>
            </c:numRef>
          </c:val>
          <c:smooth val="0"/>
          <c:extLst>
            <c:ext xmlns:c16="http://schemas.microsoft.com/office/drawing/2014/chart" uri="{C3380CC4-5D6E-409C-BE32-E72D297353CC}">
              <c16:uniqueId val="{00000004-22F3-421D-9801-F6171EF8EADB}"/>
            </c:ext>
          </c:extLst>
        </c:ser>
        <c:dLbls>
          <c:showLegendKey val="0"/>
          <c:showVal val="0"/>
          <c:showCatName val="0"/>
          <c:showSerName val="0"/>
          <c:showPercent val="0"/>
          <c:showBubbleSize val="0"/>
        </c:dLbls>
        <c:marker val="1"/>
        <c:smooth val="0"/>
        <c:axId val="1676873312"/>
        <c:axId val="1676875392"/>
      </c:lineChart>
      <c:catAx>
        <c:axId val="1676873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676875392"/>
        <c:crosses val="autoZero"/>
        <c:auto val="1"/>
        <c:lblAlgn val="ctr"/>
        <c:lblOffset val="100"/>
        <c:noMultiLvlLbl val="0"/>
      </c:catAx>
      <c:valAx>
        <c:axId val="16768753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676873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477143482064741"/>
          <c:y val="8.9461942257217847E-2"/>
          <c:w val="0.82068125273403325"/>
          <c:h val="0.53337409528354418"/>
        </c:manualLayout>
      </c:layout>
      <c:barChart>
        <c:barDir val="col"/>
        <c:grouping val="stacked"/>
        <c:varyColors val="0"/>
        <c:ser>
          <c:idx val="1"/>
          <c:order val="0"/>
          <c:tx>
            <c:strRef>
              <c:f>Sheet1!$C$1</c:f>
              <c:strCache>
                <c:ptCount val="1"/>
                <c:pt idx="0">
                  <c:v>Դոլար</c:v>
                </c:pt>
              </c:strCache>
            </c:strRef>
          </c:tx>
          <c:spPr>
            <a:solidFill>
              <a:schemeClr val="bg1">
                <a:lumMod val="75000"/>
              </a:schemeClr>
            </a:solidFill>
            <a:ln>
              <a:noFill/>
            </a:ln>
            <a:effectLst>
              <a:outerShdw blurRad="40000" dist="23000" dir="5400000" rotWithShape="0">
                <a:srgbClr val="000000">
                  <a:alpha val="35000"/>
                </a:srgbClr>
              </a:outerShdw>
            </a:effectLst>
          </c:spPr>
          <c:invertIfNegative val="0"/>
          <c:cat>
            <c:multiLvlStrRef>
              <c:f>Sheet1!$A$18:$B$37</c:f>
              <c:multiLvlStrCache>
                <c:ptCount val="14"/>
                <c:lvl>
                  <c:pt idx="0">
                    <c:v>1</c:v>
                  </c:pt>
                  <c:pt idx="1">
                    <c:v>2</c:v>
                  </c:pt>
                  <c:pt idx="2">
                    <c:v>3</c:v>
                  </c:pt>
                  <c:pt idx="3">
                    <c:v>4</c:v>
                  </c:pt>
                  <c:pt idx="4">
                    <c:v>1</c:v>
                  </c:pt>
                  <c:pt idx="5">
                    <c:v>2</c:v>
                  </c:pt>
                  <c:pt idx="6">
                    <c:v>3</c:v>
                  </c:pt>
                  <c:pt idx="7">
                    <c:v>4</c:v>
                  </c:pt>
                  <c:pt idx="8">
                    <c:v>1</c:v>
                  </c:pt>
                  <c:pt idx="9">
                    <c:v>2</c:v>
                  </c:pt>
                  <c:pt idx="10">
                    <c:v>3</c:v>
                  </c:pt>
                  <c:pt idx="11">
                    <c:v>4</c:v>
                  </c:pt>
                  <c:pt idx="12">
                    <c:v>1</c:v>
                  </c:pt>
                  <c:pt idx="13">
                    <c:v>2</c:v>
                  </c:pt>
                </c:lvl>
                <c:lvl>
                  <c:pt idx="0">
                    <c:v>2023</c:v>
                  </c:pt>
                  <c:pt idx="4">
                    <c:v>2024</c:v>
                  </c:pt>
                  <c:pt idx="8">
                    <c:v>2025</c:v>
                  </c:pt>
                  <c:pt idx="12">
                    <c:v>2026</c:v>
                  </c:pt>
                </c:lvl>
              </c:multiLvlStrCache>
            </c:multiLvlStrRef>
          </c:cat>
          <c:val>
            <c:numRef>
              <c:f>Sheet1!$C$2:$C$37</c:f>
              <c:numCache>
                <c:formatCode>0</c:formatCode>
                <c:ptCount val="14"/>
                <c:pt idx="0">
                  <c:v>-198.37948549629041</c:v>
                </c:pt>
                <c:pt idx="1">
                  <c:v>-28.113131581316082</c:v>
                </c:pt>
                <c:pt idx="2">
                  <c:v>-65.45136207846366</c:v>
                </c:pt>
                <c:pt idx="3">
                  <c:v>-277.075267131891</c:v>
                </c:pt>
                <c:pt idx="4">
                  <c:v>-316.72390526903303</c:v>
                </c:pt>
                <c:pt idx="5">
                  <c:v>-445.3869904856632</c:v>
                </c:pt>
                <c:pt idx="6">
                  <c:v>-336.34744169712991</c:v>
                </c:pt>
                <c:pt idx="7">
                  <c:v>-186.17634767990333</c:v>
                </c:pt>
                <c:pt idx="8">
                  <c:v>-274.18427546061059</c:v>
                </c:pt>
                <c:pt idx="9">
                  <c:v>-483.31697861144607</c:v>
                </c:pt>
                <c:pt idx="10">
                  <c:v>-348.39246185011223</c:v>
                </c:pt>
                <c:pt idx="11">
                  <c:v>-93.997638661709914</c:v>
                </c:pt>
                <c:pt idx="12">
                  <c:v>-105.42515131514995</c:v>
                </c:pt>
                <c:pt idx="13">
                  <c:v>-124.52332347672944</c:v>
                </c:pt>
              </c:numCache>
            </c:numRef>
          </c:val>
          <c:extLst>
            <c:ext xmlns:c16="http://schemas.microsoft.com/office/drawing/2014/chart" uri="{C3380CC4-5D6E-409C-BE32-E72D297353CC}">
              <c16:uniqueId val="{00000000-9B51-4A50-846D-F749C082DA84}"/>
            </c:ext>
          </c:extLst>
        </c:ser>
        <c:ser>
          <c:idx val="2"/>
          <c:order val="1"/>
          <c:tx>
            <c:strRef>
              <c:f>Sheet1!$D$1</c:f>
              <c:strCache>
                <c:ptCount val="1"/>
                <c:pt idx="0">
                  <c:v>Եվրո</c:v>
                </c:pt>
              </c:strCache>
            </c:strRef>
          </c:tx>
          <c:spPr>
            <a:solidFill>
              <a:schemeClr val="accent6">
                <a:lumMod val="60000"/>
                <a:lumOff val="40000"/>
              </a:schemeClr>
            </a:solidFill>
            <a:ln>
              <a:noFill/>
            </a:ln>
            <a:effectLst>
              <a:outerShdw blurRad="40000" dist="23000" dir="5400000" rotWithShape="0">
                <a:srgbClr val="000000">
                  <a:alpha val="35000"/>
                </a:srgbClr>
              </a:outerShdw>
            </a:effectLst>
          </c:spPr>
          <c:invertIfNegative val="0"/>
          <c:cat>
            <c:numRef>
              <c:f>Sheet1!$A$2:$A$37</c:f>
              <c:numCache>
                <c:formatCode>General</c:formatCode>
                <c:ptCount val="14"/>
                <c:pt idx="0">
                  <c:v>2023</c:v>
                </c:pt>
                <c:pt idx="4">
                  <c:v>2024</c:v>
                </c:pt>
                <c:pt idx="8">
                  <c:v>2025</c:v>
                </c:pt>
                <c:pt idx="12">
                  <c:v>2026</c:v>
                </c:pt>
              </c:numCache>
            </c:numRef>
          </c:cat>
          <c:val>
            <c:numRef>
              <c:f>Sheet1!$D$2:$D$37</c:f>
              <c:numCache>
                <c:formatCode>0</c:formatCode>
                <c:ptCount val="14"/>
                <c:pt idx="0">
                  <c:v>-174.3801129556517</c:v>
                </c:pt>
                <c:pt idx="1">
                  <c:v>-140.58972851489443</c:v>
                </c:pt>
                <c:pt idx="2">
                  <c:v>-123.25717668806097</c:v>
                </c:pt>
                <c:pt idx="3">
                  <c:v>-66.186420115155897</c:v>
                </c:pt>
                <c:pt idx="4">
                  <c:v>-260.11307755782582</c:v>
                </c:pt>
                <c:pt idx="5">
                  <c:v>-268.20698948128222</c:v>
                </c:pt>
                <c:pt idx="6">
                  <c:v>-191.93912526345309</c:v>
                </c:pt>
                <c:pt idx="7">
                  <c:v>-95.00717477615531</c:v>
                </c:pt>
                <c:pt idx="8">
                  <c:v>-195.15619736876815</c:v>
                </c:pt>
                <c:pt idx="9">
                  <c:v>-124.24626380965083</c:v>
                </c:pt>
                <c:pt idx="10">
                  <c:v>-107.03368436569612</c:v>
                </c:pt>
                <c:pt idx="11">
                  <c:v>-104.21024619901783</c:v>
                </c:pt>
                <c:pt idx="12">
                  <c:v>-75.446482952843212</c:v>
                </c:pt>
                <c:pt idx="13">
                  <c:v>-48.502556219002798</c:v>
                </c:pt>
              </c:numCache>
            </c:numRef>
          </c:val>
          <c:extLst>
            <c:ext xmlns:c16="http://schemas.microsoft.com/office/drawing/2014/chart" uri="{C3380CC4-5D6E-409C-BE32-E72D297353CC}">
              <c16:uniqueId val="{00000001-9B51-4A50-846D-F749C082DA84}"/>
            </c:ext>
          </c:extLst>
        </c:ser>
        <c:ser>
          <c:idx val="3"/>
          <c:order val="2"/>
          <c:tx>
            <c:strRef>
              <c:f>Sheet1!$E$1</c:f>
              <c:strCache>
                <c:ptCount val="1"/>
                <c:pt idx="0">
                  <c:v>Ռուբլի</c:v>
                </c:pt>
              </c:strCache>
            </c:strRef>
          </c:tx>
          <c:spPr>
            <a:solidFill>
              <a:schemeClr val="accent1">
                <a:lumMod val="75000"/>
              </a:schemeClr>
            </a:solidFill>
            <a:ln>
              <a:noFill/>
            </a:ln>
            <a:effectLst>
              <a:outerShdw blurRad="40000" dist="23000" dir="5400000" rotWithShape="0">
                <a:srgbClr val="000000">
                  <a:alpha val="35000"/>
                </a:srgbClr>
              </a:outerShdw>
            </a:effectLst>
          </c:spPr>
          <c:invertIfNegative val="0"/>
          <c:cat>
            <c:multiLvlStrRef>
              <c:f>Sheet1!$A$18:$B$37</c:f>
              <c:multiLvlStrCache>
                <c:ptCount val="14"/>
                <c:lvl>
                  <c:pt idx="0">
                    <c:v>1</c:v>
                  </c:pt>
                  <c:pt idx="1">
                    <c:v>2</c:v>
                  </c:pt>
                  <c:pt idx="2">
                    <c:v>3</c:v>
                  </c:pt>
                  <c:pt idx="3">
                    <c:v>4</c:v>
                  </c:pt>
                  <c:pt idx="4">
                    <c:v>1</c:v>
                  </c:pt>
                  <c:pt idx="5">
                    <c:v>2</c:v>
                  </c:pt>
                  <c:pt idx="6">
                    <c:v>3</c:v>
                  </c:pt>
                  <c:pt idx="7">
                    <c:v>4</c:v>
                  </c:pt>
                  <c:pt idx="8">
                    <c:v>1</c:v>
                  </c:pt>
                  <c:pt idx="9">
                    <c:v>2</c:v>
                  </c:pt>
                  <c:pt idx="10">
                    <c:v>3</c:v>
                  </c:pt>
                  <c:pt idx="11">
                    <c:v>4</c:v>
                  </c:pt>
                  <c:pt idx="12">
                    <c:v>1</c:v>
                  </c:pt>
                  <c:pt idx="13">
                    <c:v>2</c:v>
                  </c:pt>
                </c:lvl>
                <c:lvl>
                  <c:pt idx="0">
                    <c:v>2023</c:v>
                  </c:pt>
                  <c:pt idx="4">
                    <c:v>2024</c:v>
                  </c:pt>
                  <c:pt idx="8">
                    <c:v>2025</c:v>
                  </c:pt>
                  <c:pt idx="12">
                    <c:v>2026</c:v>
                  </c:pt>
                </c:lvl>
              </c:multiLvlStrCache>
            </c:multiLvlStrRef>
          </c:cat>
          <c:val>
            <c:numRef>
              <c:f>Sheet1!$E$2:$E$37</c:f>
              <c:numCache>
                <c:formatCode>0</c:formatCode>
                <c:ptCount val="14"/>
                <c:pt idx="0">
                  <c:v>436.38517693931055</c:v>
                </c:pt>
                <c:pt idx="1">
                  <c:v>376.39776191044848</c:v>
                </c:pt>
                <c:pt idx="2">
                  <c:v>295.20506021620588</c:v>
                </c:pt>
                <c:pt idx="3">
                  <c:v>329.02931109999389</c:v>
                </c:pt>
                <c:pt idx="4">
                  <c:v>510.11131165943925</c:v>
                </c:pt>
                <c:pt idx="5">
                  <c:v>756.80093481593372</c:v>
                </c:pt>
                <c:pt idx="6">
                  <c:v>585.80935789113983</c:v>
                </c:pt>
                <c:pt idx="7">
                  <c:v>252.97979954024794</c:v>
                </c:pt>
                <c:pt idx="8">
                  <c:v>509.8131998896074</c:v>
                </c:pt>
                <c:pt idx="9">
                  <c:v>802.22652830473851</c:v>
                </c:pt>
                <c:pt idx="10">
                  <c:v>626.5788885212886</c:v>
                </c:pt>
                <c:pt idx="11">
                  <c:v>364.8998661785842</c:v>
                </c:pt>
                <c:pt idx="12">
                  <c:v>248.33658087017972</c:v>
                </c:pt>
                <c:pt idx="13">
                  <c:v>422.06767014727444</c:v>
                </c:pt>
              </c:numCache>
            </c:numRef>
          </c:val>
          <c:extLst>
            <c:ext xmlns:c16="http://schemas.microsoft.com/office/drawing/2014/chart" uri="{C3380CC4-5D6E-409C-BE32-E72D297353CC}">
              <c16:uniqueId val="{00000002-9B51-4A50-846D-F749C082DA84}"/>
            </c:ext>
          </c:extLst>
        </c:ser>
        <c:dLbls>
          <c:showLegendKey val="0"/>
          <c:showVal val="0"/>
          <c:showCatName val="0"/>
          <c:showSerName val="0"/>
          <c:showPercent val="0"/>
          <c:showBubbleSize val="0"/>
        </c:dLbls>
        <c:gapWidth val="150"/>
        <c:overlap val="100"/>
        <c:axId val="-676725488"/>
        <c:axId val="-676706448"/>
      </c:barChart>
      <c:lineChart>
        <c:grouping val="standard"/>
        <c:varyColors val="0"/>
        <c:ser>
          <c:idx val="4"/>
          <c:order val="3"/>
          <c:tx>
            <c:strRef>
              <c:f>Sheet1!$F$1</c:f>
              <c:strCache>
                <c:ptCount val="1"/>
                <c:pt idx="0">
                  <c:v>Զուտ առք</c:v>
                </c:pt>
              </c:strCache>
            </c:strRef>
          </c:tx>
          <c:spPr>
            <a:ln w="22225" cap="rnd">
              <a:solidFill>
                <a:sysClr val="windowText" lastClr="000000"/>
              </a:solidFill>
              <a:round/>
            </a:ln>
            <a:effectLst>
              <a:outerShdw blurRad="40000" dist="23000" dir="5400000" rotWithShape="0">
                <a:srgbClr val="000000">
                  <a:alpha val="35000"/>
                </a:srgbClr>
              </a:outerShdw>
            </a:effectLst>
          </c:spPr>
          <c:marker>
            <c:symbol val="none"/>
          </c:marker>
          <c:cat>
            <c:multiLvlStrRef>
              <c:f>Sheet1!$A$18:$B$37</c:f>
              <c:multiLvlStrCache>
                <c:ptCount val="14"/>
                <c:lvl>
                  <c:pt idx="0">
                    <c:v>1</c:v>
                  </c:pt>
                  <c:pt idx="1">
                    <c:v>2</c:v>
                  </c:pt>
                  <c:pt idx="2">
                    <c:v>3</c:v>
                  </c:pt>
                  <c:pt idx="3">
                    <c:v>4</c:v>
                  </c:pt>
                  <c:pt idx="4">
                    <c:v>1</c:v>
                  </c:pt>
                  <c:pt idx="5">
                    <c:v>2</c:v>
                  </c:pt>
                  <c:pt idx="6">
                    <c:v>3</c:v>
                  </c:pt>
                  <c:pt idx="7">
                    <c:v>4</c:v>
                  </c:pt>
                  <c:pt idx="8">
                    <c:v>1</c:v>
                  </c:pt>
                  <c:pt idx="9">
                    <c:v>2</c:v>
                  </c:pt>
                  <c:pt idx="10">
                    <c:v>3</c:v>
                  </c:pt>
                  <c:pt idx="11">
                    <c:v>4</c:v>
                  </c:pt>
                  <c:pt idx="12">
                    <c:v>1</c:v>
                  </c:pt>
                  <c:pt idx="13">
                    <c:v>2</c:v>
                  </c:pt>
                </c:lvl>
                <c:lvl>
                  <c:pt idx="0">
                    <c:v>2023</c:v>
                  </c:pt>
                  <c:pt idx="4">
                    <c:v>2024</c:v>
                  </c:pt>
                  <c:pt idx="8">
                    <c:v>2025</c:v>
                  </c:pt>
                  <c:pt idx="12">
                    <c:v>2026</c:v>
                  </c:pt>
                </c:lvl>
              </c:multiLvlStrCache>
            </c:multiLvlStrRef>
          </c:cat>
          <c:val>
            <c:numRef>
              <c:f>Sheet1!$F$2:$F$37</c:f>
              <c:numCache>
                <c:formatCode>0</c:formatCode>
                <c:ptCount val="14"/>
                <c:pt idx="0">
                  <c:v>63.625578487368443</c:v>
                </c:pt>
                <c:pt idx="1">
                  <c:v>207.69490181423797</c:v>
                </c:pt>
                <c:pt idx="2">
                  <c:v>106.49652144968127</c:v>
                </c:pt>
                <c:pt idx="3">
                  <c:v>-14.232376147053003</c:v>
                </c:pt>
                <c:pt idx="4">
                  <c:v>-66.725671167419591</c:v>
                </c:pt>
                <c:pt idx="5">
                  <c:v>43.206954848988289</c:v>
                </c:pt>
                <c:pt idx="6">
                  <c:v>57.522790930556766</c:v>
                </c:pt>
                <c:pt idx="7">
                  <c:v>-28.203722915810715</c:v>
                </c:pt>
                <c:pt idx="8">
                  <c:v>40.472727060228635</c:v>
                </c:pt>
                <c:pt idx="9">
                  <c:v>194.66328588364161</c:v>
                </c:pt>
                <c:pt idx="10">
                  <c:v>171.15274230548027</c:v>
                </c:pt>
                <c:pt idx="11">
                  <c:v>166.69198131785646</c:v>
                </c:pt>
                <c:pt idx="12">
                  <c:v>67.464946602186558</c:v>
                </c:pt>
                <c:pt idx="13">
                  <c:v>249.0417904515422</c:v>
                </c:pt>
              </c:numCache>
            </c:numRef>
          </c:val>
          <c:smooth val="0"/>
          <c:extLst>
            <c:ext xmlns:c16="http://schemas.microsoft.com/office/drawing/2014/chart" uri="{C3380CC4-5D6E-409C-BE32-E72D297353CC}">
              <c16:uniqueId val="{00000003-9B51-4A50-846D-F749C082DA84}"/>
            </c:ext>
          </c:extLst>
        </c:ser>
        <c:dLbls>
          <c:showLegendKey val="0"/>
          <c:showVal val="0"/>
          <c:showCatName val="0"/>
          <c:showSerName val="0"/>
          <c:showPercent val="0"/>
          <c:showBubbleSize val="0"/>
        </c:dLbls>
        <c:marker val="1"/>
        <c:smooth val="0"/>
        <c:axId val="-676725488"/>
        <c:axId val="-676706448"/>
      </c:lineChart>
      <c:catAx>
        <c:axId val="-676725488"/>
        <c:scaling>
          <c:orientation val="minMax"/>
        </c:scaling>
        <c:delete val="0"/>
        <c:axPos val="b"/>
        <c:numFmt formatCode="General" sourceLinked="1"/>
        <c:majorTickMark val="none"/>
        <c:minorTickMark val="none"/>
        <c:tickLblPos val="low"/>
        <c:spPr>
          <a:noFill/>
          <a:ln w="9525" cap="flat" cmpd="sng" algn="ctr">
            <a:solidFill>
              <a:sysClr val="window" lastClr="FFFFFF">
                <a:lumMod val="75000"/>
              </a:sysClr>
            </a:solidFill>
            <a:round/>
          </a:ln>
          <a:effectLst/>
        </c:spPr>
        <c:txPr>
          <a:bodyPr rot="-60000000" spcFirstLastPara="1" vertOverflow="ellipsis" vert="horz" wrap="square" anchor="ctr" anchorCtr="1"/>
          <a:lstStyle/>
          <a:p>
            <a:pPr>
              <a:defRPr sz="800" b="1" i="0" u="none" strike="noStrike" kern="1200" baseline="0">
                <a:ln>
                  <a:noFill/>
                </a:ln>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06448"/>
        <c:crosses val="autoZero"/>
        <c:auto val="0"/>
        <c:lblAlgn val="ctr"/>
        <c:lblOffset val="100"/>
        <c:noMultiLvlLbl val="0"/>
      </c:catAx>
      <c:valAx>
        <c:axId val="-676706448"/>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ln>
                  <a:noFill/>
                </a:ln>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25488"/>
        <c:crosses val="autoZero"/>
        <c:crossBetween val="between"/>
        <c:majorUnit val="400"/>
      </c:valAx>
      <c:spPr>
        <a:noFill/>
        <a:ln>
          <a:noFill/>
        </a:ln>
        <a:effectLst/>
      </c:spPr>
    </c:plotArea>
    <c:legend>
      <c:legendPos val="b"/>
      <c:legendEntry>
        <c:idx val="1"/>
        <c:txPr>
          <a:bodyPr rot="0" spcFirstLastPara="1" vertOverflow="ellipsis" vert="horz" wrap="square" anchor="ctr" anchorCtr="1"/>
          <a:lstStyle/>
          <a:p>
            <a:pPr>
              <a:defRPr sz="800" b="0" i="0" u="none" strike="noStrike" kern="1200" baseline="0">
                <a:ln>
                  <a:noFill/>
                </a:ln>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Entry>
      <c:legendEntry>
        <c:idx val="2"/>
        <c:delete val="1"/>
      </c:legendEntry>
      <c:layout>
        <c:manualLayout>
          <c:xMode val="edge"/>
          <c:yMode val="edge"/>
          <c:x val="9.9887223774447531E-2"/>
          <c:y val="0.83661359510677902"/>
          <c:w val="0.77571665846456694"/>
          <c:h val="0.12814413823272089"/>
        </c:manualLayout>
      </c:layout>
      <c:overlay val="0"/>
      <c:spPr>
        <a:noFill/>
        <a:ln>
          <a:noFill/>
        </a:ln>
        <a:effectLst/>
      </c:spPr>
      <c:txPr>
        <a:bodyPr rot="0" spcFirstLastPara="1" vertOverflow="ellipsis" vert="horz" wrap="square" anchor="ctr" anchorCtr="1"/>
        <a:lstStyle/>
        <a:p>
          <a:pPr>
            <a:defRPr sz="800" b="0" i="0" u="none" strike="noStrike" kern="1200" baseline="0">
              <a:ln>
                <a:noFill/>
              </a:ln>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3175" cap="flat" cmpd="sng" algn="ctr">
      <a:noFill/>
      <a:round/>
    </a:ln>
    <a:effectLst/>
  </c:spPr>
  <c:txPr>
    <a:bodyPr/>
    <a:lstStyle/>
    <a:p>
      <a:pPr>
        <a:defRPr sz="800">
          <a:ln>
            <a:noFill/>
          </a:ln>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423133429076083"/>
          <c:y val="9.0331207537105523E-2"/>
          <c:w val="0.69786856831575295"/>
          <c:h val="0.48506223653861447"/>
        </c:manualLayout>
      </c:layout>
      <c:barChart>
        <c:barDir val="col"/>
        <c:grouping val="stacked"/>
        <c:varyColors val="0"/>
        <c:ser>
          <c:idx val="1"/>
          <c:order val="1"/>
          <c:tx>
            <c:strRef>
              <c:f>Sheet1!$C$1</c:f>
              <c:strCache>
                <c:ptCount val="1"/>
                <c:pt idx="0">
                  <c:v>ԿԲ միջամտություն, զուտ առք </c:v>
                </c:pt>
              </c:strCache>
            </c:strRef>
          </c:tx>
          <c:spPr>
            <a:solidFill>
              <a:srgbClr val="4472C4">
                <a:lumMod val="75000"/>
              </a:srgbClr>
            </a:solidFill>
            <a:ln>
              <a:solidFill>
                <a:srgbClr val="4472C4">
                  <a:lumMod val="75000"/>
                </a:srgbClr>
              </a:solidFill>
            </a:ln>
            <a:effectLst/>
          </c:spPr>
          <c:invertIfNegative val="0"/>
          <c:cat>
            <c:multiLvlStrRef>
              <c:f>Sheet1!$A$230:$B$313</c:f>
              <c:multiLvlStrCache>
                <c:ptCount val="44"/>
                <c:lvl>
                  <c:pt idx="1">
                    <c:v>2</c:v>
                  </c:pt>
                  <c:pt idx="3">
                    <c:v>4</c:v>
                  </c:pt>
                  <c:pt idx="5">
                    <c:v>6</c:v>
                  </c:pt>
                  <c:pt idx="7">
                    <c:v>8</c:v>
                  </c:pt>
                  <c:pt idx="9">
                    <c:v>10</c:v>
                  </c:pt>
                  <c:pt idx="11">
                    <c:v>12</c:v>
                  </c:pt>
                  <c:pt idx="13">
                    <c:v>2</c:v>
                  </c:pt>
                  <c:pt idx="15">
                    <c:v>4</c:v>
                  </c:pt>
                  <c:pt idx="17">
                    <c:v>6</c:v>
                  </c:pt>
                  <c:pt idx="19">
                    <c:v>8</c:v>
                  </c:pt>
                  <c:pt idx="21">
                    <c:v>10</c:v>
                  </c:pt>
                  <c:pt idx="23">
                    <c:v>12</c:v>
                  </c:pt>
                  <c:pt idx="25">
                    <c:v>2</c:v>
                  </c:pt>
                  <c:pt idx="27">
                    <c:v>4</c:v>
                  </c:pt>
                  <c:pt idx="29">
                    <c:v>6</c:v>
                  </c:pt>
                  <c:pt idx="31">
                    <c:v>8</c:v>
                  </c:pt>
                  <c:pt idx="33">
                    <c:v>10</c:v>
                  </c:pt>
                  <c:pt idx="35">
                    <c:v>12</c:v>
                  </c:pt>
                  <c:pt idx="37">
                    <c:v>2</c:v>
                  </c:pt>
                  <c:pt idx="39">
                    <c:v>4</c:v>
                  </c:pt>
                  <c:pt idx="41">
                    <c:v>6</c:v>
                  </c:pt>
                  <c:pt idx="43">
                    <c:v>8</c:v>
                  </c:pt>
                </c:lvl>
                <c:lvl>
                  <c:pt idx="0">
                    <c:v>2023</c:v>
                  </c:pt>
                  <c:pt idx="12">
                    <c:v>2024</c:v>
                  </c:pt>
                  <c:pt idx="24">
                    <c:v>2025</c:v>
                  </c:pt>
                  <c:pt idx="36">
                    <c:v>2026</c:v>
                  </c:pt>
                </c:lvl>
              </c:multiLvlStrCache>
            </c:multiLvlStrRef>
          </c:cat>
          <c:val>
            <c:numRef>
              <c:f>Sheet1!$C$230:$C$313</c:f>
              <c:numCache>
                <c:formatCode>0</c:formatCode>
                <c:ptCount val="44"/>
                <c:pt idx="0">
                  <c:v>0</c:v>
                </c:pt>
                <c:pt idx="1">
                  <c:v>40</c:v>
                </c:pt>
                <c:pt idx="2">
                  <c:v>151.30000000000001</c:v>
                </c:pt>
                <c:pt idx="3">
                  <c:v>181.6</c:v>
                </c:pt>
                <c:pt idx="4">
                  <c:v>209.5</c:v>
                </c:pt>
                <c:pt idx="5">
                  <c:v>198.8</c:v>
                </c:pt>
                <c:pt idx="6">
                  <c:v>230</c:v>
                </c:pt>
                <c:pt idx="7">
                  <c:v>165.3</c:v>
                </c:pt>
                <c:pt idx="8">
                  <c:v>20</c:v>
                </c:pt>
                <c:pt idx="9">
                  <c:v>-50</c:v>
                </c:pt>
                <c:pt idx="10">
                  <c:v>0</c:v>
                </c:pt>
                <c:pt idx="11">
                  <c:v>0</c:v>
                </c:pt>
                <c:pt idx="12">
                  <c:v>0</c:v>
                </c:pt>
                <c:pt idx="13">
                  <c:v>0</c:v>
                </c:pt>
                <c:pt idx="14">
                  <c:v>0</c:v>
                </c:pt>
                <c:pt idx="15">
                  <c:v>20</c:v>
                </c:pt>
                <c:pt idx="16">
                  <c:v>136.5</c:v>
                </c:pt>
                <c:pt idx="17">
                  <c:v>100</c:v>
                </c:pt>
                <c:pt idx="18">
                  <c:v>110</c:v>
                </c:pt>
                <c:pt idx="19">
                  <c:v>132.30000000000001</c:v>
                </c:pt>
                <c:pt idx="20">
                  <c:v>119</c:v>
                </c:pt>
                <c:pt idx="21">
                  <c:v>87.7</c:v>
                </c:pt>
                <c:pt idx="22">
                  <c:v>0</c:v>
                </c:pt>
                <c:pt idx="23">
                  <c:v>0</c:v>
                </c:pt>
                <c:pt idx="24">
                  <c:v>0</c:v>
                </c:pt>
                <c:pt idx="25">
                  <c:v>10</c:v>
                </c:pt>
                <c:pt idx="26">
                  <c:v>84</c:v>
                </c:pt>
                <c:pt idx="27">
                  <c:v>150</c:v>
                </c:pt>
                <c:pt idx="28">
                  <c:v>275.39999999999998</c:v>
                </c:pt>
                <c:pt idx="29">
                  <c:v>230</c:v>
                </c:pt>
                <c:pt idx="30">
                  <c:v>137.5</c:v>
                </c:pt>
                <c:pt idx="31">
                  <c:v>181.7</c:v>
                </c:pt>
                <c:pt idx="32">
                  <c:v>200</c:v>
                </c:pt>
                <c:pt idx="33">
                  <c:v>150</c:v>
                </c:pt>
                <c:pt idx="34">
                  <c:v>197.7</c:v>
                </c:pt>
                <c:pt idx="35">
                  <c:v>180</c:v>
                </c:pt>
                <c:pt idx="36">
                  <c:v>255.1</c:v>
                </c:pt>
                <c:pt idx="37">
                  <c:v>316.8</c:v>
                </c:pt>
                <c:pt idx="38">
                  <c:v>31.2</c:v>
                </c:pt>
                <c:pt idx="39">
                  <c:v>160</c:v>
                </c:pt>
                <c:pt idx="40">
                  <c:v>219.9</c:v>
                </c:pt>
                <c:pt idx="41">
                  <c:v>178.1</c:v>
                </c:pt>
                <c:pt idx="42">
                  <c:v>349</c:v>
                </c:pt>
                <c:pt idx="43">
                  <c:v>250</c:v>
                </c:pt>
              </c:numCache>
            </c:numRef>
          </c:val>
          <c:extLst>
            <c:ext xmlns:c16="http://schemas.microsoft.com/office/drawing/2014/chart" uri="{C3380CC4-5D6E-409C-BE32-E72D297353CC}">
              <c16:uniqueId val="{00000000-67C0-44DD-AB55-923835389CEA}"/>
            </c:ext>
          </c:extLst>
        </c:ser>
        <c:dLbls>
          <c:showLegendKey val="0"/>
          <c:showVal val="0"/>
          <c:showCatName val="0"/>
          <c:showSerName val="0"/>
          <c:showPercent val="0"/>
          <c:showBubbleSize val="0"/>
        </c:dLbls>
        <c:gapWidth val="150"/>
        <c:overlap val="100"/>
        <c:axId val="-676733648"/>
        <c:axId val="-676713520"/>
      </c:barChart>
      <c:lineChart>
        <c:grouping val="standard"/>
        <c:varyColors val="0"/>
        <c:ser>
          <c:idx val="0"/>
          <c:order val="0"/>
          <c:tx>
            <c:strRef>
              <c:f>Sheet1!$D$1</c:f>
              <c:strCache>
                <c:ptCount val="1"/>
                <c:pt idx="0">
                  <c:v>Դրամ/դոլար (աջ առանցք)</c:v>
                </c:pt>
              </c:strCache>
            </c:strRef>
          </c:tx>
          <c:spPr>
            <a:ln w="22225" cap="rnd">
              <a:solidFill>
                <a:sysClr val="windowText" lastClr="000000"/>
              </a:solidFill>
              <a:round/>
            </a:ln>
            <a:effectLst/>
          </c:spPr>
          <c:marker>
            <c:symbol val="none"/>
          </c:marker>
          <c:cat>
            <c:multiLvlStrRef>
              <c:f>Sheet1!$A$230:$B$289</c:f>
              <c:multiLvlStrCache>
                <c:ptCount val="24"/>
                <c:lvl>
                  <c:pt idx="1">
                    <c:v>2</c:v>
                  </c:pt>
                  <c:pt idx="3">
                    <c:v>4</c:v>
                  </c:pt>
                  <c:pt idx="5">
                    <c:v>6</c:v>
                  </c:pt>
                  <c:pt idx="7">
                    <c:v>8</c:v>
                  </c:pt>
                  <c:pt idx="9">
                    <c:v>10</c:v>
                  </c:pt>
                  <c:pt idx="11">
                    <c:v>12</c:v>
                  </c:pt>
                  <c:pt idx="13">
                    <c:v>2</c:v>
                  </c:pt>
                  <c:pt idx="15">
                    <c:v>4</c:v>
                  </c:pt>
                  <c:pt idx="17">
                    <c:v>6</c:v>
                  </c:pt>
                  <c:pt idx="19">
                    <c:v>8</c:v>
                  </c:pt>
                  <c:pt idx="21">
                    <c:v>10</c:v>
                  </c:pt>
                  <c:pt idx="23">
                    <c:v>12</c:v>
                  </c:pt>
                </c:lvl>
                <c:lvl>
                  <c:pt idx="0">
                    <c:v>2023</c:v>
                  </c:pt>
                  <c:pt idx="12">
                    <c:v>2024</c:v>
                  </c:pt>
                </c:lvl>
              </c:multiLvlStrCache>
            </c:multiLvlStrRef>
          </c:cat>
          <c:val>
            <c:numRef>
              <c:f>Sheet1!$D$230:$D$313</c:f>
              <c:numCache>
                <c:formatCode>0</c:formatCode>
                <c:ptCount val="44"/>
                <c:pt idx="0">
                  <c:v>395.89</c:v>
                </c:pt>
                <c:pt idx="1">
                  <c:v>393.45</c:v>
                </c:pt>
                <c:pt idx="2">
                  <c:v>388.44</c:v>
                </c:pt>
                <c:pt idx="3">
                  <c:v>387.74</c:v>
                </c:pt>
                <c:pt idx="4">
                  <c:v>386.56</c:v>
                </c:pt>
                <c:pt idx="5">
                  <c:v>386.67</c:v>
                </c:pt>
                <c:pt idx="6">
                  <c:v>386.54</c:v>
                </c:pt>
                <c:pt idx="7">
                  <c:v>386.17</c:v>
                </c:pt>
                <c:pt idx="8">
                  <c:v>386.94</c:v>
                </c:pt>
                <c:pt idx="9">
                  <c:v>404.33</c:v>
                </c:pt>
                <c:pt idx="10">
                  <c:v>402.52</c:v>
                </c:pt>
                <c:pt idx="11">
                  <c:v>404.47</c:v>
                </c:pt>
                <c:pt idx="12">
                  <c:v>404.96</c:v>
                </c:pt>
                <c:pt idx="13">
                  <c:v>404.27</c:v>
                </c:pt>
                <c:pt idx="14">
                  <c:v>400.42</c:v>
                </c:pt>
                <c:pt idx="15">
                  <c:v>390.99</c:v>
                </c:pt>
                <c:pt idx="16">
                  <c:v>387.82</c:v>
                </c:pt>
                <c:pt idx="17">
                  <c:v>388.06</c:v>
                </c:pt>
                <c:pt idx="18">
                  <c:v>388.07</c:v>
                </c:pt>
                <c:pt idx="19">
                  <c:v>388.08</c:v>
                </c:pt>
                <c:pt idx="20">
                  <c:v>387.37</c:v>
                </c:pt>
                <c:pt idx="21">
                  <c:v>387.2</c:v>
                </c:pt>
                <c:pt idx="22">
                  <c:v>388.97</c:v>
                </c:pt>
                <c:pt idx="23">
                  <c:v>396.55</c:v>
                </c:pt>
                <c:pt idx="24">
                  <c:v>397.89</c:v>
                </c:pt>
                <c:pt idx="25">
                  <c:v>395.6</c:v>
                </c:pt>
                <c:pt idx="26">
                  <c:v>392.78</c:v>
                </c:pt>
                <c:pt idx="27">
                  <c:v>390.71</c:v>
                </c:pt>
                <c:pt idx="28">
                  <c:v>386.63</c:v>
                </c:pt>
                <c:pt idx="29">
                  <c:v>384.22</c:v>
                </c:pt>
                <c:pt idx="30">
                  <c:v>384.07</c:v>
                </c:pt>
                <c:pt idx="31">
                  <c:v>383.19</c:v>
                </c:pt>
                <c:pt idx="32">
                  <c:v>382.83</c:v>
                </c:pt>
                <c:pt idx="33">
                  <c:v>382.71</c:v>
                </c:pt>
                <c:pt idx="34">
                  <c:v>381.99</c:v>
                </c:pt>
                <c:pt idx="35">
                  <c:v>381.51</c:v>
                </c:pt>
                <c:pt idx="36">
                  <c:v>379.98</c:v>
                </c:pt>
                <c:pt idx="37">
                  <c:v>377.55</c:v>
                </c:pt>
                <c:pt idx="38">
                  <c:v>377.36</c:v>
                </c:pt>
                <c:pt idx="39">
                  <c:v>374.23</c:v>
                </c:pt>
                <c:pt idx="40">
                  <c:v>368.55</c:v>
                </c:pt>
                <c:pt idx="41">
                  <c:v>368.26</c:v>
                </c:pt>
                <c:pt idx="42">
                  <c:v>366.89</c:v>
                </c:pt>
                <c:pt idx="43">
                  <c:v>365.47714285714289</c:v>
                </c:pt>
              </c:numCache>
            </c:numRef>
          </c:val>
          <c:smooth val="0"/>
          <c:extLst>
            <c:ext xmlns:c16="http://schemas.microsoft.com/office/drawing/2014/chart" uri="{C3380CC4-5D6E-409C-BE32-E72D297353CC}">
              <c16:uniqueId val="{00000001-67C0-44DD-AB55-923835389CEA}"/>
            </c:ext>
          </c:extLst>
        </c:ser>
        <c:dLbls>
          <c:showLegendKey val="0"/>
          <c:showVal val="0"/>
          <c:showCatName val="0"/>
          <c:showSerName val="0"/>
          <c:showPercent val="0"/>
          <c:showBubbleSize val="0"/>
        </c:dLbls>
        <c:marker val="1"/>
        <c:smooth val="0"/>
        <c:axId val="-676705904"/>
        <c:axId val="-676728752"/>
      </c:lineChart>
      <c:catAx>
        <c:axId val="-676733648"/>
        <c:scaling>
          <c:orientation val="minMax"/>
        </c:scaling>
        <c:delete val="0"/>
        <c:axPos val="b"/>
        <c:numFmt formatCode="General" sourceLinked="1"/>
        <c:majorTickMark val="none"/>
        <c:minorTickMark val="none"/>
        <c:tickLblPos val="low"/>
        <c:spPr>
          <a:noFill/>
          <a:ln w="9525" cap="flat" cmpd="sng" algn="ctr">
            <a:solidFill>
              <a:sysClr val="window" lastClr="FFFFFF">
                <a:lumMod val="85000"/>
              </a:sysClr>
            </a:solidFill>
            <a:prstDash val="solid"/>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13520"/>
        <c:crosses val="autoZero"/>
        <c:auto val="0"/>
        <c:lblAlgn val="ctr"/>
        <c:lblOffset val="100"/>
        <c:tickLblSkip val="4"/>
        <c:noMultiLvlLbl val="0"/>
      </c:catAx>
      <c:valAx>
        <c:axId val="-676713520"/>
        <c:scaling>
          <c:orientation val="minMax"/>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33648"/>
        <c:crossesAt val="1"/>
        <c:crossBetween val="between"/>
      </c:valAx>
      <c:valAx>
        <c:axId val="-676728752"/>
        <c:scaling>
          <c:orientation val="minMax"/>
        </c:scaling>
        <c:delete val="0"/>
        <c:axPos val="r"/>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05904"/>
        <c:crosses val="max"/>
        <c:crossBetween val="between"/>
      </c:valAx>
      <c:catAx>
        <c:axId val="-676705904"/>
        <c:scaling>
          <c:orientation val="minMax"/>
        </c:scaling>
        <c:delete val="1"/>
        <c:axPos val="b"/>
        <c:numFmt formatCode="General" sourceLinked="1"/>
        <c:majorTickMark val="out"/>
        <c:minorTickMark val="none"/>
        <c:tickLblPos val="nextTo"/>
        <c:crossAx val="-676728752"/>
        <c:crosses val="autoZero"/>
        <c:auto val="1"/>
        <c:lblAlgn val="ctr"/>
        <c:lblOffset val="100"/>
        <c:noMultiLvlLbl val="0"/>
      </c:catAx>
      <c:spPr>
        <a:noFill/>
        <a:ln>
          <a:noFill/>
        </a:ln>
        <a:effectLst/>
      </c:spPr>
    </c:plotArea>
    <c:legend>
      <c:legendPos val="b"/>
      <c:layout>
        <c:manualLayout>
          <c:xMode val="edge"/>
          <c:yMode val="edge"/>
          <c:x val="0"/>
          <c:y val="0.8448306887775392"/>
          <c:w val="0.96205537784339445"/>
          <c:h val="0.11658031460157768"/>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3175" cap="flat" cmpd="sng" algn="ctr">
      <a:no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609302215601429"/>
          <c:y val="9.6303040244969385E-2"/>
          <c:w val="0.76836518482064742"/>
          <c:h val="0.56178805774278218"/>
        </c:manualLayout>
      </c:layout>
      <c:lineChart>
        <c:grouping val="standard"/>
        <c:varyColors val="0"/>
        <c:ser>
          <c:idx val="0"/>
          <c:order val="0"/>
          <c:tx>
            <c:strRef>
              <c:f>Sheet1!$C$1</c:f>
              <c:strCache>
                <c:ptCount val="1"/>
                <c:pt idx="0">
                  <c:v>Դոլար</c:v>
                </c:pt>
              </c:strCache>
            </c:strRef>
          </c:tx>
          <c:spPr>
            <a:ln w="28575" cap="rnd">
              <a:solidFill>
                <a:schemeClr val="accent1">
                  <a:lumMod val="75000"/>
                </a:schemeClr>
              </a:solidFill>
              <a:round/>
            </a:ln>
            <a:effectLst/>
          </c:spPr>
          <c:marker>
            <c:symbol val="none"/>
          </c:marker>
          <c:cat>
            <c:multiLvlStrRef>
              <c:f>Sheet1!$A$2:$B$49</c:f>
              <c:multiLvlStrCache>
                <c:ptCount val="44"/>
                <c:lvl>
                  <c:pt idx="1">
                    <c:v>2</c:v>
                  </c:pt>
                  <c:pt idx="3">
                    <c:v>4</c:v>
                  </c:pt>
                  <c:pt idx="5">
                    <c:v>6</c:v>
                  </c:pt>
                  <c:pt idx="7">
                    <c:v>8</c:v>
                  </c:pt>
                  <c:pt idx="9">
                    <c:v>10</c:v>
                  </c:pt>
                  <c:pt idx="11">
                    <c:v>12</c:v>
                  </c:pt>
                  <c:pt idx="13">
                    <c:v>2</c:v>
                  </c:pt>
                  <c:pt idx="15">
                    <c:v>4</c:v>
                  </c:pt>
                  <c:pt idx="17">
                    <c:v>6</c:v>
                  </c:pt>
                  <c:pt idx="19">
                    <c:v>8</c:v>
                  </c:pt>
                  <c:pt idx="21">
                    <c:v>10</c:v>
                  </c:pt>
                  <c:pt idx="23">
                    <c:v>12</c:v>
                  </c:pt>
                  <c:pt idx="25">
                    <c:v>2</c:v>
                  </c:pt>
                  <c:pt idx="27">
                    <c:v>4</c:v>
                  </c:pt>
                  <c:pt idx="29">
                    <c:v>6</c:v>
                  </c:pt>
                  <c:pt idx="31">
                    <c:v>8</c:v>
                  </c:pt>
                  <c:pt idx="33">
                    <c:v>10</c:v>
                  </c:pt>
                  <c:pt idx="35">
                    <c:v>12</c:v>
                  </c:pt>
                  <c:pt idx="37">
                    <c:v>2</c:v>
                  </c:pt>
                  <c:pt idx="39">
                    <c:v>4</c:v>
                  </c:pt>
                  <c:pt idx="41">
                    <c:v>6</c:v>
                  </c:pt>
                  <c:pt idx="43">
                    <c:v>8</c:v>
                  </c:pt>
                </c:lvl>
                <c:lvl>
                  <c:pt idx="0">
                    <c:v>2023</c:v>
                  </c:pt>
                  <c:pt idx="12">
                    <c:v>2024</c:v>
                  </c:pt>
                  <c:pt idx="24">
                    <c:v>2025</c:v>
                  </c:pt>
                  <c:pt idx="36">
                    <c:v>2026</c:v>
                  </c:pt>
                </c:lvl>
              </c:multiLvlStrCache>
            </c:multiLvlStrRef>
          </c:cat>
          <c:val>
            <c:numRef>
              <c:f>Sheet1!$C$2:$C$49</c:f>
              <c:numCache>
                <c:formatCode>0</c:formatCode>
                <c:ptCount val="44"/>
                <c:pt idx="0">
                  <c:v>100</c:v>
                </c:pt>
                <c:pt idx="1">
                  <c:v>100.62015503875969</c:v>
                </c:pt>
                <c:pt idx="2">
                  <c:v>101.9179281227474</c:v>
                </c:pt>
                <c:pt idx="3">
                  <c:v>102.10192396967039</c:v>
                </c:pt>
                <c:pt idx="4">
                  <c:v>102.41359685430463</c:v>
                </c:pt>
                <c:pt idx="5">
                  <c:v>102.38446220291203</c:v>
                </c:pt>
                <c:pt idx="6">
                  <c:v>102.41889584519066</c:v>
                </c:pt>
                <c:pt idx="7">
                  <c:v>102.5170261801797</c:v>
                </c:pt>
                <c:pt idx="8">
                  <c:v>102.31302010647644</c:v>
                </c:pt>
                <c:pt idx="9">
                  <c:v>97.912596146711834</c:v>
                </c:pt>
                <c:pt idx="10">
                  <c:v>98.352876875683179</c:v>
                </c:pt>
                <c:pt idx="11">
                  <c:v>97.878705466412811</c:v>
                </c:pt>
                <c:pt idx="12">
                  <c:v>97.760272619517963</c:v>
                </c:pt>
                <c:pt idx="13">
                  <c:v>97.927127909565371</c:v>
                </c:pt>
                <c:pt idx="14">
                  <c:v>98.868687877728348</c:v>
                </c:pt>
                <c:pt idx="15">
                  <c:v>101.25322898283839</c:v>
                </c:pt>
                <c:pt idx="16">
                  <c:v>102.0808622556856</c:v>
                </c:pt>
                <c:pt idx="17">
                  <c:v>102.01772921713135</c:v>
                </c:pt>
                <c:pt idx="18">
                  <c:v>102.0151003684902</c:v>
                </c:pt>
                <c:pt idx="19">
                  <c:v>102.01247165532877</c:v>
                </c:pt>
                <c:pt idx="20">
                  <c:v>102.19944755659961</c:v>
                </c:pt>
                <c:pt idx="21">
                  <c:v>102.24431818181817</c:v>
                </c:pt>
                <c:pt idx="22">
                  <c:v>101.779057510862</c:v>
                </c:pt>
                <c:pt idx="23">
                  <c:v>99.833564493758658</c:v>
                </c:pt>
                <c:pt idx="24">
                  <c:v>99.497348513408227</c:v>
                </c:pt>
                <c:pt idx="25">
                  <c:v>100.07330637007077</c:v>
                </c:pt>
                <c:pt idx="26">
                  <c:v>100.79179184276184</c:v>
                </c:pt>
                <c:pt idx="27">
                  <c:v>101.3257915077679</c:v>
                </c:pt>
                <c:pt idx="28">
                  <c:v>102.39505470346325</c:v>
                </c:pt>
                <c:pt idx="29">
                  <c:v>103.03732236739367</c:v>
                </c:pt>
                <c:pt idx="30">
                  <c:v>103.07756398573176</c:v>
                </c:pt>
                <c:pt idx="31">
                  <c:v>103.31428273180406</c:v>
                </c:pt>
                <c:pt idx="32">
                  <c:v>103.41143588537992</c:v>
                </c:pt>
                <c:pt idx="33">
                  <c:v>103.44386088683336</c:v>
                </c:pt>
                <c:pt idx="34">
                  <c:v>103.63883871305529</c:v>
                </c:pt>
                <c:pt idx="35">
                  <c:v>103.7692327855102</c:v>
                </c:pt>
                <c:pt idx="36">
                  <c:v>104.18706247697246</c:v>
                </c:pt>
                <c:pt idx="37">
                  <c:v>104.85763475036418</c:v>
                </c:pt>
                <c:pt idx="38">
                  <c:v>104.91043035827857</c:v>
                </c:pt>
                <c:pt idx="39">
                  <c:v>105.78788445608316</c:v>
                </c:pt>
                <c:pt idx="40">
                  <c:v>107.41826075159408</c:v>
                </c:pt>
                <c:pt idx="41">
                  <c:v>107.50285124640199</c:v>
                </c:pt>
                <c:pt idx="42">
                  <c:v>107.90427648614023</c:v>
                </c:pt>
                <c:pt idx="43">
                  <c:v>108.32141154029563</c:v>
                </c:pt>
              </c:numCache>
            </c:numRef>
          </c:val>
          <c:smooth val="0"/>
          <c:extLst>
            <c:ext xmlns:c16="http://schemas.microsoft.com/office/drawing/2014/chart" uri="{C3380CC4-5D6E-409C-BE32-E72D297353CC}">
              <c16:uniqueId val="{00000000-5B2F-48F7-8FB6-34B928FD8C67}"/>
            </c:ext>
          </c:extLst>
        </c:ser>
        <c:ser>
          <c:idx val="1"/>
          <c:order val="1"/>
          <c:tx>
            <c:strRef>
              <c:f>Sheet1!$E$1</c:f>
              <c:strCache>
                <c:ptCount val="1"/>
                <c:pt idx="0">
                  <c:v>Ռուբլի</c:v>
                </c:pt>
              </c:strCache>
            </c:strRef>
          </c:tx>
          <c:spPr>
            <a:ln w="28575" cap="rnd">
              <a:solidFill>
                <a:schemeClr val="accent2">
                  <a:lumMod val="60000"/>
                  <a:lumOff val="40000"/>
                </a:schemeClr>
              </a:solidFill>
              <a:round/>
            </a:ln>
            <a:effectLst/>
          </c:spPr>
          <c:marker>
            <c:symbol val="none"/>
          </c:marker>
          <c:cat>
            <c:multiLvlStrRef>
              <c:f>Sheet1!$A$2:$B$49</c:f>
              <c:multiLvlStrCache>
                <c:ptCount val="44"/>
                <c:lvl>
                  <c:pt idx="1">
                    <c:v>2</c:v>
                  </c:pt>
                  <c:pt idx="3">
                    <c:v>4</c:v>
                  </c:pt>
                  <c:pt idx="5">
                    <c:v>6</c:v>
                  </c:pt>
                  <c:pt idx="7">
                    <c:v>8</c:v>
                  </c:pt>
                  <c:pt idx="9">
                    <c:v>10</c:v>
                  </c:pt>
                  <c:pt idx="11">
                    <c:v>12</c:v>
                  </c:pt>
                  <c:pt idx="13">
                    <c:v>2</c:v>
                  </c:pt>
                  <c:pt idx="15">
                    <c:v>4</c:v>
                  </c:pt>
                  <c:pt idx="17">
                    <c:v>6</c:v>
                  </c:pt>
                  <c:pt idx="19">
                    <c:v>8</c:v>
                  </c:pt>
                  <c:pt idx="21">
                    <c:v>10</c:v>
                  </c:pt>
                  <c:pt idx="23">
                    <c:v>12</c:v>
                  </c:pt>
                  <c:pt idx="25">
                    <c:v>2</c:v>
                  </c:pt>
                  <c:pt idx="27">
                    <c:v>4</c:v>
                  </c:pt>
                  <c:pt idx="29">
                    <c:v>6</c:v>
                  </c:pt>
                  <c:pt idx="31">
                    <c:v>8</c:v>
                  </c:pt>
                  <c:pt idx="33">
                    <c:v>10</c:v>
                  </c:pt>
                  <c:pt idx="35">
                    <c:v>12</c:v>
                  </c:pt>
                  <c:pt idx="37">
                    <c:v>2</c:v>
                  </c:pt>
                  <c:pt idx="39">
                    <c:v>4</c:v>
                  </c:pt>
                  <c:pt idx="41">
                    <c:v>6</c:v>
                  </c:pt>
                  <c:pt idx="43">
                    <c:v>8</c:v>
                  </c:pt>
                </c:lvl>
                <c:lvl>
                  <c:pt idx="0">
                    <c:v>2023</c:v>
                  </c:pt>
                  <c:pt idx="12">
                    <c:v>2024</c:v>
                  </c:pt>
                  <c:pt idx="24">
                    <c:v>2025</c:v>
                  </c:pt>
                  <c:pt idx="36">
                    <c:v>2026</c:v>
                  </c:pt>
                </c:lvl>
              </c:multiLvlStrCache>
            </c:multiLvlStrRef>
          </c:cat>
          <c:val>
            <c:numRef>
              <c:f>Sheet1!$E$2:$E$49</c:f>
              <c:numCache>
                <c:formatCode>0</c:formatCode>
                <c:ptCount val="44"/>
                <c:pt idx="0">
                  <c:v>100</c:v>
                </c:pt>
                <c:pt idx="1">
                  <c:v>106.33147113594042</c:v>
                </c:pt>
                <c:pt idx="2">
                  <c:v>111.9607843137255</c:v>
                </c:pt>
                <c:pt idx="3">
                  <c:v>119.45606694560669</c:v>
                </c:pt>
                <c:pt idx="4">
                  <c:v>117.00819672131148</c:v>
                </c:pt>
                <c:pt idx="5">
                  <c:v>123.32613390928726</c:v>
                </c:pt>
                <c:pt idx="6">
                  <c:v>133.72365339578457</c:v>
                </c:pt>
                <c:pt idx="7">
                  <c:v>141.33663366336634</c:v>
                </c:pt>
                <c:pt idx="8">
                  <c:v>142.75</c:v>
                </c:pt>
                <c:pt idx="9">
                  <c:v>136.60287081339715</c:v>
                </c:pt>
                <c:pt idx="10">
                  <c:v>128.02690582959642</c:v>
                </c:pt>
                <c:pt idx="11">
                  <c:v>128.31460674157302</c:v>
                </c:pt>
                <c:pt idx="12">
                  <c:v>125.77092511013215</c:v>
                </c:pt>
                <c:pt idx="13">
                  <c:v>129.4784580498866</c:v>
                </c:pt>
                <c:pt idx="14">
                  <c:v>130.96330275229354</c:v>
                </c:pt>
                <c:pt idx="15">
                  <c:v>135.95238095238093</c:v>
                </c:pt>
                <c:pt idx="16">
                  <c:v>133.72365339578454</c:v>
                </c:pt>
                <c:pt idx="17">
                  <c:v>129.18552036199094</c:v>
                </c:pt>
                <c:pt idx="18">
                  <c:v>128.60360360360357</c:v>
                </c:pt>
                <c:pt idx="19">
                  <c:v>130.36529680365294</c:v>
                </c:pt>
                <c:pt idx="20">
                  <c:v>134.66981132075469</c:v>
                </c:pt>
                <c:pt idx="21">
                  <c:v>142.03980099502485</c:v>
                </c:pt>
                <c:pt idx="22">
                  <c:v>148.31168831168827</c:v>
                </c:pt>
                <c:pt idx="23">
                  <c:v>147.92746113989634</c:v>
                </c:pt>
                <c:pt idx="24">
                  <c:v>145.66326530612241</c:v>
                </c:pt>
                <c:pt idx="25">
                  <c:v>132.79069767441857</c:v>
                </c:pt>
                <c:pt idx="26">
                  <c:v>124.67248908296939</c:v>
                </c:pt>
                <c:pt idx="27">
                  <c:v>121.48936170212761</c:v>
                </c:pt>
                <c:pt idx="28">
                  <c:v>118.9583333333333</c:v>
                </c:pt>
                <c:pt idx="29">
                  <c:v>117.00819672131144</c:v>
                </c:pt>
                <c:pt idx="30">
                  <c:v>117.2484599589322</c:v>
                </c:pt>
                <c:pt idx="31">
                  <c:v>119.45606694560666</c:v>
                </c:pt>
                <c:pt idx="32">
                  <c:v>123.59307359307356</c:v>
                </c:pt>
                <c:pt idx="33">
                  <c:v>120.71881606765324</c:v>
                </c:pt>
                <c:pt idx="34">
                  <c:v>119.95798319327729</c:v>
                </c:pt>
                <c:pt idx="35">
                  <c:v>117.2484599589322</c:v>
                </c:pt>
                <c:pt idx="36">
                  <c:v>117.2484599589322</c:v>
                </c:pt>
                <c:pt idx="37">
                  <c:v>116.29327902240323</c:v>
                </c:pt>
                <c:pt idx="38">
                  <c:v>121.74840085287842</c:v>
                </c:pt>
                <c:pt idx="39">
                  <c:v>117.2484599589322</c:v>
                </c:pt>
                <c:pt idx="40">
                  <c:v>112.84584980237152</c:v>
                </c:pt>
                <c:pt idx="41">
                  <c:v>114.65863453815255</c:v>
                </c:pt>
                <c:pt idx="42">
                  <c:v>121.48936170212761</c:v>
                </c:pt>
                <c:pt idx="43">
                  <c:v>130.51783722006033</c:v>
                </c:pt>
              </c:numCache>
            </c:numRef>
          </c:val>
          <c:smooth val="0"/>
          <c:extLst>
            <c:ext xmlns:c16="http://schemas.microsoft.com/office/drawing/2014/chart" uri="{C3380CC4-5D6E-409C-BE32-E72D297353CC}">
              <c16:uniqueId val="{00000001-5B2F-48F7-8FB6-34B928FD8C67}"/>
            </c:ext>
          </c:extLst>
        </c:ser>
        <c:ser>
          <c:idx val="2"/>
          <c:order val="2"/>
          <c:tx>
            <c:strRef>
              <c:f>Sheet1!$D$1</c:f>
              <c:strCache>
                <c:ptCount val="1"/>
                <c:pt idx="0">
                  <c:v>Եվրո</c:v>
                </c:pt>
              </c:strCache>
            </c:strRef>
          </c:tx>
          <c:spPr>
            <a:ln w="28575" cap="rnd">
              <a:solidFill>
                <a:schemeClr val="accent3"/>
              </a:solidFill>
              <a:round/>
            </a:ln>
            <a:effectLst/>
          </c:spPr>
          <c:marker>
            <c:symbol val="none"/>
          </c:marker>
          <c:cat>
            <c:multiLvlStrRef>
              <c:f>Sheet1!$A$2:$B$49</c:f>
              <c:multiLvlStrCache>
                <c:ptCount val="44"/>
                <c:lvl>
                  <c:pt idx="1">
                    <c:v>2</c:v>
                  </c:pt>
                  <c:pt idx="3">
                    <c:v>4</c:v>
                  </c:pt>
                  <c:pt idx="5">
                    <c:v>6</c:v>
                  </c:pt>
                  <c:pt idx="7">
                    <c:v>8</c:v>
                  </c:pt>
                  <c:pt idx="9">
                    <c:v>10</c:v>
                  </c:pt>
                  <c:pt idx="11">
                    <c:v>12</c:v>
                  </c:pt>
                  <c:pt idx="13">
                    <c:v>2</c:v>
                  </c:pt>
                  <c:pt idx="15">
                    <c:v>4</c:v>
                  </c:pt>
                  <c:pt idx="17">
                    <c:v>6</c:v>
                  </c:pt>
                  <c:pt idx="19">
                    <c:v>8</c:v>
                  </c:pt>
                  <c:pt idx="21">
                    <c:v>10</c:v>
                  </c:pt>
                  <c:pt idx="23">
                    <c:v>12</c:v>
                  </c:pt>
                  <c:pt idx="25">
                    <c:v>2</c:v>
                  </c:pt>
                  <c:pt idx="27">
                    <c:v>4</c:v>
                  </c:pt>
                  <c:pt idx="29">
                    <c:v>6</c:v>
                  </c:pt>
                  <c:pt idx="31">
                    <c:v>8</c:v>
                  </c:pt>
                  <c:pt idx="33">
                    <c:v>10</c:v>
                  </c:pt>
                  <c:pt idx="35">
                    <c:v>12</c:v>
                  </c:pt>
                  <c:pt idx="37">
                    <c:v>2</c:v>
                  </c:pt>
                  <c:pt idx="39">
                    <c:v>4</c:v>
                  </c:pt>
                  <c:pt idx="41">
                    <c:v>6</c:v>
                  </c:pt>
                  <c:pt idx="43">
                    <c:v>8</c:v>
                  </c:pt>
                </c:lvl>
                <c:lvl>
                  <c:pt idx="0">
                    <c:v>2023</c:v>
                  </c:pt>
                  <c:pt idx="12">
                    <c:v>2024</c:v>
                  </c:pt>
                  <c:pt idx="24">
                    <c:v>2025</c:v>
                  </c:pt>
                  <c:pt idx="36">
                    <c:v>2026</c:v>
                  </c:pt>
                </c:lvl>
              </c:multiLvlStrCache>
            </c:multiLvlStrRef>
          </c:cat>
          <c:val>
            <c:numRef>
              <c:f>Sheet1!$D$2:$D$49</c:f>
              <c:numCache>
                <c:formatCode>0</c:formatCode>
                <c:ptCount val="44"/>
                <c:pt idx="0">
                  <c:v>100</c:v>
                </c:pt>
                <c:pt idx="1">
                  <c:v>101.32802124833998</c:v>
                </c:pt>
                <c:pt idx="2">
                  <c:v>102.69179004037686</c:v>
                </c:pt>
                <c:pt idx="3">
                  <c:v>100.5151850196429</c:v>
                </c:pt>
                <c:pt idx="4">
                  <c:v>101.7818008575512</c:v>
                </c:pt>
                <c:pt idx="5">
                  <c:v>101.94450409180922</c:v>
                </c:pt>
                <c:pt idx="6">
                  <c:v>99.876113227834779</c:v>
                </c:pt>
                <c:pt idx="7">
                  <c:v>101.41941609304531</c:v>
                </c:pt>
                <c:pt idx="8">
                  <c:v>103.32503083210406</c:v>
                </c:pt>
                <c:pt idx="9">
                  <c:v>100.06323036931217</c:v>
                </c:pt>
                <c:pt idx="10">
                  <c:v>98.25239146431197</c:v>
                </c:pt>
                <c:pt idx="11">
                  <c:v>96.779161947904839</c:v>
                </c:pt>
                <c:pt idx="12">
                  <c:v>96.803280545549256</c:v>
                </c:pt>
                <c:pt idx="13">
                  <c:v>97.941594462018045</c:v>
                </c:pt>
                <c:pt idx="14">
                  <c:v>98.202712020225206</c:v>
                </c:pt>
                <c:pt idx="15">
                  <c:v>101.82546113149991</c:v>
                </c:pt>
                <c:pt idx="16">
                  <c:v>101.8885921404044</c:v>
                </c:pt>
                <c:pt idx="17">
                  <c:v>102.32780917712422</c:v>
                </c:pt>
                <c:pt idx="18">
                  <c:v>101.52062345561679</c:v>
                </c:pt>
                <c:pt idx="19">
                  <c:v>99.990639333520534</c:v>
                </c:pt>
                <c:pt idx="20">
                  <c:v>99.302779585386247</c:v>
                </c:pt>
                <c:pt idx="21">
                  <c:v>101.18165241895379</c:v>
                </c:pt>
                <c:pt idx="22">
                  <c:v>103.37252624957662</c:v>
                </c:pt>
                <c:pt idx="23">
                  <c:v>102.88466169034433</c:v>
                </c:pt>
                <c:pt idx="24">
                  <c:v>103.74399067644346</c:v>
                </c:pt>
                <c:pt idx="25">
                  <c:v>103.7288793940571</c:v>
                </c:pt>
                <c:pt idx="26">
                  <c:v>100.6501460473005</c:v>
                </c:pt>
                <c:pt idx="27">
                  <c:v>97.450166491812269</c:v>
                </c:pt>
                <c:pt idx="28">
                  <c:v>97.982021647404167</c:v>
                </c:pt>
                <c:pt idx="29">
                  <c:v>96.549542424584814</c:v>
                </c:pt>
                <c:pt idx="30">
                  <c:v>95.228331364639303</c:v>
                </c:pt>
                <c:pt idx="31">
                  <c:v>95.845670704351733</c:v>
                </c:pt>
                <c:pt idx="32">
                  <c:v>95.126566778725206</c:v>
                </c:pt>
                <c:pt idx="33">
                  <c:v>95.93605460505637</c:v>
                </c:pt>
                <c:pt idx="34">
                  <c:v>96.812053925455999</c:v>
                </c:pt>
                <c:pt idx="35">
                  <c:v>95.624734238972337</c:v>
                </c:pt>
                <c:pt idx="36">
                  <c:v>95.98131051059147</c:v>
                </c:pt>
                <c:pt idx="37">
                  <c:v>95.697552016842494</c:v>
                </c:pt>
                <c:pt idx="38">
                  <c:v>97.984268580732461</c:v>
                </c:pt>
                <c:pt idx="39">
                  <c:v>97.628295937485731</c:v>
                </c:pt>
                <c:pt idx="40">
                  <c:v>99.279706306055132</c:v>
                </c:pt>
                <c:pt idx="41">
                  <c:v>100.72607260726075</c:v>
                </c:pt>
                <c:pt idx="42">
                  <c:v>101.98100147978425</c:v>
                </c:pt>
                <c:pt idx="43">
                  <c:v>100.86432201475048</c:v>
                </c:pt>
              </c:numCache>
            </c:numRef>
          </c:val>
          <c:smooth val="0"/>
          <c:extLst>
            <c:ext xmlns:c16="http://schemas.microsoft.com/office/drawing/2014/chart" uri="{C3380CC4-5D6E-409C-BE32-E72D297353CC}">
              <c16:uniqueId val="{00000002-5B2F-48F7-8FB6-34B928FD8C67}"/>
            </c:ext>
          </c:extLst>
        </c:ser>
        <c:dLbls>
          <c:showLegendKey val="0"/>
          <c:showVal val="0"/>
          <c:showCatName val="0"/>
          <c:showSerName val="0"/>
          <c:showPercent val="0"/>
          <c:showBubbleSize val="0"/>
        </c:dLbls>
        <c:smooth val="0"/>
        <c:axId val="-676723312"/>
        <c:axId val="-676714064"/>
      </c:lineChart>
      <c:catAx>
        <c:axId val="-67672331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14064"/>
        <c:crosses val="autoZero"/>
        <c:auto val="1"/>
        <c:lblAlgn val="ctr"/>
        <c:lblOffset val="100"/>
        <c:tickLblSkip val="1"/>
        <c:noMultiLvlLbl val="0"/>
      </c:catAx>
      <c:valAx>
        <c:axId val="-676714064"/>
        <c:scaling>
          <c:orientation val="minMax"/>
          <c:min val="70"/>
        </c:scaling>
        <c:delete val="0"/>
        <c:axPos val="l"/>
        <c:title>
          <c:tx>
            <c:rich>
              <a:bodyPr rot="-5400000" spcFirstLastPara="1" vertOverflow="ellipsis" vert="horz" wrap="square" anchor="ctr" anchorCtr="1"/>
              <a:lstStyle/>
              <a:p>
                <a:pPr>
                  <a:defRPr sz="800" b="0" i="0" u="none" strike="noStrike" kern="1200" baseline="0">
                    <a:solidFill>
                      <a:schemeClr val="tx1">
                        <a:lumMod val="50000"/>
                        <a:lumOff val="50000"/>
                      </a:schemeClr>
                    </a:solidFill>
                    <a:latin typeface="Calibri" panose="020F0502020204030204" pitchFamily="34" charset="0"/>
                    <a:ea typeface="Calibri" panose="020F0502020204030204" pitchFamily="34" charset="0"/>
                    <a:cs typeface="Calibri" panose="020F0502020204030204" pitchFamily="34" charset="0"/>
                  </a:defRPr>
                </a:pPr>
                <a:r>
                  <a:rPr lang="hy-AM">
                    <a:solidFill>
                      <a:schemeClr val="tx1">
                        <a:lumMod val="50000"/>
                        <a:lumOff val="50000"/>
                      </a:schemeClr>
                    </a:solidFill>
                  </a:rPr>
                  <a:t>Ինդեքս, 2023թ. հունվար </a:t>
                </a:r>
                <a:r>
                  <a:rPr lang="en-US">
                    <a:solidFill>
                      <a:schemeClr val="tx1">
                        <a:lumMod val="50000"/>
                        <a:lumOff val="50000"/>
                      </a:schemeClr>
                    </a:solidFill>
                  </a:rPr>
                  <a:t>=</a:t>
                </a:r>
                <a:r>
                  <a:rPr lang="hy-AM">
                    <a:solidFill>
                      <a:schemeClr val="tx1">
                        <a:lumMod val="50000"/>
                        <a:lumOff val="50000"/>
                      </a:schemeClr>
                    </a:solidFill>
                  </a:rPr>
                  <a:t>100</a:t>
                </a:r>
                <a:endParaRPr lang="en-US">
                  <a:solidFill>
                    <a:schemeClr val="tx1">
                      <a:lumMod val="50000"/>
                      <a:lumOff val="50000"/>
                    </a:schemeClr>
                  </a:solidFill>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50000"/>
                      <a:lumOff val="50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23312"/>
        <c:crosses val="autoZero"/>
        <c:crossBetween val="between"/>
      </c:valAx>
      <c:spPr>
        <a:noFill/>
        <a:ln>
          <a:noFill/>
        </a:ln>
        <a:effectLst/>
      </c:spPr>
    </c:plotArea>
    <c:legend>
      <c:legendPos val="b"/>
      <c:overlay val="0"/>
      <c:spPr>
        <a:noFill/>
        <a:ln w="3175">
          <a:noFill/>
        </a:ln>
        <a:effectLst/>
      </c:spPr>
      <c:txPr>
        <a:bodyPr rot="0" spcFirstLastPara="1" vertOverflow="ellipsis" vert="horz" wrap="square" anchor="ctr" anchorCtr="1"/>
        <a:lstStyle/>
        <a:p>
          <a:pPr>
            <a:defRPr sz="800" b="0" i="0" u="none" strike="noStrike" kern="1200" baseline="0">
              <a:solidFill>
                <a:schemeClr val="tx1">
                  <a:lumMod val="50000"/>
                  <a:lumOff val="50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3175" cap="flat" cmpd="sng" algn="ctr">
      <a:no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305131780402452"/>
          <c:y val="7.6388888888888895E-2"/>
          <c:w val="0.7488236821959755"/>
          <c:h val="0.55668198835551652"/>
        </c:manualLayout>
      </c:layout>
      <c:lineChart>
        <c:grouping val="standard"/>
        <c:varyColors val="0"/>
        <c:ser>
          <c:idx val="0"/>
          <c:order val="0"/>
          <c:tx>
            <c:strRef>
              <c:f>Sheet1!$C$1</c:f>
              <c:strCache>
                <c:ptCount val="1"/>
                <c:pt idx="0">
                  <c:v>Իրական</c:v>
                </c:pt>
              </c:strCache>
            </c:strRef>
          </c:tx>
          <c:spPr>
            <a:ln w="28575" cap="rnd">
              <a:solidFill>
                <a:schemeClr val="accent1">
                  <a:lumMod val="75000"/>
                </a:schemeClr>
              </a:solidFill>
              <a:round/>
            </a:ln>
            <a:effectLst/>
          </c:spPr>
          <c:marker>
            <c:symbol val="none"/>
          </c:marker>
          <c:cat>
            <c:multiLvlStrRef>
              <c:f>Sheet1!$A$26:$B$97</c:f>
              <c:multiLvlStrCache>
                <c:ptCount val="43"/>
                <c:lvl>
                  <c:pt idx="0">
                    <c:v>1</c:v>
                  </c:pt>
                  <c:pt idx="2">
                    <c:v>3</c:v>
                  </c:pt>
                  <c:pt idx="4">
                    <c:v>5</c:v>
                  </c:pt>
                  <c:pt idx="6">
                    <c:v>7</c:v>
                  </c:pt>
                  <c:pt idx="8">
                    <c:v>9</c:v>
                  </c:pt>
                  <c:pt idx="10">
                    <c:v>11</c:v>
                  </c:pt>
                  <c:pt idx="12">
                    <c:v>1</c:v>
                  </c:pt>
                  <c:pt idx="14">
                    <c:v>3</c:v>
                  </c:pt>
                  <c:pt idx="16">
                    <c:v>5</c:v>
                  </c:pt>
                  <c:pt idx="18">
                    <c:v>7</c:v>
                  </c:pt>
                  <c:pt idx="20">
                    <c:v>9</c:v>
                  </c:pt>
                  <c:pt idx="22">
                    <c:v>11</c:v>
                  </c:pt>
                  <c:pt idx="24">
                    <c:v>1</c:v>
                  </c:pt>
                  <c:pt idx="26">
                    <c:v>3</c:v>
                  </c:pt>
                  <c:pt idx="28">
                    <c:v>5</c:v>
                  </c:pt>
                  <c:pt idx="30">
                    <c:v>7</c:v>
                  </c:pt>
                  <c:pt idx="32">
                    <c:v>9</c:v>
                  </c:pt>
                  <c:pt idx="34">
                    <c:v>11</c:v>
                  </c:pt>
                  <c:pt idx="36">
                    <c:v>1</c:v>
                  </c:pt>
                  <c:pt idx="38">
                    <c:v>3</c:v>
                  </c:pt>
                  <c:pt idx="40">
                    <c:v>5</c:v>
                  </c:pt>
                  <c:pt idx="42">
                    <c:v>7</c:v>
                  </c:pt>
                </c:lvl>
                <c:lvl>
                  <c:pt idx="0">
                    <c:v>2023</c:v>
                  </c:pt>
                  <c:pt idx="12">
                    <c:v>2024</c:v>
                  </c:pt>
                  <c:pt idx="24">
                    <c:v>2025</c:v>
                  </c:pt>
                  <c:pt idx="36">
                    <c:v>2026</c:v>
                  </c:pt>
                </c:lvl>
              </c:multiLvlStrCache>
            </c:multiLvlStrRef>
          </c:cat>
          <c:val>
            <c:numRef>
              <c:f>Sheet1!$C$2:$C$97</c:f>
              <c:numCache>
                <c:formatCode>0.0</c:formatCode>
                <c:ptCount val="43"/>
                <c:pt idx="0">
                  <c:v>35.54477437456157</c:v>
                </c:pt>
                <c:pt idx="1">
                  <c:v>37.919817126780373</c:v>
                </c:pt>
                <c:pt idx="2">
                  <c:v>37.462973648778586</c:v>
                </c:pt>
                <c:pt idx="3">
                  <c:v>37.948960981143983</c:v>
                </c:pt>
                <c:pt idx="4">
                  <c:v>37.945598530930766</c:v>
                </c:pt>
                <c:pt idx="5">
                  <c:v>37.11030947408392</c:v>
                </c:pt>
                <c:pt idx="6">
                  <c:v>36.103701435283284</c:v>
                </c:pt>
                <c:pt idx="7">
                  <c:v>35.222539299344845</c:v>
                </c:pt>
                <c:pt idx="8">
                  <c:v>34.682948124373638</c:v>
                </c:pt>
                <c:pt idx="9">
                  <c:v>33.307399818100151</c:v>
                </c:pt>
                <c:pt idx="10">
                  <c:v>31.679037309200311</c:v>
                </c:pt>
                <c:pt idx="11">
                  <c:v>30.038581006686769</c:v>
                </c:pt>
                <c:pt idx="12">
                  <c:v>8.0296692397257488</c:v>
                </c:pt>
                <c:pt idx="13">
                  <c:v>6.6424427870211105</c:v>
                </c:pt>
                <c:pt idx="14">
                  <c:v>5.8796367554255795</c:v>
                </c:pt>
                <c:pt idx="15">
                  <c:v>6.2025026546461532</c:v>
                </c:pt>
                <c:pt idx="16">
                  <c:v>6.3972643769967874</c:v>
                </c:pt>
                <c:pt idx="17">
                  <c:v>6.0388279605627417</c:v>
                </c:pt>
                <c:pt idx="18">
                  <c:v>5.4047972904960062</c:v>
                </c:pt>
                <c:pt idx="19">
                  <c:v>4.6546786718608928</c:v>
                </c:pt>
                <c:pt idx="20">
                  <c:v>3.9521198646865798</c:v>
                </c:pt>
                <c:pt idx="21">
                  <c:v>4.0795692737659834</c:v>
                </c:pt>
                <c:pt idx="22">
                  <c:v>4.7277330626706657</c:v>
                </c:pt>
                <c:pt idx="23">
                  <c:v>5.373786741928825</c:v>
                </c:pt>
                <c:pt idx="24">
                  <c:v>13.52041834657301</c:v>
                </c:pt>
                <c:pt idx="25">
                  <c:v>11.090521449777825</c:v>
                </c:pt>
                <c:pt idx="26">
                  <c:v>8.9931147497654251</c:v>
                </c:pt>
                <c:pt idx="27">
                  <c:v>6.5773996235884482</c:v>
                </c:pt>
                <c:pt idx="28">
                  <c:v>5.2978941359545217</c:v>
                </c:pt>
                <c:pt idx="29">
                  <c:v>4.5026574558940666</c:v>
                </c:pt>
                <c:pt idx="30">
                  <c:v>3.9698901777939852</c:v>
                </c:pt>
                <c:pt idx="31">
                  <c:v>3.7756500645873814</c:v>
                </c:pt>
                <c:pt idx="32">
                  <c:v>3.7627797491480095</c:v>
                </c:pt>
                <c:pt idx="33">
                  <c:v>3.3956467484875645</c:v>
                </c:pt>
                <c:pt idx="34">
                  <c:v>2.8238121463976142</c:v>
                </c:pt>
                <c:pt idx="35">
                  <c:v>2.3439260761775955</c:v>
                </c:pt>
                <c:pt idx="36">
                  <c:v>-5.6438568113088081</c:v>
                </c:pt>
                <c:pt idx="37">
                  <c:v>-3.962118630387593</c:v>
                </c:pt>
                <c:pt idx="38">
                  <c:v>-1.788442418216647</c:v>
                </c:pt>
                <c:pt idx="39">
                  <c:v>-0.49574158894837694</c:v>
                </c:pt>
                <c:pt idx="40">
                  <c:v>0.23095888783268492</c:v>
                </c:pt>
                <c:pt idx="41">
                  <c:v>1.0003124023742345</c:v>
                </c:pt>
                <c:pt idx="42">
                  <c:v>1.9369792848575145</c:v>
                </c:pt>
              </c:numCache>
            </c:numRef>
          </c:val>
          <c:smooth val="0"/>
          <c:extLst>
            <c:ext xmlns:c16="http://schemas.microsoft.com/office/drawing/2014/chart" uri="{C3380CC4-5D6E-409C-BE32-E72D297353CC}">
              <c16:uniqueId val="{00000000-C927-46DD-9F61-1C9615073D9D}"/>
            </c:ext>
          </c:extLst>
        </c:ser>
        <c:ser>
          <c:idx val="1"/>
          <c:order val="1"/>
          <c:tx>
            <c:strRef>
              <c:f>Sheet1!$D$1</c:f>
              <c:strCache>
                <c:ptCount val="1"/>
                <c:pt idx="0">
                  <c:v>Անվանական</c:v>
                </c:pt>
              </c:strCache>
            </c:strRef>
          </c:tx>
          <c:spPr>
            <a:ln w="28575" cap="rnd">
              <a:solidFill>
                <a:schemeClr val="accent2"/>
              </a:solidFill>
              <a:round/>
            </a:ln>
            <a:effectLst/>
          </c:spPr>
          <c:marker>
            <c:symbol val="none"/>
          </c:marker>
          <c:cat>
            <c:multiLvlStrRef>
              <c:f>Sheet1!$A$26:$B$97</c:f>
              <c:multiLvlStrCache>
                <c:ptCount val="43"/>
                <c:lvl>
                  <c:pt idx="0">
                    <c:v>1</c:v>
                  </c:pt>
                  <c:pt idx="2">
                    <c:v>3</c:v>
                  </c:pt>
                  <c:pt idx="4">
                    <c:v>5</c:v>
                  </c:pt>
                  <c:pt idx="6">
                    <c:v>7</c:v>
                  </c:pt>
                  <c:pt idx="8">
                    <c:v>9</c:v>
                  </c:pt>
                  <c:pt idx="10">
                    <c:v>11</c:v>
                  </c:pt>
                  <c:pt idx="12">
                    <c:v>1</c:v>
                  </c:pt>
                  <c:pt idx="14">
                    <c:v>3</c:v>
                  </c:pt>
                  <c:pt idx="16">
                    <c:v>5</c:v>
                  </c:pt>
                  <c:pt idx="18">
                    <c:v>7</c:v>
                  </c:pt>
                  <c:pt idx="20">
                    <c:v>9</c:v>
                  </c:pt>
                  <c:pt idx="22">
                    <c:v>11</c:v>
                  </c:pt>
                  <c:pt idx="24">
                    <c:v>1</c:v>
                  </c:pt>
                  <c:pt idx="26">
                    <c:v>3</c:v>
                  </c:pt>
                  <c:pt idx="28">
                    <c:v>5</c:v>
                  </c:pt>
                  <c:pt idx="30">
                    <c:v>7</c:v>
                  </c:pt>
                  <c:pt idx="32">
                    <c:v>9</c:v>
                  </c:pt>
                  <c:pt idx="34">
                    <c:v>11</c:v>
                  </c:pt>
                  <c:pt idx="36">
                    <c:v>1</c:v>
                  </c:pt>
                  <c:pt idx="38">
                    <c:v>3</c:v>
                  </c:pt>
                  <c:pt idx="40">
                    <c:v>5</c:v>
                  </c:pt>
                  <c:pt idx="42">
                    <c:v>7</c:v>
                  </c:pt>
                </c:lvl>
                <c:lvl>
                  <c:pt idx="0">
                    <c:v>2023</c:v>
                  </c:pt>
                  <c:pt idx="12">
                    <c:v>2024</c:v>
                  </c:pt>
                  <c:pt idx="24">
                    <c:v>2025</c:v>
                  </c:pt>
                  <c:pt idx="36">
                    <c:v>2026</c:v>
                  </c:pt>
                </c:lvl>
              </c:multiLvlStrCache>
            </c:multiLvlStrRef>
          </c:cat>
          <c:val>
            <c:numRef>
              <c:f>Sheet1!$D$2:$D$97</c:f>
              <c:numCache>
                <c:formatCode>0.0</c:formatCode>
                <c:ptCount val="43"/>
                <c:pt idx="0">
                  <c:v>42.004375951293753</c:v>
                </c:pt>
                <c:pt idx="1">
                  <c:v>44.139976275207573</c:v>
                </c:pt>
                <c:pt idx="2">
                  <c:v>43.134284521803664</c:v>
                </c:pt>
                <c:pt idx="3">
                  <c:v>44.059063559028971</c:v>
                </c:pt>
                <c:pt idx="4">
                  <c:v>44.739576150416013</c:v>
                </c:pt>
                <c:pt idx="5">
                  <c:v>44.596285538778886</c:v>
                </c:pt>
                <c:pt idx="6">
                  <c:v>44.02427069384197</c:v>
                </c:pt>
                <c:pt idx="7">
                  <c:v>43.54217440080464</c:v>
                </c:pt>
                <c:pt idx="8">
                  <c:v>43.270407271456037</c:v>
                </c:pt>
                <c:pt idx="9">
                  <c:v>41.98189104430611</c:v>
                </c:pt>
                <c:pt idx="10">
                  <c:v>40.477981082338346</c:v>
                </c:pt>
                <c:pt idx="11">
                  <c:v>38.973033786872008</c:v>
                </c:pt>
                <c:pt idx="12">
                  <c:v>14.362753307653662</c:v>
                </c:pt>
                <c:pt idx="13">
                  <c:v>13.472142210517674</c:v>
                </c:pt>
                <c:pt idx="14">
                  <c:v>12.567633241535731</c:v>
                </c:pt>
                <c:pt idx="15">
                  <c:v>12.70873840786706</c:v>
                </c:pt>
                <c:pt idx="16">
                  <c:v>12.636413298946806</c:v>
                </c:pt>
                <c:pt idx="17">
                  <c:v>11.958944558370789</c:v>
                </c:pt>
                <c:pt idx="18">
                  <c:v>10.972360009431341</c:v>
                </c:pt>
                <c:pt idx="19">
                  <c:v>9.8979367908801521</c:v>
                </c:pt>
                <c:pt idx="20">
                  <c:v>8.9963873469028215</c:v>
                </c:pt>
                <c:pt idx="21">
                  <c:v>9.0435406102551781</c:v>
                </c:pt>
                <c:pt idx="22">
                  <c:v>9.593875991025925</c:v>
                </c:pt>
                <c:pt idx="23">
                  <c:v>10.164920651384705</c:v>
                </c:pt>
                <c:pt idx="24">
                  <c:v>18.302433881029785</c:v>
                </c:pt>
                <c:pt idx="25">
                  <c:v>15.190020307513777</c:v>
                </c:pt>
                <c:pt idx="26">
                  <c:v>12.699554839204836</c:v>
                </c:pt>
                <c:pt idx="27">
                  <c:v>10.024847366179173</c:v>
                </c:pt>
                <c:pt idx="28">
                  <c:v>8.3177775647279617</c:v>
                </c:pt>
                <c:pt idx="29">
                  <c:v>7.2759297515821828</c:v>
                </c:pt>
                <c:pt idx="30">
                  <c:v>6.6098209238836318</c:v>
                </c:pt>
                <c:pt idx="31">
                  <c:v>6.274303730951118</c:v>
                </c:pt>
                <c:pt idx="32">
                  <c:v>6.14856041290966</c:v>
                </c:pt>
                <c:pt idx="33">
                  <c:v>5.6719428709944424</c:v>
                </c:pt>
                <c:pt idx="34">
                  <c:v>5.0394945901098538</c:v>
                </c:pt>
                <c:pt idx="35">
                  <c:v>4.4681383637110912</c:v>
                </c:pt>
                <c:pt idx="36">
                  <c:v>-5.8278867102396532</c:v>
                </c:pt>
                <c:pt idx="37">
                  <c:v>-4.2147282526570251</c:v>
                </c:pt>
                <c:pt idx="38">
                  <c:v>-2.0839540644765862</c:v>
                </c:pt>
                <c:pt idx="39">
                  <c:v>-1.0085107206689798</c:v>
                </c:pt>
                <c:pt idx="40">
                  <c:v>-0.18222712789220452</c:v>
                </c:pt>
                <c:pt idx="41">
                  <c:v>0.56331139766729166</c:v>
                </c:pt>
                <c:pt idx="42">
                  <c:v>1.5620358358245454</c:v>
                </c:pt>
              </c:numCache>
            </c:numRef>
          </c:val>
          <c:smooth val="0"/>
          <c:extLst>
            <c:ext xmlns:c16="http://schemas.microsoft.com/office/drawing/2014/chart" uri="{C3380CC4-5D6E-409C-BE32-E72D297353CC}">
              <c16:uniqueId val="{00000001-C927-46DD-9F61-1C9615073D9D}"/>
            </c:ext>
          </c:extLst>
        </c:ser>
        <c:dLbls>
          <c:showLegendKey val="0"/>
          <c:showVal val="0"/>
          <c:showCatName val="0"/>
          <c:showSerName val="0"/>
          <c:showPercent val="0"/>
          <c:showBubbleSize val="0"/>
        </c:dLbls>
        <c:smooth val="0"/>
        <c:axId val="-676708624"/>
        <c:axId val="-676712976"/>
      </c:lineChart>
      <c:catAx>
        <c:axId val="-67670862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12976"/>
        <c:crosses val="autoZero"/>
        <c:auto val="1"/>
        <c:lblAlgn val="ctr"/>
        <c:lblOffset val="100"/>
        <c:tickLblSkip val="1"/>
        <c:noMultiLvlLbl val="0"/>
      </c:catAx>
      <c:valAx>
        <c:axId val="-676712976"/>
        <c:scaling>
          <c:orientation val="minMax"/>
        </c:scaling>
        <c:delete val="0"/>
        <c:axPos val="l"/>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r>
                  <a:rPr lang="hy-AM"/>
                  <a:t>Տոկոս</a:t>
                </a:r>
                <a:endParaRPr lang="en-US"/>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767086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50000"/>
                  <a:lumOff val="50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3175" cap="flat" cmpd="sng" algn="ctr">
      <a:no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452778757132969E-2"/>
          <c:y val="8.2658365035831197E-2"/>
          <c:w val="0.90766214857471172"/>
          <c:h val="0.5390007077766964"/>
        </c:manualLayout>
      </c:layout>
      <c:lineChart>
        <c:grouping val="standard"/>
        <c:varyColors val="0"/>
        <c:ser>
          <c:idx val="0"/>
          <c:order val="0"/>
          <c:tx>
            <c:strRef>
              <c:f>Sheet1!$D$1</c:f>
              <c:strCache>
                <c:ptCount val="1"/>
                <c:pt idx="0">
                  <c:v>12-ամսյա գնաճ, %</c:v>
                </c:pt>
              </c:strCache>
            </c:strRef>
          </c:tx>
          <c:spPr>
            <a:ln w="28564" cap="rnd">
              <a:solidFill>
                <a:srgbClr val="ED7D31">
                  <a:lumMod val="60000"/>
                  <a:lumOff val="40000"/>
                </a:srgbClr>
              </a:solidFill>
              <a:round/>
            </a:ln>
            <a:effectLst/>
          </c:spPr>
          <c:marker>
            <c:symbol val="none"/>
          </c:marker>
          <c:cat>
            <c:multiLvlStrRef>
              <c:f>Sheet1!$A$38:$B$105</c:f>
              <c:multiLvlStrCache>
                <c:ptCount val="4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lvl>
                <c:lvl>
                  <c:pt idx="0">
                    <c:v>2023</c:v>
                  </c:pt>
                  <c:pt idx="12">
                    <c:v>2024</c:v>
                  </c:pt>
                  <c:pt idx="24">
                    <c:v>2025</c:v>
                  </c:pt>
                  <c:pt idx="36">
                    <c:v>2026</c:v>
                  </c:pt>
                </c:lvl>
              </c:multiLvlStrCache>
            </c:multiLvlStrRef>
          </c:cat>
          <c:val>
            <c:numRef>
              <c:f>Sheet1!$D$2:$D$105</c:f>
              <c:numCache>
                <c:formatCode>0.0</c:formatCode>
                <c:ptCount val="44"/>
                <c:pt idx="0">
                  <c:v>8.0513101873760036</c:v>
                </c:pt>
                <c:pt idx="1">
                  <c:v>8.0504413480060038</c:v>
                </c:pt>
                <c:pt idx="2">
                  <c:v>5.4496798492630063</c:v>
                </c:pt>
                <c:pt idx="3">
                  <c:v>3.2368670906421926</c:v>
                </c:pt>
                <c:pt idx="4">
                  <c:v>1.2870999999999999</c:v>
                </c:pt>
                <c:pt idx="5">
                  <c:v>-0.50760000000000005</c:v>
                </c:pt>
                <c:pt idx="6">
                  <c:v>-0.10059999999999999</c:v>
                </c:pt>
                <c:pt idx="7">
                  <c:v>-0.16830000000000001</c:v>
                </c:pt>
                <c:pt idx="8">
                  <c:v>0.1</c:v>
                </c:pt>
                <c:pt idx="9">
                  <c:v>0.1</c:v>
                </c:pt>
                <c:pt idx="10">
                  <c:v>-0.5</c:v>
                </c:pt>
                <c:pt idx="11">
                  <c:v>-0.6</c:v>
                </c:pt>
                <c:pt idx="12">
                  <c:v>-0.9</c:v>
                </c:pt>
                <c:pt idx="13">
                  <c:v>-1.7</c:v>
                </c:pt>
                <c:pt idx="14">
                  <c:v>-1.2</c:v>
                </c:pt>
                <c:pt idx="15">
                  <c:v>-0.7</c:v>
                </c:pt>
                <c:pt idx="16">
                  <c:v>0.3</c:v>
                </c:pt>
                <c:pt idx="17">
                  <c:v>0.8</c:v>
                </c:pt>
                <c:pt idx="18">
                  <c:v>1.4</c:v>
                </c:pt>
                <c:pt idx="19">
                  <c:v>1.3</c:v>
                </c:pt>
                <c:pt idx="20">
                  <c:v>0.6</c:v>
                </c:pt>
                <c:pt idx="21">
                  <c:v>0.6</c:v>
                </c:pt>
                <c:pt idx="22">
                  <c:v>1.4</c:v>
                </c:pt>
                <c:pt idx="23">
                  <c:v>1.5</c:v>
                </c:pt>
                <c:pt idx="24">
                  <c:v>1.7286999999999999</c:v>
                </c:pt>
                <c:pt idx="25">
                  <c:v>2.5320999999999998</c:v>
                </c:pt>
                <c:pt idx="26">
                  <c:v>3.2551000000000001</c:v>
                </c:pt>
                <c:pt idx="27">
                  <c:v>3.1818</c:v>
                </c:pt>
                <c:pt idx="28">
                  <c:v>4.279200000000003</c:v>
                </c:pt>
                <c:pt idx="29">
                  <c:v>3.9161000000000001</c:v>
                </c:pt>
                <c:pt idx="30">
                  <c:v>3.4375</c:v>
                </c:pt>
                <c:pt idx="31">
                  <c:v>3.5669</c:v>
                </c:pt>
                <c:pt idx="32">
                  <c:v>3.7408999999999999</c:v>
                </c:pt>
                <c:pt idx="33">
                  <c:v>3.7383999999999999</c:v>
                </c:pt>
                <c:pt idx="34">
                  <c:v>3.0697999999999999</c:v>
                </c:pt>
                <c:pt idx="35">
                  <c:v>3.2797999999999998</c:v>
                </c:pt>
                <c:pt idx="36">
                  <c:v>3.8094000000000001</c:v>
                </c:pt>
                <c:pt idx="37">
                  <c:v>4.3139000000000003</c:v>
                </c:pt>
                <c:pt idx="38">
                  <c:v>4.5415999999999999</c:v>
                </c:pt>
                <c:pt idx="39">
                  <c:v>5.3449999999999998</c:v>
                </c:pt>
                <c:pt idx="40">
                  <c:v>4.2442000000000002</c:v>
                </c:pt>
                <c:pt idx="41">
                  <c:v>5.0572999999999997</c:v>
                </c:pt>
                <c:pt idx="42">
                  <c:v>4.4550000000000001</c:v>
                </c:pt>
                <c:pt idx="43">
                  <c:v>4.4008000000000003</c:v>
                </c:pt>
              </c:numCache>
            </c:numRef>
          </c:val>
          <c:smooth val="0"/>
          <c:extLst>
            <c:ext xmlns:c16="http://schemas.microsoft.com/office/drawing/2014/chart" uri="{C3380CC4-5D6E-409C-BE32-E72D297353CC}">
              <c16:uniqueId val="{00000000-97E8-4889-9306-BD02AE85DFB6}"/>
            </c:ext>
          </c:extLst>
        </c:ser>
        <c:ser>
          <c:idx val="1"/>
          <c:order val="1"/>
          <c:tx>
            <c:strRef>
              <c:f>Sheet1!$E$1</c:f>
              <c:strCache>
                <c:ptCount val="1"/>
                <c:pt idx="0">
                  <c:v>Վերաֆինանսավորման տոկոսադրույք, %</c:v>
                </c:pt>
              </c:strCache>
            </c:strRef>
          </c:tx>
          <c:spPr>
            <a:ln w="28564" cap="rnd">
              <a:solidFill>
                <a:srgbClr val="4472C4">
                  <a:lumMod val="50000"/>
                </a:srgbClr>
              </a:solidFill>
              <a:round/>
            </a:ln>
            <a:effectLst/>
          </c:spPr>
          <c:marker>
            <c:symbol val="none"/>
          </c:marker>
          <c:cat>
            <c:multiLvlStrRef>
              <c:f>Sheet1!$A$38:$B$105</c:f>
              <c:multiLvlStrCache>
                <c:ptCount val="4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lvl>
                <c:lvl>
                  <c:pt idx="0">
                    <c:v>2023</c:v>
                  </c:pt>
                  <c:pt idx="12">
                    <c:v>2024</c:v>
                  </c:pt>
                  <c:pt idx="24">
                    <c:v>2025</c:v>
                  </c:pt>
                  <c:pt idx="36">
                    <c:v>2026</c:v>
                  </c:pt>
                </c:lvl>
              </c:multiLvlStrCache>
            </c:multiLvlStrRef>
          </c:cat>
          <c:val>
            <c:numRef>
              <c:f>Sheet1!$E$2:$E$105</c:f>
              <c:numCache>
                <c:formatCode>0.0</c:formatCode>
                <c:ptCount val="44"/>
                <c:pt idx="0">
                  <c:v>10.75</c:v>
                </c:pt>
                <c:pt idx="1">
                  <c:v>10.75</c:v>
                </c:pt>
                <c:pt idx="2">
                  <c:v>10.75</c:v>
                </c:pt>
                <c:pt idx="3">
                  <c:v>10.75</c:v>
                </c:pt>
                <c:pt idx="4">
                  <c:v>10.75</c:v>
                </c:pt>
                <c:pt idx="5">
                  <c:v>10.5</c:v>
                </c:pt>
                <c:pt idx="6">
                  <c:v>10.5</c:v>
                </c:pt>
                <c:pt idx="7">
                  <c:v>10.25</c:v>
                </c:pt>
                <c:pt idx="8">
                  <c:v>9.75</c:v>
                </c:pt>
                <c:pt idx="9">
                  <c:v>9.5</c:v>
                </c:pt>
                <c:pt idx="10">
                  <c:v>9.5</c:v>
                </c:pt>
                <c:pt idx="11">
                  <c:v>9.25</c:v>
                </c:pt>
                <c:pt idx="12">
                  <c:v>8.75</c:v>
                </c:pt>
                <c:pt idx="13">
                  <c:v>8.75</c:v>
                </c:pt>
                <c:pt idx="14">
                  <c:v>8.5</c:v>
                </c:pt>
                <c:pt idx="15">
                  <c:v>8.25</c:v>
                </c:pt>
                <c:pt idx="16">
                  <c:v>8.25</c:v>
                </c:pt>
                <c:pt idx="17" formatCode="0.00">
                  <c:v>8</c:v>
                </c:pt>
                <c:pt idx="18" formatCode="0.00">
                  <c:v>7.75</c:v>
                </c:pt>
                <c:pt idx="19" formatCode="0.00">
                  <c:v>7.75</c:v>
                </c:pt>
                <c:pt idx="20" formatCode="0.00">
                  <c:v>7.5</c:v>
                </c:pt>
                <c:pt idx="21" formatCode="0.00">
                  <c:v>7.25</c:v>
                </c:pt>
                <c:pt idx="22" formatCode="0.00">
                  <c:v>7.25</c:v>
                </c:pt>
                <c:pt idx="23" formatCode="0.00">
                  <c:v>7</c:v>
                </c:pt>
                <c:pt idx="24" formatCode="0.00">
                  <c:v>7</c:v>
                </c:pt>
                <c:pt idx="25" formatCode="0.00">
                  <c:v>6.75</c:v>
                </c:pt>
                <c:pt idx="26" formatCode="0.00">
                  <c:v>6.75</c:v>
                </c:pt>
                <c:pt idx="27" formatCode="0.00">
                  <c:v>6.75</c:v>
                </c:pt>
                <c:pt idx="28" formatCode="0.00">
                  <c:v>6.75</c:v>
                </c:pt>
                <c:pt idx="29" formatCode="0.00">
                  <c:v>6.75</c:v>
                </c:pt>
                <c:pt idx="30" formatCode="0.00">
                  <c:v>6.75</c:v>
                </c:pt>
                <c:pt idx="31" formatCode="0.00">
                  <c:v>6.75</c:v>
                </c:pt>
                <c:pt idx="32" formatCode="0.00">
                  <c:v>6.75</c:v>
                </c:pt>
                <c:pt idx="33" formatCode="0.00">
                  <c:v>6.75</c:v>
                </c:pt>
                <c:pt idx="34" formatCode="0.00">
                  <c:v>6.75</c:v>
                </c:pt>
                <c:pt idx="35" formatCode="0.00">
                  <c:v>6.5</c:v>
                </c:pt>
                <c:pt idx="36" formatCode="0.00">
                  <c:v>6.5</c:v>
                </c:pt>
                <c:pt idx="37" formatCode="0.00">
                  <c:v>6.5</c:v>
                </c:pt>
                <c:pt idx="38" formatCode="0.00">
                  <c:v>6.5</c:v>
                </c:pt>
                <c:pt idx="39" formatCode="0.00">
                  <c:v>6.5</c:v>
                </c:pt>
                <c:pt idx="40" formatCode="0.00">
                  <c:v>6.5</c:v>
                </c:pt>
                <c:pt idx="41" formatCode="0.00">
                  <c:v>6.5</c:v>
                </c:pt>
                <c:pt idx="42" formatCode="0.00">
                  <c:v>6.5</c:v>
                </c:pt>
                <c:pt idx="43" formatCode="0.00">
                  <c:v>6.5</c:v>
                </c:pt>
              </c:numCache>
            </c:numRef>
          </c:val>
          <c:smooth val="0"/>
          <c:extLst>
            <c:ext xmlns:c16="http://schemas.microsoft.com/office/drawing/2014/chart" uri="{C3380CC4-5D6E-409C-BE32-E72D297353CC}">
              <c16:uniqueId val="{00000001-97E8-4889-9306-BD02AE85DFB6}"/>
            </c:ext>
          </c:extLst>
        </c:ser>
        <c:ser>
          <c:idx val="2"/>
          <c:order val="2"/>
          <c:tx>
            <c:strRef>
              <c:f>Sheet1!$C$1</c:f>
              <c:strCache>
                <c:ptCount val="1"/>
                <c:pt idx="0">
                  <c:v>Բնականոն գնաճ, %</c:v>
                </c:pt>
              </c:strCache>
            </c:strRef>
          </c:tx>
          <c:spPr>
            <a:ln>
              <a:solidFill>
                <a:srgbClr val="E7E6E6">
                  <a:lumMod val="75000"/>
                </a:srgbClr>
              </a:solidFill>
            </a:ln>
          </c:spPr>
          <c:marker>
            <c:symbol val="none"/>
          </c:marker>
          <c:cat>
            <c:multiLvlStrRef>
              <c:f>Sheet1!$A$38:$B$105</c:f>
              <c:multiLvlStrCache>
                <c:ptCount val="4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lvl>
                <c:lvl>
                  <c:pt idx="0">
                    <c:v>2023</c:v>
                  </c:pt>
                  <c:pt idx="12">
                    <c:v>2024</c:v>
                  </c:pt>
                  <c:pt idx="24">
                    <c:v>2025</c:v>
                  </c:pt>
                  <c:pt idx="36">
                    <c:v>2026</c:v>
                  </c:pt>
                </c:lvl>
              </c:multiLvlStrCache>
            </c:multiLvlStrRef>
          </c:cat>
          <c:val>
            <c:numRef>
              <c:f>Sheet1!$C$38:$C$105</c:f>
              <c:numCache>
                <c:formatCode>0.0</c:formatCode>
                <c:ptCount val="44"/>
                <c:pt idx="0">
                  <c:v>9.0991561824239966</c:v>
                </c:pt>
                <c:pt idx="1">
                  <c:v>8.3569861398929959</c:v>
                </c:pt>
                <c:pt idx="2">
                  <c:v>6.4066571555730008</c:v>
                </c:pt>
                <c:pt idx="3">
                  <c:v>4.3045803295163267</c:v>
                </c:pt>
                <c:pt idx="4">
                  <c:v>3.0865032447455718</c:v>
                </c:pt>
                <c:pt idx="5">
                  <c:v>1.4518285160379776</c:v>
                </c:pt>
                <c:pt idx="6">
                  <c:v>0.59949055114458361</c:v>
                </c:pt>
                <c:pt idx="7">
                  <c:v>0.35313145780541788</c:v>
                </c:pt>
                <c:pt idx="8">
                  <c:v>-8.0847536483943827E-2</c:v>
                </c:pt>
                <c:pt idx="9">
                  <c:v>-4.6504096578033227E-2</c:v>
                </c:pt>
                <c:pt idx="10">
                  <c:v>-0.24390438070011555</c:v>
                </c:pt>
                <c:pt idx="11">
                  <c:v>-0.39353895237825043</c:v>
                </c:pt>
                <c:pt idx="12">
                  <c:v>-0.44083532430917671</c:v>
                </c:pt>
                <c:pt idx="13">
                  <c:v>-0.65415810312974543</c:v>
                </c:pt>
                <c:pt idx="14">
                  <c:v>-0.70986287761924416</c:v>
                </c:pt>
                <c:pt idx="15">
                  <c:v>-0.53692140460677251</c:v>
                </c:pt>
                <c:pt idx="16">
                  <c:v>-0.29513107679599698</c:v>
                </c:pt>
                <c:pt idx="17">
                  <c:v>3.9019835541694192E-2</c:v>
                </c:pt>
                <c:pt idx="18">
                  <c:v>0.25996830691931905</c:v>
                </c:pt>
                <c:pt idx="19">
                  <c:v>0.27869516588769727</c:v>
                </c:pt>
                <c:pt idx="20">
                  <c:v>0.70080604258279777</c:v>
                </c:pt>
                <c:pt idx="21">
                  <c:v>0.63894478316535697</c:v>
                </c:pt>
                <c:pt idx="22">
                  <c:v>0.7907904170000819</c:v>
                </c:pt>
                <c:pt idx="23">
                  <c:v>0.94130385266983296</c:v>
                </c:pt>
                <c:pt idx="24">
                  <c:v>1.2271638969850756</c:v>
                </c:pt>
                <c:pt idx="25">
                  <c:v>1.4745661267638042</c:v>
                </c:pt>
                <c:pt idx="26">
                  <c:v>2.0047945598907262</c:v>
                </c:pt>
                <c:pt idx="27">
                  <c:v>2.394979193090478</c:v>
                </c:pt>
                <c:pt idx="28">
                  <c:v>2.7632776482889483</c:v>
                </c:pt>
                <c:pt idx="29">
                  <c:v>3.1364195504502987</c:v>
                </c:pt>
                <c:pt idx="30">
                  <c:v>3.4298937990613325</c:v>
                </c:pt>
                <c:pt idx="31">
                  <c:v>3.7028292026547831</c:v>
                </c:pt>
                <c:pt idx="32">
                  <c:v>3.4658647434183933</c:v>
                </c:pt>
                <c:pt idx="33">
                  <c:v>3.6332697262011919</c:v>
                </c:pt>
                <c:pt idx="34">
                  <c:v>3.7987997435390071</c:v>
                </c:pt>
                <c:pt idx="35">
                  <c:v>4.28055817333221</c:v>
                </c:pt>
                <c:pt idx="36">
                  <c:v>4.4511377991099721</c:v>
                </c:pt>
                <c:pt idx="37">
                  <c:v>4.696483915625322</c:v>
                </c:pt>
                <c:pt idx="38">
                  <c:v>4.6550375083511</c:v>
                </c:pt>
                <c:pt idx="39">
                  <c:v>4.908231044834821</c:v>
                </c:pt>
                <c:pt idx="40">
                  <c:v>5.083439811559316</c:v>
                </c:pt>
                <c:pt idx="41">
                  <c:v>4.8881416978289423</c:v>
                </c:pt>
                <c:pt idx="42">
                  <c:v>4.6008999999999958</c:v>
                </c:pt>
                <c:pt idx="43">
                  <c:v>4.7739819982920721</c:v>
                </c:pt>
              </c:numCache>
            </c:numRef>
          </c:val>
          <c:smooth val="0"/>
          <c:extLst>
            <c:ext xmlns:c16="http://schemas.microsoft.com/office/drawing/2014/chart" uri="{C3380CC4-5D6E-409C-BE32-E72D297353CC}">
              <c16:uniqueId val="{00000002-97E8-4889-9306-BD02AE85DFB6}"/>
            </c:ext>
          </c:extLst>
        </c:ser>
        <c:dLbls>
          <c:showLegendKey val="0"/>
          <c:showVal val="0"/>
          <c:showCatName val="0"/>
          <c:showSerName val="0"/>
          <c:showPercent val="0"/>
          <c:showBubbleSize val="0"/>
        </c:dLbls>
        <c:smooth val="0"/>
        <c:axId val="806867600"/>
        <c:axId val="1"/>
      </c:lineChart>
      <c:catAx>
        <c:axId val="806867600"/>
        <c:scaling>
          <c:orientation val="minMax"/>
        </c:scaling>
        <c:delete val="0"/>
        <c:axPos val="b"/>
        <c:numFmt formatCode="General" sourceLinked="1"/>
        <c:majorTickMark val="none"/>
        <c:minorTickMark val="none"/>
        <c:tickLblPos val="low"/>
        <c:spPr>
          <a:noFill/>
          <a:ln w="9521" cap="flat" cmpd="sng" algn="ctr">
            <a:solidFill>
              <a:schemeClr val="tx1">
                <a:lumMod val="15000"/>
                <a:lumOff val="85000"/>
              </a:schemeClr>
            </a:solidFill>
            <a:round/>
          </a:ln>
          <a:effectLst/>
        </c:spPr>
        <c:txPr>
          <a:bodyPr rot="-60000000" vert="horz"/>
          <a:lstStyle/>
          <a:p>
            <a:pPr>
              <a:defRPr sz="900">
                <a:latin typeface="Calibri" panose="020F0502020204030204" pitchFamily="34" charset="0"/>
                <a:ea typeface="Calibri" panose="020F0502020204030204" pitchFamily="34" charset="0"/>
                <a:cs typeface="Calibri" panose="020F0502020204030204" pitchFamily="34" charset="0"/>
              </a:defRPr>
            </a:pPr>
            <a:endParaRPr lang="en-US"/>
          </a:p>
        </c:txPr>
        <c:crossAx val="1"/>
        <c:crosses val="autoZero"/>
        <c:auto val="1"/>
        <c:lblAlgn val="ctr"/>
        <c:lblOffset val="100"/>
        <c:noMultiLvlLbl val="0"/>
      </c:catAx>
      <c:valAx>
        <c:axId val="1"/>
        <c:scaling>
          <c:orientation val="minMax"/>
        </c:scaling>
        <c:delete val="0"/>
        <c:axPos val="l"/>
        <c:numFmt formatCode="0" sourceLinked="0"/>
        <c:majorTickMark val="none"/>
        <c:minorTickMark val="none"/>
        <c:tickLblPos val="nextTo"/>
        <c:spPr>
          <a:noFill/>
          <a:ln w="9521">
            <a:noFill/>
          </a:ln>
        </c:spPr>
        <c:txPr>
          <a:bodyPr rot="-60000000" vert="horz"/>
          <a:lstStyle/>
          <a:p>
            <a:pPr>
              <a:defRPr sz="900">
                <a:solidFill>
                  <a:schemeClr val="bg1">
                    <a:lumMod val="65000"/>
                  </a:schemeClr>
                </a:solidFill>
              </a:defRPr>
            </a:pPr>
            <a:endParaRPr lang="en-US"/>
          </a:p>
        </c:txPr>
        <c:crossAx val="806867600"/>
        <c:crosses val="autoZero"/>
        <c:crossBetween val="between"/>
      </c:valAx>
      <c:spPr>
        <a:noFill/>
        <a:ln w="25390">
          <a:noFill/>
        </a:ln>
      </c:spPr>
    </c:plotArea>
    <c:legend>
      <c:legendPos val="b"/>
      <c:layout>
        <c:manualLayout>
          <c:xMode val="edge"/>
          <c:yMode val="edge"/>
          <c:x val="0.05"/>
          <c:y val="0.8497990946356424"/>
          <c:w val="0.9"/>
          <c:h val="8.4657834203308857E-2"/>
        </c:manualLayout>
      </c:layout>
      <c:overlay val="0"/>
      <c:spPr>
        <a:noFill/>
        <a:ln w="25390">
          <a:noFill/>
        </a:ln>
      </c:spPr>
      <c:txPr>
        <a:bodyPr rot="0" vert="horz"/>
        <a:lstStyle/>
        <a:p>
          <a:pPr>
            <a:defRPr sz="900"/>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r>
              <a:rPr lang="en-US"/>
              <a:t>12-</a:t>
            </a:r>
            <a:r>
              <a:rPr lang="hy-AM"/>
              <a:t>ամսյա գնաճը</a:t>
            </a:r>
            <a:r>
              <a:rPr lang="en-US"/>
              <a:t>, %</a:t>
            </a:r>
          </a:p>
        </c:rich>
      </c:tx>
      <c:layout>
        <c:manualLayout>
          <c:xMode val="edge"/>
          <c:yMode val="edge"/>
          <c:x val="0.16133623805709149"/>
          <c:y val="4.4076552930883639E-2"/>
        </c:manualLayout>
      </c:layout>
      <c:overlay val="0"/>
      <c:spPr>
        <a:noFill/>
        <a:ln>
          <a:noFill/>
        </a:ln>
        <a:effectLst/>
      </c:spPr>
    </c:title>
    <c:autoTitleDeleted val="0"/>
    <c:plotArea>
      <c:layout>
        <c:manualLayout>
          <c:layoutTarget val="inner"/>
          <c:xMode val="edge"/>
          <c:yMode val="edge"/>
          <c:x val="9.3179109435141946E-2"/>
          <c:y val="0.16435486954859116"/>
          <c:w val="0.86243006844988046"/>
          <c:h val="0.53869131424797079"/>
        </c:manualLayout>
      </c:layout>
      <c:barChart>
        <c:barDir val="col"/>
        <c:grouping val="stacked"/>
        <c:varyColors val="0"/>
        <c:ser>
          <c:idx val="1"/>
          <c:order val="1"/>
          <c:tx>
            <c:strRef>
              <c:f>Sheet1!$D$1</c:f>
              <c:strCache>
                <c:ptCount val="1"/>
                <c:pt idx="0">
                  <c:v>Սննդամթերք և ոչ ալկոհոլային խմիչքներ</c:v>
                </c:pt>
              </c:strCache>
            </c:strRef>
          </c:tx>
          <c:spPr>
            <a:solidFill>
              <a:srgbClr val="4472C4">
                <a:lumMod val="50000"/>
              </a:srgbClr>
            </a:solidFill>
            <a:ln>
              <a:noFill/>
            </a:ln>
            <a:effectLst/>
          </c:spPr>
          <c:invertIfNegative val="0"/>
          <c:cat>
            <c:multiLvlStrRef>
              <c:f>Sheet1!$A$28:$B$78</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2023</c:v>
                  </c:pt>
                  <c:pt idx="4">
                    <c:v>2024</c:v>
                  </c:pt>
                  <c:pt idx="8">
                    <c:v>2025</c:v>
                  </c:pt>
                  <c:pt idx="12">
                    <c:v>2026</c:v>
                  </c:pt>
                </c:lvl>
              </c:multiLvlStrCache>
            </c:multiLvlStrRef>
          </c:cat>
          <c:val>
            <c:numRef>
              <c:f>Sheet1!$D$28:$D$78</c:f>
              <c:numCache>
                <c:formatCode>0.0</c:formatCode>
                <c:ptCount val="15"/>
                <c:pt idx="0">
                  <c:v>1.8974039999999999</c:v>
                </c:pt>
                <c:pt idx="1">
                  <c:v>-2.2747999999999999</c:v>
                </c:pt>
                <c:pt idx="2">
                  <c:v>-1.2821600000000002</c:v>
                </c:pt>
                <c:pt idx="3">
                  <c:v>-1.8119999999999998</c:v>
                </c:pt>
                <c:pt idx="4">
                  <c:v>-2.31616</c:v>
                </c:pt>
                <c:pt idx="5">
                  <c:v>-0.28952</c:v>
                </c:pt>
                <c:pt idx="6">
                  <c:v>-0.41359999999999997</c:v>
                </c:pt>
                <c:pt idx="7">
                  <c:v>0.82719999999999994</c:v>
                </c:pt>
                <c:pt idx="8">
                  <c:v>2.2089834000000002</c:v>
                </c:pt>
                <c:pt idx="9">
                  <c:v>2.5362401999999999</c:v>
                </c:pt>
                <c:pt idx="10">
                  <c:v>2.3726118</c:v>
                </c:pt>
                <c:pt idx="11">
                  <c:v>1.7590053000000001</c:v>
                </c:pt>
                <c:pt idx="12">
                  <c:v>3.1460207999999996</c:v>
                </c:pt>
                <c:pt idx="13">
                  <c:v>3.4686895999999994</c:v>
                </c:pt>
                <c:pt idx="14">
                  <c:v>2.5813503999999998</c:v>
                </c:pt>
              </c:numCache>
            </c:numRef>
          </c:val>
          <c:extLst>
            <c:ext xmlns:c16="http://schemas.microsoft.com/office/drawing/2014/chart" uri="{C3380CC4-5D6E-409C-BE32-E72D297353CC}">
              <c16:uniqueId val="{00000000-9822-4036-9F05-F6BDE75831FF}"/>
            </c:ext>
          </c:extLst>
        </c:ser>
        <c:ser>
          <c:idx val="2"/>
          <c:order val="2"/>
          <c:tx>
            <c:strRef>
              <c:f>Sheet1!$E$1</c:f>
              <c:strCache>
                <c:ptCount val="1"/>
                <c:pt idx="0">
                  <c:v>Ալկոհոլային խմիչքներ, ծխախոտ</c:v>
                </c:pt>
              </c:strCache>
            </c:strRef>
          </c:tx>
          <c:spPr>
            <a:solidFill>
              <a:srgbClr val="ED7D31">
                <a:lumMod val="60000"/>
                <a:lumOff val="40000"/>
              </a:srgbClr>
            </a:solidFill>
            <a:ln>
              <a:noFill/>
            </a:ln>
            <a:effectLst/>
          </c:spPr>
          <c:invertIfNegative val="0"/>
          <c:cat>
            <c:multiLvlStrRef>
              <c:f>Sheet1!$A$28:$B$78</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2023</c:v>
                  </c:pt>
                  <c:pt idx="4">
                    <c:v>2024</c:v>
                  </c:pt>
                  <c:pt idx="8">
                    <c:v>2025</c:v>
                  </c:pt>
                  <c:pt idx="12">
                    <c:v>2026</c:v>
                  </c:pt>
                </c:lvl>
              </c:multiLvlStrCache>
            </c:multiLvlStrRef>
          </c:cat>
          <c:val>
            <c:numRef>
              <c:f>Sheet1!$E$28:$E$78</c:f>
              <c:numCache>
                <c:formatCode>0.0</c:formatCode>
                <c:ptCount val="15"/>
                <c:pt idx="0">
                  <c:v>0.36990610000000002</c:v>
                </c:pt>
                <c:pt idx="1">
                  <c:v>0.39043999999999995</c:v>
                </c:pt>
                <c:pt idx="2">
                  <c:v>0.37682000000000004</c:v>
                </c:pt>
                <c:pt idx="3">
                  <c:v>0.32256000000000001</c:v>
                </c:pt>
                <c:pt idx="4">
                  <c:v>0.33596000000000004</c:v>
                </c:pt>
                <c:pt idx="5">
                  <c:v>0.21791999999999997</c:v>
                </c:pt>
                <c:pt idx="6">
                  <c:v>0.18613999999999997</c:v>
                </c:pt>
                <c:pt idx="7">
                  <c:v>0.17251999999999998</c:v>
                </c:pt>
                <c:pt idx="8">
                  <c:v>0.219606</c:v>
                </c:pt>
                <c:pt idx="9">
                  <c:v>0.26697200000000004</c:v>
                </c:pt>
                <c:pt idx="10">
                  <c:v>0.29280800000000001</c:v>
                </c:pt>
                <c:pt idx="11">
                  <c:v>0.31433800000000001</c:v>
                </c:pt>
                <c:pt idx="12">
                  <c:v>0.38064459999999994</c:v>
                </c:pt>
                <c:pt idx="13">
                  <c:v>0.33195749999999996</c:v>
                </c:pt>
                <c:pt idx="14">
                  <c:v>0.33195749999999996</c:v>
                </c:pt>
              </c:numCache>
            </c:numRef>
          </c:val>
          <c:extLst>
            <c:ext xmlns:c16="http://schemas.microsoft.com/office/drawing/2014/chart" uri="{C3380CC4-5D6E-409C-BE32-E72D297353CC}">
              <c16:uniqueId val="{00000001-9822-4036-9F05-F6BDE75831FF}"/>
            </c:ext>
          </c:extLst>
        </c:ser>
        <c:ser>
          <c:idx val="3"/>
          <c:order val="3"/>
          <c:tx>
            <c:strRef>
              <c:f>Sheet1!$F$1</c:f>
              <c:strCache>
                <c:ptCount val="1"/>
                <c:pt idx="0">
                  <c:v>Ոչ պարենային ապրանքներ</c:v>
                </c:pt>
              </c:strCache>
            </c:strRef>
          </c:tx>
          <c:spPr>
            <a:solidFill>
              <a:sysClr val="window" lastClr="FFFFFF">
                <a:lumMod val="65000"/>
              </a:sysClr>
            </a:solidFill>
            <a:ln>
              <a:noFill/>
            </a:ln>
            <a:effectLst/>
          </c:spPr>
          <c:invertIfNegative val="0"/>
          <c:cat>
            <c:multiLvlStrRef>
              <c:f>Sheet1!$A$28:$B$78</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2023</c:v>
                  </c:pt>
                  <c:pt idx="4">
                    <c:v>2024</c:v>
                  </c:pt>
                  <c:pt idx="8">
                    <c:v>2025</c:v>
                  </c:pt>
                  <c:pt idx="12">
                    <c:v>2026</c:v>
                  </c:pt>
                </c:lvl>
              </c:multiLvlStrCache>
            </c:multiLvlStrRef>
          </c:cat>
          <c:val>
            <c:numRef>
              <c:f>Sheet1!$F$28:$F$78</c:f>
              <c:numCache>
                <c:formatCode>0.0</c:formatCode>
                <c:ptCount val="15"/>
                <c:pt idx="0">
                  <c:v>1.02166</c:v>
                </c:pt>
                <c:pt idx="1">
                  <c:v>6.5040000000000001E-2</c:v>
                </c:pt>
                <c:pt idx="2">
                  <c:v>0</c:v>
                </c:pt>
                <c:pt idx="3">
                  <c:v>2.3259999999999999E-2</c:v>
                </c:pt>
                <c:pt idx="4">
                  <c:v>-2.1680000000000001E-2</c:v>
                </c:pt>
                <c:pt idx="5">
                  <c:v>-4.3360000000000003E-2</c:v>
                </c:pt>
                <c:pt idx="6">
                  <c:v>-0.36856</c:v>
                </c:pt>
                <c:pt idx="7">
                  <c:v>-0.39024000000000003</c:v>
                </c:pt>
                <c:pt idx="8">
                  <c:v>-0.10575</c:v>
                </c:pt>
                <c:pt idx="9">
                  <c:v>-4.2299999999999997E-2</c:v>
                </c:pt>
                <c:pt idx="10">
                  <c:v>0.19034999999999999</c:v>
                </c:pt>
                <c:pt idx="11">
                  <c:v>0.19034999999999999</c:v>
                </c:pt>
                <c:pt idx="12">
                  <c:v>0.17184000000000002</c:v>
                </c:pt>
                <c:pt idx="13">
                  <c:v>0.49403999999999998</c:v>
                </c:pt>
                <c:pt idx="14">
                  <c:v>0.51551999999999998</c:v>
                </c:pt>
              </c:numCache>
            </c:numRef>
          </c:val>
          <c:extLst>
            <c:ext xmlns:c16="http://schemas.microsoft.com/office/drawing/2014/chart" uri="{C3380CC4-5D6E-409C-BE32-E72D297353CC}">
              <c16:uniqueId val="{00000002-9822-4036-9F05-F6BDE75831FF}"/>
            </c:ext>
          </c:extLst>
        </c:ser>
        <c:ser>
          <c:idx val="4"/>
          <c:order val="4"/>
          <c:tx>
            <c:strRef>
              <c:f>Sheet1!$G$1</c:f>
              <c:strCache>
                <c:ptCount val="1"/>
                <c:pt idx="0">
                  <c:v>Ծառայություններ </c:v>
                </c:pt>
              </c:strCache>
            </c:strRef>
          </c:tx>
          <c:spPr>
            <a:solidFill>
              <a:srgbClr val="B4C7E7"/>
            </a:solidFill>
            <a:ln>
              <a:noFill/>
            </a:ln>
            <a:effectLst/>
          </c:spPr>
          <c:invertIfNegative val="0"/>
          <c:cat>
            <c:multiLvlStrRef>
              <c:f>Sheet1!$A$28:$B$78</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2023</c:v>
                  </c:pt>
                  <c:pt idx="4">
                    <c:v>2024</c:v>
                  </c:pt>
                  <c:pt idx="8">
                    <c:v>2025</c:v>
                  </c:pt>
                  <c:pt idx="12">
                    <c:v>2026</c:v>
                  </c:pt>
                </c:lvl>
              </c:multiLvlStrCache>
            </c:multiLvlStrRef>
          </c:cat>
          <c:val>
            <c:numRef>
              <c:f>Sheet1!$G$28:$G$78</c:f>
              <c:numCache>
                <c:formatCode>0.0</c:formatCode>
                <c:ptCount val="15"/>
                <c:pt idx="0">
                  <c:v>2.1678000000000002</c:v>
                </c:pt>
                <c:pt idx="1">
                  <c:v>1.2643800000000001</c:v>
                </c:pt>
                <c:pt idx="2">
                  <c:v>1.0374400000000001</c:v>
                </c:pt>
                <c:pt idx="3">
                  <c:v>1.0545</c:v>
                </c:pt>
                <c:pt idx="4">
                  <c:v>0.81050000000000011</c:v>
                </c:pt>
                <c:pt idx="5">
                  <c:v>0.87534000000000001</c:v>
                </c:pt>
                <c:pt idx="6">
                  <c:v>1.1671199999999999</c:v>
                </c:pt>
                <c:pt idx="7">
                  <c:v>0.81050000000000011</c:v>
                </c:pt>
                <c:pt idx="8">
                  <c:v>0.97555999999999998</c:v>
                </c:pt>
                <c:pt idx="9">
                  <c:v>1.1774</c:v>
                </c:pt>
                <c:pt idx="10">
                  <c:v>0.94191999999999998</c:v>
                </c:pt>
                <c:pt idx="11">
                  <c:v>1.04284</c:v>
                </c:pt>
                <c:pt idx="12">
                  <c:v>0.87775999999999998</c:v>
                </c:pt>
                <c:pt idx="13">
                  <c:v>0.81023999999999985</c:v>
                </c:pt>
                <c:pt idx="14">
                  <c:v>0.9452799999999999</c:v>
                </c:pt>
              </c:numCache>
            </c:numRef>
          </c:val>
          <c:extLst>
            <c:ext xmlns:c16="http://schemas.microsoft.com/office/drawing/2014/chart" uri="{C3380CC4-5D6E-409C-BE32-E72D297353CC}">
              <c16:uniqueId val="{00000003-9822-4036-9F05-F6BDE75831FF}"/>
            </c:ext>
          </c:extLst>
        </c:ser>
        <c:dLbls>
          <c:showLegendKey val="0"/>
          <c:showVal val="0"/>
          <c:showCatName val="0"/>
          <c:showSerName val="0"/>
          <c:showPercent val="0"/>
          <c:showBubbleSize val="0"/>
        </c:dLbls>
        <c:gapWidth val="70"/>
        <c:overlap val="100"/>
        <c:axId val="339256064"/>
        <c:axId val="339257600"/>
      </c:barChart>
      <c:lineChart>
        <c:grouping val="standard"/>
        <c:varyColors val="0"/>
        <c:ser>
          <c:idx val="0"/>
          <c:order val="0"/>
          <c:tx>
            <c:strRef>
              <c:f>Sheet1!$C$1</c:f>
              <c:strCache>
                <c:ptCount val="1"/>
                <c:pt idx="0">
                  <c:v>12-ամսյա գնաճ</c:v>
                </c:pt>
              </c:strCache>
            </c:strRef>
          </c:tx>
          <c:spPr>
            <a:ln w="25400" cap="rnd">
              <a:solidFill>
                <a:srgbClr val="4472C4">
                  <a:lumMod val="75000"/>
                </a:srgbClr>
              </a:solidFill>
              <a:round/>
            </a:ln>
            <a:effectLst/>
          </c:spPr>
          <c:marker>
            <c:symbol val="none"/>
          </c:marker>
          <c:dLbls>
            <c:dLbl>
              <c:idx val="1"/>
              <c:layout>
                <c:manualLayout>
                  <c:x val="-6.7524015911460636E-2"/>
                  <c:y val="-0.1242637795275590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822-4036-9F05-F6BDE75831FF}"/>
                </c:ext>
              </c:extLst>
            </c:dLbl>
            <c:dLbl>
              <c:idx val="3"/>
              <c:layout>
                <c:manualLayout>
                  <c:x val="-6.3692771936442072E-2"/>
                  <c:y val="-0.1020415573053368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822-4036-9F05-F6BDE75831FF}"/>
                </c:ext>
              </c:extLst>
            </c:dLbl>
            <c:dLbl>
              <c:idx val="4"/>
              <c:layout>
                <c:manualLayout>
                  <c:x val="-5.9012054630895837E-2"/>
                  <c:y val="-0.1020415573053368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822-4036-9F05-F6BDE75831FF}"/>
                </c:ext>
              </c:extLst>
            </c:dLbl>
            <c:dLbl>
              <c:idx val="5"/>
              <c:layout>
                <c:manualLayout>
                  <c:x val="-5.5861712802711613E-2"/>
                  <c:y val="-7.426377952755910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822-4036-9F05-F6BDE75831FF}"/>
                </c:ext>
              </c:extLst>
            </c:dLbl>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Sheet1!$A$52:$B$78</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2023</c:v>
                  </c:pt>
                  <c:pt idx="4">
                    <c:v>2024</c:v>
                  </c:pt>
                  <c:pt idx="8">
                    <c:v>2025</c:v>
                  </c:pt>
                  <c:pt idx="12">
                    <c:v>2026</c:v>
                  </c:pt>
                </c:lvl>
              </c:multiLvlStrCache>
            </c:multiLvlStrRef>
          </c:cat>
          <c:val>
            <c:numRef>
              <c:f>Sheet1!$C$28:$C$78</c:f>
              <c:numCache>
                <c:formatCode>0.0</c:formatCode>
                <c:ptCount val="15"/>
                <c:pt idx="0">
                  <c:v>5.4</c:v>
                </c:pt>
                <c:pt idx="1">
                  <c:v>-0.5</c:v>
                </c:pt>
                <c:pt idx="2">
                  <c:v>0.1</c:v>
                </c:pt>
                <c:pt idx="3">
                  <c:v>-0.6</c:v>
                </c:pt>
                <c:pt idx="4">
                  <c:v>-1.2</c:v>
                </c:pt>
                <c:pt idx="5">
                  <c:v>0.8</c:v>
                </c:pt>
                <c:pt idx="6">
                  <c:v>0.6</c:v>
                </c:pt>
                <c:pt idx="7">
                  <c:v>1.5</c:v>
                </c:pt>
                <c:pt idx="8">
                  <c:v>3.2551000000000001</c:v>
                </c:pt>
                <c:pt idx="9">
                  <c:v>3.9161000000000001</c:v>
                </c:pt>
                <c:pt idx="10">
                  <c:v>3.7408999999999999</c:v>
                </c:pt>
                <c:pt idx="11">
                  <c:v>3.2797999999999998</c:v>
                </c:pt>
                <c:pt idx="12">
                  <c:v>4.5415999999999999</c:v>
                </c:pt>
                <c:pt idx="13">
                  <c:v>5.0572999999999997</c:v>
                </c:pt>
                <c:pt idx="14">
                  <c:v>4.4008000000000003</c:v>
                </c:pt>
              </c:numCache>
            </c:numRef>
          </c:val>
          <c:smooth val="0"/>
          <c:extLst>
            <c:ext xmlns:c16="http://schemas.microsoft.com/office/drawing/2014/chart" uri="{C3380CC4-5D6E-409C-BE32-E72D297353CC}">
              <c16:uniqueId val="{00000008-9822-4036-9F05-F6BDE75831FF}"/>
            </c:ext>
          </c:extLst>
        </c:ser>
        <c:dLbls>
          <c:showLegendKey val="0"/>
          <c:showVal val="0"/>
          <c:showCatName val="0"/>
          <c:showSerName val="0"/>
          <c:showPercent val="0"/>
          <c:showBubbleSize val="0"/>
        </c:dLbls>
        <c:marker val="1"/>
        <c:smooth val="0"/>
        <c:axId val="339256064"/>
        <c:axId val="339257600"/>
      </c:lineChart>
      <c:catAx>
        <c:axId val="339256064"/>
        <c:scaling>
          <c:orientation val="minMax"/>
        </c:scaling>
        <c:delete val="0"/>
        <c:axPos val="b"/>
        <c:numFmt formatCode="General" sourceLinked="1"/>
        <c:majorTickMark val="out"/>
        <c:minorTickMark val="none"/>
        <c:tickLblPos val="low"/>
        <c:spPr>
          <a:noFill/>
          <a:ln w="9525" cap="flat" cmpd="sng" algn="ctr">
            <a:solidFill>
              <a:schemeClr val="dk1">
                <a:lumMod val="15000"/>
                <a:lumOff val="85000"/>
              </a:schemeClr>
            </a:solidFill>
            <a:round/>
          </a:ln>
          <a:effectLst/>
        </c:spPr>
        <c:txPr>
          <a:bodyPr rot="-5400000" vert="horz" anchor="ctr" anchorCtr="0"/>
          <a:lstStyle/>
          <a:p>
            <a:pPr>
              <a:defRPr b="1"/>
            </a:pPr>
            <a:endParaRPr lang="en-US"/>
          </a:p>
        </c:txPr>
        <c:crossAx val="339257600"/>
        <c:crosses val="autoZero"/>
        <c:auto val="1"/>
        <c:lblAlgn val="ctr"/>
        <c:lblOffset val="100"/>
        <c:tickMarkSkip val="1"/>
        <c:noMultiLvlLbl val="0"/>
      </c:catAx>
      <c:valAx>
        <c:axId val="339257600"/>
        <c:scaling>
          <c:orientation val="minMax"/>
        </c:scaling>
        <c:delete val="0"/>
        <c:axPos val="l"/>
        <c:numFmt formatCode="0" sourceLinked="0"/>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339256064"/>
        <c:crosses val="autoZero"/>
        <c:crossBetween val="between"/>
      </c:valAx>
      <c:spPr>
        <a:noFill/>
        <a:ln w="25400">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defRPr sz="80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r>
              <a:rPr lang="en-US"/>
              <a:t>Մ</a:t>
            </a:r>
            <a:r>
              <a:rPr lang="hy-AM"/>
              <a:t>իջին գնաճը</a:t>
            </a:r>
            <a:r>
              <a:rPr lang="en-US"/>
              <a:t>, %</a:t>
            </a:r>
          </a:p>
        </c:rich>
      </c:tx>
      <c:layout>
        <c:manualLayout>
          <c:xMode val="edge"/>
          <c:yMode val="edge"/>
          <c:x val="8.6218463763458125E-2"/>
          <c:y val="4.9668874172185427E-2"/>
        </c:manualLayout>
      </c:layout>
      <c:overlay val="0"/>
      <c:spPr>
        <a:noFill/>
        <a:ln>
          <a:noFill/>
        </a:ln>
        <a:effectLst/>
      </c:spPr>
    </c:title>
    <c:autoTitleDeleted val="0"/>
    <c:plotArea>
      <c:layout>
        <c:manualLayout>
          <c:layoutTarget val="inner"/>
          <c:xMode val="edge"/>
          <c:yMode val="edge"/>
          <c:x val="8.8756427767957571E-2"/>
          <c:y val="0.18661026229337227"/>
          <c:w val="0.84611086560608495"/>
          <c:h val="0.55506780402449696"/>
        </c:manualLayout>
      </c:layout>
      <c:barChart>
        <c:barDir val="col"/>
        <c:grouping val="stacked"/>
        <c:varyColors val="0"/>
        <c:ser>
          <c:idx val="1"/>
          <c:order val="1"/>
          <c:tx>
            <c:strRef>
              <c:f>Sheet1!$D$1</c:f>
              <c:strCache>
                <c:ptCount val="1"/>
                <c:pt idx="0">
                  <c:v>Սննդամթերք և ոչ ալկոհոլային խմիչքներ</c:v>
                </c:pt>
              </c:strCache>
            </c:strRef>
          </c:tx>
          <c:spPr>
            <a:solidFill>
              <a:srgbClr val="4472C4">
                <a:lumMod val="50000"/>
              </a:srgbClr>
            </a:solidFill>
            <a:ln>
              <a:noFill/>
            </a:ln>
            <a:effectLst/>
          </c:spPr>
          <c:invertIfNegative val="0"/>
          <c:cat>
            <c:multiLvlStrRef>
              <c:f>Sheet1!$A$60:$B$74</c:f>
              <c:multiLvlStrCache>
                <c:ptCount val="11"/>
                <c:lvl>
                  <c:pt idx="0">
                    <c:v>I</c:v>
                  </c:pt>
                  <c:pt idx="1">
                    <c:v>II</c:v>
                  </c:pt>
                  <c:pt idx="2">
                    <c:v>III</c:v>
                  </c:pt>
                  <c:pt idx="3">
                    <c:v>IV</c:v>
                  </c:pt>
                  <c:pt idx="4">
                    <c:v>I</c:v>
                  </c:pt>
                  <c:pt idx="5">
                    <c:v>II</c:v>
                  </c:pt>
                  <c:pt idx="6">
                    <c:v>III</c:v>
                  </c:pt>
                  <c:pt idx="7">
                    <c:v>IV</c:v>
                  </c:pt>
                  <c:pt idx="8">
                    <c:v>I</c:v>
                  </c:pt>
                  <c:pt idx="9">
                    <c:v>II</c:v>
                  </c:pt>
                  <c:pt idx="10">
                    <c:v>III</c:v>
                  </c:pt>
                </c:lvl>
                <c:lvl>
                  <c:pt idx="0">
                    <c:v>2023</c:v>
                  </c:pt>
                  <c:pt idx="4">
                    <c:v>2024</c:v>
                  </c:pt>
                  <c:pt idx="8">
                    <c:v>2025</c:v>
                  </c:pt>
                </c:lvl>
              </c:multiLvlStrCache>
            </c:multiLvlStrRef>
          </c:cat>
          <c:val>
            <c:numRef>
              <c:f>Sheet1!$D$2:$D$78</c:f>
              <c:numCache>
                <c:formatCode>0.0</c:formatCode>
                <c:ptCount val="15"/>
                <c:pt idx="0">
                  <c:v>3.0135239999999999</c:v>
                </c:pt>
                <c:pt idx="1">
                  <c:v>1.1994399999999998</c:v>
                </c:pt>
                <c:pt idx="2">
                  <c:v>0.28952</c:v>
                </c:pt>
                <c:pt idx="3">
                  <c:v>-0.18875</c:v>
                </c:pt>
                <c:pt idx="4">
                  <c:v>-2.60568</c:v>
                </c:pt>
                <c:pt idx="5">
                  <c:v>-1.8198400000000001</c:v>
                </c:pt>
                <c:pt idx="6">
                  <c:v>-1.2407999999999999</c:v>
                </c:pt>
                <c:pt idx="7">
                  <c:v>-0.82719999999999994</c:v>
                </c:pt>
                <c:pt idx="8">
                  <c:v>1.6771910999999997</c:v>
                </c:pt>
                <c:pt idx="9">
                  <c:v>2.1271692</c:v>
                </c:pt>
                <c:pt idx="10">
                  <c:v>2.1271692</c:v>
                </c:pt>
                <c:pt idx="11">
                  <c:v>2.0453550000000003</c:v>
                </c:pt>
                <c:pt idx="12">
                  <c:v>2.7426847999999997</c:v>
                </c:pt>
                <c:pt idx="13">
                  <c:v>3.0250199999999996</c:v>
                </c:pt>
                <c:pt idx="14">
                  <c:v>2.9443527999999999</c:v>
                </c:pt>
              </c:numCache>
            </c:numRef>
          </c:val>
          <c:extLst>
            <c:ext xmlns:c16="http://schemas.microsoft.com/office/drawing/2014/chart" uri="{C3380CC4-5D6E-409C-BE32-E72D297353CC}">
              <c16:uniqueId val="{00000000-8B8B-448B-A26F-EF0ABD365161}"/>
            </c:ext>
          </c:extLst>
        </c:ser>
        <c:ser>
          <c:idx val="2"/>
          <c:order val="2"/>
          <c:tx>
            <c:strRef>
              <c:f>Sheet1!$E$1</c:f>
              <c:strCache>
                <c:ptCount val="1"/>
                <c:pt idx="0">
                  <c:v>Ալկոհոլային խմիչքներ, ծխախոտ</c:v>
                </c:pt>
              </c:strCache>
            </c:strRef>
          </c:tx>
          <c:spPr>
            <a:solidFill>
              <a:srgbClr val="ED7D31">
                <a:lumMod val="60000"/>
                <a:lumOff val="40000"/>
              </a:srgbClr>
            </a:solidFill>
            <a:ln>
              <a:noFill/>
            </a:ln>
            <a:effectLst/>
          </c:spPr>
          <c:invertIfNegative val="0"/>
          <c:cat>
            <c:multiLvlStrRef>
              <c:f>Sheet1!$A$60:$B$74</c:f>
              <c:multiLvlStrCache>
                <c:ptCount val="11"/>
                <c:lvl>
                  <c:pt idx="0">
                    <c:v>I</c:v>
                  </c:pt>
                  <c:pt idx="1">
                    <c:v>II</c:v>
                  </c:pt>
                  <c:pt idx="2">
                    <c:v>III</c:v>
                  </c:pt>
                  <c:pt idx="3">
                    <c:v>IV</c:v>
                  </c:pt>
                  <c:pt idx="4">
                    <c:v>I</c:v>
                  </c:pt>
                  <c:pt idx="5">
                    <c:v>II</c:v>
                  </c:pt>
                  <c:pt idx="6">
                    <c:v>III</c:v>
                  </c:pt>
                  <c:pt idx="7">
                    <c:v>IV</c:v>
                  </c:pt>
                  <c:pt idx="8">
                    <c:v>I</c:v>
                  </c:pt>
                  <c:pt idx="9">
                    <c:v>II</c:v>
                  </c:pt>
                  <c:pt idx="10">
                    <c:v>III</c:v>
                  </c:pt>
                </c:lvl>
                <c:lvl>
                  <c:pt idx="0">
                    <c:v>2023</c:v>
                  </c:pt>
                  <c:pt idx="4">
                    <c:v>2024</c:v>
                  </c:pt>
                  <c:pt idx="8">
                    <c:v>2025</c:v>
                  </c:pt>
                </c:lvl>
              </c:multiLvlStrCache>
            </c:multiLvlStrRef>
          </c:cat>
          <c:val>
            <c:numRef>
              <c:f>Sheet1!$E$2:$E$78</c:f>
              <c:numCache>
                <c:formatCode>0.0</c:formatCode>
                <c:ptCount val="15"/>
                <c:pt idx="0">
                  <c:v>0.40555969999999997</c:v>
                </c:pt>
                <c:pt idx="1">
                  <c:v>0.39043999999999995</c:v>
                </c:pt>
                <c:pt idx="2">
                  <c:v>0.38590000000000002</c:v>
                </c:pt>
                <c:pt idx="3">
                  <c:v>0.32640000000000002</c:v>
                </c:pt>
                <c:pt idx="4">
                  <c:v>0.33596000000000004</c:v>
                </c:pt>
                <c:pt idx="5">
                  <c:v>0.30418000000000001</c:v>
                </c:pt>
                <c:pt idx="6">
                  <c:v>0.26785999999999999</c:v>
                </c:pt>
                <c:pt idx="7">
                  <c:v>0.24516000000000002</c:v>
                </c:pt>
                <c:pt idx="8">
                  <c:v>0.17654599999999998</c:v>
                </c:pt>
                <c:pt idx="9">
                  <c:v>0.219606</c:v>
                </c:pt>
                <c:pt idx="10">
                  <c:v>0.24113599999999999</c:v>
                </c:pt>
                <c:pt idx="11">
                  <c:v>0.25835999999999998</c:v>
                </c:pt>
                <c:pt idx="12">
                  <c:v>0.41162730000000003</c:v>
                </c:pt>
                <c:pt idx="13">
                  <c:v>0.37179240000000002</c:v>
                </c:pt>
                <c:pt idx="14">
                  <c:v>0.36294019999999994</c:v>
                </c:pt>
              </c:numCache>
            </c:numRef>
          </c:val>
          <c:extLst>
            <c:ext xmlns:c16="http://schemas.microsoft.com/office/drawing/2014/chart" uri="{C3380CC4-5D6E-409C-BE32-E72D297353CC}">
              <c16:uniqueId val="{00000001-8B8B-448B-A26F-EF0ABD365161}"/>
            </c:ext>
          </c:extLst>
        </c:ser>
        <c:ser>
          <c:idx val="3"/>
          <c:order val="3"/>
          <c:tx>
            <c:strRef>
              <c:f>Sheet1!$F$1</c:f>
              <c:strCache>
                <c:ptCount val="1"/>
                <c:pt idx="0">
                  <c:v>Ոչ պարենային ապրանքներ</c:v>
                </c:pt>
              </c:strCache>
            </c:strRef>
          </c:tx>
          <c:spPr>
            <a:solidFill>
              <a:sysClr val="window" lastClr="FFFFFF">
                <a:lumMod val="65000"/>
              </a:sysClr>
            </a:solidFill>
            <a:ln>
              <a:noFill/>
            </a:ln>
            <a:effectLst/>
          </c:spPr>
          <c:invertIfNegative val="0"/>
          <c:cat>
            <c:multiLvlStrRef>
              <c:f>Sheet1!$A$60:$B$74</c:f>
              <c:multiLvlStrCache>
                <c:ptCount val="11"/>
                <c:lvl>
                  <c:pt idx="0">
                    <c:v>I</c:v>
                  </c:pt>
                  <c:pt idx="1">
                    <c:v>II</c:v>
                  </c:pt>
                  <c:pt idx="2">
                    <c:v>III</c:v>
                  </c:pt>
                  <c:pt idx="3">
                    <c:v>IV</c:v>
                  </c:pt>
                  <c:pt idx="4">
                    <c:v>I</c:v>
                  </c:pt>
                  <c:pt idx="5">
                    <c:v>II</c:v>
                  </c:pt>
                  <c:pt idx="6">
                    <c:v>III</c:v>
                  </c:pt>
                  <c:pt idx="7">
                    <c:v>IV</c:v>
                  </c:pt>
                  <c:pt idx="8">
                    <c:v>I</c:v>
                  </c:pt>
                  <c:pt idx="9">
                    <c:v>II</c:v>
                  </c:pt>
                  <c:pt idx="10">
                    <c:v>III</c:v>
                  </c:pt>
                </c:lvl>
                <c:lvl>
                  <c:pt idx="0">
                    <c:v>2023</c:v>
                  </c:pt>
                  <c:pt idx="4">
                    <c:v>2024</c:v>
                  </c:pt>
                  <c:pt idx="8">
                    <c:v>2025</c:v>
                  </c:pt>
                </c:lvl>
              </c:multiLvlStrCache>
            </c:multiLvlStrRef>
          </c:cat>
          <c:val>
            <c:numRef>
              <c:f>Sheet1!$F$2:$F$78</c:f>
              <c:numCache>
                <c:formatCode>0.0</c:formatCode>
                <c:ptCount val="15"/>
                <c:pt idx="0">
                  <c:v>1.1993400000000001</c:v>
                </c:pt>
                <c:pt idx="1">
                  <c:v>0.71543999999999996</c:v>
                </c:pt>
                <c:pt idx="2">
                  <c:v>0.47696000000000005</c:v>
                </c:pt>
                <c:pt idx="3">
                  <c:v>0.39541999999999999</c:v>
                </c:pt>
                <c:pt idx="4">
                  <c:v>8.6720000000000005E-2</c:v>
                </c:pt>
                <c:pt idx="5">
                  <c:v>2.1680000000000001E-2</c:v>
                </c:pt>
                <c:pt idx="6">
                  <c:v>-8.6720000000000005E-2</c:v>
                </c:pt>
                <c:pt idx="7">
                  <c:v>-0.17344000000000001</c:v>
                </c:pt>
                <c:pt idx="8">
                  <c:v>-0.23265</c:v>
                </c:pt>
                <c:pt idx="9">
                  <c:v>-0.14804999999999999</c:v>
                </c:pt>
                <c:pt idx="10">
                  <c:v>-4.2299999999999997E-2</c:v>
                </c:pt>
                <c:pt idx="11">
                  <c:v>2.1149999999999999E-2</c:v>
                </c:pt>
                <c:pt idx="12">
                  <c:v>0.19332000000000002</c:v>
                </c:pt>
                <c:pt idx="13">
                  <c:v>0.30071999999999999</c:v>
                </c:pt>
                <c:pt idx="14">
                  <c:v>0.36515999999999998</c:v>
                </c:pt>
              </c:numCache>
            </c:numRef>
          </c:val>
          <c:extLst>
            <c:ext xmlns:c16="http://schemas.microsoft.com/office/drawing/2014/chart" uri="{C3380CC4-5D6E-409C-BE32-E72D297353CC}">
              <c16:uniqueId val="{00000002-8B8B-448B-A26F-EF0ABD365161}"/>
            </c:ext>
          </c:extLst>
        </c:ser>
        <c:ser>
          <c:idx val="4"/>
          <c:order val="4"/>
          <c:tx>
            <c:strRef>
              <c:f>Sheet1!$G$1</c:f>
              <c:strCache>
                <c:ptCount val="1"/>
                <c:pt idx="0">
                  <c:v>Ծառայություններ </c:v>
                </c:pt>
              </c:strCache>
            </c:strRef>
          </c:tx>
          <c:spPr>
            <a:solidFill>
              <a:srgbClr val="B4C7E7"/>
            </a:solidFill>
            <a:ln>
              <a:noFill/>
            </a:ln>
            <a:effectLst/>
          </c:spPr>
          <c:invertIfNegative val="0"/>
          <c:cat>
            <c:multiLvlStrRef>
              <c:f>Sheet1!$A$60:$B$74</c:f>
              <c:multiLvlStrCache>
                <c:ptCount val="11"/>
                <c:lvl>
                  <c:pt idx="0">
                    <c:v>I</c:v>
                  </c:pt>
                  <c:pt idx="1">
                    <c:v>II</c:v>
                  </c:pt>
                  <c:pt idx="2">
                    <c:v>III</c:v>
                  </c:pt>
                  <c:pt idx="3">
                    <c:v>IV</c:v>
                  </c:pt>
                  <c:pt idx="4">
                    <c:v>I</c:v>
                  </c:pt>
                  <c:pt idx="5">
                    <c:v>II</c:v>
                  </c:pt>
                  <c:pt idx="6">
                    <c:v>III</c:v>
                  </c:pt>
                  <c:pt idx="7">
                    <c:v>IV</c:v>
                  </c:pt>
                  <c:pt idx="8">
                    <c:v>I</c:v>
                  </c:pt>
                  <c:pt idx="9">
                    <c:v>II</c:v>
                  </c:pt>
                  <c:pt idx="10">
                    <c:v>III</c:v>
                  </c:pt>
                </c:lvl>
                <c:lvl>
                  <c:pt idx="0">
                    <c:v>2023</c:v>
                  </c:pt>
                  <c:pt idx="4">
                    <c:v>2024</c:v>
                  </c:pt>
                  <c:pt idx="8">
                    <c:v>2025</c:v>
                  </c:pt>
                </c:lvl>
              </c:multiLvlStrCache>
            </c:multiLvlStrRef>
          </c:cat>
          <c:val>
            <c:numRef>
              <c:f>Sheet1!$G$2:$G$78</c:f>
              <c:numCache>
                <c:formatCode>0.0</c:formatCode>
                <c:ptCount val="15"/>
                <c:pt idx="0">
                  <c:v>2.4929700000000001</c:v>
                </c:pt>
                <c:pt idx="1">
                  <c:v>1.8479400000000001</c:v>
                </c:pt>
                <c:pt idx="2">
                  <c:v>1.6210000000000002</c:v>
                </c:pt>
                <c:pt idx="3">
                  <c:v>1.5817499999999998</c:v>
                </c:pt>
                <c:pt idx="4">
                  <c:v>0.97260000000000002</c:v>
                </c:pt>
                <c:pt idx="5">
                  <c:v>0.90776000000000001</c:v>
                </c:pt>
                <c:pt idx="6">
                  <c:v>0.97260000000000002</c:v>
                </c:pt>
                <c:pt idx="7">
                  <c:v>0.97260000000000002</c:v>
                </c:pt>
                <c:pt idx="8">
                  <c:v>0.90827999999999998</c:v>
                </c:pt>
                <c:pt idx="9">
                  <c:v>0.97555999999999998</c:v>
                </c:pt>
                <c:pt idx="10">
                  <c:v>1.0092000000000001</c:v>
                </c:pt>
                <c:pt idx="11">
                  <c:v>1.0092000000000001</c:v>
                </c:pt>
                <c:pt idx="12">
                  <c:v>0.9452799999999999</c:v>
                </c:pt>
                <c:pt idx="13">
                  <c:v>0.91152</c:v>
                </c:pt>
                <c:pt idx="14">
                  <c:v>0.87775999999999998</c:v>
                </c:pt>
              </c:numCache>
            </c:numRef>
          </c:val>
          <c:extLst>
            <c:ext xmlns:c16="http://schemas.microsoft.com/office/drawing/2014/chart" uri="{C3380CC4-5D6E-409C-BE32-E72D297353CC}">
              <c16:uniqueId val="{00000003-8B8B-448B-A26F-EF0ABD365161}"/>
            </c:ext>
          </c:extLst>
        </c:ser>
        <c:dLbls>
          <c:showLegendKey val="0"/>
          <c:showVal val="0"/>
          <c:showCatName val="0"/>
          <c:showSerName val="0"/>
          <c:showPercent val="0"/>
          <c:showBubbleSize val="0"/>
        </c:dLbls>
        <c:gapWidth val="70"/>
        <c:overlap val="100"/>
        <c:axId val="339650048"/>
        <c:axId val="339651584"/>
      </c:barChart>
      <c:lineChart>
        <c:grouping val="standard"/>
        <c:varyColors val="0"/>
        <c:ser>
          <c:idx val="0"/>
          <c:order val="0"/>
          <c:tx>
            <c:strRef>
              <c:f>Sheet1!$C$1</c:f>
              <c:strCache>
                <c:ptCount val="1"/>
                <c:pt idx="0">
                  <c:v>Միջին գնաճ</c:v>
                </c:pt>
              </c:strCache>
            </c:strRef>
          </c:tx>
          <c:spPr>
            <a:ln w="25400" cap="rnd">
              <a:solidFill>
                <a:srgbClr val="4472C4">
                  <a:lumMod val="75000"/>
                </a:srgbClr>
              </a:solidFill>
              <a:round/>
            </a:ln>
            <a:effectLst/>
          </c:spPr>
          <c:marker>
            <c:symbol val="none"/>
          </c:marker>
          <c:dLbls>
            <c:dLbl>
              <c:idx val="0"/>
              <c:layout>
                <c:manualLayout>
                  <c:x val="-5.528628656573837E-2"/>
                  <c:y val="-3.53748906386701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B8B-448B-A26F-EF0ABD365161}"/>
                </c:ext>
              </c:extLst>
            </c:dLbl>
            <c:dLbl>
              <c:idx val="4"/>
              <c:layout>
                <c:manualLayout>
                  <c:x val="-5.9012054630895691E-2"/>
                  <c:y val="-0.13537489063867028"/>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B8B-448B-A26F-EF0ABD365161}"/>
                </c:ext>
              </c:extLst>
            </c:dLbl>
            <c:dLbl>
              <c:idx val="5"/>
              <c:layout>
                <c:manualLayout>
                  <c:x val="-5.3869569165879039E-2"/>
                  <c:y val="-0.12981933508311461"/>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B8B-448B-A26F-EF0ABD365161}"/>
                </c:ext>
              </c:extLst>
            </c:dLbl>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Sheet1!$A$28:$B$78</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2023</c:v>
                  </c:pt>
                  <c:pt idx="4">
                    <c:v>2024</c:v>
                  </c:pt>
                  <c:pt idx="8">
                    <c:v>2025</c:v>
                  </c:pt>
                  <c:pt idx="12">
                    <c:v>2026</c:v>
                  </c:pt>
                </c:lvl>
              </c:multiLvlStrCache>
            </c:multiLvlStrRef>
          </c:cat>
          <c:val>
            <c:numRef>
              <c:f>Sheet1!$C$2:$C$78</c:f>
              <c:numCache>
                <c:formatCode>0.0</c:formatCode>
                <c:ptCount val="15"/>
                <c:pt idx="0">
                  <c:v>7.2</c:v>
                </c:pt>
                <c:pt idx="1">
                  <c:v>4.2</c:v>
                </c:pt>
                <c:pt idx="2">
                  <c:v>2.8</c:v>
                </c:pt>
                <c:pt idx="3">
                  <c:v>2</c:v>
                </c:pt>
                <c:pt idx="4">
                  <c:v>-1.2</c:v>
                </c:pt>
                <c:pt idx="5">
                  <c:v>-0.6</c:v>
                </c:pt>
                <c:pt idx="6">
                  <c:v>0</c:v>
                </c:pt>
                <c:pt idx="7">
                  <c:v>0.3</c:v>
                </c:pt>
                <c:pt idx="8">
                  <c:v>2.5028000000000001</c:v>
                </c:pt>
                <c:pt idx="9">
                  <c:v>3.1444999999999999</c:v>
                </c:pt>
                <c:pt idx="10">
                  <c:v>3.2888999999999999</c:v>
                </c:pt>
                <c:pt idx="11">
                  <c:v>3.3069000000000002</c:v>
                </c:pt>
                <c:pt idx="12">
                  <c:v>4.2222</c:v>
                </c:pt>
                <c:pt idx="13">
                  <c:v>4.5526</c:v>
                </c:pt>
                <c:pt idx="14">
                  <c:v>4.5217000000000001</c:v>
                </c:pt>
              </c:numCache>
            </c:numRef>
          </c:val>
          <c:smooth val="0"/>
          <c:extLst>
            <c:ext xmlns:c16="http://schemas.microsoft.com/office/drawing/2014/chart" uri="{C3380CC4-5D6E-409C-BE32-E72D297353CC}">
              <c16:uniqueId val="{00000007-8B8B-448B-A26F-EF0ABD365161}"/>
            </c:ext>
          </c:extLst>
        </c:ser>
        <c:dLbls>
          <c:showLegendKey val="0"/>
          <c:showVal val="0"/>
          <c:showCatName val="0"/>
          <c:showSerName val="0"/>
          <c:showPercent val="0"/>
          <c:showBubbleSize val="0"/>
        </c:dLbls>
        <c:marker val="1"/>
        <c:smooth val="0"/>
        <c:axId val="339650048"/>
        <c:axId val="339651584"/>
      </c:lineChart>
      <c:catAx>
        <c:axId val="339650048"/>
        <c:scaling>
          <c:orientation val="minMax"/>
        </c:scaling>
        <c:delete val="0"/>
        <c:axPos val="b"/>
        <c:numFmt formatCode="General" sourceLinked="1"/>
        <c:majorTickMark val="out"/>
        <c:minorTickMark val="none"/>
        <c:tickLblPos val="low"/>
        <c:spPr>
          <a:noFill/>
          <a:ln w="9525" cap="flat" cmpd="sng" algn="ctr">
            <a:solidFill>
              <a:sysClr val="windowText" lastClr="000000">
                <a:lumMod val="15000"/>
                <a:lumOff val="85000"/>
              </a:sysClr>
            </a:solidFill>
            <a:round/>
          </a:ln>
          <a:effectLst/>
        </c:spPr>
        <c:txPr>
          <a:bodyPr rot="-5400000" vert="horz" anchor="t" anchorCtr="0"/>
          <a:lstStyle/>
          <a:p>
            <a:pPr>
              <a:defRPr b="1"/>
            </a:pPr>
            <a:endParaRPr lang="en-US"/>
          </a:p>
        </c:txPr>
        <c:crossAx val="339651584"/>
        <c:crosses val="autoZero"/>
        <c:auto val="1"/>
        <c:lblAlgn val="ctr"/>
        <c:lblOffset val="100"/>
        <c:tickMarkSkip val="1"/>
        <c:noMultiLvlLbl val="0"/>
      </c:catAx>
      <c:valAx>
        <c:axId val="339651584"/>
        <c:scaling>
          <c:orientation val="minMax"/>
          <c:max val="12"/>
          <c:min val="-4"/>
        </c:scaling>
        <c:delete val="0"/>
        <c:axPos val="l"/>
        <c:numFmt formatCode="0" sourceLinked="0"/>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339650048"/>
        <c:crosses val="autoZero"/>
        <c:crossBetween val="between"/>
      </c:valAx>
      <c:spPr>
        <a:noFill/>
        <a:ln w="25400">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lgn="ctr">
        <a:defRPr sz="80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270836908098351"/>
          <c:y val="0.1312423813132145"/>
          <c:w val="0.84290099330803991"/>
          <c:h val="0.21350437445319334"/>
        </c:manualLayout>
      </c:layout>
      <c:barChart>
        <c:barDir val="col"/>
        <c:grouping val="stacked"/>
        <c:varyColors val="0"/>
        <c:ser>
          <c:idx val="1"/>
          <c:order val="1"/>
          <c:tx>
            <c:strRef>
              <c:f>Sheet1!$D$1</c:f>
              <c:strCache>
                <c:ptCount val="1"/>
                <c:pt idx="0">
                  <c:v>Սննդամթերք և ոչ ալկոհոլային խմիչքներ</c:v>
                </c:pt>
              </c:strCache>
            </c:strRef>
          </c:tx>
          <c:spPr>
            <a:solidFill>
              <a:srgbClr val="4472C4">
                <a:lumMod val="50000"/>
              </a:srgbClr>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Sheet1!$D$28:$D$64</c:f>
              <c:numCache>
                <c:formatCode>General</c:formatCode>
                <c:ptCount val="17"/>
              </c:numCache>
            </c:numRef>
          </c:val>
          <c:extLst>
            <c:ext xmlns:c16="http://schemas.microsoft.com/office/drawing/2014/chart" uri="{C3380CC4-5D6E-409C-BE32-E72D297353CC}">
              <c16:uniqueId val="{00000000-92EB-424E-B1B5-8FBEF2419095}"/>
            </c:ext>
          </c:extLst>
        </c:ser>
        <c:ser>
          <c:idx val="2"/>
          <c:order val="2"/>
          <c:tx>
            <c:strRef>
              <c:f>Sheet1!$E$1</c:f>
              <c:strCache>
                <c:ptCount val="1"/>
                <c:pt idx="0">
                  <c:v>Ալկոհոլային խմիչքներ, ծխախոտ</c:v>
                </c:pt>
              </c:strCache>
            </c:strRef>
          </c:tx>
          <c:spPr>
            <a:solidFill>
              <a:srgbClr val="ED7D31">
                <a:lumMod val="60000"/>
                <a:lumOff val="40000"/>
              </a:srgbClr>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Sheet1!$E$28:$E$64</c:f>
              <c:numCache>
                <c:formatCode>General</c:formatCode>
                <c:ptCount val="17"/>
              </c:numCache>
            </c:numRef>
          </c:val>
          <c:extLst>
            <c:ext xmlns:c16="http://schemas.microsoft.com/office/drawing/2014/chart" uri="{C3380CC4-5D6E-409C-BE32-E72D297353CC}">
              <c16:uniqueId val="{00000001-92EB-424E-B1B5-8FBEF2419095}"/>
            </c:ext>
          </c:extLst>
        </c:ser>
        <c:ser>
          <c:idx val="3"/>
          <c:order val="3"/>
          <c:tx>
            <c:strRef>
              <c:f>Sheet1!$F$1</c:f>
              <c:strCache>
                <c:ptCount val="1"/>
                <c:pt idx="0">
                  <c:v>Ոչ պարենային ապրանքներ</c:v>
                </c:pt>
              </c:strCache>
            </c:strRef>
          </c:tx>
          <c:spPr>
            <a:solidFill>
              <a:sysClr val="window" lastClr="FFFFFF">
                <a:lumMod val="65000"/>
              </a:sysClr>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Sheet1!$F$28:$F$64</c:f>
              <c:numCache>
                <c:formatCode>General</c:formatCode>
                <c:ptCount val="17"/>
              </c:numCache>
            </c:numRef>
          </c:val>
          <c:extLst>
            <c:ext xmlns:c16="http://schemas.microsoft.com/office/drawing/2014/chart" uri="{C3380CC4-5D6E-409C-BE32-E72D297353CC}">
              <c16:uniqueId val="{00000002-92EB-424E-B1B5-8FBEF2419095}"/>
            </c:ext>
          </c:extLst>
        </c:ser>
        <c:ser>
          <c:idx val="4"/>
          <c:order val="4"/>
          <c:tx>
            <c:strRef>
              <c:f>Sheet1!$G$1</c:f>
              <c:strCache>
                <c:ptCount val="1"/>
                <c:pt idx="0">
                  <c:v>Ծառայություններ </c:v>
                </c:pt>
              </c:strCache>
            </c:strRef>
          </c:tx>
          <c:spPr>
            <a:solidFill>
              <a:sysClr val="windowText" lastClr="000000"/>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Sheet1!$G$28:$G$64</c:f>
              <c:numCache>
                <c:formatCode>General</c:formatCode>
                <c:ptCount val="17"/>
              </c:numCache>
            </c:numRef>
          </c:val>
          <c:extLst>
            <c:ext xmlns:c16="http://schemas.microsoft.com/office/drawing/2014/chart" uri="{C3380CC4-5D6E-409C-BE32-E72D297353CC}">
              <c16:uniqueId val="{00000003-92EB-424E-B1B5-8FBEF2419095}"/>
            </c:ext>
          </c:extLst>
        </c:ser>
        <c:dLbls>
          <c:showLegendKey val="0"/>
          <c:showVal val="0"/>
          <c:showCatName val="0"/>
          <c:showSerName val="0"/>
          <c:showPercent val="0"/>
          <c:showBubbleSize val="0"/>
        </c:dLbls>
        <c:gapWidth val="100"/>
        <c:overlap val="100"/>
        <c:axId val="339256064"/>
        <c:axId val="339257600"/>
      </c:barChart>
      <c:lineChart>
        <c:grouping val="standard"/>
        <c:varyColors val="0"/>
        <c:ser>
          <c:idx val="0"/>
          <c:order val="0"/>
          <c:tx>
            <c:strRef>
              <c:f>Sheet1!$C$1</c:f>
              <c:strCache>
                <c:ptCount val="1"/>
                <c:pt idx="0">
                  <c:v>12-ամսյա գնաճ</c:v>
                </c:pt>
              </c:strCache>
            </c:strRef>
          </c:tx>
          <c:spPr>
            <a:ln w="25400" cap="rnd">
              <a:solidFill>
                <a:srgbClr val="4472C4">
                  <a:lumMod val="75000"/>
                </a:srgbClr>
              </a:solidFill>
              <a:round/>
            </a:ln>
            <a:effectLst/>
          </c:spPr>
          <c:marker>
            <c:symbol val="none"/>
          </c:marker>
          <c:dPt>
            <c:idx val="6"/>
            <c:bubble3D val="0"/>
            <c:extLst>
              <c:ext xmlns:c16="http://schemas.microsoft.com/office/drawing/2014/chart" uri="{C3380CC4-5D6E-409C-BE32-E72D297353CC}">
                <c16:uniqueId val="{00000004-92EB-424E-B1B5-8FBEF2419095}"/>
              </c:ext>
            </c:extLst>
          </c:dPt>
          <c:dPt>
            <c:idx val="7"/>
            <c:marker>
              <c:symbol val="square"/>
              <c:size val="6"/>
              <c:spPr>
                <a:solidFill>
                  <a:schemeClr val="accent1"/>
                </a:solidFill>
                <a:ln w="15875">
                  <a:solidFill>
                    <a:schemeClr val="accent1"/>
                  </a:solidFill>
                  <a:round/>
                </a:ln>
                <a:effectLst/>
              </c:spPr>
            </c:marker>
            <c:bubble3D val="0"/>
            <c:extLst>
              <c:ext xmlns:c16="http://schemas.microsoft.com/office/drawing/2014/chart" uri="{C3380CC4-5D6E-409C-BE32-E72D297353CC}">
                <c16:uniqueId val="{00000005-92EB-424E-B1B5-8FBEF2419095}"/>
              </c:ext>
            </c:extLst>
          </c:dPt>
          <c:dLbls>
            <c:spPr>
              <a:noFill/>
              <a:ln>
                <a:noFill/>
              </a:ln>
              <a:effectLst/>
            </c:spPr>
            <c:txPr>
              <a:bodyPr wrap="square" lIns="38100" tIns="19050" rIns="38100" bIns="19050" anchor="ctr">
                <a:spAutoFit/>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multiLvlStrRef>
              <c:f>Sheet1!$A$28:$B$64</c:f>
              <c:multiLvlStrCache>
                <c:ptCount val="17"/>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lvl>
                <c:lvl>
                  <c:pt idx="0">
                    <c:v>2019</c:v>
                  </c:pt>
                  <c:pt idx="4">
                    <c:v>2020</c:v>
                  </c:pt>
                  <c:pt idx="8">
                    <c:v>2021</c:v>
                  </c:pt>
                  <c:pt idx="12">
                    <c:v>2022</c:v>
                  </c:pt>
                  <c:pt idx="16">
                    <c:v>2023</c:v>
                  </c:pt>
                </c:lvl>
              </c:multiLvlStrCache>
            </c:multiLvlStrRef>
          </c:cat>
          <c:val>
            <c:numRef>
              <c:f>Sheet1!$C$28:$C$64</c:f>
              <c:numCache>
                <c:formatCode>General</c:formatCode>
                <c:ptCount val="17"/>
              </c:numCache>
            </c:numRef>
          </c:val>
          <c:smooth val="0"/>
          <c:extLst>
            <c:ext xmlns:c16="http://schemas.microsoft.com/office/drawing/2014/chart" uri="{C3380CC4-5D6E-409C-BE32-E72D297353CC}">
              <c16:uniqueId val="{00000006-92EB-424E-B1B5-8FBEF2419095}"/>
            </c:ext>
          </c:extLst>
        </c:ser>
        <c:dLbls>
          <c:showLegendKey val="0"/>
          <c:showVal val="0"/>
          <c:showCatName val="0"/>
          <c:showSerName val="0"/>
          <c:showPercent val="0"/>
          <c:showBubbleSize val="0"/>
        </c:dLbls>
        <c:marker val="1"/>
        <c:smooth val="0"/>
        <c:axId val="339256064"/>
        <c:axId val="339257600"/>
      </c:lineChart>
      <c:catAx>
        <c:axId val="339256064"/>
        <c:scaling>
          <c:orientation val="minMax"/>
        </c:scaling>
        <c:delete val="1"/>
        <c:axPos val="b"/>
        <c:numFmt formatCode="General" sourceLinked="1"/>
        <c:majorTickMark val="out"/>
        <c:minorTickMark val="none"/>
        <c:tickLblPos val="low"/>
        <c:crossAx val="339257600"/>
        <c:crosses val="autoZero"/>
        <c:auto val="1"/>
        <c:lblAlgn val="ctr"/>
        <c:lblOffset val="100"/>
        <c:noMultiLvlLbl val="0"/>
      </c:catAx>
      <c:valAx>
        <c:axId val="339257600"/>
        <c:scaling>
          <c:orientation val="minMax"/>
        </c:scaling>
        <c:delete val="1"/>
        <c:axPos val="l"/>
        <c:numFmt formatCode="General" sourceLinked="1"/>
        <c:majorTickMark val="none"/>
        <c:minorTickMark val="none"/>
        <c:tickLblPos val="nextTo"/>
        <c:crossAx val="339256064"/>
        <c:crosses val="autoZero"/>
        <c:crossBetween val="between"/>
      </c:valAx>
      <c:spPr>
        <a:pattFill prst="ltDnDiag">
          <a:fgClr>
            <a:srgbClr val="000000">
              <a:alpha val="0"/>
            </a:srgbClr>
          </a:fgClr>
          <a:bgClr>
            <a:srgbClr val="FFFFFF"/>
          </a:bgClr>
        </a:pattFill>
        <a:ln w="25400">
          <a:noFill/>
        </a:ln>
        <a:effectLst/>
      </c:spPr>
    </c:plotArea>
    <c:legend>
      <c:legendPos val="r"/>
      <c:layout>
        <c:manualLayout>
          <c:xMode val="edge"/>
          <c:yMode val="edge"/>
          <c:x val="3.193614949074762E-2"/>
          <c:y val="3.7699771399542802E-2"/>
          <c:w val="0.9640718562874252"/>
          <c:h val="0.96201147422943811"/>
        </c:manualLayout>
      </c:layout>
      <c:overlay val="0"/>
      <c:spPr>
        <a:noFill/>
        <a:ln>
          <a:noFill/>
        </a:ln>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a:solidFill>
            <a:sysClr val="windowText" lastClr="000000"/>
          </a:solidFill>
          <a:latin typeface="GHEA Grapalat" panose="02000506050000020003" pitchFamily="50" charset="0"/>
        </a:defRPr>
      </a:pPr>
      <a:endParaRPr lang="en-US"/>
    </a:p>
  </c:txPr>
  <c:externalData r:id="rId2">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lgn="l">
              <a:defRPr/>
            </a:pPr>
            <a:r>
              <a:rPr lang="hy-AM">
                <a:solidFill>
                  <a:schemeClr val="tx1"/>
                </a:solidFill>
              </a:rPr>
              <a:t>Գնաճի կանխատեսումները և նպատակային ցուցանիշը</a:t>
            </a:r>
            <a:r>
              <a:rPr lang="en-US">
                <a:solidFill>
                  <a:schemeClr val="tx1"/>
                </a:solidFill>
              </a:rPr>
              <a:t>, %</a:t>
            </a:r>
          </a:p>
        </c:rich>
      </c:tx>
      <c:layout>
        <c:manualLayout>
          <c:xMode val="edge"/>
          <c:yMode val="edge"/>
          <c:x val="9.7528775699912515E-2"/>
          <c:y val="2.5711723534558178E-2"/>
        </c:manualLayout>
      </c:layout>
      <c:overlay val="0"/>
      <c:spPr>
        <a:noFill/>
        <a:ln>
          <a:noFill/>
        </a:ln>
        <a:effectLst/>
      </c:spPr>
    </c:title>
    <c:autoTitleDeleted val="0"/>
    <c:plotArea>
      <c:layout>
        <c:manualLayout>
          <c:layoutTarget val="inner"/>
          <c:xMode val="edge"/>
          <c:yMode val="edge"/>
          <c:x val="0.11319491156570252"/>
          <c:y val="0.23598556430446199"/>
          <c:w val="0.85208299157917755"/>
          <c:h val="0.45613342082239722"/>
        </c:manualLayout>
      </c:layout>
      <c:areaChart>
        <c:grouping val="standard"/>
        <c:varyColors val="0"/>
        <c:ser>
          <c:idx val="5"/>
          <c:order val="5"/>
          <c:tx>
            <c:strRef>
              <c:f>Sheet1!$G$1</c:f>
              <c:strCache>
                <c:ptCount val="1"/>
                <c:pt idx="0">
                  <c:v>Column5</c:v>
                </c:pt>
              </c:strCache>
            </c:strRef>
          </c:tx>
          <c:cat>
            <c:numRef>
              <c:f>Sheet1!$A$2:$A$14</c:f>
              <c:numCache>
                <c:formatCode>General</c:formatCode>
                <c:ptCount val="7"/>
                <c:pt idx="0">
                  <c:v>2023</c:v>
                </c:pt>
                <c:pt idx="1">
                  <c:v>2024</c:v>
                </c:pt>
                <c:pt idx="2">
                  <c:v>2025</c:v>
                </c:pt>
                <c:pt idx="3">
                  <c:v>2026</c:v>
                </c:pt>
                <c:pt idx="4">
                  <c:v>2027</c:v>
                </c:pt>
                <c:pt idx="5">
                  <c:v>2028</c:v>
                </c:pt>
                <c:pt idx="6">
                  <c:v>2029</c:v>
                </c:pt>
              </c:numCache>
            </c:numRef>
          </c:cat>
          <c:val>
            <c:numRef>
              <c:f>Sheet1!$G$2:$G$14</c:f>
              <c:numCache>
                <c:formatCode>General</c:formatCode>
                <c:ptCount val="7"/>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00-3D3C-4F43-84C9-D2B38356438F}"/>
            </c:ext>
          </c:extLst>
        </c:ser>
        <c:dLbls>
          <c:showLegendKey val="0"/>
          <c:showVal val="0"/>
          <c:showCatName val="0"/>
          <c:showSerName val="0"/>
          <c:showPercent val="0"/>
          <c:showBubbleSize val="0"/>
        </c:dLbls>
        <c:axId val="177840128"/>
        <c:axId val="177841664"/>
      </c:areaChart>
      <c:lineChart>
        <c:grouping val="standard"/>
        <c:varyColors val="0"/>
        <c:ser>
          <c:idx val="0"/>
          <c:order val="0"/>
          <c:tx>
            <c:strRef>
              <c:f>Sheet1!$B$1</c:f>
              <c:strCache>
                <c:ptCount val="1"/>
                <c:pt idx="0">
                  <c:v>12 ամսյա գնաճ</c:v>
                </c:pt>
              </c:strCache>
            </c:strRef>
          </c:tx>
          <c:spPr>
            <a:ln w="25400" cap="rnd">
              <a:solidFill>
                <a:srgbClr val="4472C4">
                  <a:lumMod val="75000"/>
                </a:srgbClr>
              </a:solidFill>
              <a:round/>
            </a:ln>
            <a:effectLst/>
          </c:spPr>
          <c:marker>
            <c:symbol val="circle"/>
            <c:size val="5"/>
            <c:spPr>
              <a:solidFill>
                <a:srgbClr val="4472C4">
                  <a:lumMod val="75000"/>
                </a:srgbClr>
              </a:solidFill>
              <a:ln w="15875">
                <a:noFill/>
                <a:round/>
              </a:ln>
              <a:effectLst/>
            </c:spPr>
          </c:marker>
          <c:dLbls>
            <c:dLbl>
              <c:idx val="0"/>
              <c:layout>
                <c:manualLayout>
                  <c:x val="-6.7918433272763978E-2"/>
                  <c:y val="3.135483870967734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D3C-4F43-84C9-D2B38356438F}"/>
                </c:ext>
              </c:extLst>
            </c:dLbl>
            <c:dLbl>
              <c:idx val="2"/>
              <c:layout>
                <c:manualLayout>
                  <c:x val="-6.3993037712391135E-2"/>
                  <c:y val="-4.17634408602150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D3C-4F43-84C9-D2B38356438F}"/>
                </c:ext>
              </c:extLst>
            </c:dLbl>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Sheet1!$A$2:$A$14</c:f>
              <c:numCache>
                <c:formatCode>General</c:formatCode>
                <c:ptCount val="7"/>
                <c:pt idx="0">
                  <c:v>2023</c:v>
                </c:pt>
                <c:pt idx="1">
                  <c:v>2024</c:v>
                </c:pt>
                <c:pt idx="2">
                  <c:v>2025</c:v>
                </c:pt>
                <c:pt idx="3">
                  <c:v>2026</c:v>
                </c:pt>
                <c:pt idx="4">
                  <c:v>2027</c:v>
                </c:pt>
                <c:pt idx="5">
                  <c:v>2028</c:v>
                </c:pt>
                <c:pt idx="6">
                  <c:v>2029</c:v>
                </c:pt>
              </c:numCache>
            </c:numRef>
          </c:cat>
          <c:val>
            <c:numRef>
              <c:f>Sheet1!$B$2:$B$14</c:f>
              <c:numCache>
                <c:formatCode>0.0</c:formatCode>
                <c:ptCount val="7"/>
                <c:pt idx="0">
                  <c:v>-0.6</c:v>
                </c:pt>
                <c:pt idx="1">
                  <c:v>1.4549000000000001</c:v>
                </c:pt>
                <c:pt idx="2">
                  <c:v>3.2797999999999998</c:v>
                </c:pt>
                <c:pt idx="3">
                  <c:v>4.2000000000000028</c:v>
                </c:pt>
                <c:pt idx="4">
                  <c:v>3.3</c:v>
                </c:pt>
                <c:pt idx="5">
                  <c:v>3</c:v>
                </c:pt>
                <c:pt idx="6">
                  <c:v>3</c:v>
                </c:pt>
              </c:numCache>
            </c:numRef>
          </c:val>
          <c:smooth val="0"/>
          <c:extLst>
            <c:ext xmlns:c16="http://schemas.microsoft.com/office/drawing/2014/chart" uri="{C3380CC4-5D6E-409C-BE32-E72D297353CC}">
              <c16:uniqueId val="{00000003-3D3C-4F43-84C9-D2B38356438F}"/>
            </c:ext>
          </c:extLst>
        </c:ser>
        <c:ser>
          <c:idx val="1"/>
          <c:order val="1"/>
          <c:tx>
            <c:strRef>
              <c:f>Sheet1!$C$1</c:f>
              <c:strCache>
                <c:ptCount val="1"/>
                <c:pt idx="0">
                  <c:v>Միջին գնաճ</c:v>
                </c:pt>
              </c:strCache>
            </c:strRef>
          </c:tx>
          <c:spPr>
            <a:ln w="25400" cap="rnd">
              <a:solidFill>
                <a:srgbClr val="ED7D31">
                  <a:lumMod val="60000"/>
                  <a:lumOff val="40000"/>
                </a:srgbClr>
              </a:solidFill>
              <a:round/>
            </a:ln>
            <a:effectLst/>
          </c:spPr>
          <c:marker>
            <c:symbol val="square"/>
            <c:size val="5"/>
            <c:spPr>
              <a:solidFill>
                <a:srgbClr val="ED7D31">
                  <a:lumMod val="40000"/>
                  <a:lumOff val="60000"/>
                </a:srgbClr>
              </a:solidFill>
              <a:ln w="15875">
                <a:noFill/>
                <a:round/>
              </a:ln>
              <a:effectLst/>
            </c:spPr>
          </c:marker>
          <c:dLbls>
            <c:dLbl>
              <c:idx val="0"/>
              <c:layout>
                <c:manualLayout>
                  <c:x val="-0.12418752016991214"/>
                  <c:y val="4.17634408602150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D3C-4F43-84C9-D2B38356438F}"/>
                </c:ext>
              </c:extLst>
            </c:dLbl>
            <c:dLbl>
              <c:idx val="2"/>
              <c:layout>
                <c:manualLayout>
                  <c:x val="-4.2186158309158804E-2"/>
                  <c:y val="3.316129032258056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D3C-4F43-84C9-D2B38356438F}"/>
                </c:ext>
              </c:extLst>
            </c:dLbl>
            <c:spPr>
              <a:noFill/>
              <a:ln>
                <a:noFill/>
              </a:ln>
              <a:effectLst/>
            </c:spPr>
            <c:txPr>
              <a:bodyPr/>
              <a:lstStyle/>
              <a:p>
                <a:pPr>
                  <a:defRPr b="1"/>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Sheet1!$A$2:$A$14</c:f>
              <c:numCache>
                <c:formatCode>General</c:formatCode>
                <c:ptCount val="7"/>
                <c:pt idx="0">
                  <c:v>2023</c:v>
                </c:pt>
                <c:pt idx="1">
                  <c:v>2024</c:v>
                </c:pt>
                <c:pt idx="2">
                  <c:v>2025</c:v>
                </c:pt>
                <c:pt idx="3">
                  <c:v>2026</c:v>
                </c:pt>
                <c:pt idx="4">
                  <c:v>2027</c:v>
                </c:pt>
                <c:pt idx="5">
                  <c:v>2028</c:v>
                </c:pt>
                <c:pt idx="6">
                  <c:v>2029</c:v>
                </c:pt>
              </c:numCache>
            </c:numRef>
          </c:cat>
          <c:val>
            <c:numRef>
              <c:f>Sheet1!$C$2:$C$14</c:f>
              <c:numCache>
                <c:formatCode>0.0</c:formatCode>
                <c:ptCount val="7"/>
                <c:pt idx="0">
                  <c:v>2</c:v>
                </c:pt>
                <c:pt idx="1">
                  <c:v>0.26950000000000002</c:v>
                </c:pt>
                <c:pt idx="2">
                  <c:v>3.3069000000000002</c:v>
                </c:pt>
                <c:pt idx="3">
                  <c:v>4.2000000000000028</c:v>
                </c:pt>
                <c:pt idx="4">
                  <c:v>3.5</c:v>
                </c:pt>
                <c:pt idx="5">
                  <c:v>3.1</c:v>
                </c:pt>
                <c:pt idx="6">
                  <c:v>3</c:v>
                </c:pt>
              </c:numCache>
            </c:numRef>
          </c:val>
          <c:smooth val="0"/>
          <c:extLst>
            <c:ext xmlns:c16="http://schemas.microsoft.com/office/drawing/2014/chart" uri="{C3380CC4-5D6E-409C-BE32-E72D297353CC}">
              <c16:uniqueId val="{00000006-3D3C-4F43-84C9-D2B38356438F}"/>
            </c:ext>
          </c:extLst>
        </c:ser>
        <c:ser>
          <c:idx val="2"/>
          <c:order val="2"/>
          <c:tx>
            <c:strRef>
              <c:f>Sheet1!$D$1</c:f>
              <c:strCache>
                <c:ptCount val="1"/>
                <c:pt idx="0">
                  <c:v>Column2</c:v>
                </c:pt>
              </c:strCache>
            </c:strRef>
          </c:tx>
          <c:marker>
            <c:symbol val="none"/>
          </c:marker>
          <c:cat>
            <c:numRef>
              <c:f>Sheet1!$A$2:$A$14</c:f>
              <c:numCache>
                <c:formatCode>General</c:formatCode>
                <c:ptCount val="7"/>
                <c:pt idx="0">
                  <c:v>2023</c:v>
                </c:pt>
                <c:pt idx="1">
                  <c:v>2024</c:v>
                </c:pt>
                <c:pt idx="2">
                  <c:v>2025</c:v>
                </c:pt>
                <c:pt idx="3">
                  <c:v>2026</c:v>
                </c:pt>
                <c:pt idx="4">
                  <c:v>2027</c:v>
                </c:pt>
                <c:pt idx="5">
                  <c:v>2028</c:v>
                </c:pt>
                <c:pt idx="6">
                  <c:v>2029</c:v>
                </c:pt>
              </c:numCache>
            </c:numRef>
          </c:cat>
          <c:val>
            <c:numRef>
              <c:f>Sheet1!$D$2:$D$14</c:f>
            </c:numRef>
          </c:val>
          <c:smooth val="0"/>
          <c:extLst>
            <c:ext xmlns:c16="http://schemas.microsoft.com/office/drawing/2014/chart" uri="{C3380CC4-5D6E-409C-BE32-E72D297353CC}">
              <c16:uniqueId val="{00000007-3D3C-4F43-84C9-D2B38356438F}"/>
            </c:ext>
          </c:extLst>
        </c:ser>
        <c:ser>
          <c:idx val="3"/>
          <c:order val="3"/>
          <c:tx>
            <c:strRef>
              <c:f>Sheet1!$E$1</c:f>
              <c:strCache>
                <c:ptCount val="1"/>
                <c:pt idx="0">
                  <c:v>Column3</c:v>
                </c:pt>
              </c:strCache>
            </c:strRef>
          </c:tx>
          <c:marker>
            <c:symbol val="none"/>
          </c:marker>
          <c:cat>
            <c:numRef>
              <c:f>Sheet1!$A$2:$A$14</c:f>
              <c:numCache>
                <c:formatCode>General</c:formatCode>
                <c:ptCount val="7"/>
                <c:pt idx="0">
                  <c:v>2023</c:v>
                </c:pt>
                <c:pt idx="1">
                  <c:v>2024</c:v>
                </c:pt>
                <c:pt idx="2">
                  <c:v>2025</c:v>
                </c:pt>
                <c:pt idx="3">
                  <c:v>2026</c:v>
                </c:pt>
                <c:pt idx="4">
                  <c:v>2027</c:v>
                </c:pt>
                <c:pt idx="5">
                  <c:v>2028</c:v>
                </c:pt>
                <c:pt idx="6">
                  <c:v>2029</c:v>
                </c:pt>
              </c:numCache>
            </c:numRef>
          </c:cat>
          <c:val>
            <c:numRef>
              <c:f>Sheet1!$E$2:$E$14</c:f>
            </c:numRef>
          </c:val>
          <c:smooth val="0"/>
          <c:extLst>
            <c:ext xmlns:c16="http://schemas.microsoft.com/office/drawing/2014/chart" uri="{C3380CC4-5D6E-409C-BE32-E72D297353CC}">
              <c16:uniqueId val="{00000008-3D3C-4F43-84C9-D2B38356438F}"/>
            </c:ext>
          </c:extLst>
        </c:ser>
        <c:ser>
          <c:idx val="4"/>
          <c:order val="4"/>
          <c:tx>
            <c:strRef>
              <c:f>Sheet1!$F$1</c:f>
              <c:strCache>
                <c:ptCount val="1"/>
                <c:pt idx="0">
                  <c:v>Column4</c:v>
                </c:pt>
              </c:strCache>
            </c:strRef>
          </c:tx>
          <c:marker>
            <c:symbol val="none"/>
          </c:marker>
          <c:cat>
            <c:numRef>
              <c:f>Sheet1!$A$2:$A$14</c:f>
              <c:numCache>
                <c:formatCode>General</c:formatCode>
                <c:ptCount val="7"/>
                <c:pt idx="0">
                  <c:v>2023</c:v>
                </c:pt>
                <c:pt idx="1">
                  <c:v>2024</c:v>
                </c:pt>
                <c:pt idx="2">
                  <c:v>2025</c:v>
                </c:pt>
                <c:pt idx="3">
                  <c:v>2026</c:v>
                </c:pt>
                <c:pt idx="4">
                  <c:v>2027</c:v>
                </c:pt>
                <c:pt idx="5">
                  <c:v>2028</c:v>
                </c:pt>
                <c:pt idx="6">
                  <c:v>2029</c:v>
                </c:pt>
              </c:numCache>
            </c:numRef>
          </c:cat>
          <c:val>
            <c:numRef>
              <c:f>Sheet1!$F$2:$F$14</c:f>
            </c:numRef>
          </c:val>
          <c:smooth val="0"/>
          <c:extLst>
            <c:ext xmlns:c16="http://schemas.microsoft.com/office/drawing/2014/chart" uri="{C3380CC4-5D6E-409C-BE32-E72D297353CC}">
              <c16:uniqueId val="{00000009-3D3C-4F43-84C9-D2B38356438F}"/>
            </c:ext>
          </c:extLst>
        </c:ser>
        <c:dLbls>
          <c:showLegendKey val="0"/>
          <c:showVal val="0"/>
          <c:showCatName val="0"/>
          <c:showSerName val="0"/>
          <c:showPercent val="0"/>
          <c:showBubbleSize val="0"/>
        </c:dLbls>
        <c:marker val="1"/>
        <c:smooth val="0"/>
        <c:axId val="177840128"/>
        <c:axId val="177841664"/>
      </c:lineChart>
      <c:catAx>
        <c:axId val="177840128"/>
        <c:scaling>
          <c:orientation val="minMax"/>
        </c:scaling>
        <c:delete val="0"/>
        <c:axPos val="b"/>
        <c:numFmt formatCode="General" sourceLinked="1"/>
        <c:majorTickMark val="none"/>
        <c:minorTickMark val="none"/>
        <c:tickLblPos val="low"/>
        <c:spPr>
          <a:noFill/>
          <a:ln w="9525" cap="flat" cmpd="sng" algn="ctr">
            <a:solidFill>
              <a:schemeClr val="dk1">
                <a:lumMod val="15000"/>
                <a:lumOff val="85000"/>
              </a:schemeClr>
            </a:solidFill>
            <a:round/>
          </a:ln>
          <a:effectLst/>
        </c:spPr>
        <c:txPr>
          <a:bodyPr rot="-60000000" vert="horz"/>
          <a:lstStyle/>
          <a:p>
            <a:pPr>
              <a:defRPr b="1"/>
            </a:pPr>
            <a:endParaRPr lang="en-US"/>
          </a:p>
        </c:txPr>
        <c:crossAx val="177841664"/>
        <c:crosses val="autoZero"/>
        <c:auto val="1"/>
        <c:lblAlgn val="ctr"/>
        <c:lblOffset val="100"/>
        <c:noMultiLvlLbl val="0"/>
      </c:catAx>
      <c:valAx>
        <c:axId val="177841664"/>
        <c:scaling>
          <c:orientation val="minMax"/>
          <c:max val="10"/>
        </c:scaling>
        <c:delete val="0"/>
        <c:axPos val="l"/>
        <c:numFmt formatCode="General"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177840128"/>
        <c:crosses val="autoZero"/>
        <c:crossBetween val="between"/>
      </c:valAx>
      <c:spPr>
        <a:noFill/>
        <a:ln w="25400">
          <a:noFill/>
        </a:ln>
        <a:effectLst/>
      </c:spPr>
    </c:plotArea>
    <c:legend>
      <c:legendPos val="b"/>
      <c:legendEntry>
        <c:idx val="0"/>
        <c:delete val="1"/>
      </c:legendEntry>
      <c:layout>
        <c:manualLayout>
          <c:xMode val="edge"/>
          <c:yMode val="edge"/>
          <c:x val="0.14766603676674128"/>
          <c:y val="0.86064068445478081"/>
          <c:w val="0.69595407202341786"/>
          <c:h val="7.1516721700110059E-2"/>
        </c:manualLayout>
      </c:layout>
      <c:overlay val="0"/>
      <c:spPr>
        <a:noFill/>
        <a:ln>
          <a:noFill/>
        </a:ln>
        <a:effectLst/>
      </c:spPr>
      <c:txPr>
        <a:bodyPr rot="0" vert="horz"/>
        <a:lstStyle/>
        <a:p>
          <a:pPr>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defRPr sz="80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userShapes r:id="rId3"/>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l">
              <a:defRPr>
                <a:latin typeface="+mn-lt"/>
              </a:defRPr>
            </a:pPr>
            <a:r>
              <a:rPr lang="hy-AM">
                <a:latin typeface="+mn-lt"/>
              </a:rPr>
              <a:t>Ֆինանսական շուկայի տոկոսադրույքների միտումները, </a:t>
            </a:r>
            <a:r>
              <a:rPr lang="en-US">
                <a:latin typeface="+mn-lt"/>
              </a:rPr>
              <a:t>%</a:t>
            </a:r>
          </a:p>
        </c:rich>
      </c:tx>
      <c:layout>
        <c:manualLayout>
          <c:xMode val="edge"/>
          <c:yMode val="edge"/>
          <c:x val="0.1060351151758204"/>
          <c:y val="1.2903225806451613E-2"/>
        </c:manualLayout>
      </c:layout>
      <c:overlay val="0"/>
    </c:title>
    <c:autoTitleDeleted val="0"/>
    <c:plotArea>
      <c:layout>
        <c:manualLayout>
          <c:layoutTarget val="inner"/>
          <c:xMode val="edge"/>
          <c:yMode val="edge"/>
          <c:x val="0.11714341371391078"/>
          <c:y val="0.14663313859961052"/>
          <c:w val="0.82684649770341212"/>
          <c:h val="0.37484853103039545"/>
        </c:manualLayout>
      </c:layout>
      <c:lineChart>
        <c:grouping val="standard"/>
        <c:varyColors val="0"/>
        <c:ser>
          <c:idx val="1"/>
          <c:order val="1"/>
          <c:tx>
            <c:strRef>
              <c:f>Sheet1!$E$1</c:f>
              <c:strCache>
                <c:ptCount val="1"/>
                <c:pt idx="0">
                  <c:v>Պետական պարտատոմսեր, 1տ․</c:v>
                </c:pt>
              </c:strCache>
            </c:strRef>
          </c:tx>
          <c:spPr>
            <a:ln w="12700" cap="rnd">
              <a:solidFill>
                <a:srgbClr val="ED7D31"/>
              </a:solidFill>
              <a:prstDash val="solid"/>
              <a:round/>
            </a:ln>
            <a:effectLst/>
          </c:spPr>
          <c:marker>
            <c:symbol val="none"/>
          </c:marker>
          <c:cat>
            <c:multiLvlStrRef>
              <c:f>Sheet1!$A$62:$B$76</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2023</c:v>
                  </c:pt>
                  <c:pt idx="4">
                    <c:v>2024</c:v>
                  </c:pt>
                  <c:pt idx="8">
                    <c:v>2025</c:v>
                  </c:pt>
                  <c:pt idx="12">
                    <c:v>2026</c:v>
                  </c:pt>
                </c:lvl>
              </c:multiLvlStrCache>
            </c:multiLvlStrRef>
          </c:cat>
          <c:val>
            <c:numRef>
              <c:f>Sheet1!$E$2:$E$76</c:f>
              <c:numCache>
                <c:formatCode>0.0</c:formatCode>
                <c:ptCount val="15"/>
                <c:pt idx="0">
                  <c:v>11.59599090909091</c:v>
                </c:pt>
                <c:pt idx="1">
                  <c:v>11.119063636363636</c:v>
                </c:pt>
                <c:pt idx="2">
                  <c:v>10.312649999999998</c:v>
                </c:pt>
                <c:pt idx="3">
                  <c:v>10.537519047619048</c:v>
                </c:pt>
                <c:pt idx="4">
                  <c:v>9.6918150000000018</c:v>
                </c:pt>
                <c:pt idx="5">
                  <c:v>9.2490199999999998</c:v>
                </c:pt>
                <c:pt idx="6">
                  <c:v>9.1222571428571442</c:v>
                </c:pt>
                <c:pt idx="7">
                  <c:v>8.9560380952380942</c:v>
                </c:pt>
                <c:pt idx="8">
                  <c:v>8.4217999999999993</c:v>
                </c:pt>
                <c:pt idx="9">
                  <c:v>8.2200523809523798</c:v>
                </c:pt>
                <c:pt idx="10">
                  <c:v>8.1961272727272743</c:v>
                </c:pt>
                <c:pt idx="11">
                  <c:v>7.4777772727272716</c:v>
                </c:pt>
                <c:pt idx="12">
                  <c:v>6.9803681818181813</c:v>
                </c:pt>
                <c:pt idx="13">
                  <c:v>6.9120227272727277</c:v>
                </c:pt>
                <c:pt idx="14">
                  <c:v>6.7940857142857149</c:v>
                </c:pt>
              </c:numCache>
            </c:numRef>
          </c:val>
          <c:smooth val="0"/>
          <c:extLst>
            <c:ext xmlns:c16="http://schemas.microsoft.com/office/drawing/2014/chart" uri="{C3380CC4-5D6E-409C-BE32-E72D297353CC}">
              <c16:uniqueId val="{00000000-FB4D-4117-92D3-058F838CE043}"/>
            </c:ext>
          </c:extLst>
        </c:ser>
        <c:ser>
          <c:idx val="2"/>
          <c:order val="2"/>
          <c:tx>
            <c:strRef>
              <c:f>Sheet1!$F$1</c:f>
              <c:strCache>
                <c:ptCount val="1"/>
                <c:pt idx="0">
                  <c:v>Պետական պարտատոմսեր, 10տ․</c:v>
                </c:pt>
              </c:strCache>
            </c:strRef>
          </c:tx>
          <c:spPr>
            <a:ln w="12700" cap="rnd">
              <a:solidFill>
                <a:srgbClr val="A5A5A5"/>
              </a:solidFill>
              <a:round/>
            </a:ln>
            <a:effectLst/>
          </c:spPr>
          <c:marker>
            <c:symbol val="none"/>
          </c:marker>
          <c:cat>
            <c:multiLvlStrRef>
              <c:f>Sheet1!$A$62:$B$76</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2023</c:v>
                  </c:pt>
                  <c:pt idx="4">
                    <c:v>2024</c:v>
                  </c:pt>
                  <c:pt idx="8">
                    <c:v>2025</c:v>
                  </c:pt>
                  <c:pt idx="12">
                    <c:v>2026</c:v>
                  </c:pt>
                </c:lvl>
              </c:multiLvlStrCache>
            </c:multiLvlStrRef>
          </c:cat>
          <c:val>
            <c:numRef>
              <c:f>Sheet1!$F$2:$F$76</c:f>
              <c:numCache>
                <c:formatCode>0.0</c:formatCode>
                <c:ptCount val="15"/>
                <c:pt idx="0">
                  <c:v>11.654004545454546</c:v>
                </c:pt>
                <c:pt idx="1">
                  <c:v>10.890645454545453</c:v>
                </c:pt>
                <c:pt idx="2">
                  <c:v>10.219114999999999</c:v>
                </c:pt>
                <c:pt idx="3">
                  <c:v>10.752557142857144</c:v>
                </c:pt>
                <c:pt idx="4">
                  <c:v>9.7728300000000008</c:v>
                </c:pt>
                <c:pt idx="5">
                  <c:v>9.6936650000000011</c:v>
                </c:pt>
                <c:pt idx="6">
                  <c:v>9.7281238095238081</c:v>
                </c:pt>
                <c:pt idx="7">
                  <c:v>9.8331666666666671</c:v>
                </c:pt>
                <c:pt idx="8">
                  <c:v>9.6925047619047628</c:v>
                </c:pt>
                <c:pt idx="9">
                  <c:v>9.7544285714285692</c:v>
                </c:pt>
                <c:pt idx="10">
                  <c:v>9.6259636363636378</c:v>
                </c:pt>
                <c:pt idx="11">
                  <c:v>8.7264500000000016</c:v>
                </c:pt>
                <c:pt idx="12">
                  <c:v>8.1966090909090923</c:v>
                </c:pt>
                <c:pt idx="13">
                  <c:v>8.4015545454545428</c:v>
                </c:pt>
                <c:pt idx="14">
                  <c:v>8.0942190476190508</c:v>
                </c:pt>
              </c:numCache>
            </c:numRef>
          </c:val>
          <c:smooth val="0"/>
          <c:extLst>
            <c:ext xmlns:c16="http://schemas.microsoft.com/office/drawing/2014/chart" uri="{C3380CC4-5D6E-409C-BE32-E72D297353CC}">
              <c16:uniqueId val="{00000001-FB4D-4117-92D3-058F838CE043}"/>
            </c:ext>
          </c:extLst>
        </c:ser>
        <c:ser>
          <c:idx val="7"/>
          <c:order val="3"/>
          <c:tx>
            <c:strRef>
              <c:f>Sheet1!$C$1</c:f>
              <c:strCache>
                <c:ptCount val="1"/>
                <c:pt idx="0">
                  <c:v>ԿԲ ռեպո</c:v>
                </c:pt>
              </c:strCache>
            </c:strRef>
          </c:tx>
          <c:marker>
            <c:symbol val="none"/>
          </c:marker>
          <c:cat>
            <c:multiLvlStrRef>
              <c:f>Sheet1!$A$62:$B$76</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2023</c:v>
                  </c:pt>
                  <c:pt idx="4">
                    <c:v>2024</c:v>
                  </c:pt>
                  <c:pt idx="8">
                    <c:v>2025</c:v>
                  </c:pt>
                  <c:pt idx="12">
                    <c:v>2026</c:v>
                  </c:pt>
                </c:lvl>
              </c:multiLvlStrCache>
            </c:multiLvlStrRef>
          </c:cat>
          <c:val>
            <c:numRef>
              <c:f>Sheet1!$C$40:$C$76</c:f>
              <c:numCache>
                <c:formatCode>0.00</c:formatCode>
                <c:ptCount val="15"/>
                <c:pt idx="0" formatCode="0.0">
                  <c:v>10.75</c:v>
                </c:pt>
                <c:pt idx="1">
                  <c:v>10.5</c:v>
                </c:pt>
                <c:pt idx="2">
                  <c:v>9.75</c:v>
                </c:pt>
                <c:pt idx="3">
                  <c:v>9.25</c:v>
                </c:pt>
                <c:pt idx="4">
                  <c:v>8.5</c:v>
                </c:pt>
                <c:pt idx="5">
                  <c:v>8</c:v>
                </c:pt>
                <c:pt idx="6">
                  <c:v>7.5</c:v>
                </c:pt>
                <c:pt idx="7">
                  <c:v>7</c:v>
                </c:pt>
                <c:pt idx="8">
                  <c:v>6.75</c:v>
                </c:pt>
                <c:pt idx="9">
                  <c:v>6.75</c:v>
                </c:pt>
                <c:pt idx="10">
                  <c:v>6.75</c:v>
                </c:pt>
                <c:pt idx="11">
                  <c:v>6.5</c:v>
                </c:pt>
                <c:pt idx="12">
                  <c:v>6.5</c:v>
                </c:pt>
                <c:pt idx="13">
                  <c:v>6.5</c:v>
                </c:pt>
                <c:pt idx="14">
                  <c:v>6.5</c:v>
                </c:pt>
              </c:numCache>
            </c:numRef>
          </c:val>
          <c:smooth val="0"/>
          <c:extLst>
            <c:ext xmlns:c16="http://schemas.microsoft.com/office/drawing/2014/chart" uri="{C3380CC4-5D6E-409C-BE32-E72D297353CC}">
              <c16:uniqueId val="{00000002-FB4D-4117-92D3-058F838CE043}"/>
            </c:ext>
          </c:extLst>
        </c:ser>
        <c:ser>
          <c:idx val="3"/>
          <c:order val="4"/>
          <c:tx>
            <c:strRef>
              <c:f>Sheet1!$G$1</c:f>
              <c:strCache>
                <c:ptCount val="1"/>
                <c:pt idx="0">
                  <c:v>Վարկեր, մինչև 1 տ․</c:v>
                </c:pt>
              </c:strCache>
            </c:strRef>
          </c:tx>
          <c:spPr>
            <a:ln w="12700" cap="rnd">
              <a:solidFill>
                <a:srgbClr val="FFC000"/>
              </a:solidFill>
              <a:round/>
            </a:ln>
            <a:effectLst/>
          </c:spPr>
          <c:marker>
            <c:symbol val="none"/>
          </c:marker>
          <c:cat>
            <c:multiLvlStrRef>
              <c:f>Sheet1!$A$62:$B$76</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2023</c:v>
                  </c:pt>
                  <c:pt idx="4">
                    <c:v>2024</c:v>
                  </c:pt>
                  <c:pt idx="8">
                    <c:v>2025</c:v>
                  </c:pt>
                  <c:pt idx="12">
                    <c:v>2026</c:v>
                  </c:pt>
                </c:lvl>
              </c:multiLvlStrCache>
            </c:multiLvlStrRef>
          </c:cat>
          <c:val>
            <c:numRef>
              <c:f>Sheet1!$G$62:$G$76</c:f>
              <c:numCache>
                <c:formatCode>0.0</c:formatCode>
                <c:ptCount val="15"/>
                <c:pt idx="0">
                  <c:v>12.280686192171711</c:v>
                </c:pt>
                <c:pt idx="1">
                  <c:v>12.139632381709292</c:v>
                </c:pt>
                <c:pt idx="2">
                  <c:v>12.732583194951411</c:v>
                </c:pt>
                <c:pt idx="3">
                  <c:v>12.501984365787607</c:v>
                </c:pt>
                <c:pt idx="4">
                  <c:v>12.283746075334658</c:v>
                </c:pt>
                <c:pt idx="5">
                  <c:v>12.921482369357351</c:v>
                </c:pt>
                <c:pt idx="6">
                  <c:v>13.681483408895364</c:v>
                </c:pt>
                <c:pt idx="7">
                  <c:v>13.169240186844304</c:v>
                </c:pt>
                <c:pt idx="8">
                  <c:v>14.167413604676916</c:v>
                </c:pt>
                <c:pt idx="9">
                  <c:v>13.256688893104567</c:v>
                </c:pt>
                <c:pt idx="10">
                  <c:v>13.685277985035899</c:v>
                </c:pt>
                <c:pt idx="11">
                  <c:v>13.601499888389956</c:v>
                </c:pt>
                <c:pt idx="12">
                  <c:v>13.957110049519835</c:v>
                </c:pt>
                <c:pt idx="13">
                  <c:v>13.175327323455459</c:v>
                </c:pt>
              </c:numCache>
            </c:numRef>
          </c:val>
          <c:smooth val="0"/>
          <c:extLst>
            <c:ext xmlns:c16="http://schemas.microsoft.com/office/drawing/2014/chart" uri="{C3380CC4-5D6E-409C-BE32-E72D297353CC}">
              <c16:uniqueId val="{00000003-FB4D-4117-92D3-058F838CE043}"/>
            </c:ext>
          </c:extLst>
        </c:ser>
        <c:ser>
          <c:idx val="4"/>
          <c:order val="5"/>
          <c:tx>
            <c:strRef>
              <c:f>Sheet1!$H$1</c:f>
              <c:strCache>
                <c:ptCount val="1"/>
                <c:pt idx="0">
                  <c:v>Ավանդներ, մինչև 1տ․</c:v>
                </c:pt>
              </c:strCache>
            </c:strRef>
          </c:tx>
          <c:spPr>
            <a:ln w="12700" cap="rnd">
              <a:solidFill>
                <a:srgbClr val="4472C4">
                  <a:lumMod val="50000"/>
                </a:srgbClr>
              </a:solidFill>
              <a:round/>
            </a:ln>
            <a:effectLst/>
          </c:spPr>
          <c:marker>
            <c:symbol val="none"/>
          </c:marker>
          <c:cat>
            <c:multiLvlStrRef>
              <c:f>Sheet1!$A$62:$B$76</c:f>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2023</c:v>
                  </c:pt>
                  <c:pt idx="4">
                    <c:v>2024</c:v>
                  </c:pt>
                  <c:pt idx="8">
                    <c:v>2025</c:v>
                  </c:pt>
                  <c:pt idx="12">
                    <c:v>2026</c:v>
                  </c:pt>
                </c:lvl>
              </c:multiLvlStrCache>
            </c:multiLvlStrRef>
          </c:cat>
          <c:val>
            <c:numRef>
              <c:f>Sheet1!$H$62:$H$76</c:f>
              <c:numCache>
                <c:formatCode>0.0</c:formatCode>
                <c:ptCount val="15"/>
                <c:pt idx="0">
                  <c:v>8.1887607485517133</c:v>
                </c:pt>
                <c:pt idx="1">
                  <c:v>8.3546599768074685</c:v>
                </c:pt>
                <c:pt idx="2">
                  <c:v>8.6042796009191385</c:v>
                </c:pt>
                <c:pt idx="3">
                  <c:v>8.1553455505810319</c:v>
                </c:pt>
                <c:pt idx="4">
                  <c:v>8.034297791459613</c:v>
                </c:pt>
                <c:pt idx="5">
                  <c:v>8.2522694553656422</c:v>
                </c:pt>
                <c:pt idx="6">
                  <c:v>8.0044997993279665</c:v>
                </c:pt>
                <c:pt idx="7">
                  <c:v>8.160990693987765</c:v>
                </c:pt>
                <c:pt idx="8">
                  <c:v>7.9767278143666722</c:v>
                </c:pt>
                <c:pt idx="9">
                  <c:v>8.049414257282157</c:v>
                </c:pt>
                <c:pt idx="10">
                  <c:v>7.862985891185688</c:v>
                </c:pt>
                <c:pt idx="11">
                  <c:v>8.2019302884386747</c:v>
                </c:pt>
                <c:pt idx="12">
                  <c:v>7.540040880176921</c:v>
                </c:pt>
                <c:pt idx="13">
                  <c:v>7.8244136215951219</c:v>
                </c:pt>
              </c:numCache>
            </c:numRef>
          </c:val>
          <c:smooth val="0"/>
          <c:extLst>
            <c:ext xmlns:c16="http://schemas.microsoft.com/office/drawing/2014/chart" uri="{C3380CC4-5D6E-409C-BE32-E72D297353CC}">
              <c16:uniqueId val="{00000004-FB4D-4117-92D3-058F838CE043}"/>
            </c:ext>
          </c:extLst>
        </c:ser>
        <c:dLbls>
          <c:showLegendKey val="0"/>
          <c:showVal val="0"/>
          <c:showCatName val="0"/>
          <c:showSerName val="0"/>
          <c:showPercent val="0"/>
          <c:showBubbleSize val="0"/>
        </c:dLbls>
        <c:smooth val="0"/>
        <c:axId val="803037520"/>
        <c:axId val="1"/>
        <c:extLst>
          <c:ext xmlns:c15="http://schemas.microsoft.com/office/drawing/2012/chart" uri="{02D57815-91ED-43cb-92C2-25804820EDAC}">
            <c15:filteredLineSeries>
              <c15:ser>
                <c:idx val="0"/>
                <c:order val="0"/>
                <c:tx>
                  <c:strRef>
                    <c:extLst>
                      <c:ext uri="{02D57815-91ED-43cb-92C2-25804820EDAC}">
                        <c15:formulaRef>
                          <c15:sqref>Sheet1!$D$1</c15:sqref>
                        </c15:formulaRef>
                      </c:ext>
                    </c:extLst>
                    <c:strCache>
                      <c:ptCount val="1"/>
                      <c:pt idx="0">
                        <c:v>Միջբանկային ռեպո</c:v>
                      </c:pt>
                    </c:strCache>
                  </c:strRef>
                </c:tx>
                <c:spPr>
                  <a:ln w="12700" cap="rnd">
                    <a:solidFill>
                      <a:sysClr val="windowText" lastClr="000000"/>
                    </a:solidFill>
                    <a:round/>
                  </a:ln>
                  <a:effectLst/>
                </c:spPr>
                <c:marker>
                  <c:symbol val="none"/>
                </c:marker>
                <c:cat>
                  <c:multiLvlStrRef>
                    <c:extLst>
                      <c:ext uri="{02D57815-91ED-43cb-92C2-25804820EDAC}">
                        <c15:formulaRef>
                          <c15:sqref>Sheet1!$A$62:$B$76</c15:sqref>
                        </c15:formulaRef>
                      </c:ext>
                    </c:extLst>
                    <c:multiLvlStrCache>
                      <c:ptCount val="15"/>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օգ.</c:v>
                        </c:pt>
                      </c:lvl>
                      <c:lvl>
                        <c:pt idx="0">
                          <c:v>2023</c:v>
                        </c:pt>
                        <c:pt idx="4">
                          <c:v>2024</c:v>
                        </c:pt>
                        <c:pt idx="8">
                          <c:v>2025</c:v>
                        </c:pt>
                        <c:pt idx="12">
                          <c:v>2026</c:v>
                        </c:pt>
                      </c:lvl>
                    </c:multiLvlStrCache>
                  </c:multiLvlStrRef>
                </c:cat>
                <c:val>
                  <c:numRef>
                    <c:extLst>
                      <c:ext uri="{02D57815-91ED-43cb-92C2-25804820EDAC}">
                        <c15:formulaRef>
                          <c15:sqref>Sheet1!$D$2:$D$76</c15:sqref>
                        </c15:formulaRef>
                      </c:ext>
                    </c:extLst>
                    <c:numCache>
                      <c:formatCode>0.0</c:formatCode>
                      <c:ptCount val="15"/>
                      <c:pt idx="0">
                        <c:v>10.94</c:v>
                      </c:pt>
                      <c:pt idx="1">
                        <c:v>10.74</c:v>
                      </c:pt>
                      <c:pt idx="2">
                        <c:v>10.09</c:v>
                      </c:pt>
                      <c:pt idx="3">
                        <c:v>9.58</c:v>
                      </c:pt>
                      <c:pt idx="4">
                        <c:v>8.76</c:v>
                      </c:pt>
                      <c:pt idx="5">
                        <c:v>8.23</c:v>
                      </c:pt>
                      <c:pt idx="6">
                        <c:v>8.11</c:v>
                      </c:pt>
                      <c:pt idx="7">
                        <c:v>7.29</c:v>
                      </c:pt>
                      <c:pt idx="8">
                        <c:v>6.97</c:v>
                      </c:pt>
                      <c:pt idx="9">
                        <c:v>6.98</c:v>
                      </c:pt>
                      <c:pt idx="10">
                        <c:v>6.94</c:v>
                      </c:pt>
                      <c:pt idx="11">
                        <c:v>6.85</c:v>
                      </c:pt>
                      <c:pt idx="12">
                        <c:v>6.69</c:v>
                      </c:pt>
                      <c:pt idx="13">
                        <c:v>6.67</c:v>
                      </c:pt>
                    </c:numCache>
                  </c:numRef>
                </c:val>
                <c:smooth val="0"/>
                <c:extLst>
                  <c:ext xmlns:c16="http://schemas.microsoft.com/office/drawing/2014/chart" uri="{C3380CC4-5D6E-409C-BE32-E72D297353CC}">
                    <c16:uniqueId val="{00000005-FB4D-4117-92D3-058F838CE043}"/>
                  </c:ext>
                </c:extLst>
              </c15:ser>
            </c15:filteredLineSeries>
          </c:ext>
        </c:extLst>
      </c:lineChart>
      <c:catAx>
        <c:axId val="803037520"/>
        <c:scaling>
          <c:orientation val="minMax"/>
        </c:scaling>
        <c:delete val="0"/>
        <c:axPos val="b"/>
        <c:numFmt formatCode="General" sourceLinked="1"/>
        <c:majorTickMark val="none"/>
        <c:minorTickMark val="none"/>
        <c:tickLblPos val="nextTo"/>
        <c:spPr>
          <a:noFill/>
          <a:ln w="9524" cap="flat" cmpd="sng" algn="ctr">
            <a:solidFill>
              <a:schemeClr val="tx1">
                <a:lumMod val="15000"/>
                <a:lumOff val="85000"/>
              </a:schemeClr>
            </a:solidFill>
            <a:round/>
          </a:ln>
          <a:effectLst/>
        </c:spPr>
        <c:txPr>
          <a:bodyPr rot="-5400000" vert="horz"/>
          <a:lstStyle/>
          <a:p>
            <a:pPr>
              <a:defRPr b="1"/>
            </a:pPr>
            <a:endParaRPr lang="en-US"/>
          </a:p>
        </c:txPr>
        <c:crossAx val="1"/>
        <c:crosses val="autoZero"/>
        <c:auto val="1"/>
        <c:lblAlgn val="ctr"/>
        <c:lblOffset val="100"/>
        <c:noMultiLvlLbl val="0"/>
      </c:catAx>
      <c:valAx>
        <c:axId val="1"/>
        <c:scaling>
          <c:orientation val="minMax"/>
          <c:max val="15"/>
          <c:min val="4"/>
        </c:scaling>
        <c:delete val="0"/>
        <c:axPos val="l"/>
        <c:numFmt formatCode="0" sourceLinked="0"/>
        <c:majorTickMark val="none"/>
        <c:minorTickMark val="none"/>
        <c:tickLblPos val="nextTo"/>
        <c:spPr>
          <a:ln w="9524">
            <a:noFill/>
          </a:ln>
        </c:spPr>
        <c:txPr>
          <a:bodyPr rot="-60000000" vert="horz"/>
          <a:lstStyle/>
          <a:p>
            <a:pPr>
              <a:defRPr>
                <a:solidFill>
                  <a:schemeClr val="bg1">
                    <a:lumMod val="65000"/>
                  </a:schemeClr>
                </a:solidFill>
              </a:defRPr>
            </a:pPr>
            <a:endParaRPr lang="en-US"/>
          </a:p>
        </c:txPr>
        <c:crossAx val="803037520"/>
        <c:crosses val="autoZero"/>
        <c:crossBetween val="between"/>
        <c:majorUnit val="3"/>
      </c:valAx>
      <c:spPr>
        <a:noFill/>
        <a:ln>
          <a:noFill/>
        </a:ln>
        <a:effectLst/>
      </c:spPr>
    </c:plotArea>
    <c:legend>
      <c:legendPos val="b"/>
      <c:layout>
        <c:manualLayout>
          <c:xMode val="edge"/>
          <c:yMode val="edge"/>
          <c:x val="0"/>
          <c:y val="0.71171318880769718"/>
          <c:w val="1"/>
          <c:h val="0.28828696412948379"/>
        </c:manualLayout>
      </c:layout>
      <c:overlay val="0"/>
      <c:spPr>
        <a:noFill/>
        <a:ln w="25398">
          <a:noFill/>
        </a:ln>
      </c:spPr>
      <c:txPr>
        <a:bodyPr rot="0" vert="horz"/>
        <a:lstStyle/>
        <a:p>
          <a:pPr>
            <a:defRPr sz="800"/>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areaChart>
        <c:grouping val="stacked"/>
        <c:varyColors val="0"/>
        <c:ser>
          <c:idx val="0"/>
          <c:order val="0"/>
          <c:tx>
            <c:strRef>
              <c:f>Sheet10!$B$3</c:f>
              <c:strCache>
                <c:ptCount val="1"/>
              </c:strCache>
            </c:strRef>
          </c:tx>
          <c:spPr>
            <a:no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Sheet10!$B$4:$B$123</c:f>
              <c:numCache>
                <c:formatCode>General</c:formatCode>
                <c:ptCount val="8"/>
                <c:pt idx="0">
                  <c:v>12.599999999999994</c:v>
                </c:pt>
                <c:pt idx="1">
                  <c:v>8.2999999999999972</c:v>
                </c:pt>
                <c:pt idx="2">
                  <c:v>5.9150324377177839</c:v>
                </c:pt>
                <c:pt idx="3">
                  <c:v>7.0589350498491967</c:v>
                </c:pt>
                <c:pt idx="4">
                  <c:v>1.2566015698387911</c:v>
                </c:pt>
                <c:pt idx="5">
                  <c:v>0.57571860895045557</c:v>
                </c:pt>
                <c:pt idx="6">
                  <c:v>0.68325996153037938</c:v>
                </c:pt>
                <c:pt idx="7">
                  <c:v>0.49264830414440919</c:v>
                </c:pt>
              </c:numCache>
            </c:numRef>
          </c:val>
          <c:extLst>
            <c:ext xmlns:c16="http://schemas.microsoft.com/office/drawing/2014/chart" uri="{C3380CC4-5D6E-409C-BE32-E72D297353CC}">
              <c16:uniqueId val="{00000000-D37B-46BE-8E7D-AF34BFA4D858}"/>
            </c:ext>
          </c:extLst>
        </c:ser>
        <c:ser>
          <c:idx val="1"/>
          <c:order val="1"/>
          <c:tx>
            <c:strRef>
              <c:f>Sheet10!$C$3</c:f>
              <c:strCache>
                <c:ptCount val="1"/>
              </c:strCache>
            </c:strRef>
          </c:tx>
          <c:spPr>
            <a:solidFill>
              <a:srgbClr val="FF0000">
                <a:alpha val="2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Sheet10!$C$4:$C$123</c:f>
              <c:numCache>
                <c:formatCode>General</c:formatCode>
                <c:ptCount val="8"/>
                <c:pt idx="4">
                  <c:v>0.95025269950669911</c:v>
                </c:pt>
                <c:pt idx="5">
                  <c:v>1.1575448778788155</c:v>
                </c:pt>
                <c:pt idx="6">
                  <c:v>1.1957150266553311</c:v>
                </c:pt>
                <c:pt idx="7">
                  <c:v>1.2035420780470014</c:v>
                </c:pt>
              </c:numCache>
            </c:numRef>
          </c:val>
          <c:extLst>
            <c:ext xmlns:c16="http://schemas.microsoft.com/office/drawing/2014/chart" uri="{C3380CC4-5D6E-409C-BE32-E72D297353CC}">
              <c16:uniqueId val="{00000001-D37B-46BE-8E7D-AF34BFA4D858}"/>
            </c:ext>
          </c:extLst>
        </c:ser>
        <c:ser>
          <c:idx val="2"/>
          <c:order val="2"/>
          <c:tx>
            <c:strRef>
              <c:f>Sheet10!$D$3</c:f>
              <c:strCache>
                <c:ptCount val="1"/>
              </c:strCache>
            </c:strRef>
          </c:tx>
          <c:spPr>
            <a:solidFill>
              <a:srgbClr val="FF0000">
                <a:alpha val="3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Sheet10!$D$4:$D$123</c:f>
              <c:numCache>
                <c:formatCode>General</c:formatCode>
                <c:ptCount val="8"/>
                <c:pt idx="4">
                  <c:v>0.6411309850223601</c:v>
                </c:pt>
                <c:pt idx="5">
                  <c:v>0.78099003364820385</c:v>
                </c:pt>
                <c:pt idx="6">
                  <c:v>0.80674325181453055</c:v>
                </c:pt>
                <c:pt idx="7">
                  <c:v>0.81202412622948028</c:v>
                </c:pt>
              </c:numCache>
            </c:numRef>
          </c:val>
          <c:extLst>
            <c:ext xmlns:c16="http://schemas.microsoft.com/office/drawing/2014/chart" uri="{C3380CC4-5D6E-409C-BE32-E72D297353CC}">
              <c16:uniqueId val="{00000002-D37B-46BE-8E7D-AF34BFA4D858}"/>
            </c:ext>
          </c:extLst>
        </c:ser>
        <c:ser>
          <c:idx val="3"/>
          <c:order val="3"/>
          <c:tx>
            <c:strRef>
              <c:f>Sheet10!$E$3</c:f>
              <c:strCache>
                <c:ptCount val="1"/>
              </c:strCache>
            </c:strRef>
          </c:tx>
          <c:spPr>
            <a:solidFill>
              <a:srgbClr val="FF0000">
                <a:alpha val="4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Sheet10!$E$4:$E$123</c:f>
              <c:numCache>
                <c:formatCode>General</c:formatCode>
                <c:ptCount val="8"/>
                <c:pt idx="4">
                  <c:v>0.50955058262994513</c:v>
                </c:pt>
                <c:pt idx="5">
                  <c:v>0.62070612085569898</c:v>
                </c:pt>
                <c:pt idx="6">
                  <c:v>0.64117396226066647</c:v>
                </c:pt>
                <c:pt idx="7">
                  <c:v>0.64537103383854255</c:v>
                </c:pt>
              </c:numCache>
            </c:numRef>
          </c:val>
          <c:extLst>
            <c:ext xmlns:c16="http://schemas.microsoft.com/office/drawing/2014/chart" uri="{C3380CC4-5D6E-409C-BE32-E72D297353CC}">
              <c16:uniqueId val="{00000003-D37B-46BE-8E7D-AF34BFA4D858}"/>
            </c:ext>
          </c:extLst>
        </c:ser>
        <c:ser>
          <c:idx val="4"/>
          <c:order val="4"/>
          <c:tx>
            <c:strRef>
              <c:f>Sheet10!$F$3</c:f>
              <c:strCache>
                <c:ptCount val="1"/>
              </c:strCache>
            </c:strRef>
          </c:tx>
          <c:spPr>
            <a:solidFill>
              <a:srgbClr val="FF0000">
                <a:alpha val="5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Sheet10!$F$4:$F$123</c:f>
              <c:numCache>
                <c:formatCode>General</c:formatCode>
                <c:ptCount val="8"/>
                <c:pt idx="4">
                  <c:v>0.43714902865230432</c:v>
                </c:pt>
                <c:pt idx="5">
                  <c:v>0.53251058297320597</c:v>
                </c:pt>
                <c:pt idx="6">
                  <c:v>0.55007016840751177</c:v>
                </c:pt>
              </c:numCache>
            </c:numRef>
          </c:val>
          <c:extLst>
            <c:ext xmlns:c16="http://schemas.microsoft.com/office/drawing/2014/chart" uri="{C3380CC4-5D6E-409C-BE32-E72D297353CC}">
              <c16:uniqueId val="{00000004-D37B-46BE-8E7D-AF34BFA4D858}"/>
            </c:ext>
          </c:extLst>
        </c:ser>
        <c:ser>
          <c:idx val="5"/>
          <c:order val="5"/>
          <c:tx>
            <c:strRef>
              <c:f>Sheet10!$G$3</c:f>
              <c:strCache>
                <c:ptCount val="1"/>
              </c:strCache>
            </c:strRef>
          </c:tx>
          <c:spPr>
            <a:solidFill>
              <a:srgbClr val="FF0000">
                <a:alpha val="6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Sheet10!$G$4:$G$123</c:f>
              <c:numCache>
                <c:formatCode>General</c:formatCode>
                <c:ptCount val="8"/>
                <c:pt idx="4">
                  <c:v>0.39257333838848174</c:v>
                </c:pt>
                <c:pt idx="5">
                  <c:v>0.47821096144138897</c:v>
                </c:pt>
                <c:pt idx="6">
                  <c:v>0.49398001186319895</c:v>
                </c:pt>
                <c:pt idx="7">
                  <c:v>0.49721356405006611</c:v>
                </c:pt>
              </c:numCache>
            </c:numRef>
          </c:val>
          <c:extLst>
            <c:ext xmlns:c16="http://schemas.microsoft.com/office/drawing/2014/chart" uri="{C3380CC4-5D6E-409C-BE32-E72D297353CC}">
              <c16:uniqueId val="{00000005-D37B-46BE-8E7D-AF34BFA4D858}"/>
            </c:ext>
          </c:extLst>
        </c:ser>
        <c:ser>
          <c:idx val="6"/>
          <c:order val="6"/>
          <c:tx>
            <c:strRef>
              <c:f>Sheet10!$H$3</c:f>
              <c:strCache>
                <c:ptCount val="1"/>
              </c:strCache>
            </c:strRef>
          </c:tx>
          <c:spPr>
            <a:solidFill>
              <a:srgbClr val="FF0000">
                <a:alpha val="7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Sheet10!$H$4:$H$123</c:f>
              <c:numCache>
                <c:formatCode>General</c:formatCode>
                <c:ptCount val="8"/>
                <c:pt idx="4">
                  <c:v>0.3637777031397853</c:v>
                </c:pt>
                <c:pt idx="5">
                  <c:v>0.443133723455432</c:v>
                </c:pt>
                <c:pt idx="6">
                  <c:v>0.45774609872953764</c:v>
                </c:pt>
                <c:pt idx="7">
                  <c:v>0.46074246672627872</c:v>
                </c:pt>
              </c:numCache>
            </c:numRef>
          </c:val>
          <c:extLst>
            <c:ext xmlns:c16="http://schemas.microsoft.com/office/drawing/2014/chart" uri="{C3380CC4-5D6E-409C-BE32-E72D297353CC}">
              <c16:uniqueId val="{00000006-D37B-46BE-8E7D-AF34BFA4D858}"/>
            </c:ext>
          </c:extLst>
        </c:ser>
        <c:ser>
          <c:idx val="7"/>
          <c:order val="7"/>
          <c:tx>
            <c:strRef>
              <c:f>Sheet10!$I$3</c:f>
              <c:strCache>
                <c:ptCount val="1"/>
              </c:strCache>
            </c:strRef>
          </c:tx>
          <c:spPr>
            <a:solidFill>
              <a:srgbClr val="FF0000">
                <a:alpha val="8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Sheet10!$I$4:$I$123</c:f>
              <c:numCache>
                <c:formatCode>General</c:formatCode>
                <c:ptCount val="8"/>
                <c:pt idx="4">
                  <c:v>0.34518946638050529</c:v>
                </c:pt>
                <c:pt idx="5">
                  <c:v>0.42049056941790841</c:v>
                </c:pt>
                <c:pt idx="6">
                  <c:v>0.43435628460574183</c:v>
                </c:pt>
                <c:pt idx="7">
                  <c:v>0.4371995448191841</c:v>
                </c:pt>
              </c:numCache>
            </c:numRef>
          </c:val>
          <c:extLst>
            <c:ext xmlns:c16="http://schemas.microsoft.com/office/drawing/2014/chart" uri="{C3380CC4-5D6E-409C-BE32-E72D297353CC}">
              <c16:uniqueId val="{00000007-D37B-46BE-8E7D-AF34BFA4D858}"/>
            </c:ext>
          </c:extLst>
        </c:ser>
        <c:ser>
          <c:idx val="8"/>
          <c:order val="8"/>
          <c:tx>
            <c:strRef>
              <c:f>Sheet10!$J$3</c:f>
              <c:strCache>
                <c:ptCount val="1"/>
              </c:strCache>
            </c:strRef>
          </c:tx>
          <c:spPr>
            <a:solidFill>
              <a:srgbClr val="FF0000">
                <a:alpha val="9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Sheet10!$J$4:$J$123</c:f>
              <c:numCache>
                <c:formatCode>General</c:formatCode>
                <c:ptCount val="8"/>
                <c:pt idx="4">
                  <c:v>0.33397480356828702</c:v>
                </c:pt>
                <c:pt idx="5">
                  <c:v>0.40682949220953901</c:v>
                </c:pt>
                <c:pt idx="6">
                  <c:v>0.42024473212038238</c:v>
                </c:pt>
                <c:pt idx="7">
                  <c:v>0.42299561928166973</c:v>
                </c:pt>
              </c:numCache>
            </c:numRef>
          </c:val>
          <c:extLst>
            <c:ext xmlns:c16="http://schemas.microsoft.com/office/drawing/2014/chart" uri="{C3380CC4-5D6E-409C-BE32-E72D297353CC}">
              <c16:uniqueId val="{00000008-D37B-46BE-8E7D-AF34BFA4D858}"/>
            </c:ext>
          </c:extLst>
        </c:ser>
        <c:ser>
          <c:idx val="9"/>
          <c:order val="9"/>
          <c:tx>
            <c:strRef>
              <c:f>Sheet10!$K$3</c:f>
              <c:strCache>
                <c:ptCount val="1"/>
              </c:strCache>
            </c:strRef>
          </c:tx>
          <c:spPr>
            <a:solidFill>
              <a:srgbClr val="FF0000"/>
            </a:solidFill>
            <a:ln>
              <a:solidFill>
                <a:srgbClr val="FF0000"/>
              </a:solidFill>
              <a:prstDash val="solid"/>
            </a:ln>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Sheet10!$K$4:$K$123</c:f>
              <c:numCache>
                <c:formatCode>General</c:formatCode>
                <c:ptCount val="8"/>
                <c:pt idx="4">
                  <c:v>0.54711431870010596</c:v>
                </c:pt>
                <c:pt idx="5">
                  <c:v>0.69051352885537032</c:v>
                </c:pt>
                <c:pt idx="6">
                  <c:v>0.71691862155614405</c:v>
                </c:pt>
                <c:pt idx="7">
                  <c:v>0.72233316732542807</c:v>
                </c:pt>
              </c:numCache>
            </c:numRef>
          </c:val>
          <c:extLst>
            <c:ext xmlns:c16="http://schemas.microsoft.com/office/drawing/2014/chart" uri="{C3380CC4-5D6E-409C-BE32-E72D297353CC}">
              <c16:uniqueId val="{00000009-D37B-46BE-8E7D-AF34BFA4D858}"/>
            </c:ext>
          </c:extLst>
        </c:ser>
        <c:ser>
          <c:idx val="10"/>
          <c:order val="10"/>
          <c:tx>
            <c:strRef>
              <c:f>Sheet10!$L$3</c:f>
              <c:strCache>
                <c:ptCount val="1"/>
              </c:strCache>
            </c:strRef>
          </c:tx>
          <c:spPr>
            <a:solidFill>
              <a:srgbClr val="FF0000">
                <a:alpha val="9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Sheet10!$L$4:$L$123</c:f>
              <c:numCache>
                <c:formatCode>General</c:formatCode>
                <c:ptCount val="8"/>
                <c:pt idx="4">
                  <c:v>0.2219535491319693</c:v>
                </c:pt>
                <c:pt idx="5">
                  <c:v>0.29480823777322129</c:v>
                </c:pt>
                <c:pt idx="6">
                  <c:v>0.30822347768406555</c:v>
                </c:pt>
                <c:pt idx="7">
                  <c:v>0.31097436484535379</c:v>
                </c:pt>
              </c:numCache>
            </c:numRef>
          </c:val>
          <c:extLst>
            <c:ext xmlns:c16="http://schemas.microsoft.com/office/drawing/2014/chart" uri="{C3380CC4-5D6E-409C-BE32-E72D297353CC}">
              <c16:uniqueId val="{0000000A-D37B-46BE-8E7D-AF34BFA4D858}"/>
            </c:ext>
          </c:extLst>
        </c:ser>
        <c:ser>
          <c:idx val="11"/>
          <c:order val="11"/>
          <c:tx>
            <c:strRef>
              <c:f>Sheet10!$M$3</c:f>
              <c:strCache>
                <c:ptCount val="1"/>
              </c:strCache>
            </c:strRef>
          </c:tx>
          <c:spPr>
            <a:solidFill>
              <a:srgbClr val="FF0000">
                <a:alpha val="8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Sheet10!$M$4:$M$123</c:f>
              <c:numCache>
                <c:formatCode>General</c:formatCode>
                <c:ptCount val="8"/>
                <c:pt idx="4">
                  <c:v>0.22940660902419818</c:v>
                </c:pt>
                <c:pt idx="5">
                  <c:v>0.30470771206159952</c:v>
                </c:pt>
                <c:pt idx="6">
                  <c:v>0.31857342724943205</c:v>
                </c:pt>
                <c:pt idx="7">
                  <c:v>0.32141668746287611</c:v>
                </c:pt>
              </c:numCache>
            </c:numRef>
          </c:val>
          <c:extLst>
            <c:ext xmlns:c16="http://schemas.microsoft.com/office/drawing/2014/chart" uri="{C3380CC4-5D6E-409C-BE32-E72D297353CC}">
              <c16:uniqueId val="{0000000B-D37B-46BE-8E7D-AF34BFA4D858}"/>
            </c:ext>
          </c:extLst>
        </c:ser>
        <c:ser>
          <c:idx val="12"/>
          <c:order val="12"/>
          <c:tx>
            <c:strRef>
              <c:f>Sheet10!$N$3</c:f>
              <c:strCache>
                <c:ptCount val="1"/>
              </c:strCache>
            </c:strRef>
          </c:tx>
          <c:spPr>
            <a:solidFill>
              <a:srgbClr val="FF0000">
                <a:alpha val="7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Sheet10!$N$4:$N$123</c:f>
              <c:numCache>
                <c:formatCode>General</c:formatCode>
                <c:ptCount val="8"/>
                <c:pt idx="4">
                  <c:v>0.24176001136697156</c:v>
                </c:pt>
                <c:pt idx="5">
                  <c:v>0.32111603168261826</c:v>
                </c:pt>
                <c:pt idx="6">
                  <c:v>0.3357284069567239</c:v>
                </c:pt>
                <c:pt idx="7">
                  <c:v>0.33872477495346676</c:v>
                </c:pt>
              </c:numCache>
            </c:numRef>
          </c:val>
          <c:extLst>
            <c:ext xmlns:c16="http://schemas.microsoft.com/office/drawing/2014/chart" uri="{C3380CC4-5D6E-409C-BE32-E72D297353CC}">
              <c16:uniqueId val="{0000000C-D37B-46BE-8E7D-AF34BFA4D858}"/>
            </c:ext>
          </c:extLst>
        </c:ser>
        <c:ser>
          <c:idx val="13"/>
          <c:order val="13"/>
          <c:tx>
            <c:strRef>
              <c:f>Sheet10!$O$3</c:f>
              <c:strCache>
                <c:ptCount val="1"/>
              </c:strCache>
            </c:strRef>
          </c:tx>
          <c:spPr>
            <a:solidFill>
              <a:srgbClr val="FF0000">
                <a:alpha val="6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Sheet10!$O$4:$O$123</c:f>
              <c:numCache>
                <c:formatCode>General</c:formatCode>
                <c:ptCount val="8"/>
                <c:pt idx="4">
                  <c:v>0.26089706414661595</c:v>
                </c:pt>
                <c:pt idx="5">
                  <c:v>0.34653468719952318</c:v>
                </c:pt>
                <c:pt idx="6">
                  <c:v>0.36230373762133183</c:v>
                </c:pt>
                <c:pt idx="7">
                  <c:v>0.36553728980819944</c:v>
                </c:pt>
              </c:numCache>
            </c:numRef>
          </c:val>
          <c:extLst>
            <c:ext xmlns:c16="http://schemas.microsoft.com/office/drawing/2014/chart" uri="{C3380CC4-5D6E-409C-BE32-E72D297353CC}">
              <c16:uniqueId val="{0000000D-D37B-46BE-8E7D-AF34BFA4D858}"/>
            </c:ext>
          </c:extLst>
        </c:ser>
        <c:ser>
          <c:idx val="14"/>
          <c:order val="14"/>
          <c:tx>
            <c:strRef>
              <c:f>Sheet10!$P$3</c:f>
              <c:strCache>
                <c:ptCount val="1"/>
              </c:strCache>
            </c:strRef>
          </c:tx>
          <c:spPr>
            <a:solidFill>
              <a:srgbClr val="FF0000">
                <a:alpha val="5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Sheet10!$P$4:$P$123</c:f>
              <c:numCache>
                <c:formatCode>General</c:formatCode>
                <c:ptCount val="8"/>
                <c:pt idx="4">
                  <c:v>0.29052125301761933</c:v>
                </c:pt>
                <c:pt idx="5">
                  <c:v>0.3858828073385201</c:v>
                </c:pt>
                <c:pt idx="6">
                  <c:v>0.40344239277282501</c:v>
                </c:pt>
                <c:pt idx="7">
                  <c:v>0.40704310647230546</c:v>
                </c:pt>
              </c:numCache>
            </c:numRef>
          </c:val>
          <c:extLst>
            <c:ext xmlns:c16="http://schemas.microsoft.com/office/drawing/2014/chart" uri="{C3380CC4-5D6E-409C-BE32-E72D297353CC}">
              <c16:uniqueId val="{0000000E-D37B-46BE-8E7D-AF34BFA4D858}"/>
            </c:ext>
          </c:extLst>
        </c:ser>
        <c:ser>
          <c:idx val="15"/>
          <c:order val="15"/>
          <c:tx>
            <c:strRef>
              <c:f>Sheet10!$Q$3</c:f>
              <c:strCache>
                <c:ptCount val="1"/>
              </c:strCache>
            </c:strRef>
          </c:tx>
          <c:spPr>
            <a:solidFill>
              <a:srgbClr val="FF0000">
                <a:alpha val="4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Sheet10!$Q$4:$Q$123</c:f>
              <c:numCache>
                <c:formatCode>General</c:formatCode>
                <c:ptCount val="8"/>
                <c:pt idx="4">
                  <c:v>0.33863800223436336</c:v>
                </c:pt>
                <c:pt idx="5">
                  <c:v>0.44979354046011721</c:v>
                </c:pt>
                <c:pt idx="6">
                  <c:v>0.47026138186508426</c:v>
                </c:pt>
                <c:pt idx="7">
                  <c:v>0.47445845344296345</c:v>
                </c:pt>
              </c:numCache>
            </c:numRef>
          </c:val>
          <c:extLst>
            <c:ext xmlns:c16="http://schemas.microsoft.com/office/drawing/2014/chart" uri="{C3380CC4-5D6E-409C-BE32-E72D297353CC}">
              <c16:uniqueId val="{0000000F-D37B-46BE-8E7D-AF34BFA4D858}"/>
            </c:ext>
          </c:extLst>
        </c:ser>
        <c:ser>
          <c:idx val="16"/>
          <c:order val="16"/>
          <c:tx>
            <c:strRef>
              <c:f>Sheet10!$R$3</c:f>
              <c:strCache>
                <c:ptCount val="1"/>
              </c:strCache>
            </c:strRef>
          </c:tx>
          <c:spPr>
            <a:solidFill>
              <a:srgbClr val="FF0000">
                <a:alpha val="3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Sheet10!$R$4:$R$123</c:f>
              <c:numCache>
                <c:formatCode>General</c:formatCode>
                <c:ptCount val="8"/>
                <c:pt idx="4">
                  <c:v>0.42608393227213082</c:v>
                </c:pt>
                <c:pt idx="5">
                  <c:v>0.56594298089797235</c:v>
                </c:pt>
                <c:pt idx="6">
                  <c:v>0.59169619906429816</c:v>
                </c:pt>
                <c:pt idx="7">
                  <c:v>0.59697707347925011</c:v>
                </c:pt>
              </c:numCache>
            </c:numRef>
          </c:val>
          <c:extLst>
            <c:ext xmlns:c16="http://schemas.microsoft.com/office/drawing/2014/chart" uri="{C3380CC4-5D6E-409C-BE32-E72D297353CC}">
              <c16:uniqueId val="{00000010-D37B-46BE-8E7D-AF34BFA4D858}"/>
            </c:ext>
          </c:extLst>
        </c:ser>
        <c:ser>
          <c:idx val="17"/>
          <c:order val="17"/>
          <c:tx>
            <c:strRef>
              <c:f>Sheet10!$S$3</c:f>
              <c:strCache>
                <c:ptCount val="1"/>
              </c:strCache>
            </c:strRef>
          </c:tx>
          <c:spPr>
            <a:solidFill>
              <a:srgbClr val="FF0000">
                <a:alpha val="20000"/>
              </a:srgbClr>
            </a:solidFill>
          </c:spPr>
          <c:cat>
            <c:strRef>
              <c:f>Sheet10!$A$4:$A$123</c:f>
              <c:strCache>
                <c:ptCount val="8"/>
                <c:pt idx="0">
                  <c:v>2022/4</c:v>
                </c:pt>
                <c:pt idx="1">
                  <c:v>2023/4</c:v>
                </c:pt>
                <c:pt idx="2">
                  <c:v>2024/4</c:v>
                </c:pt>
                <c:pt idx="3">
                  <c:v>2025/4</c:v>
                </c:pt>
                <c:pt idx="4">
                  <c:v>2026/4*</c:v>
                </c:pt>
                <c:pt idx="5">
                  <c:v>2027/4*</c:v>
                </c:pt>
                <c:pt idx="6">
                  <c:v>2028/4*</c:v>
                </c:pt>
                <c:pt idx="7">
                  <c:v>2029/4*</c:v>
                </c:pt>
              </c:strCache>
            </c:strRef>
          </c:cat>
          <c:val>
            <c:numRef>
              <c:f>Sheet10!$S$4:$S$123</c:f>
              <c:numCache>
                <c:formatCode>General</c:formatCode>
                <c:ptCount val="8"/>
                <c:pt idx="4">
                  <c:v>0.63152057273273154</c:v>
                </c:pt>
                <c:pt idx="5">
                  <c:v>0.83881275110484843</c:v>
                </c:pt>
                <c:pt idx="6">
                  <c:v>0.87698289988136224</c:v>
                </c:pt>
                <c:pt idx="7">
                  <c:v>0.88480995127303608</c:v>
                </c:pt>
              </c:numCache>
            </c:numRef>
          </c:val>
          <c:extLst>
            <c:ext xmlns:c16="http://schemas.microsoft.com/office/drawing/2014/chart" uri="{C3380CC4-5D6E-409C-BE32-E72D297353CC}">
              <c16:uniqueId val="{00000011-D37B-46BE-8E7D-AF34BFA4D858}"/>
            </c:ext>
          </c:extLst>
        </c:ser>
        <c:dLbls>
          <c:showLegendKey val="0"/>
          <c:showVal val="0"/>
          <c:showCatName val="0"/>
          <c:showSerName val="0"/>
          <c:showPercent val="0"/>
          <c:showBubbleSize val="0"/>
        </c:dLbls>
        <c:axId val="648285968"/>
        <c:axId val="648286952"/>
      </c:areaChart>
      <c:catAx>
        <c:axId val="648285968"/>
        <c:scaling>
          <c:orientation val="minMax"/>
        </c:scaling>
        <c:delete val="0"/>
        <c:axPos val="b"/>
        <c:numFmt formatCode="General" sourceLinked="1"/>
        <c:majorTickMark val="out"/>
        <c:minorTickMark val="none"/>
        <c:tickLblPos val="nextTo"/>
        <c:crossAx val="648286952"/>
        <c:crosses val="autoZero"/>
        <c:auto val="1"/>
        <c:lblAlgn val="ctr"/>
        <c:lblOffset val="100"/>
        <c:noMultiLvlLbl val="0"/>
      </c:catAx>
      <c:valAx>
        <c:axId val="648286952"/>
        <c:scaling>
          <c:orientation val="minMax"/>
        </c:scaling>
        <c:delete val="0"/>
        <c:axPos val="l"/>
        <c:majorGridlines/>
        <c:numFmt formatCode="General" sourceLinked="1"/>
        <c:majorTickMark val="out"/>
        <c:minorTickMark val="none"/>
        <c:tickLblPos val="nextTo"/>
        <c:crossAx val="648285968"/>
        <c:crosses val="autoZero"/>
        <c:crossBetween val="between"/>
      </c:valAx>
    </c:plotArea>
    <c:plotVisOnly val="1"/>
    <c:dispBlanksAs val="gap"/>
    <c:showDLblsOverMax val="0"/>
    <c:extLst>
      <c:ext xmlns:c16r3="http://schemas.microsoft.com/office/drawing/2017/03/chart" uri="{56B9EC1D-385E-4148-901F-78D8002777C0}">
        <c16r3:dataDisplayOptions16>
          <c16r3:dispNaAsBlank val="1"/>
        </c16r3:dataDisplayOptions16>
      </c:ext>
    </c:extLst>
  </c:chart>
  <c:externalData r:id="rId2">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624357502187228"/>
          <c:y val="9.0829931972789116E-2"/>
          <c:w val="0.780880905511811"/>
          <c:h val="0.50072117721395937"/>
        </c:manualLayout>
      </c:layout>
      <c:barChart>
        <c:barDir val="col"/>
        <c:grouping val="clustered"/>
        <c:varyColors val="0"/>
        <c:ser>
          <c:idx val="0"/>
          <c:order val="0"/>
          <c:tx>
            <c:strRef>
              <c:f>Sheet1!$C$1</c:f>
              <c:strCache>
                <c:ptCount val="1"/>
                <c:pt idx="0">
                  <c:v>հարկային եկամուտներ, մլրդ դրամ</c:v>
                </c:pt>
              </c:strCache>
            </c:strRef>
          </c:tx>
          <c:spPr>
            <a:solidFill>
              <a:srgbClr val="5B9BD5">
                <a:lumMod val="75000"/>
              </a:srgbClr>
            </a:solidFill>
          </c:spPr>
          <c:invertIfNegative val="0"/>
          <c:cat>
            <c:multiLvlStrRef>
              <c:f>Sheet1!$A$2:$B$23</c:f>
              <c:multiLvlStrCache>
                <c:ptCount val="2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lvl>
                <c:lvl>
                  <c:pt idx="0">
                    <c:v>2025</c:v>
                  </c:pt>
                  <c:pt idx="12">
                    <c:v>2026</c:v>
                  </c:pt>
                </c:lvl>
              </c:multiLvlStrCache>
            </c:multiLvlStrRef>
          </c:cat>
          <c:val>
            <c:numRef>
              <c:f>Sheet1!$C$2:$C$23</c:f>
              <c:numCache>
                <c:formatCode>0.0</c:formatCode>
                <c:ptCount val="20"/>
                <c:pt idx="0">
                  <c:v>232.83974272999998</c:v>
                </c:pt>
                <c:pt idx="1">
                  <c:v>379.56297838999996</c:v>
                </c:pt>
                <c:pt idx="2">
                  <c:v>566.49810003999994</c:v>
                </c:pt>
                <c:pt idx="3">
                  <c:v>948.71022716000004</c:v>
                </c:pt>
                <c:pt idx="4">
                  <c:v>1125.8317018899997</c:v>
                </c:pt>
                <c:pt idx="5">
                  <c:v>1356.00943446</c:v>
                </c:pt>
                <c:pt idx="6">
                  <c:v>1574.65627161</c:v>
                </c:pt>
                <c:pt idx="7">
                  <c:v>1769.3324662500002</c:v>
                </c:pt>
                <c:pt idx="8">
                  <c:v>2012.8142296200003</c:v>
                </c:pt>
                <c:pt idx="9">
                  <c:v>2240.4586975899997</c:v>
                </c:pt>
                <c:pt idx="10">
                  <c:v>2441.8520757284</c:v>
                </c:pt>
                <c:pt idx="11">
                  <c:v>2725.2425406800003</c:v>
                </c:pt>
                <c:pt idx="12">
                  <c:v>250.97425046379999</c:v>
                </c:pt>
                <c:pt idx="13">
                  <c:v>416.76100618899989</c:v>
                </c:pt>
                <c:pt idx="14">
                  <c:v>643.43325647999995</c:v>
                </c:pt>
                <c:pt idx="15">
                  <c:v>1085.79364276</c:v>
                </c:pt>
                <c:pt idx="16">
                  <c:v>1290.0022649800001</c:v>
                </c:pt>
                <c:pt idx="17">
                  <c:v>1555.9150680400003</c:v>
                </c:pt>
                <c:pt idx="18">
                  <c:v>1809.4379092199997</c:v>
                </c:pt>
                <c:pt idx="19">
                  <c:v>2027.1354948000001</c:v>
                </c:pt>
              </c:numCache>
            </c:numRef>
          </c:val>
          <c:extLst>
            <c:ext xmlns:c16="http://schemas.microsoft.com/office/drawing/2014/chart" uri="{C3380CC4-5D6E-409C-BE32-E72D297353CC}">
              <c16:uniqueId val="{00000000-95FE-49E0-8051-CCBE3DC94743}"/>
            </c:ext>
          </c:extLst>
        </c:ser>
        <c:dLbls>
          <c:showLegendKey val="0"/>
          <c:showVal val="0"/>
          <c:showCatName val="0"/>
          <c:showSerName val="0"/>
          <c:showPercent val="0"/>
          <c:showBubbleSize val="0"/>
        </c:dLbls>
        <c:gapWidth val="150"/>
        <c:axId val="317155200"/>
        <c:axId val="317156736"/>
      </c:barChart>
      <c:lineChart>
        <c:grouping val="standard"/>
        <c:varyColors val="0"/>
        <c:ser>
          <c:idx val="2"/>
          <c:order val="1"/>
          <c:tx>
            <c:strRef>
              <c:f>Sheet1!$D$1</c:f>
              <c:strCache>
                <c:ptCount val="1"/>
                <c:pt idx="0">
                  <c:v>հարկային եկամուտների աճը, %</c:v>
                </c:pt>
              </c:strCache>
            </c:strRef>
          </c:tx>
          <c:spPr>
            <a:ln w="22225">
              <a:solidFill>
                <a:srgbClr val="ED7D31"/>
              </a:solidFill>
            </a:ln>
          </c:spPr>
          <c:marker>
            <c:symbol val="none"/>
          </c:marker>
          <c:cat>
            <c:multiLvlStrRef>
              <c:f>Sheet1!$A$2:$B$23</c:f>
              <c:multiLvlStrCache>
                <c:ptCount val="2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lvl>
                <c:lvl>
                  <c:pt idx="0">
                    <c:v>2025</c:v>
                  </c:pt>
                  <c:pt idx="12">
                    <c:v>2026</c:v>
                  </c:pt>
                </c:lvl>
              </c:multiLvlStrCache>
            </c:multiLvlStrRef>
          </c:cat>
          <c:val>
            <c:numRef>
              <c:f>Sheet1!$D$2:$D$23</c:f>
              <c:numCache>
                <c:formatCode>0.0</c:formatCode>
                <c:ptCount val="20"/>
                <c:pt idx="0">
                  <c:v>31.109983267322718</c:v>
                </c:pt>
                <c:pt idx="1">
                  <c:v>22.53477714774192</c:v>
                </c:pt>
                <c:pt idx="2">
                  <c:v>13.162073185105427</c:v>
                </c:pt>
                <c:pt idx="3">
                  <c:v>14.47397874418688</c:v>
                </c:pt>
                <c:pt idx="4">
                  <c:v>14.400939074118483</c:v>
                </c:pt>
                <c:pt idx="5">
                  <c:v>14.176962350591779</c:v>
                </c:pt>
                <c:pt idx="6">
                  <c:v>14.706573948548268</c:v>
                </c:pt>
                <c:pt idx="7">
                  <c:v>14.286048862777022</c:v>
                </c:pt>
                <c:pt idx="8">
                  <c:v>13.896189708137683</c:v>
                </c:pt>
                <c:pt idx="9">
                  <c:v>13.720754576746401</c:v>
                </c:pt>
                <c:pt idx="10">
                  <c:v>13.616376035385997</c:v>
                </c:pt>
                <c:pt idx="11">
                  <c:v>13.984202338880607</c:v>
                </c:pt>
                <c:pt idx="12">
                  <c:v>7.7884073917865067</c:v>
                </c:pt>
                <c:pt idx="13">
                  <c:v>9.8002255005963832</c:v>
                </c:pt>
                <c:pt idx="14">
                  <c:v>13.580832210128804</c:v>
                </c:pt>
                <c:pt idx="15">
                  <c:v>14.449450598879324</c:v>
                </c:pt>
                <c:pt idx="16">
                  <c:v>14.582158489088343</c:v>
                </c:pt>
                <c:pt idx="17">
                  <c:v>14.742200791516495</c:v>
                </c:pt>
                <c:pt idx="18">
                  <c:v>14.910024609367497</c:v>
                </c:pt>
                <c:pt idx="19">
                  <c:v>14.570637993005292</c:v>
                </c:pt>
              </c:numCache>
            </c:numRef>
          </c:val>
          <c:smooth val="0"/>
          <c:extLst>
            <c:ext xmlns:c16="http://schemas.microsoft.com/office/drawing/2014/chart" uri="{C3380CC4-5D6E-409C-BE32-E72D297353CC}">
              <c16:uniqueId val="{00000001-95FE-49E0-8051-CCBE3DC94743}"/>
            </c:ext>
          </c:extLst>
        </c:ser>
        <c:dLbls>
          <c:showLegendKey val="0"/>
          <c:showVal val="0"/>
          <c:showCatName val="0"/>
          <c:showSerName val="0"/>
          <c:showPercent val="0"/>
          <c:showBubbleSize val="0"/>
        </c:dLbls>
        <c:marker val="1"/>
        <c:smooth val="0"/>
        <c:axId val="1863500351"/>
        <c:axId val="1863513247"/>
      </c:lineChart>
      <c:catAx>
        <c:axId val="317155200"/>
        <c:scaling>
          <c:orientation val="minMax"/>
        </c:scaling>
        <c:delete val="0"/>
        <c:axPos val="b"/>
        <c:numFmt formatCode="General" sourceLinked="0"/>
        <c:majorTickMark val="none"/>
        <c:minorTickMark val="none"/>
        <c:tickLblPos val="nextTo"/>
        <c:spPr>
          <a:ln>
            <a:noFill/>
          </a:ln>
        </c:spPr>
        <c:txPr>
          <a:bodyPr rot="0" vert="horz"/>
          <a:lstStyle/>
          <a:p>
            <a:pPr>
              <a:defRPr/>
            </a:pPr>
            <a:endParaRPr lang="en-US"/>
          </a:p>
        </c:txPr>
        <c:crossAx val="317156736"/>
        <c:crosses val="autoZero"/>
        <c:auto val="1"/>
        <c:lblAlgn val="ctr"/>
        <c:lblOffset val="100"/>
        <c:tickLblSkip val="1"/>
        <c:noMultiLvlLbl val="0"/>
      </c:catAx>
      <c:valAx>
        <c:axId val="317156736"/>
        <c:scaling>
          <c:orientation val="minMax"/>
        </c:scaling>
        <c:delete val="0"/>
        <c:axPos val="l"/>
        <c:numFmt formatCode="0.0" sourceLinked="1"/>
        <c:majorTickMark val="none"/>
        <c:minorTickMark val="none"/>
        <c:tickLblPos val="nextTo"/>
        <c:spPr>
          <a:ln w="12700">
            <a:solidFill>
              <a:sysClr val="window" lastClr="FFFFFF"/>
            </a:solidFill>
          </a:ln>
        </c:spPr>
        <c:txPr>
          <a:bodyPr rot="0" vert="horz"/>
          <a:lstStyle/>
          <a:p>
            <a:pPr>
              <a:defRPr>
                <a:solidFill>
                  <a:schemeClr val="bg1">
                    <a:lumMod val="65000"/>
                  </a:schemeClr>
                </a:solidFill>
              </a:defRPr>
            </a:pPr>
            <a:endParaRPr lang="en-US"/>
          </a:p>
        </c:txPr>
        <c:crossAx val="317155200"/>
        <c:crosses val="autoZero"/>
        <c:crossBetween val="between"/>
        <c:majorUnit val="1000"/>
      </c:valAx>
      <c:valAx>
        <c:axId val="1863513247"/>
        <c:scaling>
          <c:orientation val="minMax"/>
        </c:scaling>
        <c:delete val="0"/>
        <c:axPos val="r"/>
        <c:numFmt formatCode="0.0" sourceLinked="1"/>
        <c:majorTickMark val="out"/>
        <c:minorTickMark val="none"/>
        <c:tickLblPos val="nextTo"/>
        <c:spPr>
          <a:ln>
            <a:noFill/>
          </a:ln>
        </c:spPr>
        <c:txPr>
          <a:bodyPr/>
          <a:lstStyle/>
          <a:p>
            <a:pPr>
              <a:defRPr>
                <a:solidFill>
                  <a:schemeClr val="bg1">
                    <a:lumMod val="65000"/>
                  </a:schemeClr>
                </a:solidFill>
              </a:defRPr>
            </a:pPr>
            <a:endParaRPr lang="en-US"/>
          </a:p>
        </c:txPr>
        <c:crossAx val="1863500351"/>
        <c:crosses val="max"/>
        <c:crossBetween val="between"/>
      </c:valAx>
      <c:catAx>
        <c:axId val="1863500351"/>
        <c:scaling>
          <c:orientation val="minMax"/>
        </c:scaling>
        <c:delete val="1"/>
        <c:axPos val="b"/>
        <c:numFmt formatCode="General" sourceLinked="1"/>
        <c:majorTickMark val="out"/>
        <c:minorTickMark val="none"/>
        <c:tickLblPos val="nextTo"/>
        <c:crossAx val="1863513247"/>
        <c:crosses val="autoZero"/>
        <c:auto val="1"/>
        <c:lblAlgn val="ctr"/>
        <c:lblOffset val="100"/>
        <c:noMultiLvlLbl val="0"/>
      </c:catAx>
      <c:spPr>
        <a:noFill/>
        <a:ln w="25332">
          <a:noFill/>
        </a:ln>
      </c:spPr>
    </c:plotArea>
    <c:legend>
      <c:legendPos val="r"/>
      <c:layout>
        <c:manualLayout>
          <c:xMode val="edge"/>
          <c:yMode val="edge"/>
          <c:x val="7.6074475065616813E-4"/>
          <c:y val="0.83434431807135223"/>
          <c:w val="0.95524351924587592"/>
          <c:h val="0.15022358316321574"/>
        </c:manualLayout>
      </c:layout>
      <c:overlay val="0"/>
    </c:legend>
    <c:plotVisOnly val="1"/>
    <c:dispBlanksAs val="gap"/>
    <c:showDLblsOverMax val="0"/>
  </c:chart>
  <c:spPr>
    <a:noFill/>
    <a:ln w="12700">
      <a:solidFill>
        <a:sysClr val="window" lastClr="FFFFFF"/>
      </a:solidFill>
    </a:ln>
  </c:spPr>
  <c:txPr>
    <a:bodyPr/>
    <a:lstStyle/>
    <a:p>
      <a:pPr>
        <a:defRPr sz="600" b="0" i="0" u="none" strike="noStrike" baseline="0">
          <a:solidFill>
            <a:srgbClr val="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9854686132983377E-2"/>
          <c:y val="9.0829931972789116E-2"/>
          <c:w val="0.8813381725721785"/>
          <c:h val="0.53459159618936514"/>
        </c:manualLayout>
      </c:layout>
      <c:barChart>
        <c:barDir val="col"/>
        <c:grouping val="stacked"/>
        <c:varyColors val="0"/>
        <c:ser>
          <c:idx val="2"/>
          <c:order val="0"/>
          <c:tx>
            <c:strRef>
              <c:f>Sheet1!$D$1</c:f>
              <c:strCache>
                <c:ptCount val="1"/>
                <c:pt idx="0">
                  <c:v>Ընթացիկ ծախսեր, %-ային կետ</c:v>
                </c:pt>
              </c:strCache>
            </c:strRef>
          </c:tx>
          <c:spPr>
            <a:solidFill>
              <a:srgbClr val="4472C4"/>
            </a:solidFill>
          </c:spPr>
          <c:invertIfNegative val="0"/>
          <c:cat>
            <c:multiLvlStrRef>
              <c:f>Sheet1!$A$2:$B$23</c:f>
              <c:multiLvlStrCache>
                <c:ptCount val="2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lvl>
                <c:lvl>
                  <c:pt idx="0">
                    <c:v>2025</c:v>
                  </c:pt>
                  <c:pt idx="12">
                    <c:v>2026</c:v>
                  </c:pt>
                </c:lvl>
              </c:multiLvlStrCache>
            </c:multiLvlStrRef>
          </c:cat>
          <c:val>
            <c:numRef>
              <c:f>Sheet1!$D$2:$D$23</c:f>
              <c:numCache>
                <c:formatCode>0.0</c:formatCode>
                <c:ptCount val="20"/>
                <c:pt idx="0">
                  <c:v>4.3966306760616538</c:v>
                </c:pt>
                <c:pt idx="1">
                  <c:v>-1.531820260710806</c:v>
                </c:pt>
                <c:pt idx="2">
                  <c:v>7.6962116057979726</c:v>
                </c:pt>
                <c:pt idx="3">
                  <c:v>9.9431106629171353</c:v>
                </c:pt>
                <c:pt idx="4">
                  <c:v>8.41508736414632</c:v>
                </c:pt>
                <c:pt idx="5">
                  <c:v>8.0548351615974614</c:v>
                </c:pt>
                <c:pt idx="6">
                  <c:v>7.3067346226450676</c:v>
                </c:pt>
                <c:pt idx="7">
                  <c:v>6.5630379520628113</c:v>
                </c:pt>
                <c:pt idx="8">
                  <c:v>6.5148490328696074</c:v>
                </c:pt>
                <c:pt idx="9">
                  <c:v>7.1492408898568014</c:v>
                </c:pt>
                <c:pt idx="10">
                  <c:v>7.135248976592214</c:v>
                </c:pt>
                <c:pt idx="11">
                  <c:v>6.7332854545186436</c:v>
                </c:pt>
                <c:pt idx="12">
                  <c:v>18.390218456373457</c:v>
                </c:pt>
                <c:pt idx="13">
                  <c:v>17.006209916095688</c:v>
                </c:pt>
                <c:pt idx="14">
                  <c:v>10.316962044547489</c:v>
                </c:pt>
                <c:pt idx="15">
                  <c:v>12.822206818478994</c:v>
                </c:pt>
                <c:pt idx="16">
                  <c:v>12.587033230077632</c:v>
                </c:pt>
                <c:pt idx="17">
                  <c:v>12.832873085055843</c:v>
                </c:pt>
                <c:pt idx="18">
                  <c:v>13.950933689394244</c:v>
                </c:pt>
                <c:pt idx="19">
                  <c:v>14.550475141816248</c:v>
                </c:pt>
              </c:numCache>
            </c:numRef>
          </c:val>
          <c:extLst>
            <c:ext xmlns:c16="http://schemas.microsoft.com/office/drawing/2014/chart" uri="{C3380CC4-5D6E-409C-BE32-E72D297353CC}">
              <c16:uniqueId val="{00000000-C8F3-4D28-BA8E-88384CFA882F}"/>
            </c:ext>
          </c:extLst>
        </c:ser>
        <c:ser>
          <c:idx val="0"/>
          <c:order val="2"/>
          <c:tx>
            <c:strRef>
              <c:f>Sheet1!$C$1</c:f>
              <c:strCache>
                <c:ptCount val="1"/>
                <c:pt idx="0">
                  <c:v>Կապիտալ ծախսեր, %-ային կետ</c:v>
                </c:pt>
              </c:strCache>
            </c:strRef>
          </c:tx>
          <c:spPr>
            <a:solidFill>
              <a:srgbClr val="4472C4">
                <a:lumMod val="40000"/>
                <a:lumOff val="60000"/>
              </a:srgbClr>
            </a:solidFill>
          </c:spPr>
          <c:invertIfNegative val="0"/>
          <c:cat>
            <c:multiLvlStrRef>
              <c:f>Sheet1!$A$2:$B$23</c:f>
              <c:multiLvlStrCache>
                <c:ptCount val="2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lvl>
                <c:lvl>
                  <c:pt idx="0">
                    <c:v>2025</c:v>
                  </c:pt>
                  <c:pt idx="12">
                    <c:v>2026</c:v>
                  </c:pt>
                </c:lvl>
              </c:multiLvlStrCache>
            </c:multiLvlStrRef>
          </c:cat>
          <c:val>
            <c:numRef>
              <c:f>Sheet1!$C$2:$C$23</c:f>
              <c:numCache>
                <c:formatCode>0.0</c:formatCode>
                <c:ptCount val="20"/>
                <c:pt idx="0">
                  <c:v>15.29139331417362</c:v>
                </c:pt>
                <c:pt idx="1">
                  <c:v>1.8167155966928745</c:v>
                </c:pt>
                <c:pt idx="2">
                  <c:v>1.8675963979341217</c:v>
                </c:pt>
                <c:pt idx="3">
                  <c:v>4.0286859144903095</c:v>
                </c:pt>
                <c:pt idx="4">
                  <c:v>8.4789350759002797</c:v>
                </c:pt>
                <c:pt idx="5">
                  <c:v>11.382139460266183</c:v>
                </c:pt>
                <c:pt idx="6">
                  <c:v>7.8687329202746206</c:v>
                </c:pt>
                <c:pt idx="7">
                  <c:v>6.3491950623114795</c:v>
                </c:pt>
                <c:pt idx="8">
                  <c:v>7.5566204542477218</c:v>
                </c:pt>
                <c:pt idx="9">
                  <c:v>6.5324375261204208</c:v>
                </c:pt>
                <c:pt idx="10">
                  <c:v>6.5931359233937803</c:v>
                </c:pt>
                <c:pt idx="11">
                  <c:v>5.1106069843950319</c:v>
                </c:pt>
                <c:pt idx="12">
                  <c:v>-9.0509568707018442</c:v>
                </c:pt>
                <c:pt idx="13">
                  <c:v>-7.5652552082251159</c:v>
                </c:pt>
                <c:pt idx="14">
                  <c:v>-5.6075901587280814</c:v>
                </c:pt>
                <c:pt idx="15">
                  <c:v>-5.2197905952060557</c:v>
                </c:pt>
                <c:pt idx="16">
                  <c:v>-8.0838363746971194</c:v>
                </c:pt>
                <c:pt idx="17">
                  <c:v>-5.7968827003820058</c:v>
                </c:pt>
                <c:pt idx="18">
                  <c:v>-5.0244913312872521</c:v>
                </c:pt>
                <c:pt idx="19">
                  <c:v>-4.6938909814749685</c:v>
                </c:pt>
              </c:numCache>
            </c:numRef>
          </c:val>
          <c:extLst>
            <c:ext xmlns:c16="http://schemas.microsoft.com/office/drawing/2014/chart" uri="{C3380CC4-5D6E-409C-BE32-E72D297353CC}">
              <c16:uniqueId val="{00000001-C8F3-4D28-BA8E-88384CFA882F}"/>
            </c:ext>
          </c:extLst>
        </c:ser>
        <c:dLbls>
          <c:showLegendKey val="0"/>
          <c:showVal val="0"/>
          <c:showCatName val="0"/>
          <c:showSerName val="0"/>
          <c:showPercent val="0"/>
          <c:showBubbleSize val="0"/>
        </c:dLbls>
        <c:gapWidth val="150"/>
        <c:overlap val="100"/>
        <c:axId val="317155200"/>
        <c:axId val="317156736"/>
      </c:barChart>
      <c:lineChart>
        <c:grouping val="standard"/>
        <c:varyColors val="0"/>
        <c:ser>
          <c:idx val="1"/>
          <c:order val="1"/>
          <c:tx>
            <c:strRef>
              <c:f>Sheet1!$E$1</c:f>
              <c:strCache>
                <c:ptCount val="1"/>
                <c:pt idx="0">
                  <c:v>Ծախսերի աճը, %</c:v>
                </c:pt>
              </c:strCache>
            </c:strRef>
          </c:tx>
          <c:spPr>
            <a:ln>
              <a:solidFill>
                <a:srgbClr val="7030A0"/>
              </a:solidFill>
            </a:ln>
          </c:spPr>
          <c:marker>
            <c:symbol val="none"/>
          </c:marker>
          <c:cat>
            <c:multiLvlStrRef>
              <c:f>Sheet1!$A$2:$B$23</c:f>
              <c:multiLvlStrCache>
                <c:ptCount val="20"/>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lvl>
                <c:lvl>
                  <c:pt idx="0">
                    <c:v>2025</c:v>
                  </c:pt>
                  <c:pt idx="12">
                    <c:v>2026</c:v>
                  </c:pt>
                </c:lvl>
              </c:multiLvlStrCache>
            </c:multiLvlStrRef>
          </c:cat>
          <c:val>
            <c:numRef>
              <c:f>Sheet1!$E$2:$E$23</c:f>
              <c:numCache>
                <c:formatCode>0.0</c:formatCode>
                <c:ptCount val="20"/>
                <c:pt idx="0">
                  <c:v>19.688023990235266</c:v>
                </c:pt>
                <c:pt idx="1">
                  <c:v>0.28489533598208538</c:v>
                </c:pt>
                <c:pt idx="2">
                  <c:v>9.5638080037320634</c:v>
                </c:pt>
                <c:pt idx="3">
                  <c:v>13.97179657740746</c:v>
                </c:pt>
                <c:pt idx="4">
                  <c:v>16.894022440046616</c:v>
                </c:pt>
                <c:pt idx="5">
                  <c:v>19.436974621863641</c:v>
                </c:pt>
                <c:pt idx="6">
                  <c:v>15.175467542919691</c:v>
                </c:pt>
                <c:pt idx="7">
                  <c:v>12.912233014374296</c:v>
                </c:pt>
                <c:pt idx="8">
                  <c:v>14.071469487117326</c:v>
                </c:pt>
                <c:pt idx="9">
                  <c:v>13.681678415977203</c:v>
                </c:pt>
                <c:pt idx="10">
                  <c:v>13.728384899985983</c:v>
                </c:pt>
                <c:pt idx="11">
                  <c:v>11.844652414162594</c:v>
                </c:pt>
                <c:pt idx="12">
                  <c:v>9.3392615856715935</c:v>
                </c:pt>
                <c:pt idx="13">
                  <c:v>9.4409547078705884</c:v>
                </c:pt>
                <c:pt idx="14">
                  <c:v>4.709371885819408</c:v>
                </c:pt>
                <c:pt idx="15">
                  <c:v>7.6024162232729529</c:v>
                </c:pt>
                <c:pt idx="16">
                  <c:v>4.5031968553804944</c:v>
                </c:pt>
                <c:pt idx="17">
                  <c:v>7.0359903846738243</c:v>
                </c:pt>
                <c:pt idx="18">
                  <c:v>8.9264423581069803</c:v>
                </c:pt>
                <c:pt idx="19">
                  <c:v>9.8565841603413009</c:v>
                </c:pt>
              </c:numCache>
            </c:numRef>
          </c:val>
          <c:smooth val="0"/>
          <c:extLst>
            <c:ext xmlns:c16="http://schemas.microsoft.com/office/drawing/2014/chart" uri="{C3380CC4-5D6E-409C-BE32-E72D297353CC}">
              <c16:uniqueId val="{00000002-C8F3-4D28-BA8E-88384CFA882F}"/>
            </c:ext>
          </c:extLst>
        </c:ser>
        <c:dLbls>
          <c:showLegendKey val="0"/>
          <c:showVal val="0"/>
          <c:showCatName val="0"/>
          <c:showSerName val="0"/>
          <c:showPercent val="0"/>
          <c:showBubbleSize val="0"/>
        </c:dLbls>
        <c:marker val="1"/>
        <c:smooth val="0"/>
        <c:axId val="317155200"/>
        <c:axId val="317156736"/>
      </c:lineChart>
      <c:catAx>
        <c:axId val="317155200"/>
        <c:scaling>
          <c:orientation val="minMax"/>
        </c:scaling>
        <c:delete val="0"/>
        <c:axPos val="b"/>
        <c:numFmt formatCode="General" sourceLinked="0"/>
        <c:majorTickMark val="none"/>
        <c:minorTickMark val="none"/>
        <c:tickLblPos val="low"/>
        <c:spPr>
          <a:ln>
            <a:noFill/>
          </a:ln>
        </c:spPr>
        <c:txPr>
          <a:bodyPr rot="0" vert="horz"/>
          <a:lstStyle/>
          <a:p>
            <a:pPr>
              <a:defRPr/>
            </a:pPr>
            <a:endParaRPr lang="en-US"/>
          </a:p>
        </c:txPr>
        <c:crossAx val="317156736"/>
        <c:crosses val="autoZero"/>
        <c:auto val="1"/>
        <c:lblAlgn val="ctr"/>
        <c:lblOffset val="100"/>
        <c:noMultiLvlLbl val="0"/>
      </c:catAx>
      <c:valAx>
        <c:axId val="317156736"/>
        <c:scaling>
          <c:orientation val="minMax"/>
          <c:max val="26"/>
          <c:min val="-5"/>
        </c:scaling>
        <c:delete val="0"/>
        <c:axPos val="l"/>
        <c:numFmt formatCode="0.0" sourceLinked="1"/>
        <c:majorTickMark val="none"/>
        <c:minorTickMark val="none"/>
        <c:tickLblPos val="nextTo"/>
        <c:spPr>
          <a:ln>
            <a:noFill/>
          </a:ln>
        </c:spPr>
        <c:txPr>
          <a:bodyPr rot="0" vert="horz"/>
          <a:lstStyle/>
          <a:p>
            <a:pPr>
              <a:defRPr>
                <a:solidFill>
                  <a:schemeClr val="bg1">
                    <a:lumMod val="65000"/>
                  </a:schemeClr>
                </a:solidFill>
              </a:defRPr>
            </a:pPr>
            <a:endParaRPr lang="en-US"/>
          </a:p>
        </c:txPr>
        <c:crossAx val="317155200"/>
        <c:crosses val="autoZero"/>
        <c:crossBetween val="between"/>
        <c:majorUnit val="10"/>
        <c:minorUnit val="1"/>
      </c:valAx>
      <c:spPr>
        <a:noFill/>
        <a:ln w="25332">
          <a:noFill/>
        </a:ln>
      </c:spPr>
    </c:plotArea>
    <c:legend>
      <c:legendPos val="r"/>
      <c:layout>
        <c:manualLayout>
          <c:xMode val="edge"/>
          <c:yMode val="edge"/>
          <c:x val="5.1010225284339461E-3"/>
          <c:y val="0.82342155147273255"/>
          <c:w val="0.92361111111111116"/>
          <c:h val="0.17657844852726742"/>
        </c:manualLayout>
      </c:layout>
      <c:overlay val="0"/>
      <c:txPr>
        <a:bodyPr/>
        <a:lstStyle/>
        <a:p>
          <a:pPr>
            <a:defRPr sz="600"/>
          </a:pPr>
          <a:endParaRPr lang="en-US"/>
        </a:p>
      </c:txPr>
    </c:legend>
    <c:plotVisOnly val="1"/>
    <c:dispBlanksAs val="gap"/>
    <c:showDLblsOverMax val="0"/>
  </c:chart>
  <c:spPr>
    <a:noFill/>
    <a:ln w="12700">
      <a:solidFill>
        <a:sysClr val="window" lastClr="FFFFFF"/>
      </a:solidFill>
    </a:ln>
  </c:spPr>
  <c:txPr>
    <a:bodyPr/>
    <a:lstStyle/>
    <a:p>
      <a:pPr>
        <a:defRPr sz="600" b="0" i="0" u="none" strike="noStrike" baseline="0">
          <a:solidFill>
            <a:srgbClr val="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0249343832020995E-2"/>
          <c:y val="0.10721732700079155"/>
          <c:w val="0.81936618274278217"/>
          <c:h val="0.51684789401324838"/>
        </c:manualLayout>
      </c:layout>
      <c:areaChart>
        <c:grouping val="standard"/>
        <c:varyColors val="0"/>
        <c:ser>
          <c:idx val="4"/>
          <c:order val="4"/>
          <c:tx>
            <c:strRef>
              <c:f>Sheet1!$F$1</c:f>
              <c:strCache>
                <c:ptCount val="1"/>
                <c:pt idx="0">
                  <c:v>Column1</c:v>
                </c:pt>
              </c:strCache>
            </c:strRef>
          </c:tx>
          <c:spPr>
            <a:solidFill>
              <a:srgbClr val="A5A5A5">
                <a:lumMod val="20000"/>
                <a:lumOff val="80000"/>
              </a:srgbClr>
            </a:solidFill>
          </c:spPr>
          <c:cat>
            <c:strRef>
              <c:f>Sheet1!$A$2:$A$13</c:f>
              <c:strCache>
                <c:ptCount val="7"/>
                <c:pt idx="0">
                  <c:v>2023</c:v>
                </c:pt>
                <c:pt idx="1">
                  <c:v>2024</c:v>
                </c:pt>
                <c:pt idx="2">
                  <c:v>2025</c:v>
                </c:pt>
                <c:pt idx="3">
                  <c:v>2026*</c:v>
                </c:pt>
                <c:pt idx="4">
                  <c:v>2027*</c:v>
                </c:pt>
                <c:pt idx="5">
                  <c:v>2028*</c:v>
                </c:pt>
                <c:pt idx="6">
                  <c:v>2029*</c:v>
                </c:pt>
              </c:strCache>
            </c:strRef>
          </c:cat>
          <c:val>
            <c:numRef>
              <c:f>Sheet1!$F$2:$F$13</c:f>
              <c:numCache>
                <c:formatCode>General</c:formatCode>
                <c:ptCount val="7"/>
                <c:pt idx="3" formatCode="0.0">
                  <c:v>-2</c:v>
                </c:pt>
                <c:pt idx="4" formatCode="0.0">
                  <c:v>-2</c:v>
                </c:pt>
                <c:pt idx="5" formatCode="0.0">
                  <c:v>-2</c:v>
                </c:pt>
                <c:pt idx="6" formatCode="0.0">
                  <c:v>-2</c:v>
                </c:pt>
              </c:numCache>
            </c:numRef>
          </c:val>
          <c:extLst>
            <c:ext xmlns:c16="http://schemas.microsoft.com/office/drawing/2014/chart" uri="{C3380CC4-5D6E-409C-BE32-E72D297353CC}">
              <c16:uniqueId val="{00000000-2736-49C5-97F1-F1A14E5DF0A2}"/>
            </c:ext>
          </c:extLst>
        </c:ser>
        <c:ser>
          <c:idx val="5"/>
          <c:order val="5"/>
          <c:tx>
            <c:strRef>
              <c:f>Sheet1!$G$1</c:f>
              <c:strCache>
                <c:ptCount val="1"/>
                <c:pt idx="0">
                  <c:v>Column2</c:v>
                </c:pt>
              </c:strCache>
            </c:strRef>
          </c:tx>
          <c:spPr>
            <a:solidFill>
              <a:srgbClr val="A5A5A5">
                <a:lumMod val="20000"/>
                <a:lumOff val="80000"/>
              </a:srgbClr>
            </a:solidFill>
          </c:spPr>
          <c:cat>
            <c:strRef>
              <c:f>Sheet1!$A$2:$A$13</c:f>
              <c:strCache>
                <c:ptCount val="7"/>
                <c:pt idx="0">
                  <c:v>2023</c:v>
                </c:pt>
                <c:pt idx="1">
                  <c:v>2024</c:v>
                </c:pt>
                <c:pt idx="2">
                  <c:v>2025</c:v>
                </c:pt>
                <c:pt idx="3">
                  <c:v>2026*</c:v>
                </c:pt>
                <c:pt idx="4">
                  <c:v>2027*</c:v>
                </c:pt>
                <c:pt idx="5">
                  <c:v>2028*</c:v>
                </c:pt>
                <c:pt idx="6">
                  <c:v>2029*</c:v>
                </c:pt>
              </c:strCache>
            </c:strRef>
          </c:cat>
          <c:val>
            <c:numRef>
              <c:f>Sheet1!$G$2:$G$13</c:f>
              <c:numCache>
                <c:formatCode>General</c:formatCode>
                <c:ptCount val="7"/>
                <c:pt idx="3" formatCode="0.0">
                  <c:v>8</c:v>
                </c:pt>
                <c:pt idx="4" formatCode="0.0">
                  <c:v>8</c:v>
                </c:pt>
                <c:pt idx="5" formatCode="0.0">
                  <c:v>8</c:v>
                </c:pt>
                <c:pt idx="6" formatCode="0.0">
                  <c:v>8</c:v>
                </c:pt>
              </c:numCache>
            </c:numRef>
          </c:val>
          <c:extLst>
            <c:ext xmlns:c16="http://schemas.microsoft.com/office/drawing/2014/chart" uri="{C3380CC4-5D6E-409C-BE32-E72D297353CC}">
              <c16:uniqueId val="{00000001-2736-49C5-97F1-F1A14E5DF0A2}"/>
            </c:ext>
          </c:extLst>
        </c:ser>
        <c:dLbls>
          <c:showLegendKey val="0"/>
          <c:showVal val="0"/>
          <c:showCatName val="0"/>
          <c:showSerName val="0"/>
          <c:showPercent val="0"/>
          <c:showBubbleSize val="0"/>
        </c:dLbls>
        <c:axId val="665841664"/>
        <c:axId val="665843200"/>
      </c:areaChart>
      <c:lineChart>
        <c:grouping val="standard"/>
        <c:varyColors val="0"/>
        <c:ser>
          <c:idx val="0"/>
          <c:order val="0"/>
          <c:tx>
            <c:strRef>
              <c:f>Sheet1!$B$1</c:f>
              <c:strCache>
                <c:ptCount val="1"/>
                <c:pt idx="0">
                  <c:v>Բյուջեի պակասուրդ</c:v>
                </c:pt>
              </c:strCache>
            </c:strRef>
          </c:tx>
          <c:spPr>
            <a:effectLst>
              <a:outerShdw blurRad="40000" dist="23000" dir="5400000" rotWithShape="0">
                <a:srgbClr val="000000">
                  <a:alpha val="35000"/>
                </a:srgbClr>
              </a:outerShdw>
            </a:effectLst>
          </c:spPr>
          <c:marker>
            <c:symbol val="circle"/>
            <c:size val="5"/>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2023</c:v>
                </c:pt>
                <c:pt idx="1">
                  <c:v>2024</c:v>
                </c:pt>
                <c:pt idx="2">
                  <c:v>2025</c:v>
                </c:pt>
                <c:pt idx="3">
                  <c:v>2026*</c:v>
                </c:pt>
                <c:pt idx="4">
                  <c:v>2027*</c:v>
                </c:pt>
                <c:pt idx="5">
                  <c:v>2028*</c:v>
                </c:pt>
                <c:pt idx="6">
                  <c:v>2029*</c:v>
                </c:pt>
              </c:strCache>
            </c:strRef>
          </c:cat>
          <c:val>
            <c:numRef>
              <c:f>Sheet1!$B$2:$B$13</c:f>
              <c:numCache>
                <c:formatCode>0.0</c:formatCode>
                <c:ptCount val="7"/>
                <c:pt idx="0">
                  <c:v>1.9896339318445933</c:v>
                </c:pt>
                <c:pt idx="1">
                  <c:v>3.6692400205003666</c:v>
                </c:pt>
                <c:pt idx="2">
                  <c:v>3.6919065605118622</c:v>
                </c:pt>
                <c:pt idx="3">
                  <c:v>4.0452015726064001</c:v>
                </c:pt>
                <c:pt idx="4">
                  <c:v>3.4390000000000001</c:v>
                </c:pt>
                <c:pt idx="5">
                  <c:v>2.7839730063033099</c:v>
                </c:pt>
                <c:pt idx="6">
                  <c:v>1.79483928122613</c:v>
                </c:pt>
              </c:numCache>
            </c:numRef>
          </c:val>
          <c:smooth val="0"/>
          <c:extLst>
            <c:ext xmlns:c16="http://schemas.microsoft.com/office/drawing/2014/chart" uri="{C3380CC4-5D6E-409C-BE32-E72D297353CC}">
              <c16:uniqueId val="{00000002-2736-49C5-97F1-F1A14E5DF0A2}"/>
            </c:ext>
          </c:extLst>
        </c:ser>
        <c:ser>
          <c:idx val="1"/>
          <c:order val="1"/>
          <c:tx>
            <c:strRef>
              <c:f>Sheet1!$C$1</c:f>
              <c:strCache>
                <c:ptCount val="1"/>
                <c:pt idx="0">
                  <c:v>Առաջնային պակասուրդ</c:v>
                </c:pt>
              </c:strCache>
            </c:strRef>
          </c:tx>
          <c:spPr>
            <a:ln>
              <a:solidFill>
                <a:srgbClr val="4472C4"/>
              </a:solidFill>
            </a:ln>
            <a:effectLst>
              <a:outerShdw blurRad="40000" dist="23000" dir="5400000" rotWithShape="0">
                <a:srgbClr val="000000">
                  <a:alpha val="35000"/>
                </a:srgbClr>
              </a:outerShdw>
            </a:effectLst>
          </c:spPr>
          <c:marker>
            <c:symbol val="circle"/>
            <c:size val="5"/>
            <c:spPr>
              <a:solidFill>
                <a:srgbClr val="4472C4"/>
              </a:solidFill>
              <a:ln>
                <a:noFill/>
              </a:ln>
            </c:spPr>
          </c:marker>
          <c:dLbls>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2023</c:v>
                </c:pt>
                <c:pt idx="1">
                  <c:v>2024</c:v>
                </c:pt>
                <c:pt idx="2">
                  <c:v>2025</c:v>
                </c:pt>
                <c:pt idx="3">
                  <c:v>2026*</c:v>
                </c:pt>
                <c:pt idx="4">
                  <c:v>2027*</c:v>
                </c:pt>
                <c:pt idx="5">
                  <c:v>2028*</c:v>
                </c:pt>
                <c:pt idx="6">
                  <c:v>2029*</c:v>
                </c:pt>
              </c:strCache>
            </c:strRef>
          </c:cat>
          <c:val>
            <c:numRef>
              <c:f>Sheet1!$C$2:$C$13</c:f>
              <c:numCache>
                <c:formatCode>0.0</c:formatCode>
                <c:ptCount val="7"/>
                <c:pt idx="0">
                  <c:v>-0.67997203746113688</c:v>
                </c:pt>
                <c:pt idx="1">
                  <c:v>0.60982342891424679</c:v>
                </c:pt>
                <c:pt idx="2">
                  <c:v>0.61411265757027911</c:v>
                </c:pt>
                <c:pt idx="3">
                  <c:v>1.0868199111363843</c:v>
                </c:pt>
                <c:pt idx="4">
                  <c:v>0.3774150003221477</c:v>
                </c:pt>
                <c:pt idx="5">
                  <c:v>-0.25051695515164907</c:v>
                </c:pt>
                <c:pt idx="6">
                  <c:v>-1.2245391815170064</c:v>
                </c:pt>
              </c:numCache>
            </c:numRef>
          </c:val>
          <c:smooth val="0"/>
          <c:extLst>
            <c:ext xmlns:c16="http://schemas.microsoft.com/office/drawing/2014/chart" uri="{C3380CC4-5D6E-409C-BE32-E72D297353CC}">
              <c16:uniqueId val="{00000003-2736-49C5-97F1-F1A14E5DF0A2}"/>
            </c:ext>
          </c:extLst>
        </c:ser>
        <c:ser>
          <c:idx val="2"/>
          <c:order val="2"/>
          <c:tx>
            <c:strRef>
              <c:f>Sheet1!$D$1</c:f>
              <c:strCache>
                <c:ptCount val="1"/>
                <c:pt idx="0">
                  <c:v>Պակասուրդ և ԼՂ վարկավորում</c:v>
                </c:pt>
              </c:strCache>
            </c:strRef>
          </c:tx>
          <c:spPr>
            <a:ln w="31765" cap="rnd">
              <a:solidFill>
                <a:srgbClr val="5B9BD5"/>
              </a:solidFill>
              <a:prstDash val="sysDot"/>
              <a:round/>
            </a:ln>
            <a:effectLst>
              <a:outerShdw blurRad="40000" dist="23000" dir="5400000" rotWithShape="0">
                <a:srgbClr val="000000">
                  <a:alpha val="35000"/>
                </a:srgbClr>
              </a:outerShdw>
            </a:effectLst>
          </c:spPr>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2023</c:v>
                </c:pt>
                <c:pt idx="1">
                  <c:v>2024</c:v>
                </c:pt>
                <c:pt idx="2">
                  <c:v>2025</c:v>
                </c:pt>
                <c:pt idx="3">
                  <c:v>2026*</c:v>
                </c:pt>
                <c:pt idx="4">
                  <c:v>2027*</c:v>
                </c:pt>
                <c:pt idx="5">
                  <c:v>2028*</c:v>
                </c:pt>
                <c:pt idx="6">
                  <c:v>2029*</c:v>
                </c:pt>
              </c:strCache>
            </c:strRef>
          </c:cat>
          <c:val>
            <c:numRef>
              <c:f>Sheet1!$D$2:$D$13</c:f>
              <c:numCache>
                <c:formatCode>0.0</c:formatCode>
                <c:ptCount val="7"/>
                <c:pt idx="0">
                  <c:v>3.5757505123734066</c:v>
                </c:pt>
                <c:pt idx="1">
                  <c:v>3.6692400205003666</c:v>
                </c:pt>
              </c:numCache>
            </c:numRef>
          </c:val>
          <c:smooth val="0"/>
          <c:extLst>
            <c:ext xmlns:c16="http://schemas.microsoft.com/office/drawing/2014/chart" uri="{C3380CC4-5D6E-409C-BE32-E72D297353CC}">
              <c16:uniqueId val="{00000004-2736-49C5-97F1-F1A14E5DF0A2}"/>
            </c:ext>
          </c:extLst>
        </c:ser>
        <c:ser>
          <c:idx val="3"/>
          <c:order val="3"/>
          <c:tx>
            <c:strRef>
              <c:f>Sheet1!$E$1</c:f>
              <c:strCache>
                <c:ptCount val="1"/>
                <c:pt idx="0">
                  <c:v>Առաջնային պակասուրդ և ԼՂ վարկավորում</c:v>
                </c:pt>
              </c:strCache>
            </c:strRef>
          </c:tx>
          <c:spPr>
            <a:ln>
              <a:solidFill>
                <a:srgbClr val="4472C4"/>
              </a:solidFill>
              <a:prstDash val="sysDash"/>
            </a:ln>
          </c:spPr>
          <c:marker>
            <c:symbol val="none"/>
          </c:marker>
          <c:dLbls>
            <c:dLbl>
              <c:idx val="1"/>
              <c:delete val="1"/>
              <c:extLst>
                <c:ext xmlns:c15="http://schemas.microsoft.com/office/drawing/2012/chart" uri="{CE6537A1-D6FC-4f65-9D91-7224C49458BB}"/>
                <c:ext xmlns:c16="http://schemas.microsoft.com/office/drawing/2014/chart" uri="{C3380CC4-5D6E-409C-BE32-E72D297353CC}">
                  <c16:uniqueId val="{00000005-2736-49C5-97F1-F1A14E5DF0A2}"/>
                </c:ext>
              </c:extLst>
            </c:dLbl>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2023</c:v>
                </c:pt>
                <c:pt idx="1">
                  <c:v>2024</c:v>
                </c:pt>
                <c:pt idx="2">
                  <c:v>2025</c:v>
                </c:pt>
                <c:pt idx="3">
                  <c:v>2026*</c:v>
                </c:pt>
                <c:pt idx="4">
                  <c:v>2027*</c:v>
                </c:pt>
                <c:pt idx="5">
                  <c:v>2028*</c:v>
                </c:pt>
                <c:pt idx="6">
                  <c:v>2029*</c:v>
                </c:pt>
              </c:strCache>
            </c:strRef>
          </c:cat>
          <c:val>
            <c:numRef>
              <c:f>Sheet1!$E$2:$E$13</c:f>
              <c:numCache>
                <c:formatCode>0.0</c:formatCode>
                <c:ptCount val="7"/>
                <c:pt idx="0">
                  <c:v>0.9085383700532772</c:v>
                </c:pt>
                <c:pt idx="1">
                  <c:v>0.60982342891424679</c:v>
                </c:pt>
              </c:numCache>
            </c:numRef>
          </c:val>
          <c:smooth val="0"/>
          <c:extLst>
            <c:ext xmlns:c16="http://schemas.microsoft.com/office/drawing/2014/chart" uri="{C3380CC4-5D6E-409C-BE32-E72D297353CC}">
              <c16:uniqueId val="{00000006-2736-49C5-97F1-F1A14E5DF0A2}"/>
            </c:ext>
          </c:extLst>
        </c:ser>
        <c:dLbls>
          <c:showLegendKey val="0"/>
          <c:showVal val="0"/>
          <c:showCatName val="0"/>
          <c:showSerName val="0"/>
          <c:showPercent val="0"/>
          <c:showBubbleSize val="0"/>
        </c:dLbls>
        <c:marker val="1"/>
        <c:smooth val="0"/>
        <c:axId val="665841664"/>
        <c:axId val="665843200"/>
      </c:lineChart>
      <c:catAx>
        <c:axId val="665841664"/>
        <c:scaling>
          <c:orientation val="minMax"/>
        </c:scaling>
        <c:delete val="0"/>
        <c:axPos val="b"/>
        <c:numFmt formatCode="General" sourceLinked="1"/>
        <c:majorTickMark val="none"/>
        <c:minorTickMark val="none"/>
        <c:tickLblPos val="low"/>
        <c:spPr>
          <a:noFill/>
          <a:ln w="9530" cap="flat" cmpd="sng" algn="ctr">
            <a:solidFill>
              <a:schemeClr val="tx2">
                <a:lumMod val="15000"/>
                <a:lumOff val="85000"/>
              </a:schemeClr>
            </a:solidFill>
            <a:round/>
          </a:ln>
          <a:effectLst/>
        </c:spPr>
        <c:txPr>
          <a:bodyPr rot="-60000000" vert="horz"/>
          <a:lstStyle/>
          <a:p>
            <a:pPr>
              <a:defRPr/>
            </a:pPr>
            <a:endParaRPr lang="en-US"/>
          </a:p>
        </c:txPr>
        <c:crossAx val="665843200"/>
        <c:crosses val="autoZero"/>
        <c:auto val="1"/>
        <c:lblAlgn val="ctr"/>
        <c:lblOffset val="100"/>
        <c:noMultiLvlLbl val="0"/>
      </c:catAx>
      <c:valAx>
        <c:axId val="665843200"/>
        <c:scaling>
          <c:orientation val="minMax"/>
          <c:max val="8"/>
          <c:min val="-4"/>
        </c:scaling>
        <c:delete val="1"/>
        <c:axPos val="l"/>
        <c:numFmt formatCode="General" sourceLinked="1"/>
        <c:majorTickMark val="out"/>
        <c:minorTickMark val="none"/>
        <c:tickLblPos val="nextTo"/>
        <c:crossAx val="665841664"/>
        <c:crosses val="autoZero"/>
        <c:crossBetween val="between"/>
        <c:majorUnit val="2"/>
      </c:valAx>
      <c:spPr>
        <a:noFill/>
        <a:ln w="25412">
          <a:noFill/>
        </a:ln>
      </c:spPr>
    </c:plotArea>
    <c:legend>
      <c:legendPos val="b"/>
      <c:legendEntry>
        <c:idx val="0"/>
        <c:delete val="1"/>
      </c:legendEntry>
      <c:legendEntry>
        <c:idx val="1"/>
        <c:delete val="1"/>
      </c:legendEntry>
      <c:layout>
        <c:manualLayout>
          <c:xMode val="edge"/>
          <c:yMode val="edge"/>
          <c:x val="0"/>
          <c:y val="0.72942705078531855"/>
          <c:w val="1"/>
          <c:h val="0.2705729492146815"/>
        </c:manualLayout>
      </c:layout>
      <c:overlay val="0"/>
      <c:txPr>
        <a:bodyPr/>
        <a:lstStyle/>
        <a:p>
          <a:pPr>
            <a:defRPr sz="600"/>
          </a:pPr>
          <a:endParaRPr lang="en-US"/>
        </a:p>
      </c:txPr>
    </c:legend>
    <c:plotVisOnly val="1"/>
    <c:dispBlanksAs val="gap"/>
    <c:showDLblsOverMax val="0"/>
  </c:chart>
  <c:spPr>
    <a:noFill/>
    <a:ln w="19050" cap="flat" cmpd="sng" algn="ctr">
      <a:solidFill>
        <a:sysClr val="window" lastClr="FFFFFF"/>
      </a:solidFill>
      <a:round/>
    </a:ln>
    <a:effectLst/>
  </c:spPr>
  <c:txPr>
    <a:bodyPr anchor="t" anchorCtr="0"/>
    <a:lstStyle/>
    <a:p>
      <a:pPr>
        <a:defRPr sz="7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722851049868768E-2"/>
          <c:y val="0.10721732700079155"/>
          <c:w val="0.87144951607611554"/>
          <c:h val="0.60262571345248506"/>
        </c:manualLayout>
      </c:layout>
      <c:areaChart>
        <c:grouping val="standard"/>
        <c:varyColors val="0"/>
        <c:ser>
          <c:idx val="3"/>
          <c:order val="3"/>
          <c:tx>
            <c:strRef>
              <c:f>Sheet1!$E$1</c:f>
              <c:strCache>
                <c:ptCount val="1"/>
                <c:pt idx="0">
                  <c:v>Column1</c:v>
                </c:pt>
              </c:strCache>
            </c:strRef>
          </c:tx>
          <c:spPr>
            <a:solidFill>
              <a:srgbClr val="A5A5A5">
                <a:lumMod val="20000"/>
                <a:lumOff val="80000"/>
              </a:srgbClr>
            </a:solidFill>
          </c:spPr>
          <c:cat>
            <c:strRef>
              <c:f>Sheet1!$A$2:$A$13</c:f>
              <c:strCache>
                <c:ptCount val="7"/>
                <c:pt idx="0">
                  <c:v>2023</c:v>
                </c:pt>
                <c:pt idx="1">
                  <c:v>2024</c:v>
                </c:pt>
                <c:pt idx="2">
                  <c:v>2025</c:v>
                </c:pt>
                <c:pt idx="3">
                  <c:v>2026*</c:v>
                </c:pt>
                <c:pt idx="4">
                  <c:v>2027*</c:v>
                </c:pt>
                <c:pt idx="5">
                  <c:v>2028*</c:v>
                </c:pt>
                <c:pt idx="6">
                  <c:v>2029*</c:v>
                </c:pt>
              </c:strCache>
            </c:strRef>
          </c:cat>
          <c:val>
            <c:numRef>
              <c:f>Sheet1!$E$2:$E$13</c:f>
              <c:numCache>
                <c:formatCode>General</c:formatCode>
                <c:ptCount val="7"/>
                <c:pt idx="3" formatCode="0.0">
                  <c:v>-1000</c:v>
                </c:pt>
                <c:pt idx="4" formatCode="0.0">
                  <c:v>-1000</c:v>
                </c:pt>
                <c:pt idx="5" formatCode="0.0">
                  <c:v>-1000</c:v>
                </c:pt>
                <c:pt idx="6" formatCode="0.0">
                  <c:v>-1000</c:v>
                </c:pt>
              </c:numCache>
            </c:numRef>
          </c:val>
          <c:extLst>
            <c:ext xmlns:c16="http://schemas.microsoft.com/office/drawing/2014/chart" uri="{C3380CC4-5D6E-409C-BE32-E72D297353CC}">
              <c16:uniqueId val="{00000000-AE5C-4709-BEBA-0881B1FA08AE}"/>
            </c:ext>
          </c:extLst>
        </c:ser>
        <c:ser>
          <c:idx val="4"/>
          <c:order val="4"/>
          <c:tx>
            <c:strRef>
              <c:f>Sheet1!$F$1</c:f>
              <c:strCache>
                <c:ptCount val="1"/>
                <c:pt idx="0">
                  <c:v>Column12</c:v>
                </c:pt>
              </c:strCache>
            </c:strRef>
          </c:tx>
          <c:spPr>
            <a:solidFill>
              <a:srgbClr val="A5A5A5">
                <a:lumMod val="20000"/>
                <a:lumOff val="80000"/>
              </a:srgbClr>
            </a:solidFill>
            <a:ln>
              <a:solidFill>
                <a:srgbClr val="44546A">
                  <a:lumMod val="15000"/>
                  <a:lumOff val="85000"/>
                </a:srgbClr>
              </a:solidFill>
            </a:ln>
          </c:spPr>
          <c:cat>
            <c:strRef>
              <c:f>Sheet1!$A$2:$A$13</c:f>
              <c:strCache>
                <c:ptCount val="7"/>
                <c:pt idx="0">
                  <c:v>2023</c:v>
                </c:pt>
                <c:pt idx="1">
                  <c:v>2024</c:v>
                </c:pt>
                <c:pt idx="2">
                  <c:v>2025</c:v>
                </c:pt>
                <c:pt idx="3">
                  <c:v>2026*</c:v>
                </c:pt>
                <c:pt idx="4">
                  <c:v>2027*</c:v>
                </c:pt>
                <c:pt idx="5">
                  <c:v>2028*</c:v>
                </c:pt>
                <c:pt idx="6">
                  <c:v>2029*</c:v>
                </c:pt>
              </c:strCache>
            </c:strRef>
          </c:cat>
          <c:val>
            <c:numRef>
              <c:f>Sheet1!$F$2:$F$13</c:f>
              <c:numCache>
                <c:formatCode>General</c:formatCode>
                <c:ptCount val="7"/>
                <c:pt idx="3" formatCode="0.0">
                  <c:v>4500</c:v>
                </c:pt>
                <c:pt idx="4" formatCode="0.0">
                  <c:v>4500</c:v>
                </c:pt>
                <c:pt idx="5" formatCode="0.0">
                  <c:v>4500</c:v>
                </c:pt>
                <c:pt idx="6" formatCode="0.0">
                  <c:v>4500</c:v>
                </c:pt>
              </c:numCache>
            </c:numRef>
          </c:val>
          <c:extLst>
            <c:ext xmlns:c16="http://schemas.microsoft.com/office/drawing/2014/chart" uri="{C3380CC4-5D6E-409C-BE32-E72D297353CC}">
              <c16:uniqueId val="{00000001-AE5C-4709-BEBA-0881B1FA08AE}"/>
            </c:ext>
          </c:extLst>
        </c:ser>
        <c:dLbls>
          <c:showLegendKey val="0"/>
          <c:showVal val="0"/>
          <c:showCatName val="0"/>
          <c:showSerName val="0"/>
          <c:showPercent val="0"/>
          <c:showBubbleSize val="0"/>
        </c:dLbls>
        <c:axId val="665841664"/>
        <c:axId val="665843200"/>
      </c:areaChart>
      <c:barChart>
        <c:barDir val="col"/>
        <c:grouping val="clustered"/>
        <c:varyColors val="0"/>
        <c:ser>
          <c:idx val="0"/>
          <c:order val="0"/>
          <c:tx>
            <c:strRef>
              <c:f>Sheet1!$B$1</c:f>
              <c:strCache>
                <c:ptCount val="1"/>
                <c:pt idx="0">
                  <c:v>Եկամուտներ</c:v>
                </c:pt>
              </c:strCache>
            </c:strRef>
          </c:tx>
          <c:spPr>
            <a:solidFill>
              <a:srgbClr val="E7E6E6">
                <a:lumMod val="75000"/>
              </a:srgbClr>
            </a:solidFill>
            <a:ln>
              <a:solidFill>
                <a:srgbClr val="E7E6E6">
                  <a:lumMod val="90000"/>
                </a:srgbClr>
              </a:solidFill>
            </a:ln>
            <a:effectLst>
              <a:outerShdw blurRad="40000" dist="23000" dir="5400000" rotWithShape="0">
                <a:srgbClr val="000000">
                  <a:alpha val="35000"/>
                </a:srgbClr>
              </a:outerShdw>
            </a:effectLst>
          </c:spPr>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2023</c:v>
                </c:pt>
                <c:pt idx="1">
                  <c:v>2024</c:v>
                </c:pt>
                <c:pt idx="2">
                  <c:v>2025</c:v>
                </c:pt>
                <c:pt idx="3">
                  <c:v>2026*</c:v>
                </c:pt>
                <c:pt idx="4">
                  <c:v>2027*</c:v>
                </c:pt>
                <c:pt idx="5">
                  <c:v>2028*</c:v>
                </c:pt>
                <c:pt idx="6">
                  <c:v>2029*</c:v>
                </c:pt>
              </c:strCache>
            </c:strRef>
          </c:cat>
          <c:val>
            <c:numRef>
              <c:f>Sheet1!$B$2:$B$13</c:f>
              <c:numCache>
                <c:formatCode>0.0</c:formatCode>
                <c:ptCount val="7"/>
                <c:pt idx="0">
                  <c:v>2410.6799114426999</c:v>
                </c:pt>
                <c:pt idx="1">
                  <c:v>2579.2302387999998</c:v>
                </c:pt>
                <c:pt idx="2">
                  <c:v>2886.5481305400003</c:v>
                </c:pt>
                <c:pt idx="3">
                  <c:v>3220.6947771539199</c:v>
                </c:pt>
                <c:pt idx="4">
                  <c:v>3603.8026751129501</c:v>
                </c:pt>
                <c:pt idx="5">
                  <c:v>3950.1676529629181</c:v>
                </c:pt>
                <c:pt idx="6">
                  <c:v>4311.368608914041</c:v>
                </c:pt>
              </c:numCache>
            </c:numRef>
          </c:val>
          <c:extLst>
            <c:ext xmlns:c16="http://schemas.microsoft.com/office/drawing/2014/chart" uri="{C3380CC4-5D6E-409C-BE32-E72D297353CC}">
              <c16:uniqueId val="{00000002-AE5C-4709-BEBA-0881B1FA08AE}"/>
            </c:ext>
          </c:extLst>
        </c:ser>
        <c:ser>
          <c:idx val="1"/>
          <c:order val="1"/>
          <c:tx>
            <c:strRef>
              <c:f>Sheet1!$C$1</c:f>
              <c:strCache>
                <c:ptCount val="1"/>
                <c:pt idx="0">
                  <c:v>Ծախսեր</c:v>
                </c:pt>
              </c:strCache>
            </c:strRef>
          </c:tx>
          <c:spPr>
            <a:solidFill>
              <a:srgbClr val="5B9BD5"/>
            </a:solidFill>
            <a:ln>
              <a:solidFill>
                <a:srgbClr val="5B9BD5"/>
              </a:solidFill>
            </a:ln>
            <a:effectLst>
              <a:outerShdw blurRad="40000" dist="23000" dir="5400000" rotWithShape="0">
                <a:srgbClr val="000000">
                  <a:alpha val="35000"/>
                </a:srgbClr>
              </a:outerShdw>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2023</c:v>
                </c:pt>
                <c:pt idx="1">
                  <c:v>2024</c:v>
                </c:pt>
                <c:pt idx="2">
                  <c:v>2025</c:v>
                </c:pt>
                <c:pt idx="3">
                  <c:v>2026*</c:v>
                </c:pt>
                <c:pt idx="4">
                  <c:v>2027*</c:v>
                </c:pt>
                <c:pt idx="5">
                  <c:v>2028*</c:v>
                </c:pt>
                <c:pt idx="6">
                  <c:v>2029*</c:v>
                </c:pt>
              </c:strCache>
            </c:strRef>
          </c:cat>
          <c:val>
            <c:numRef>
              <c:f>Sheet1!$C$2:$C$13</c:f>
              <c:numCache>
                <c:formatCode>0.0</c:formatCode>
                <c:ptCount val="7"/>
                <c:pt idx="0">
                  <c:v>2599.5711782929998</c:v>
                </c:pt>
                <c:pt idx="1">
                  <c:v>2955.3188979800002</c:v>
                </c:pt>
                <c:pt idx="2">
                  <c:v>3305.3097464700004</c:v>
                </c:pt>
                <c:pt idx="3">
                  <c:v>3724.9351728687384</c:v>
                </c:pt>
                <c:pt idx="4">
                  <c:v>4071.9846390252633</c:v>
                </c:pt>
                <c:pt idx="5">
                  <c:v>4364.3462194903659</c:v>
                </c:pt>
                <c:pt idx="6">
                  <c:v>4602.7436284565874</c:v>
                </c:pt>
              </c:numCache>
            </c:numRef>
          </c:val>
          <c:extLst>
            <c:ext xmlns:c16="http://schemas.microsoft.com/office/drawing/2014/chart" uri="{C3380CC4-5D6E-409C-BE32-E72D297353CC}">
              <c16:uniqueId val="{00000003-AE5C-4709-BEBA-0881B1FA08AE}"/>
            </c:ext>
          </c:extLst>
        </c:ser>
        <c:ser>
          <c:idx val="2"/>
          <c:order val="2"/>
          <c:tx>
            <c:strRef>
              <c:f>Sheet1!$D$1</c:f>
              <c:strCache>
                <c:ptCount val="1"/>
                <c:pt idx="0">
                  <c:v>Բյուջեի հաշվեկշիռ</c:v>
                </c:pt>
              </c:strCache>
            </c:strRef>
          </c:tx>
          <c:spPr>
            <a:solidFill>
              <a:srgbClr val="ED7D31"/>
            </a:solidFill>
            <a:ln w="31765" cap="rnd">
              <a:solidFill>
                <a:srgbClr val="ED7D31"/>
              </a:solidFill>
              <a:round/>
            </a:ln>
            <a:effectLst>
              <a:outerShdw blurRad="40000" dist="23000" dir="5400000" rotWithShape="0">
                <a:srgbClr val="000000">
                  <a:alpha val="35000"/>
                </a:srgbClr>
              </a:outerShdw>
            </a:effectLst>
          </c:spPr>
          <c:invertIfNegative val="0"/>
          <c:dLbls>
            <c:dLbl>
              <c:idx val="0"/>
              <c:layout>
                <c:manualLayout>
                  <c:x val="0"/>
                  <c:y val="2.582080152602285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E5C-4709-BEBA-0881B1FA08AE}"/>
                </c:ext>
              </c:extLst>
            </c:dLbl>
            <c:dLbl>
              <c:idx val="1"/>
              <c:layout>
                <c:manualLayout>
                  <c:x val="0"/>
                  <c:y val="8.200552600827824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E5C-4709-BEBA-0881B1FA08AE}"/>
                </c:ext>
              </c:extLst>
            </c:dLbl>
            <c:dLbl>
              <c:idx val="2"/>
              <c:layout>
                <c:manualLayout>
                  <c:x val="0"/>
                  <c:y val="1.559805024371956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E5C-4709-BEBA-0881B1FA08AE}"/>
                </c:ext>
              </c:extLst>
            </c:dLbl>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Sheet1!$A$2:$A$13</c:f>
              <c:strCache>
                <c:ptCount val="7"/>
                <c:pt idx="0">
                  <c:v>2023</c:v>
                </c:pt>
                <c:pt idx="1">
                  <c:v>2024</c:v>
                </c:pt>
                <c:pt idx="2">
                  <c:v>2025</c:v>
                </c:pt>
                <c:pt idx="3">
                  <c:v>2026*</c:v>
                </c:pt>
                <c:pt idx="4">
                  <c:v>2027*</c:v>
                </c:pt>
                <c:pt idx="5">
                  <c:v>2028*</c:v>
                </c:pt>
                <c:pt idx="6">
                  <c:v>2029*</c:v>
                </c:pt>
              </c:strCache>
            </c:strRef>
          </c:cat>
          <c:val>
            <c:numRef>
              <c:f>Sheet1!$D$2:$D$13</c:f>
              <c:numCache>
                <c:formatCode>0.0</c:formatCode>
                <c:ptCount val="7"/>
                <c:pt idx="0">
                  <c:v>-188.89126685029987</c:v>
                </c:pt>
                <c:pt idx="1">
                  <c:v>-376.08865918000038</c:v>
                </c:pt>
                <c:pt idx="2">
                  <c:v>-418.76161593000006</c:v>
                </c:pt>
                <c:pt idx="3">
                  <c:v>-504.24039571481853</c:v>
                </c:pt>
                <c:pt idx="4">
                  <c:v>-468.18196391231322</c:v>
                </c:pt>
                <c:pt idx="5">
                  <c:v>-414.17856652744786</c:v>
                </c:pt>
                <c:pt idx="6">
                  <c:v>-291.3750195425464</c:v>
                </c:pt>
              </c:numCache>
            </c:numRef>
          </c:val>
          <c:extLst>
            <c:ext xmlns:c16="http://schemas.microsoft.com/office/drawing/2014/chart" uri="{C3380CC4-5D6E-409C-BE32-E72D297353CC}">
              <c16:uniqueId val="{00000007-AE5C-4709-BEBA-0881B1FA08AE}"/>
            </c:ext>
          </c:extLst>
        </c:ser>
        <c:dLbls>
          <c:showLegendKey val="0"/>
          <c:showVal val="0"/>
          <c:showCatName val="0"/>
          <c:showSerName val="0"/>
          <c:showPercent val="0"/>
          <c:showBubbleSize val="0"/>
        </c:dLbls>
        <c:gapWidth val="70"/>
        <c:axId val="665841664"/>
        <c:axId val="665843200"/>
      </c:barChart>
      <c:catAx>
        <c:axId val="665841664"/>
        <c:scaling>
          <c:orientation val="minMax"/>
        </c:scaling>
        <c:delete val="0"/>
        <c:axPos val="b"/>
        <c:numFmt formatCode="General" sourceLinked="1"/>
        <c:majorTickMark val="none"/>
        <c:minorTickMark val="none"/>
        <c:tickLblPos val="low"/>
        <c:spPr>
          <a:noFill/>
          <a:ln w="9530" cap="flat" cmpd="sng" algn="ctr">
            <a:solidFill>
              <a:schemeClr val="tx2">
                <a:lumMod val="15000"/>
                <a:lumOff val="85000"/>
              </a:schemeClr>
            </a:solidFill>
            <a:round/>
          </a:ln>
          <a:effectLst/>
        </c:spPr>
        <c:txPr>
          <a:bodyPr rot="-60000000" vert="horz"/>
          <a:lstStyle/>
          <a:p>
            <a:pPr>
              <a:defRPr/>
            </a:pPr>
            <a:endParaRPr lang="en-US"/>
          </a:p>
        </c:txPr>
        <c:crossAx val="665843200"/>
        <c:crosses val="autoZero"/>
        <c:auto val="1"/>
        <c:lblAlgn val="ctr"/>
        <c:lblOffset val="100"/>
        <c:noMultiLvlLbl val="0"/>
      </c:catAx>
      <c:valAx>
        <c:axId val="665843200"/>
        <c:scaling>
          <c:orientation val="minMax"/>
          <c:max val="5000"/>
          <c:min val="-1000"/>
        </c:scaling>
        <c:delete val="1"/>
        <c:axPos val="l"/>
        <c:numFmt formatCode="General" sourceLinked="1"/>
        <c:majorTickMark val="out"/>
        <c:minorTickMark val="none"/>
        <c:tickLblPos val="nextTo"/>
        <c:crossAx val="665841664"/>
        <c:crosses val="autoZero"/>
        <c:crossBetween val="between"/>
      </c:valAx>
      <c:spPr>
        <a:noFill/>
        <a:ln w="25412">
          <a:noFill/>
        </a:ln>
      </c:spPr>
    </c:plotArea>
    <c:legend>
      <c:legendPos val="b"/>
      <c:legendEntry>
        <c:idx val="0"/>
        <c:delete val="1"/>
      </c:legendEntry>
      <c:legendEntry>
        <c:idx val="1"/>
        <c:delete val="1"/>
      </c:legendEntry>
      <c:layout>
        <c:manualLayout>
          <c:xMode val="edge"/>
          <c:yMode val="edge"/>
          <c:x val="6.9922282441967479E-2"/>
          <c:y val="0.84062351133027891"/>
          <c:w val="0.89478746974809964"/>
          <c:h val="0.13717482354483673"/>
        </c:manualLayout>
      </c:layout>
      <c:overlay val="0"/>
    </c:legend>
    <c:plotVisOnly val="1"/>
    <c:dispBlanksAs val="gap"/>
    <c:showDLblsOverMax val="0"/>
  </c:chart>
  <c:spPr>
    <a:noFill/>
    <a:ln w="19050" cap="flat" cmpd="sng" algn="ctr">
      <a:solidFill>
        <a:sysClr val="window" lastClr="FFFFFF"/>
      </a:solidFill>
      <a:round/>
    </a:ln>
    <a:effectLst/>
  </c:spPr>
  <c:txPr>
    <a:bodyPr anchor="t" anchorCtr="0"/>
    <a:lstStyle/>
    <a:p>
      <a:pPr>
        <a:defRPr sz="7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9123632273238574E-2"/>
          <c:y val="0.13815159714942754"/>
          <c:w val="0.85646777107407024"/>
          <c:h val="0.57958972233733941"/>
        </c:manualLayout>
      </c:layout>
      <c:barChart>
        <c:barDir val="col"/>
        <c:grouping val="clustered"/>
        <c:varyColors val="0"/>
        <c:ser>
          <c:idx val="0"/>
          <c:order val="0"/>
          <c:tx>
            <c:strRef>
              <c:f>Sheet1!$B$1</c:f>
              <c:strCache>
                <c:ptCount val="1"/>
                <c:pt idx="0">
                  <c:v>Եկամուտների ազդակ</c:v>
                </c:pt>
              </c:strCache>
            </c:strRef>
          </c:tx>
          <c:spPr>
            <a:solidFill>
              <a:srgbClr val="4472C4"/>
            </a:solidFill>
            <a:ln>
              <a:noFill/>
            </a:ln>
            <a:effectLst/>
          </c:spPr>
          <c:invertIfNegative val="0"/>
          <c:cat>
            <c:strRef>
              <c:f>Sheet1!$A$2:$A$13</c:f>
              <c:strCache>
                <c:ptCount val="7"/>
                <c:pt idx="0">
                  <c:v>2023</c:v>
                </c:pt>
                <c:pt idx="1">
                  <c:v>2024</c:v>
                </c:pt>
                <c:pt idx="2">
                  <c:v>2025</c:v>
                </c:pt>
                <c:pt idx="3">
                  <c:v>2026*</c:v>
                </c:pt>
                <c:pt idx="4">
                  <c:v>2027*</c:v>
                </c:pt>
                <c:pt idx="5">
                  <c:v>2028*</c:v>
                </c:pt>
                <c:pt idx="6">
                  <c:v>2029*</c:v>
                </c:pt>
              </c:strCache>
            </c:strRef>
          </c:cat>
          <c:val>
            <c:numRef>
              <c:f>Sheet1!$B$2:$B$13</c:f>
              <c:numCache>
                <c:formatCode>0.0</c:formatCode>
                <c:ptCount val="7"/>
                <c:pt idx="0">
                  <c:v>-0.73727570198101777</c:v>
                </c:pt>
                <c:pt idx="1">
                  <c:v>0.35485120400424514</c:v>
                </c:pt>
                <c:pt idx="2">
                  <c:v>-0.45147740766656297</c:v>
                </c:pt>
                <c:pt idx="3">
                  <c:v>-0.32475586451635091</c:v>
                </c:pt>
                <c:pt idx="4">
                  <c:v>-0.69056332867619796</c:v>
                </c:pt>
                <c:pt idx="5">
                  <c:v>5.5675074034871883E-3</c:v>
                </c:pt>
                <c:pt idx="6">
                  <c:v>-8.8161608515573475E-2</c:v>
                </c:pt>
              </c:numCache>
            </c:numRef>
          </c:val>
          <c:extLst>
            <c:ext xmlns:c16="http://schemas.microsoft.com/office/drawing/2014/chart" uri="{C3380CC4-5D6E-409C-BE32-E72D297353CC}">
              <c16:uniqueId val="{00000000-F54C-4897-AD41-51A394BB54F2}"/>
            </c:ext>
          </c:extLst>
        </c:ser>
        <c:ser>
          <c:idx val="1"/>
          <c:order val="1"/>
          <c:tx>
            <c:strRef>
              <c:f>Sheet1!$C$1</c:f>
              <c:strCache>
                <c:ptCount val="1"/>
                <c:pt idx="0">
                  <c:v>Ծախսերի ազդակ</c:v>
                </c:pt>
              </c:strCache>
            </c:strRef>
          </c:tx>
          <c:spPr>
            <a:solidFill>
              <a:srgbClr val="ED7D31">
                <a:lumMod val="60000"/>
                <a:lumOff val="40000"/>
              </a:srgbClr>
            </a:solidFill>
            <a:ln>
              <a:noFill/>
            </a:ln>
            <a:effectLst/>
          </c:spPr>
          <c:invertIfNegative val="0"/>
          <c:cat>
            <c:strRef>
              <c:f>Sheet1!$A$2:$A$13</c:f>
              <c:strCache>
                <c:ptCount val="7"/>
                <c:pt idx="0">
                  <c:v>2023</c:v>
                </c:pt>
                <c:pt idx="1">
                  <c:v>2024</c:v>
                </c:pt>
                <c:pt idx="2">
                  <c:v>2025</c:v>
                </c:pt>
                <c:pt idx="3">
                  <c:v>2026*</c:v>
                </c:pt>
                <c:pt idx="4">
                  <c:v>2027*</c:v>
                </c:pt>
                <c:pt idx="5">
                  <c:v>2028*</c:v>
                </c:pt>
                <c:pt idx="6">
                  <c:v>2029*</c:v>
                </c:pt>
              </c:strCache>
            </c:strRef>
          </c:cat>
          <c:val>
            <c:numRef>
              <c:f>Sheet1!$C$2:$C$13</c:f>
              <c:numCache>
                <c:formatCode>0.0</c:formatCode>
                <c:ptCount val="7"/>
                <c:pt idx="0">
                  <c:v>-0.12966441297555678</c:v>
                </c:pt>
                <c:pt idx="1">
                  <c:v>0.22766073759879807</c:v>
                </c:pt>
                <c:pt idx="2">
                  <c:v>-0.13627057871378412</c:v>
                </c:pt>
                <c:pt idx="3">
                  <c:v>0.73388185707643661</c:v>
                </c:pt>
                <c:pt idx="4">
                  <c:v>0.18600194779307958</c:v>
                </c:pt>
                <c:pt idx="5">
                  <c:v>-0.33591185096649395</c:v>
                </c:pt>
                <c:pt idx="6">
                  <c:v>-0.22457343223680051</c:v>
                </c:pt>
              </c:numCache>
            </c:numRef>
          </c:val>
          <c:extLst>
            <c:ext xmlns:c16="http://schemas.microsoft.com/office/drawing/2014/chart" uri="{C3380CC4-5D6E-409C-BE32-E72D297353CC}">
              <c16:uniqueId val="{00000001-F54C-4897-AD41-51A394BB54F2}"/>
            </c:ext>
          </c:extLst>
        </c:ser>
        <c:dLbls>
          <c:showLegendKey val="0"/>
          <c:showVal val="0"/>
          <c:showCatName val="0"/>
          <c:showSerName val="0"/>
          <c:showPercent val="0"/>
          <c:showBubbleSize val="0"/>
        </c:dLbls>
        <c:gapWidth val="150"/>
        <c:axId val="666198400"/>
        <c:axId val="666199936"/>
      </c:barChart>
      <c:lineChart>
        <c:grouping val="standard"/>
        <c:varyColors val="0"/>
        <c:ser>
          <c:idx val="2"/>
          <c:order val="2"/>
          <c:tx>
            <c:strRef>
              <c:f>Sheet1!$D$1</c:f>
              <c:strCache>
                <c:ptCount val="1"/>
                <c:pt idx="0">
                  <c:v>Հարկաբյուջետային ազդակ</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Sheet1!$A$2:$A$13</c:f>
              <c:strCache>
                <c:ptCount val="7"/>
                <c:pt idx="0">
                  <c:v>2023</c:v>
                </c:pt>
                <c:pt idx="1">
                  <c:v>2024</c:v>
                </c:pt>
                <c:pt idx="2">
                  <c:v>2025</c:v>
                </c:pt>
                <c:pt idx="3">
                  <c:v>2026*</c:v>
                </c:pt>
                <c:pt idx="4">
                  <c:v>2027*</c:v>
                </c:pt>
                <c:pt idx="5">
                  <c:v>2028*</c:v>
                </c:pt>
                <c:pt idx="6">
                  <c:v>2029*</c:v>
                </c:pt>
              </c:strCache>
            </c:strRef>
          </c:cat>
          <c:val>
            <c:numRef>
              <c:f>Sheet1!$D$2:$D$13</c:f>
              <c:numCache>
                <c:formatCode>0.0</c:formatCode>
                <c:ptCount val="7"/>
                <c:pt idx="0">
                  <c:v>-0.86694011495657453</c:v>
                </c:pt>
                <c:pt idx="1">
                  <c:v>0.58251194160304298</c:v>
                </c:pt>
                <c:pt idx="2">
                  <c:v>-0.58774798638034698</c:v>
                </c:pt>
                <c:pt idx="3">
                  <c:v>0.40912599256008603</c:v>
                </c:pt>
                <c:pt idx="4">
                  <c:v>-0.50456138088311842</c:v>
                </c:pt>
                <c:pt idx="5">
                  <c:v>-0.33034434356300674</c:v>
                </c:pt>
                <c:pt idx="6">
                  <c:v>-0.31273504075237402</c:v>
                </c:pt>
              </c:numCache>
            </c:numRef>
          </c:val>
          <c:smooth val="0"/>
          <c:extLst>
            <c:ext xmlns:c16="http://schemas.microsoft.com/office/drawing/2014/chart" uri="{C3380CC4-5D6E-409C-BE32-E72D297353CC}">
              <c16:uniqueId val="{00000002-F54C-4897-AD41-51A394BB54F2}"/>
            </c:ext>
          </c:extLst>
        </c:ser>
        <c:dLbls>
          <c:showLegendKey val="0"/>
          <c:showVal val="0"/>
          <c:showCatName val="0"/>
          <c:showSerName val="0"/>
          <c:showPercent val="0"/>
          <c:showBubbleSize val="0"/>
        </c:dLbls>
        <c:marker val="1"/>
        <c:smooth val="0"/>
        <c:axId val="666198400"/>
        <c:axId val="666199936"/>
      </c:lineChart>
      <c:catAx>
        <c:axId val="66619840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6199936"/>
        <c:crosses val="autoZero"/>
        <c:auto val="1"/>
        <c:lblAlgn val="ctr"/>
        <c:lblOffset val="100"/>
        <c:noMultiLvlLbl val="0"/>
      </c:catAx>
      <c:valAx>
        <c:axId val="66619993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w="12700">
            <a:noFill/>
          </a:ln>
          <a:effectLst/>
        </c:spPr>
        <c:txPr>
          <a:bodyPr rot="-60000000" spcFirstLastPara="1" vertOverflow="ellipsis" vert="horz" wrap="square" anchor="ctr" anchorCtr="1"/>
          <a:lstStyle/>
          <a:p>
            <a:pPr>
              <a:defRPr sz="105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6198400"/>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105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982080812768812"/>
          <c:y val="0.10985102556624866"/>
          <c:w val="0.8257706331319018"/>
          <c:h val="0.48519551375522502"/>
        </c:manualLayout>
      </c:layout>
      <c:barChart>
        <c:barDir val="col"/>
        <c:grouping val="clustered"/>
        <c:varyColors val="0"/>
        <c:ser>
          <c:idx val="1"/>
          <c:order val="1"/>
          <c:tx>
            <c:strRef>
              <c:f>Sheet1!$C$1</c:f>
              <c:strCache>
                <c:ptCount val="1"/>
                <c:pt idx="0">
                  <c:v>Ոչ ֆին. ակիվ.գծով ծախսեր/ՀՆԱ%</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Sheet1!$A$2:$A$12</c:f>
              <c:numCache>
                <c:formatCode>0</c:formatCode>
                <c:ptCount val="7"/>
                <c:pt idx="0">
                  <c:v>2023</c:v>
                </c:pt>
                <c:pt idx="1">
                  <c:v>2024</c:v>
                </c:pt>
                <c:pt idx="2">
                  <c:v>2025</c:v>
                </c:pt>
                <c:pt idx="3">
                  <c:v>2026</c:v>
                </c:pt>
                <c:pt idx="4">
                  <c:v>2027</c:v>
                </c:pt>
                <c:pt idx="5">
                  <c:v>2028</c:v>
                </c:pt>
                <c:pt idx="6">
                  <c:v>2029</c:v>
                </c:pt>
              </c:numCache>
            </c:numRef>
          </c:cat>
          <c:val>
            <c:numRef>
              <c:f>Sheet1!$C$2:$C$12</c:f>
              <c:numCache>
                <c:formatCode>0.0</c:formatCode>
                <c:ptCount val="7"/>
                <c:pt idx="0">
                  <c:v>4.9785497342890492</c:v>
                </c:pt>
                <c:pt idx="1">
                  <c:v>5.2848646210096879</c:v>
                </c:pt>
                <c:pt idx="2">
                  <c:v>6.1071791188524394</c:v>
                </c:pt>
                <c:pt idx="3">
                  <c:v>5.4521637028764491</c:v>
                </c:pt>
                <c:pt idx="4">
                  <c:v>5.5929992698133999</c:v>
                </c:pt>
                <c:pt idx="5">
                  <c:v>5.776614479284861</c:v>
                </c:pt>
                <c:pt idx="6">
                  <c:v>5.8930923614994493</c:v>
                </c:pt>
              </c:numCache>
            </c:numRef>
          </c:val>
          <c:extLst>
            <c:ext xmlns:c16="http://schemas.microsoft.com/office/drawing/2014/chart" uri="{C3380CC4-5D6E-409C-BE32-E72D297353CC}">
              <c16:uniqueId val="{00000000-6209-4A1E-A933-960432508447}"/>
            </c:ext>
          </c:extLst>
        </c:ser>
        <c:dLbls>
          <c:showLegendKey val="0"/>
          <c:showVal val="0"/>
          <c:showCatName val="0"/>
          <c:showSerName val="0"/>
          <c:showPercent val="0"/>
          <c:showBubbleSize val="0"/>
        </c:dLbls>
        <c:gapWidth val="70"/>
        <c:axId val="666356736"/>
        <c:axId val="666448640"/>
      </c:barChart>
      <c:lineChart>
        <c:grouping val="standard"/>
        <c:varyColors val="0"/>
        <c:ser>
          <c:idx val="0"/>
          <c:order val="0"/>
          <c:tx>
            <c:strRef>
              <c:f>Sheet1!$B$1</c:f>
              <c:strCache>
                <c:ptCount val="1"/>
                <c:pt idx="0">
                  <c:v>Պակասուրդ/ՀՆԱ%</c:v>
                </c:pt>
              </c:strCache>
            </c:strRef>
          </c:tx>
          <c:spPr>
            <a:ln w="28575" cap="rnd">
              <a:solidFill>
                <a:schemeClr val="accent2"/>
              </a:solidFill>
              <a:round/>
            </a:ln>
            <a:effectLst/>
          </c:spPr>
          <c:marker>
            <c:symbol val="circle"/>
            <c:size val="5"/>
            <c:spPr>
              <a:solidFill>
                <a:schemeClr val="accent2"/>
              </a:solidFill>
              <a:ln w="9525">
                <a:noFill/>
              </a:ln>
              <a:effectLst/>
            </c:spPr>
          </c:marker>
          <c:dLbls>
            <c:spPr>
              <a:noFill/>
              <a:ln>
                <a:noFill/>
              </a:ln>
              <a:effectLst/>
            </c:spPr>
            <c:txPr>
              <a:bodyPr rot="0" spcFirstLastPara="1" vertOverflow="ellipsis" vert="horz" wrap="square" anchor="ctr" anchorCtr="1"/>
              <a:lstStyle/>
              <a:p>
                <a:pPr>
                  <a:defRPr sz="800" b="1"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Sheet1!$A$2:$A$12</c:f>
              <c:numCache>
                <c:formatCode>0</c:formatCode>
                <c:ptCount val="7"/>
                <c:pt idx="0">
                  <c:v>2023</c:v>
                </c:pt>
                <c:pt idx="1">
                  <c:v>2024</c:v>
                </c:pt>
                <c:pt idx="2">
                  <c:v>2025</c:v>
                </c:pt>
                <c:pt idx="3">
                  <c:v>2026</c:v>
                </c:pt>
                <c:pt idx="4">
                  <c:v>2027</c:v>
                </c:pt>
                <c:pt idx="5">
                  <c:v>2028</c:v>
                </c:pt>
                <c:pt idx="6">
                  <c:v>2029</c:v>
                </c:pt>
              </c:numCache>
            </c:numRef>
          </c:cat>
          <c:val>
            <c:numRef>
              <c:f>Sheet1!$B$2:$B$12</c:f>
              <c:numCache>
                <c:formatCode>0.0</c:formatCode>
                <c:ptCount val="7"/>
                <c:pt idx="0">
                  <c:v>1.9896339318445933</c:v>
                </c:pt>
                <c:pt idx="1">
                  <c:v>3.6692400205003666</c:v>
                </c:pt>
                <c:pt idx="2">
                  <c:v>3.6919065605118622</c:v>
                </c:pt>
                <c:pt idx="3">
                  <c:v>4.0452015726064001</c:v>
                </c:pt>
                <c:pt idx="4">
                  <c:v>3.4390000000000001</c:v>
                </c:pt>
                <c:pt idx="5">
                  <c:v>2.7839730063033099</c:v>
                </c:pt>
                <c:pt idx="6">
                  <c:v>1.79483928122613</c:v>
                </c:pt>
              </c:numCache>
            </c:numRef>
          </c:val>
          <c:smooth val="0"/>
          <c:extLst>
            <c:ext xmlns:c16="http://schemas.microsoft.com/office/drawing/2014/chart" uri="{C3380CC4-5D6E-409C-BE32-E72D297353CC}">
              <c16:uniqueId val="{00000001-6209-4A1E-A933-960432508447}"/>
            </c:ext>
          </c:extLst>
        </c:ser>
        <c:dLbls>
          <c:showLegendKey val="0"/>
          <c:showVal val="0"/>
          <c:showCatName val="0"/>
          <c:showSerName val="0"/>
          <c:showPercent val="0"/>
          <c:showBubbleSize val="0"/>
        </c:dLbls>
        <c:marker val="1"/>
        <c:smooth val="0"/>
        <c:axId val="666356736"/>
        <c:axId val="666448640"/>
      </c:lineChart>
      <c:catAx>
        <c:axId val="666356736"/>
        <c:scaling>
          <c:orientation val="minMax"/>
        </c:scaling>
        <c:delete val="0"/>
        <c:axPos val="b"/>
        <c:numFmt formatCode="0"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6448640"/>
        <c:crosses val="autoZero"/>
        <c:auto val="1"/>
        <c:lblAlgn val="ctr"/>
        <c:lblOffset val="100"/>
        <c:noMultiLvlLbl val="0"/>
      </c:catAx>
      <c:valAx>
        <c:axId val="666448640"/>
        <c:scaling>
          <c:orientation val="minMax"/>
          <c:max val="8"/>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6356736"/>
        <c:crosses val="autoZero"/>
        <c:crossBetween val="between"/>
      </c:valAx>
      <c:spPr>
        <a:noFill/>
        <a:ln>
          <a:noFill/>
        </a:ln>
        <a:effectLst/>
      </c:spPr>
    </c:plotArea>
    <c:legend>
      <c:legendPos val="b"/>
      <c:layout>
        <c:manualLayout>
          <c:xMode val="edge"/>
          <c:yMode val="edge"/>
          <c:x val="5.8291873963515754E-2"/>
          <c:y val="0.82670178380480219"/>
          <c:w val="0.92604166666666665"/>
          <c:h val="0.11156982113346943"/>
        </c:manualLayout>
      </c:layout>
      <c:overlay val="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userShapes r:id="rId5"/>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532362300089968"/>
          <c:y val="0.11476438709050257"/>
          <c:w val="0.77631370297462821"/>
          <c:h val="0.4628147176047438"/>
        </c:manualLayout>
      </c:layout>
      <c:barChart>
        <c:barDir val="col"/>
        <c:grouping val="clustered"/>
        <c:varyColors val="0"/>
        <c:ser>
          <c:idx val="0"/>
          <c:order val="0"/>
          <c:tx>
            <c:strRef>
              <c:f>Sheet1!$B$1</c:f>
              <c:strCache>
                <c:ptCount val="1"/>
                <c:pt idx="0">
                  <c:v>Ընթացիկ ծախսեր/ՀՆԱ%</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Sheet1!$A$2:$A$12</c:f>
              <c:numCache>
                <c:formatCode>0</c:formatCode>
                <c:ptCount val="7"/>
                <c:pt idx="0">
                  <c:v>2023</c:v>
                </c:pt>
                <c:pt idx="1">
                  <c:v>2024</c:v>
                </c:pt>
                <c:pt idx="2">
                  <c:v>2025</c:v>
                </c:pt>
                <c:pt idx="3">
                  <c:v>2026</c:v>
                </c:pt>
                <c:pt idx="4">
                  <c:v>2027</c:v>
                </c:pt>
                <c:pt idx="5">
                  <c:v>2028</c:v>
                </c:pt>
                <c:pt idx="6">
                  <c:v>2029</c:v>
                </c:pt>
              </c:numCache>
            </c:numRef>
          </c:cat>
          <c:val>
            <c:numRef>
              <c:f>Sheet1!$B$2:$B$12</c:f>
              <c:numCache>
                <c:formatCode>0.0</c:formatCode>
                <c:ptCount val="7"/>
                <c:pt idx="0">
                  <c:v>22.407200646439907</c:v>
                </c:pt>
                <c:pt idx="1">
                  <c:v>23.548162137766628</c:v>
                </c:pt>
                <c:pt idx="2">
                  <c:v>23.033253703329191</c:v>
                </c:pt>
                <c:pt idx="3">
                  <c:v>24.430633762774278</c:v>
                </c:pt>
                <c:pt idx="4">
                  <c:v>24.317497616000242</c:v>
                </c:pt>
                <c:pt idx="5">
                  <c:v>23.559094915561101</c:v>
                </c:pt>
                <c:pt idx="6">
                  <c:v>22.459321235030203</c:v>
                </c:pt>
              </c:numCache>
            </c:numRef>
          </c:val>
          <c:extLst>
            <c:ext xmlns:c16="http://schemas.microsoft.com/office/drawing/2014/chart" uri="{C3380CC4-5D6E-409C-BE32-E72D297353CC}">
              <c16:uniqueId val="{00000000-6931-4C87-8BC9-D9E245FF58B1}"/>
            </c:ext>
          </c:extLst>
        </c:ser>
        <c:dLbls>
          <c:showLegendKey val="0"/>
          <c:showVal val="0"/>
          <c:showCatName val="0"/>
          <c:showSerName val="0"/>
          <c:showPercent val="0"/>
          <c:showBubbleSize val="0"/>
        </c:dLbls>
        <c:gapWidth val="70"/>
        <c:overlap val="-27"/>
        <c:axId val="666334720"/>
        <c:axId val="666336256"/>
      </c:barChart>
      <c:lineChart>
        <c:grouping val="standard"/>
        <c:varyColors val="0"/>
        <c:ser>
          <c:idx val="1"/>
          <c:order val="1"/>
          <c:tx>
            <c:strRef>
              <c:f>Sheet1!$C$1</c:f>
              <c:strCache>
                <c:ptCount val="1"/>
                <c:pt idx="0">
                  <c:v>Հարկային եկամուտներ/ՀՆԱ%</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anchor="ctr" anchorCtr="1"/>
              <a:lstStyle/>
              <a:p>
                <a:pPr>
                  <a:defRPr sz="800" b="1"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Sheet1!$A$2:$A$12</c:f>
              <c:numCache>
                <c:formatCode>0</c:formatCode>
                <c:ptCount val="7"/>
                <c:pt idx="0">
                  <c:v>2023</c:v>
                </c:pt>
                <c:pt idx="1">
                  <c:v>2024</c:v>
                </c:pt>
                <c:pt idx="2">
                  <c:v>2025</c:v>
                </c:pt>
                <c:pt idx="3">
                  <c:v>2026</c:v>
                </c:pt>
                <c:pt idx="4">
                  <c:v>2027</c:v>
                </c:pt>
                <c:pt idx="5">
                  <c:v>2028</c:v>
                </c:pt>
                <c:pt idx="6">
                  <c:v>2029</c:v>
                </c:pt>
              </c:numCache>
            </c:numRef>
          </c:cat>
          <c:val>
            <c:numRef>
              <c:f>Sheet1!$C$2:$C$12</c:f>
              <c:numCache>
                <c:formatCode>0.0</c:formatCode>
                <c:ptCount val="7"/>
                <c:pt idx="0">
                  <c:v>23.954361743326533</c:v>
                </c:pt>
                <c:pt idx="1">
                  <c:v>23.32632806488661</c:v>
                </c:pt>
                <c:pt idx="2">
                  <c:v>24.0264162097947</c:v>
                </c:pt>
                <c:pt idx="3">
                  <c:v>24.792399528208499</c:v>
                </c:pt>
                <c:pt idx="4">
                  <c:v>25.435199487787902</c:v>
                </c:pt>
                <c:pt idx="5">
                  <c:v>25.5235716375166</c:v>
                </c:pt>
                <c:pt idx="6">
                  <c:v>25.673445425577736</c:v>
                </c:pt>
              </c:numCache>
            </c:numRef>
          </c:val>
          <c:smooth val="0"/>
          <c:extLst>
            <c:ext xmlns:c16="http://schemas.microsoft.com/office/drawing/2014/chart" uri="{C3380CC4-5D6E-409C-BE32-E72D297353CC}">
              <c16:uniqueId val="{00000001-6931-4C87-8BC9-D9E245FF58B1}"/>
            </c:ext>
          </c:extLst>
        </c:ser>
        <c:ser>
          <c:idx val="2"/>
          <c:order val="2"/>
          <c:tx>
            <c:strRef>
              <c:f>Sheet1!$D$1</c:f>
              <c:strCache>
                <c:ptCount val="1"/>
                <c:pt idx="0">
                  <c:v>Պահուստային ֆոնդ/ՀՆԱ</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Sheet1!$A$2:$A$12</c:f>
              <c:numCache>
                <c:formatCode>0</c:formatCode>
                <c:ptCount val="7"/>
                <c:pt idx="0">
                  <c:v>2023</c:v>
                </c:pt>
                <c:pt idx="1">
                  <c:v>2024</c:v>
                </c:pt>
                <c:pt idx="2">
                  <c:v>2025</c:v>
                </c:pt>
                <c:pt idx="3">
                  <c:v>2026</c:v>
                </c:pt>
                <c:pt idx="4">
                  <c:v>2027</c:v>
                </c:pt>
                <c:pt idx="5">
                  <c:v>2028</c:v>
                </c:pt>
                <c:pt idx="6">
                  <c:v>2029</c:v>
                </c:pt>
              </c:numCache>
            </c:numRef>
          </c:cat>
          <c:val>
            <c:numRef>
              <c:f>Sheet1!$D$2:$D$12</c:f>
            </c:numRef>
          </c:val>
          <c:smooth val="0"/>
          <c:extLst>
            <c:ext xmlns:c16="http://schemas.microsoft.com/office/drawing/2014/chart" uri="{C3380CC4-5D6E-409C-BE32-E72D297353CC}">
              <c16:uniqueId val="{00000002-6931-4C87-8BC9-D9E245FF58B1}"/>
            </c:ext>
          </c:extLst>
        </c:ser>
        <c:dLbls>
          <c:showLegendKey val="0"/>
          <c:showVal val="0"/>
          <c:showCatName val="0"/>
          <c:showSerName val="0"/>
          <c:showPercent val="0"/>
          <c:showBubbleSize val="0"/>
        </c:dLbls>
        <c:marker val="1"/>
        <c:smooth val="0"/>
        <c:axId val="666334720"/>
        <c:axId val="666336256"/>
      </c:lineChart>
      <c:catAx>
        <c:axId val="666334720"/>
        <c:scaling>
          <c:orientation val="minMax"/>
        </c:scaling>
        <c:delete val="0"/>
        <c:axPos val="b"/>
        <c:numFmt formatCode="0"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6336256"/>
        <c:crosses val="autoZero"/>
        <c:auto val="1"/>
        <c:lblAlgn val="ctr"/>
        <c:lblOffset val="100"/>
        <c:noMultiLvlLbl val="0"/>
      </c:catAx>
      <c:valAx>
        <c:axId val="666336256"/>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6334720"/>
        <c:crosses val="autoZero"/>
        <c:crossBetween val="between"/>
      </c:valAx>
      <c:spPr>
        <a:noFill/>
        <a:ln>
          <a:noFill/>
        </a:ln>
        <a:effectLst/>
      </c:spPr>
    </c:plotArea>
    <c:legend>
      <c:legendPos val="b"/>
      <c:layout>
        <c:manualLayout>
          <c:xMode val="edge"/>
          <c:yMode val="edge"/>
          <c:x val="9.9218066491688524E-3"/>
          <c:y val="0.80065859823077667"/>
          <c:w val="0.95709481627296589"/>
          <c:h val="0.15304510547292699"/>
        </c:manualLayout>
      </c:layout>
      <c:overlay val="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9050" cap="flat" cmpd="sng" algn="ctr">
      <a:solidFill>
        <a:sysClr val="window" lastClr="FFFFFF"/>
      </a:solidFill>
      <a:round/>
    </a:ln>
    <a:effectLst/>
  </c:spPr>
  <c:txPr>
    <a:bodyPr/>
    <a:lstStyle/>
    <a:p>
      <a:pPr>
        <a:defRPr sz="800">
          <a:solidFill>
            <a:sysClr val="windowText" lastClr="000000"/>
          </a:solidFill>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userShapes r:id="rId5"/>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700" b="1" i="0" u="none" strike="noStrike" kern="1200" baseline="0">
                <a:solidFill>
                  <a:schemeClr val="tx1"/>
                </a:solidFill>
                <a:latin typeface="+mn-lt"/>
                <a:ea typeface="Calibri" panose="020F0502020204030204" pitchFamily="34" charset="0"/>
                <a:cs typeface="Calibri" panose="020F0502020204030204" pitchFamily="34" charset="0"/>
              </a:defRPr>
            </a:pPr>
            <a:r>
              <a:rPr lang="en-US" sz="700">
                <a:latin typeface="GHEA Grapalat" panose="02000506050000020003" pitchFamily="50" charset="0"/>
              </a:rPr>
              <a:t>ՀՀ կ</a:t>
            </a:r>
            <a:r>
              <a:rPr lang="hy-AM" sz="700">
                <a:latin typeface="GHEA Grapalat" panose="02000506050000020003" pitchFamily="50" charset="0"/>
              </a:rPr>
              <a:t>առավարության պարտքի բեռի փոփոխությանը նպաստող գործոնները, </a:t>
            </a:r>
            <a:r>
              <a:rPr lang="en-US" sz="700">
                <a:latin typeface="GHEA Grapalat" panose="02000506050000020003" pitchFamily="50" charset="0"/>
              </a:rPr>
              <a:t>%-</a:t>
            </a:r>
            <a:r>
              <a:rPr lang="hy-AM" sz="700">
                <a:latin typeface="GHEA Grapalat" panose="02000506050000020003" pitchFamily="50" charset="0"/>
              </a:rPr>
              <a:t>ային կետ</a:t>
            </a:r>
            <a:endParaRPr lang="en-US" sz="700">
              <a:latin typeface="GHEA Grapalat" panose="02000506050000020003" pitchFamily="50" charset="0"/>
            </a:endParaRPr>
          </a:p>
        </c:rich>
      </c:tx>
      <c:layout>
        <c:manualLayout>
          <c:xMode val="edge"/>
          <c:yMode val="edge"/>
          <c:x val="8.4826303261163777E-2"/>
          <c:y val="3.4761154855643046E-3"/>
        </c:manualLayout>
      </c:layout>
      <c:overlay val="0"/>
      <c:spPr>
        <a:noFill/>
        <a:ln w="25384">
          <a:noFill/>
        </a:ln>
        <a:effectLst/>
      </c:spPr>
      <c:txPr>
        <a:bodyPr rot="0" spcFirstLastPara="1" vertOverflow="ellipsis" vert="horz" wrap="square" anchor="ctr" anchorCtr="1"/>
        <a:lstStyle/>
        <a:p>
          <a:pPr algn="l">
            <a:defRPr sz="700" b="1" i="0" u="none" strike="noStrike" kern="1200" baseline="0">
              <a:solidFill>
                <a:schemeClr val="tx1"/>
              </a:solidFill>
              <a:latin typeface="+mn-lt"/>
              <a:ea typeface="Calibri" panose="020F0502020204030204" pitchFamily="34" charset="0"/>
              <a:cs typeface="Calibri" panose="020F0502020204030204" pitchFamily="34" charset="0"/>
            </a:defRPr>
          </a:pPr>
          <a:endParaRPr lang="en-US"/>
        </a:p>
      </c:txPr>
    </c:title>
    <c:autoTitleDeleted val="0"/>
    <c:plotArea>
      <c:layout>
        <c:manualLayout>
          <c:layoutTarget val="inner"/>
          <c:xMode val="edge"/>
          <c:yMode val="edge"/>
          <c:x val="0.11882213353467802"/>
          <c:y val="0.21861594033419091"/>
          <c:w val="0.58534729057305346"/>
          <c:h val="0.64487445319335079"/>
        </c:manualLayout>
      </c:layout>
      <c:barChart>
        <c:barDir val="col"/>
        <c:grouping val="stacked"/>
        <c:varyColors val="0"/>
        <c:ser>
          <c:idx val="0"/>
          <c:order val="0"/>
          <c:tx>
            <c:strRef>
              <c:f>Sheet1!$B$1</c:f>
              <c:strCache>
                <c:ptCount val="1"/>
                <c:pt idx="0">
                  <c:v>Առաջնային պակասուրդ</c:v>
                </c:pt>
              </c:strCache>
            </c:strRef>
          </c:tx>
          <c:spPr>
            <a:solidFill>
              <a:schemeClr val="accent1"/>
            </a:solidFill>
            <a:ln>
              <a:noFill/>
            </a:ln>
            <a:effectLst/>
          </c:spPr>
          <c:invertIfNegative val="0"/>
          <c:cat>
            <c:numRef>
              <c:f>Sheet1!$A$2:$A$15</c:f>
              <c:numCache>
                <c:formatCode>General</c:formatCode>
                <c:ptCount val="7"/>
                <c:pt idx="0">
                  <c:v>2023</c:v>
                </c:pt>
                <c:pt idx="1">
                  <c:v>2024</c:v>
                </c:pt>
                <c:pt idx="2">
                  <c:v>2025</c:v>
                </c:pt>
                <c:pt idx="3">
                  <c:v>2026</c:v>
                </c:pt>
                <c:pt idx="4">
                  <c:v>2027</c:v>
                </c:pt>
                <c:pt idx="5">
                  <c:v>2028</c:v>
                </c:pt>
                <c:pt idx="6">
                  <c:v>2029</c:v>
                </c:pt>
              </c:numCache>
            </c:numRef>
          </c:cat>
          <c:val>
            <c:numRef>
              <c:f>Sheet1!$B$2:$B$15</c:f>
              <c:numCache>
                <c:formatCode>0.0</c:formatCode>
                <c:ptCount val="7"/>
                <c:pt idx="0">
                  <c:v>-0.8579159753570802</c:v>
                </c:pt>
                <c:pt idx="1">
                  <c:v>0.58077006780315221</c:v>
                </c:pt>
                <c:pt idx="2">
                  <c:v>0.61411265757027844</c:v>
                </c:pt>
                <c:pt idx="3">
                  <c:v>1.0868199111363843</c:v>
                </c:pt>
                <c:pt idx="4">
                  <c:v>0.37741500032214825</c:v>
                </c:pt>
                <c:pt idx="5">
                  <c:v>-0.2505169551516494</c:v>
                </c:pt>
                <c:pt idx="6">
                  <c:v>-1.2245391815170061</c:v>
                </c:pt>
              </c:numCache>
            </c:numRef>
          </c:val>
          <c:extLst>
            <c:ext xmlns:c16="http://schemas.microsoft.com/office/drawing/2014/chart" uri="{C3380CC4-5D6E-409C-BE32-E72D297353CC}">
              <c16:uniqueId val="{00000000-4F99-4E42-A738-5DADDB836BE0}"/>
            </c:ext>
          </c:extLst>
        </c:ser>
        <c:ser>
          <c:idx val="1"/>
          <c:order val="1"/>
          <c:tx>
            <c:strRef>
              <c:f>Sheet1!$C$1</c:f>
              <c:strCache>
                <c:ptCount val="1"/>
                <c:pt idx="0">
                  <c:v>Իրական տոկոսադրույք</c:v>
                </c:pt>
              </c:strCache>
            </c:strRef>
          </c:tx>
          <c:spPr>
            <a:solidFill>
              <a:schemeClr val="accent3"/>
            </a:solidFill>
            <a:ln>
              <a:noFill/>
            </a:ln>
            <a:effectLst/>
          </c:spPr>
          <c:invertIfNegative val="0"/>
          <c:cat>
            <c:numRef>
              <c:f>Sheet1!$A$2:$A$15</c:f>
              <c:numCache>
                <c:formatCode>General</c:formatCode>
                <c:ptCount val="7"/>
                <c:pt idx="0">
                  <c:v>2023</c:v>
                </c:pt>
                <c:pt idx="1">
                  <c:v>2024</c:v>
                </c:pt>
                <c:pt idx="2">
                  <c:v>2025</c:v>
                </c:pt>
                <c:pt idx="3">
                  <c:v>2026</c:v>
                </c:pt>
                <c:pt idx="4">
                  <c:v>2027</c:v>
                </c:pt>
                <c:pt idx="5">
                  <c:v>2028</c:v>
                </c:pt>
                <c:pt idx="6">
                  <c:v>2029</c:v>
                </c:pt>
              </c:numCache>
            </c:numRef>
          </c:cat>
          <c:val>
            <c:numRef>
              <c:f>Sheet1!$C$2:$C$15</c:f>
              <c:numCache>
                <c:formatCode>0.0</c:formatCode>
                <c:ptCount val="7"/>
                <c:pt idx="0">
                  <c:v>1.5495398122351756</c:v>
                </c:pt>
                <c:pt idx="1">
                  <c:v>2.3070075015689793</c:v>
                </c:pt>
                <c:pt idx="2">
                  <c:v>1.8798112453564186</c:v>
                </c:pt>
                <c:pt idx="3">
                  <c:v>1.2203390858310008</c:v>
                </c:pt>
                <c:pt idx="4">
                  <c:v>1.6435558603592955</c:v>
                </c:pt>
                <c:pt idx="5">
                  <c:v>1.6981317928207038</c:v>
                </c:pt>
                <c:pt idx="6">
                  <c:v>1.6671480373294145</c:v>
                </c:pt>
              </c:numCache>
            </c:numRef>
          </c:val>
          <c:extLst>
            <c:ext xmlns:c16="http://schemas.microsoft.com/office/drawing/2014/chart" uri="{C3380CC4-5D6E-409C-BE32-E72D297353CC}">
              <c16:uniqueId val="{00000001-4F99-4E42-A738-5DADDB836BE0}"/>
            </c:ext>
          </c:extLst>
        </c:ser>
        <c:ser>
          <c:idx val="2"/>
          <c:order val="2"/>
          <c:tx>
            <c:strRef>
              <c:f>Sheet1!$D$1</c:f>
              <c:strCache>
                <c:ptCount val="1"/>
                <c:pt idx="0">
                  <c:v>Իրական ՀՆԱ աճ</c:v>
                </c:pt>
              </c:strCache>
            </c:strRef>
          </c:tx>
          <c:spPr>
            <a:solidFill>
              <a:schemeClr val="accent5"/>
            </a:solidFill>
            <a:ln>
              <a:noFill/>
            </a:ln>
            <a:effectLst/>
          </c:spPr>
          <c:invertIfNegative val="0"/>
          <c:cat>
            <c:numRef>
              <c:f>Sheet1!$A$2:$A$15</c:f>
              <c:numCache>
                <c:formatCode>General</c:formatCode>
                <c:ptCount val="7"/>
                <c:pt idx="0">
                  <c:v>2023</c:v>
                </c:pt>
                <c:pt idx="1">
                  <c:v>2024</c:v>
                </c:pt>
                <c:pt idx="2">
                  <c:v>2025</c:v>
                </c:pt>
                <c:pt idx="3">
                  <c:v>2026</c:v>
                </c:pt>
                <c:pt idx="4">
                  <c:v>2027</c:v>
                </c:pt>
                <c:pt idx="5">
                  <c:v>2028</c:v>
                </c:pt>
                <c:pt idx="6">
                  <c:v>2029</c:v>
                </c:pt>
              </c:numCache>
            </c:numRef>
          </c:cat>
          <c:val>
            <c:numRef>
              <c:f>Sheet1!$D$2:$D$15</c:f>
              <c:numCache>
                <c:formatCode>0.0</c:formatCode>
                <c:ptCount val="7"/>
                <c:pt idx="0">
                  <c:v>-3.470987148475102</c:v>
                </c:pt>
                <c:pt idx="1">
                  <c:v>-2.6317157032560097</c:v>
                </c:pt>
                <c:pt idx="2">
                  <c:v>-3.0626956758384418</c:v>
                </c:pt>
                <c:pt idx="3">
                  <c:v>-2.3916176148145722</c:v>
                </c:pt>
                <c:pt idx="4">
                  <c:v>-2.478401302474416</c:v>
                </c:pt>
                <c:pt idx="5">
                  <c:v>-2.6307295911735129</c:v>
                </c:pt>
                <c:pt idx="6">
                  <c:v>-2.5618523998437994</c:v>
                </c:pt>
              </c:numCache>
            </c:numRef>
          </c:val>
          <c:extLst>
            <c:ext xmlns:c16="http://schemas.microsoft.com/office/drawing/2014/chart" uri="{C3380CC4-5D6E-409C-BE32-E72D297353CC}">
              <c16:uniqueId val="{00000002-4F99-4E42-A738-5DADDB836BE0}"/>
            </c:ext>
          </c:extLst>
        </c:ser>
        <c:ser>
          <c:idx val="3"/>
          <c:order val="3"/>
          <c:tx>
            <c:strRef>
              <c:f>Sheet1!$E$1</c:f>
              <c:strCache>
                <c:ptCount val="1"/>
                <c:pt idx="0">
                  <c:v>Փոխարժեքի արժեզրկում</c:v>
                </c:pt>
              </c:strCache>
            </c:strRef>
          </c:tx>
          <c:spPr>
            <a:solidFill>
              <a:schemeClr val="accent1">
                <a:lumMod val="60000"/>
              </a:schemeClr>
            </a:solidFill>
            <a:ln>
              <a:noFill/>
            </a:ln>
            <a:effectLst/>
          </c:spPr>
          <c:invertIfNegative val="0"/>
          <c:cat>
            <c:numRef>
              <c:f>Sheet1!$A$2:$A$15</c:f>
              <c:numCache>
                <c:formatCode>General</c:formatCode>
                <c:ptCount val="7"/>
                <c:pt idx="0">
                  <c:v>2023</c:v>
                </c:pt>
                <c:pt idx="1">
                  <c:v>2024</c:v>
                </c:pt>
                <c:pt idx="2">
                  <c:v>2025</c:v>
                </c:pt>
                <c:pt idx="3">
                  <c:v>2026</c:v>
                </c:pt>
                <c:pt idx="4">
                  <c:v>2027</c:v>
                </c:pt>
                <c:pt idx="5">
                  <c:v>2028</c:v>
                </c:pt>
                <c:pt idx="6">
                  <c:v>2029</c:v>
                </c:pt>
              </c:numCache>
            </c:numRef>
          </c:cat>
          <c:val>
            <c:numRef>
              <c:f>Sheet1!$E$2:$E$15</c:f>
              <c:numCache>
                <c:formatCode>0.0</c:formatCode>
                <c:ptCount val="7"/>
                <c:pt idx="0">
                  <c:v>1.8650974367306039</c:v>
                </c:pt>
                <c:pt idx="1">
                  <c:v>-1.0570039489028489</c:v>
                </c:pt>
                <c:pt idx="2">
                  <c:v>-1.8073478320297227</c:v>
                </c:pt>
                <c:pt idx="3">
                  <c:v>0.72118064914600677</c:v>
                </c:pt>
                <c:pt idx="4">
                  <c:v>0.92850535141062396</c:v>
                </c:pt>
                <c:pt idx="5">
                  <c:v>1.2111344216656805</c:v>
                </c:pt>
                <c:pt idx="6">
                  <c:v>1.2223995788011337</c:v>
                </c:pt>
              </c:numCache>
            </c:numRef>
          </c:val>
          <c:extLst>
            <c:ext xmlns:c16="http://schemas.microsoft.com/office/drawing/2014/chart" uri="{C3380CC4-5D6E-409C-BE32-E72D297353CC}">
              <c16:uniqueId val="{00000003-4F99-4E42-A738-5DADDB836BE0}"/>
            </c:ext>
          </c:extLst>
        </c:ser>
        <c:ser>
          <c:idx val="4"/>
          <c:order val="4"/>
          <c:tx>
            <c:strRef>
              <c:f>Sheet1!$F$1</c:f>
              <c:strCache>
                <c:ptCount val="1"/>
                <c:pt idx="0">
                  <c:v>Պարտք ձևավորող այլ հոսքեր</c:v>
                </c:pt>
              </c:strCache>
            </c:strRef>
          </c:tx>
          <c:spPr>
            <a:solidFill>
              <a:schemeClr val="accent2">
                <a:lumMod val="60000"/>
                <a:lumOff val="40000"/>
              </a:schemeClr>
            </a:solidFill>
            <a:ln>
              <a:noFill/>
            </a:ln>
            <a:effectLst/>
          </c:spPr>
          <c:invertIfNegative val="0"/>
          <c:cat>
            <c:numRef>
              <c:f>Sheet1!$A$2:$A$15</c:f>
              <c:numCache>
                <c:formatCode>General</c:formatCode>
                <c:ptCount val="7"/>
                <c:pt idx="0">
                  <c:v>2023</c:v>
                </c:pt>
                <c:pt idx="1">
                  <c:v>2024</c:v>
                </c:pt>
                <c:pt idx="2">
                  <c:v>2025</c:v>
                </c:pt>
                <c:pt idx="3">
                  <c:v>2026</c:v>
                </c:pt>
                <c:pt idx="4">
                  <c:v>2027</c:v>
                </c:pt>
                <c:pt idx="5">
                  <c:v>2028</c:v>
                </c:pt>
                <c:pt idx="6">
                  <c:v>2029</c:v>
                </c:pt>
              </c:numCache>
            </c:numRef>
          </c:cat>
          <c:val>
            <c:numRef>
              <c:f>Sheet1!$F$2:$F$15</c:f>
              <c:numCache>
                <c:formatCode>0.0</c:formatCode>
                <c:ptCount val="7"/>
                <c:pt idx="0">
                  <c:v>1.7278860859867233</c:v>
                </c:pt>
                <c:pt idx="1">
                  <c:v>9.6615767167612332E-2</c:v>
                </c:pt>
                <c:pt idx="2">
                  <c:v>0.32791459650493743</c:v>
                </c:pt>
                <c:pt idx="3">
                  <c:v>0.4005289143237073</c:v>
                </c:pt>
                <c:pt idx="4">
                  <c:v>0.4005289143237073</c:v>
                </c:pt>
                <c:pt idx="5">
                  <c:v>0.4005289143237073</c:v>
                </c:pt>
                <c:pt idx="6">
                  <c:v>0.4005289143237073</c:v>
                </c:pt>
              </c:numCache>
            </c:numRef>
          </c:val>
          <c:extLst>
            <c:ext xmlns:c16="http://schemas.microsoft.com/office/drawing/2014/chart" uri="{C3380CC4-5D6E-409C-BE32-E72D297353CC}">
              <c16:uniqueId val="{00000004-4F99-4E42-A738-5DADDB836BE0}"/>
            </c:ext>
          </c:extLst>
        </c:ser>
        <c:ser>
          <c:idx val="5"/>
          <c:order val="5"/>
          <c:tx>
            <c:strRef>
              <c:f>Sheet1!$G$1</c:f>
              <c:strCache>
                <c:ptCount val="1"/>
                <c:pt idx="0">
                  <c:v>Մնացորդ</c:v>
                </c:pt>
              </c:strCache>
            </c:strRef>
          </c:tx>
          <c:spPr>
            <a:solidFill>
              <a:schemeClr val="accent5">
                <a:lumMod val="60000"/>
              </a:schemeClr>
            </a:solidFill>
            <a:ln>
              <a:noFill/>
            </a:ln>
            <a:effectLst/>
          </c:spPr>
          <c:invertIfNegative val="0"/>
          <c:cat>
            <c:numRef>
              <c:f>Sheet1!$A$2:$A$15</c:f>
              <c:numCache>
                <c:formatCode>General</c:formatCode>
                <c:ptCount val="7"/>
                <c:pt idx="0">
                  <c:v>2023</c:v>
                </c:pt>
                <c:pt idx="1">
                  <c:v>2024</c:v>
                </c:pt>
                <c:pt idx="2">
                  <c:v>2025</c:v>
                </c:pt>
                <c:pt idx="3">
                  <c:v>2026</c:v>
                </c:pt>
                <c:pt idx="4">
                  <c:v>2027</c:v>
                </c:pt>
                <c:pt idx="5">
                  <c:v>2028</c:v>
                </c:pt>
                <c:pt idx="6">
                  <c:v>2029</c:v>
                </c:pt>
              </c:numCache>
            </c:numRef>
          </c:cat>
          <c:val>
            <c:numRef>
              <c:f>Sheet1!$G$2:$G$15</c:f>
              <c:numCache>
                <c:formatCode>0.0</c:formatCode>
                <c:ptCount val="7"/>
                <c:pt idx="0">
                  <c:v>0.65577255302001025</c:v>
                </c:pt>
                <c:pt idx="1">
                  <c:v>0.27679656154045229</c:v>
                </c:pt>
                <c:pt idx="2">
                  <c:v>1.5190449558072792</c:v>
                </c:pt>
                <c:pt idx="3">
                  <c:v>-1.7077427024587406</c:v>
                </c:pt>
                <c:pt idx="4">
                  <c:v>-0.25512549066752643</c:v>
                </c:pt>
                <c:pt idx="5">
                  <c:v>-0.53282734042221624</c:v>
                </c:pt>
                <c:pt idx="6">
                  <c:v>-0.31581830140722922</c:v>
                </c:pt>
              </c:numCache>
            </c:numRef>
          </c:val>
          <c:extLst>
            <c:ext xmlns:c16="http://schemas.microsoft.com/office/drawing/2014/chart" uri="{C3380CC4-5D6E-409C-BE32-E72D297353CC}">
              <c16:uniqueId val="{00000005-4F99-4E42-A738-5DADDB836BE0}"/>
            </c:ext>
          </c:extLst>
        </c:ser>
        <c:dLbls>
          <c:showLegendKey val="0"/>
          <c:showVal val="0"/>
          <c:showCatName val="0"/>
          <c:showSerName val="0"/>
          <c:showPercent val="0"/>
          <c:showBubbleSize val="0"/>
        </c:dLbls>
        <c:gapWidth val="81"/>
        <c:overlap val="100"/>
        <c:axId val="667022464"/>
        <c:axId val="667024384"/>
      </c:barChart>
      <c:lineChart>
        <c:grouping val="standard"/>
        <c:varyColors val="0"/>
        <c:ser>
          <c:idx val="6"/>
          <c:order val="6"/>
          <c:tx>
            <c:strRef>
              <c:f>Sheet1!$H$1</c:f>
              <c:strCache>
                <c:ptCount val="1"/>
                <c:pt idx="0">
                  <c:v>Պարտք/ՀՆԱ փոփոխություն, %-ային կետ </c:v>
                </c:pt>
              </c:strCache>
            </c:strRef>
          </c:tx>
          <c:spPr>
            <a:ln w="19050" cap="rnd" cmpd="sng" algn="ctr">
              <a:solidFill>
                <a:schemeClr val="accent1">
                  <a:lumMod val="80000"/>
                  <a:lumOff val="20000"/>
                </a:schemeClr>
              </a:solidFill>
              <a:prstDash val="solid"/>
              <a:round/>
            </a:ln>
            <a:effectLst/>
          </c:spPr>
          <c:marker>
            <c:symbol val="circle"/>
            <c:size val="4"/>
            <c:spPr>
              <a:solidFill>
                <a:schemeClr val="accent1">
                  <a:lumMod val="80000"/>
                  <a:lumOff val="20000"/>
                </a:schemeClr>
              </a:solidFill>
              <a:ln w="6350" cap="flat" cmpd="sng" algn="ctr">
                <a:solidFill>
                  <a:schemeClr val="accent1">
                    <a:lumMod val="80000"/>
                    <a:lumOff val="20000"/>
                  </a:schemeClr>
                </a:solidFill>
                <a:prstDash val="solid"/>
                <a:round/>
              </a:ln>
              <a:effectLst/>
            </c:spPr>
          </c:marker>
          <c:cat>
            <c:numRef>
              <c:f>Sheet1!$A$2:$A$15</c:f>
              <c:numCache>
                <c:formatCode>General</c:formatCode>
                <c:ptCount val="7"/>
                <c:pt idx="0">
                  <c:v>2023</c:v>
                </c:pt>
                <c:pt idx="1">
                  <c:v>2024</c:v>
                </c:pt>
                <c:pt idx="2">
                  <c:v>2025</c:v>
                </c:pt>
                <c:pt idx="3">
                  <c:v>2026</c:v>
                </c:pt>
                <c:pt idx="4">
                  <c:v>2027</c:v>
                </c:pt>
                <c:pt idx="5">
                  <c:v>2028</c:v>
                </c:pt>
                <c:pt idx="6">
                  <c:v>2029</c:v>
                </c:pt>
              </c:numCache>
            </c:numRef>
          </c:cat>
          <c:val>
            <c:numRef>
              <c:f>Sheet1!$H$2:$H$15</c:f>
              <c:numCache>
                <c:formatCode>0.0</c:formatCode>
                <c:ptCount val="7"/>
                <c:pt idx="0">
                  <c:v>1.4693927641403306</c:v>
                </c:pt>
                <c:pt idx="1">
                  <c:v>-0.42752975407866245</c:v>
                </c:pt>
                <c:pt idx="2">
                  <c:v>-0.52916005262925125</c:v>
                </c:pt>
                <c:pt idx="3">
                  <c:v>-0.67049175683621343</c:v>
                </c:pt>
                <c:pt idx="4">
                  <c:v>0.61647833327383239</c:v>
                </c:pt>
                <c:pt idx="5">
                  <c:v>-0.10427875793728703</c:v>
                </c:pt>
                <c:pt idx="6">
                  <c:v>-0.81213335231377926</c:v>
                </c:pt>
              </c:numCache>
            </c:numRef>
          </c:val>
          <c:smooth val="0"/>
          <c:extLst>
            <c:ext xmlns:c16="http://schemas.microsoft.com/office/drawing/2014/chart" uri="{C3380CC4-5D6E-409C-BE32-E72D297353CC}">
              <c16:uniqueId val="{00000006-4F99-4E42-A738-5DADDB836BE0}"/>
            </c:ext>
          </c:extLst>
        </c:ser>
        <c:dLbls>
          <c:showLegendKey val="0"/>
          <c:showVal val="0"/>
          <c:showCatName val="0"/>
          <c:showSerName val="0"/>
          <c:showPercent val="0"/>
          <c:showBubbleSize val="0"/>
        </c:dLbls>
        <c:marker val="1"/>
        <c:smooth val="0"/>
        <c:axId val="667022464"/>
        <c:axId val="667024384"/>
      </c:lineChart>
      <c:catAx>
        <c:axId val="667022464"/>
        <c:scaling>
          <c:orientation val="minMax"/>
        </c:scaling>
        <c:delete val="0"/>
        <c:axPos val="b"/>
        <c:numFmt formatCode="General" sourceLinked="1"/>
        <c:majorTickMark val="none"/>
        <c:minorTickMark val="none"/>
        <c:tickLblPos val="low"/>
        <c:spPr>
          <a:noFill/>
          <a:ln w="9519"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800" b="1"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7024384"/>
        <c:crosses val="autoZero"/>
        <c:auto val="1"/>
        <c:lblAlgn val="ctr"/>
        <c:lblOffset val="100"/>
        <c:noMultiLvlLbl val="0"/>
      </c:catAx>
      <c:valAx>
        <c:axId val="667024384"/>
        <c:scaling>
          <c:orientation val="minMax"/>
          <c:min val="-20"/>
        </c:scaling>
        <c:delete val="0"/>
        <c:axPos val="l"/>
        <c:majorGridlines>
          <c:spPr>
            <a:ln w="9519" cap="flat" cmpd="sng" algn="ctr">
              <a:solidFill>
                <a:schemeClr val="tx1">
                  <a:lumMod val="15000"/>
                  <a:lumOff val="85000"/>
                </a:schemeClr>
              </a:solidFill>
              <a:prstDash val="solid"/>
              <a:round/>
            </a:ln>
            <a:effectLst/>
          </c:spPr>
        </c:majorGridlines>
        <c:numFmt formatCode="0.0" sourceLinked="1"/>
        <c:majorTickMark val="none"/>
        <c:minorTickMark val="none"/>
        <c:tickLblPos val="nextTo"/>
        <c:spPr>
          <a:noFill/>
          <a:ln w="9519" cap="flat" cmpd="sng" algn="ctr">
            <a:noFill/>
            <a:prstDash val="solid"/>
            <a:round/>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667022464"/>
        <c:crosses val="autoZero"/>
        <c:crossBetween val="between"/>
        <c:majorUnit val="10"/>
      </c:valAx>
      <c:spPr>
        <a:noFill/>
        <a:ln w="25384">
          <a:noFill/>
        </a:ln>
        <a:effectLst/>
      </c:spPr>
    </c:plotArea>
    <c:legend>
      <c:legendPos val="r"/>
      <c:layout>
        <c:manualLayout>
          <c:xMode val="edge"/>
          <c:yMode val="edge"/>
          <c:x val="0.69856770833333337"/>
          <c:y val="0.2172664041994751"/>
          <c:w val="0.27539062500000006"/>
          <c:h val="0.64810586176727902"/>
        </c:manualLayout>
      </c:layout>
      <c:overlay val="0"/>
      <c:spPr>
        <a:noFill/>
        <a:ln>
          <a:noFill/>
        </a:ln>
        <a:effectLst/>
      </c:spPr>
      <c:txPr>
        <a:bodyPr rot="0" spcFirstLastPara="1" vertOverflow="ellipsis" vert="horz" wrap="square" anchor="ctr" anchorCtr="1"/>
        <a:lstStyle/>
        <a:p>
          <a:pPr>
            <a:defRPr sz="5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9050" cap="flat" cmpd="sng" algn="ctr">
      <a:solidFill>
        <a:schemeClr val="bg1"/>
      </a:solidFill>
      <a:prstDash val="solid"/>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userShapes r:id="rId5"/>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r>
              <a:rPr lang="en-US" sz="800">
                <a:latin typeface="GHEA Grapalat" panose="02000506050000020003" pitchFamily="50" charset="0"/>
                <a:ea typeface="Calibri" panose="020F0502020204030204" pitchFamily="34" charset="0"/>
                <a:cs typeface="Calibri" panose="020F0502020204030204" pitchFamily="34" charset="0"/>
              </a:rPr>
              <a:t>ՀՀ կ</a:t>
            </a:r>
            <a:r>
              <a:rPr lang="hy-AM" sz="800">
                <a:latin typeface="GHEA Grapalat" panose="02000506050000020003" pitchFamily="50" charset="0"/>
                <a:ea typeface="Calibri" panose="020F0502020204030204" pitchFamily="34" charset="0"/>
                <a:cs typeface="Calibri" panose="020F0502020204030204" pitchFamily="34" charset="0"/>
              </a:rPr>
              <a:t>առավարության պարտքի դինամիկան</a:t>
            </a:r>
            <a:endParaRPr lang="en-US" sz="800">
              <a:latin typeface="GHEA Grapalat" panose="02000506050000020003" pitchFamily="50" charset="0"/>
              <a:ea typeface="Calibri" panose="020F0502020204030204" pitchFamily="34" charset="0"/>
              <a:cs typeface="Calibri" panose="020F0502020204030204" pitchFamily="34" charset="0"/>
            </a:endParaRPr>
          </a:p>
        </c:rich>
      </c:tx>
      <c:overlay val="0"/>
      <c:spPr>
        <a:noFill/>
        <a:ln>
          <a:noFill/>
        </a:ln>
        <a:effectLst/>
      </c:spPr>
    </c:title>
    <c:autoTitleDeleted val="0"/>
    <c:plotArea>
      <c:layout>
        <c:manualLayout>
          <c:layoutTarget val="inner"/>
          <c:xMode val="edge"/>
          <c:yMode val="edge"/>
          <c:x val="0.17386366743219597"/>
          <c:y val="0.19645975503062119"/>
          <c:w val="0.69199360750637873"/>
          <c:h val="0.44658005249343835"/>
        </c:manualLayout>
      </c:layout>
      <c:barChart>
        <c:barDir val="col"/>
        <c:grouping val="clustered"/>
        <c:varyColors val="0"/>
        <c:ser>
          <c:idx val="1"/>
          <c:order val="1"/>
          <c:tx>
            <c:strRef>
              <c:f>Sheet1!$C$1</c:f>
              <c:strCache>
                <c:ptCount val="1"/>
                <c:pt idx="0">
                  <c:v>ՀՀ կառավարության պարտք, մլրդ դրամ</c:v>
                </c:pt>
              </c:strCache>
            </c:strRef>
          </c:tx>
          <c:spPr>
            <a:solidFill>
              <a:srgbClr val="E7E6E6">
                <a:lumMod val="75000"/>
              </a:srgbClr>
            </a:solidFill>
            <a:ln>
              <a:noFill/>
            </a:ln>
            <a:effectLst/>
          </c:spPr>
          <c:invertIfNegative val="0"/>
          <c:cat>
            <c:numRef>
              <c:f>Sheet1!$A$2:$A$15</c:f>
              <c:numCache>
                <c:formatCode>General</c:formatCode>
                <c:ptCount val="7"/>
                <c:pt idx="0">
                  <c:v>2023</c:v>
                </c:pt>
                <c:pt idx="1">
                  <c:v>2024</c:v>
                </c:pt>
                <c:pt idx="2">
                  <c:v>2025</c:v>
                </c:pt>
                <c:pt idx="3">
                  <c:v>2026</c:v>
                </c:pt>
                <c:pt idx="4">
                  <c:v>2027</c:v>
                </c:pt>
                <c:pt idx="5">
                  <c:v>2028</c:v>
                </c:pt>
                <c:pt idx="6">
                  <c:v>2029</c:v>
                </c:pt>
              </c:numCache>
            </c:numRef>
          </c:cat>
          <c:val>
            <c:numRef>
              <c:f>Sheet1!$C$2:$C$15</c:f>
              <c:numCache>
                <c:formatCode>0.0</c:formatCode>
                <c:ptCount val="7"/>
                <c:pt idx="0">
                  <c:v>4571.9458306085999</c:v>
                </c:pt>
                <c:pt idx="1">
                  <c:v>4892.8473076977898</c:v>
                </c:pt>
                <c:pt idx="2">
                  <c:v>5354.5457653440599</c:v>
                </c:pt>
                <c:pt idx="3">
                  <c:v>5800.8459076195504</c:v>
                </c:pt>
                <c:pt idx="4">
                  <c:v>6419.3606439322502</c:v>
                </c:pt>
                <c:pt idx="5">
                  <c:v>6999.5539900388803</c:v>
                </c:pt>
                <c:pt idx="6">
                  <c:v>7506.0675584351602</c:v>
                </c:pt>
              </c:numCache>
            </c:numRef>
          </c:val>
          <c:extLst>
            <c:ext xmlns:c16="http://schemas.microsoft.com/office/drawing/2014/chart" uri="{C3380CC4-5D6E-409C-BE32-E72D297353CC}">
              <c16:uniqueId val="{00000000-83A2-4F3C-A398-3D494D8CE648}"/>
            </c:ext>
          </c:extLst>
        </c:ser>
        <c:dLbls>
          <c:showLegendKey val="0"/>
          <c:showVal val="0"/>
          <c:showCatName val="0"/>
          <c:showSerName val="0"/>
          <c:showPercent val="0"/>
          <c:showBubbleSize val="0"/>
        </c:dLbls>
        <c:gapWidth val="70"/>
        <c:axId val="666657152"/>
        <c:axId val="666658688"/>
      </c:barChart>
      <c:lineChart>
        <c:grouping val="standard"/>
        <c:varyColors val="0"/>
        <c:ser>
          <c:idx val="0"/>
          <c:order val="0"/>
          <c:tx>
            <c:strRef>
              <c:f>Sheet1!$B$1</c:f>
              <c:strCache>
                <c:ptCount val="1"/>
                <c:pt idx="0">
                  <c:v>Կառավարության պարտք/ՀՆԱ, % (աջ առանցք)</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5.4655033355205641E-2"/>
                  <c:y val="-3.823622047244094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3A2-4F3C-A398-3D494D8CE648}"/>
                </c:ext>
              </c:extLst>
            </c:dLbl>
            <c:dLbl>
              <c:idx val="1"/>
              <c:layout>
                <c:manualLayout>
                  <c:x val="-5.6825172244094488E-2"/>
                  <c:y val="-1.0458442694663218E-2"/>
                </c:manualLayout>
              </c:layout>
              <c:dLblPos val="r"/>
              <c:showLegendKey val="0"/>
              <c:showVal val="1"/>
              <c:showCatName val="0"/>
              <c:showSerName val="0"/>
              <c:showPercent val="0"/>
              <c:showBubbleSize val="0"/>
              <c:extLst>
                <c:ext xmlns:c15="http://schemas.microsoft.com/office/drawing/2012/chart" uri="{CE6537A1-D6FC-4f65-9D91-7224C49458BB}">
                  <c15:layout>
                    <c:manualLayout>
                      <c:w val="9.1948613845144356E-2"/>
                      <c:h val="8.2027996500437447E-2"/>
                    </c:manualLayout>
                  </c15:layout>
                </c:ext>
                <c:ext xmlns:c16="http://schemas.microsoft.com/office/drawing/2014/chart" uri="{C3380CC4-5D6E-409C-BE32-E72D297353CC}">
                  <c16:uniqueId val="{00000002-83A2-4F3C-A398-3D494D8CE648}"/>
                </c:ext>
              </c:extLst>
            </c:dLbl>
            <c:dLbl>
              <c:idx val="2"/>
              <c:layout>
                <c:manualLayout>
                  <c:x val="-6.7675866688539019E-2"/>
                  <c:y val="2.8430446194225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3A2-4F3C-A398-3D494D8CE648}"/>
                </c:ext>
              </c:extLst>
            </c:dLbl>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7"/>
                <c:pt idx="0">
                  <c:v>2023</c:v>
                </c:pt>
                <c:pt idx="1">
                  <c:v>2024</c:v>
                </c:pt>
                <c:pt idx="2">
                  <c:v>2025</c:v>
                </c:pt>
                <c:pt idx="3">
                  <c:v>2026</c:v>
                </c:pt>
                <c:pt idx="4">
                  <c:v>2027</c:v>
                </c:pt>
                <c:pt idx="5">
                  <c:v>2028</c:v>
                </c:pt>
                <c:pt idx="6">
                  <c:v>2029</c:v>
                </c:pt>
              </c:numCache>
            </c:numRef>
          </c:cat>
          <c:val>
            <c:numRef>
              <c:f>Sheet1!$B$2:$B$15</c:f>
              <c:numCache>
                <c:formatCode>0.0</c:formatCode>
                <c:ptCount val="7"/>
                <c:pt idx="0">
                  <c:v>48.163697057676281</c:v>
                </c:pt>
                <c:pt idx="1">
                  <c:v>47.736167303597618</c:v>
                </c:pt>
                <c:pt idx="2">
                  <c:v>47.207007250968367</c:v>
                </c:pt>
                <c:pt idx="3">
                  <c:v>46.536515494132153</c:v>
                </c:pt>
                <c:pt idx="4">
                  <c:v>47.152993827405986</c:v>
                </c:pt>
                <c:pt idx="5">
                  <c:v>47.048715069468699</c:v>
                </c:pt>
                <c:pt idx="6">
                  <c:v>46.23658171715492</c:v>
                </c:pt>
              </c:numCache>
            </c:numRef>
          </c:val>
          <c:smooth val="0"/>
          <c:extLst>
            <c:ext xmlns:c16="http://schemas.microsoft.com/office/drawing/2014/chart" uri="{C3380CC4-5D6E-409C-BE32-E72D297353CC}">
              <c16:uniqueId val="{00000004-83A2-4F3C-A398-3D494D8CE648}"/>
            </c:ext>
          </c:extLst>
        </c:ser>
        <c:ser>
          <c:idx val="2"/>
          <c:order val="2"/>
          <c:tx>
            <c:strRef>
              <c:f>Sheet1!$D$1</c:f>
              <c:strCache>
                <c:ptCount val="1"/>
                <c:pt idx="0">
                  <c:v>50% շեմ</c:v>
                </c:pt>
              </c:strCache>
            </c:strRef>
          </c:tx>
          <c:spPr>
            <a:ln w="28575">
              <a:solidFill>
                <a:srgbClr val="FFC000"/>
              </a:solidFill>
              <a:prstDash val="dash"/>
            </a:ln>
          </c:spPr>
          <c:marker>
            <c:symbol val="none"/>
          </c:marker>
          <c:cat>
            <c:numRef>
              <c:f>Sheet1!$A$2:$A$15</c:f>
              <c:numCache>
                <c:formatCode>General</c:formatCode>
                <c:ptCount val="7"/>
                <c:pt idx="0">
                  <c:v>2023</c:v>
                </c:pt>
                <c:pt idx="1">
                  <c:v>2024</c:v>
                </c:pt>
                <c:pt idx="2">
                  <c:v>2025</c:v>
                </c:pt>
                <c:pt idx="3">
                  <c:v>2026</c:v>
                </c:pt>
                <c:pt idx="4">
                  <c:v>2027</c:v>
                </c:pt>
                <c:pt idx="5">
                  <c:v>2028</c:v>
                </c:pt>
                <c:pt idx="6">
                  <c:v>2029</c:v>
                </c:pt>
              </c:numCache>
            </c:numRef>
          </c:cat>
          <c:val>
            <c:numRef>
              <c:f>Sheet1!$D$2:$D$15</c:f>
              <c:numCache>
                <c:formatCode>General</c:formatCode>
                <c:ptCount val="7"/>
                <c:pt idx="0">
                  <c:v>50</c:v>
                </c:pt>
                <c:pt idx="1">
                  <c:v>50</c:v>
                </c:pt>
                <c:pt idx="2">
                  <c:v>50</c:v>
                </c:pt>
                <c:pt idx="3">
                  <c:v>50</c:v>
                </c:pt>
                <c:pt idx="4">
                  <c:v>50</c:v>
                </c:pt>
                <c:pt idx="5">
                  <c:v>50</c:v>
                </c:pt>
                <c:pt idx="6">
                  <c:v>50</c:v>
                </c:pt>
              </c:numCache>
            </c:numRef>
          </c:val>
          <c:smooth val="0"/>
          <c:extLst>
            <c:ext xmlns:c16="http://schemas.microsoft.com/office/drawing/2014/chart" uri="{C3380CC4-5D6E-409C-BE32-E72D297353CC}">
              <c16:uniqueId val="{00000005-83A2-4F3C-A398-3D494D8CE648}"/>
            </c:ext>
          </c:extLst>
        </c:ser>
        <c:ser>
          <c:idx val="3"/>
          <c:order val="3"/>
          <c:tx>
            <c:strRef>
              <c:f>Sheet1!$E$1</c:f>
              <c:strCache>
                <c:ptCount val="1"/>
                <c:pt idx="0">
                  <c:v>60% (սահմանային շեմ)</c:v>
                </c:pt>
              </c:strCache>
            </c:strRef>
          </c:tx>
          <c:spPr>
            <a:ln w="28575">
              <a:solidFill>
                <a:srgbClr val="C00000"/>
              </a:solidFill>
              <a:prstDash val="dash"/>
            </a:ln>
          </c:spPr>
          <c:marker>
            <c:symbol val="none"/>
          </c:marker>
          <c:cat>
            <c:numRef>
              <c:f>Sheet1!$A$2:$A$15</c:f>
              <c:numCache>
                <c:formatCode>General</c:formatCode>
                <c:ptCount val="7"/>
                <c:pt idx="0">
                  <c:v>2023</c:v>
                </c:pt>
                <c:pt idx="1">
                  <c:v>2024</c:v>
                </c:pt>
                <c:pt idx="2">
                  <c:v>2025</c:v>
                </c:pt>
                <c:pt idx="3">
                  <c:v>2026</c:v>
                </c:pt>
                <c:pt idx="4">
                  <c:v>2027</c:v>
                </c:pt>
                <c:pt idx="5">
                  <c:v>2028</c:v>
                </c:pt>
                <c:pt idx="6">
                  <c:v>2029</c:v>
                </c:pt>
              </c:numCache>
            </c:numRef>
          </c:cat>
          <c:val>
            <c:numRef>
              <c:f>Sheet1!$E$2:$E$15</c:f>
              <c:numCache>
                <c:formatCode>General</c:formatCode>
                <c:ptCount val="7"/>
                <c:pt idx="0">
                  <c:v>60</c:v>
                </c:pt>
                <c:pt idx="1">
                  <c:v>60</c:v>
                </c:pt>
                <c:pt idx="2">
                  <c:v>60</c:v>
                </c:pt>
                <c:pt idx="3">
                  <c:v>60</c:v>
                </c:pt>
                <c:pt idx="4">
                  <c:v>60</c:v>
                </c:pt>
                <c:pt idx="5">
                  <c:v>60</c:v>
                </c:pt>
                <c:pt idx="6">
                  <c:v>60</c:v>
                </c:pt>
              </c:numCache>
            </c:numRef>
          </c:val>
          <c:smooth val="0"/>
          <c:extLst>
            <c:ext xmlns:c16="http://schemas.microsoft.com/office/drawing/2014/chart" uri="{C3380CC4-5D6E-409C-BE32-E72D297353CC}">
              <c16:uniqueId val="{00000006-83A2-4F3C-A398-3D494D8CE648}"/>
            </c:ext>
          </c:extLst>
        </c:ser>
        <c:dLbls>
          <c:showLegendKey val="0"/>
          <c:showVal val="0"/>
          <c:showCatName val="0"/>
          <c:showSerName val="0"/>
          <c:showPercent val="0"/>
          <c:showBubbleSize val="0"/>
        </c:dLbls>
        <c:marker val="1"/>
        <c:smooth val="0"/>
        <c:axId val="666735744"/>
        <c:axId val="666660224"/>
      </c:lineChart>
      <c:catAx>
        <c:axId val="666657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700" b="1"/>
            </a:pPr>
            <a:endParaRPr lang="en-US"/>
          </a:p>
        </c:txPr>
        <c:crossAx val="666658688"/>
        <c:crosses val="autoZero"/>
        <c:auto val="1"/>
        <c:lblAlgn val="ctr"/>
        <c:lblOffset val="100"/>
        <c:noMultiLvlLbl val="0"/>
      </c:catAx>
      <c:valAx>
        <c:axId val="666658688"/>
        <c:scaling>
          <c:orientation val="minMax"/>
        </c:scaling>
        <c:delete val="0"/>
        <c:axPos val="l"/>
        <c:numFmt formatCode="0.0" sourceLinked="1"/>
        <c:majorTickMark val="none"/>
        <c:minorTickMark val="none"/>
        <c:tickLblPos val="nextTo"/>
        <c:spPr>
          <a:noFill/>
          <a:ln>
            <a:noFill/>
          </a:ln>
          <a:effectLst/>
        </c:spPr>
        <c:txPr>
          <a:bodyPr rot="-60000000" vert="horz"/>
          <a:lstStyle/>
          <a:p>
            <a:pPr>
              <a:defRPr>
                <a:solidFill>
                  <a:schemeClr val="bg1">
                    <a:lumMod val="65000"/>
                  </a:schemeClr>
                </a:solidFill>
              </a:defRPr>
            </a:pPr>
            <a:endParaRPr lang="en-US"/>
          </a:p>
        </c:txPr>
        <c:crossAx val="666657152"/>
        <c:crosses val="autoZero"/>
        <c:crossBetween val="between"/>
      </c:valAx>
      <c:valAx>
        <c:axId val="666660224"/>
        <c:scaling>
          <c:orientation val="minMax"/>
        </c:scaling>
        <c:delete val="0"/>
        <c:axPos val="r"/>
        <c:numFmt formatCode="0.0" sourceLinked="1"/>
        <c:majorTickMark val="out"/>
        <c:minorTickMark val="none"/>
        <c:tickLblPos val="nextTo"/>
        <c:spPr>
          <a:noFill/>
          <a:ln>
            <a:noFill/>
          </a:ln>
          <a:effectLst/>
        </c:spPr>
        <c:txPr>
          <a:bodyPr rot="-60000000" vert="horz"/>
          <a:lstStyle/>
          <a:p>
            <a:pPr>
              <a:defRPr>
                <a:solidFill>
                  <a:schemeClr val="bg1">
                    <a:lumMod val="65000"/>
                  </a:schemeClr>
                </a:solidFill>
              </a:defRPr>
            </a:pPr>
            <a:endParaRPr lang="en-US"/>
          </a:p>
        </c:txPr>
        <c:crossAx val="666735744"/>
        <c:crosses val="max"/>
        <c:crossBetween val="between"/>
      </c:valAx>
      <c:catAx>
        <c:axId val="666735744"/>
        <c:scaling>
          <c:orientation val="minMax"/>
        </c:scaling>
        <c:delete val="1"/>
        <c:axPos val="b"/>
        <c:numFmt formatCode="General" sourceLinked="1"/>
        <c:majorTickMark val="out"/>
        <c:minorTickMark val="none"/>
        <c:tickLblPos val="none"/>
        <c:crossAx val="666660224"/>
        <c:crosses val="autoZero"/>
        <c:auto val="1"/>
        <c:lblAlgn val="ctr"/>
        <c:lblOffset val="100"/>
        <c:noMultiLvlLbl val="0"/>
      </c:catAx>
      <c:spPr>
        <a:noFill/>
        <a:ln>
          <a:noFill/>
        </a:ln>
        <a:effectLst/>
      </c:spPr>
    </c:plotArea>
    <c:legend>
      <c:legendPos val="b"/>
      <c:layout>
        <c:manualLayout>
          <c:xMode val="edge"/>
          <c:yMode val="edge"/>
          <c:x val="0"/>
          <c:y val="0.74165398075240607"/>
          <c:w val="0.9975609756097561"/>
          <c:h val="0.22501268591426071"/>
        </c:manualLayout>
      </c:layout>
      <c:overlay val="0"/>
      <c:spPr>
        <a:noFill/>
        <a:ln>
          <a:noFill/>
        </a:ln>
        <a:effectLst/>
      </c:spPr>
      <c:txPr>
        <a:bodyPr rot="0" vert="horz"/>
        <a:lstStyle/>
        <a:p>
          <a:pPr>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9050" cap="flat" cmpd="sng" algn="ctr">
      <a:solidFill>
        <a:sysClr val="window" lastClr="FFFFFF"/>
      </a:solidFill>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userShapes r:id="rId3"/>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4.1935042479879579E-2"/>
          <c:y val="5.9939596591521947E-2"/>
          <c:w val="0.4908833618344095"/>
          <c:h val="0.86926627971875492"/>
        </c:manualLayout>
      </c:layout>
      <c:doughnutChart>
        <c:varyColors val="1"/>
        <c:ser>
          <c:idx val="0"/>
          <c:order val="0"/>
          <c:dPt>
            <c:idx val="0"/>
            <c:bubble3D val="0"/>
            <c:spPr>
              <a:solidFill>
                <a:schemeClr val="accent3">
                  <a:lumMod val="60000"/>
                  <a:lumOff val="40000"/>
                </a:schemeClr>
              </a:solidFill>
              <a:ln>
                <a:noFill/>
              </a:ln>
              <a:effectLst/>
            </c:spPr>
            <c:extLst>
              <c:ext xmlns:c16="http://schemas.microsoft.com/office/drawing/2014/chart" uri="{C3380CC4-5D6E-409C-BE32-E72D297353CC}">
                <c16:uniqueId val="{00000001-B767-484F-ACCE-A3F3691E23A2}"/>
              </c:ext>
            </c:extLst>
          </c:dPt>
          <c:dPt>
            <c:idx val="1"/>
            <c:bubble3D val="0"/>
            <c:spPr>
              <a:solidFill>
                <a:schemeClr val="tx2"/>
              </a:solidFill>
              <a:ln>
                <a:noFill/>
              </a:ln>
              <a:effectLst/>
            </c:spPr>
            <c:extLst>
              <c:ext xmlns:c16="http://schemas.microsoft.com/office/drawing/2014/chart" uri="{C3380CC4-5D6E-409C-BE32-E72D297353CC}">
                <c16:uniqueId val="{00000003-B767-484F-ACCE-A3F3691E23A2}"/>
              </c:ext>
            </c:extLst>
          </c:dPt>
          <c:dPt>
            <c:idx val="2"/>
            <c:bubble3D val="0"/>
            <c:spPr>
              <a:solidFill>
                <a:schemeClr val="accent1">
                  <a:lumMod val="60000"/>
                  <a:lumOff val="40000"/>
                </a:schemeClr>
              </a:solidFill>
              <a:ln>
                <a:noFill/>
              </a:ln>
              <a:effectLst/>
            </c:spPr>
            <c:extLst>
              <c:ext xmlns:c16="http://schemas.microsoft.com/office/drawing/2014/chart" uri="{C3380CC4-5D6E-409C-BE32-E72D297353CC}">
                <c16:uniqueId val="{00000005-B767-484F-ACCE-A3F3691E23A2}"/>
              </c:ext>
            </c:extLst>
          </c:dPt>
          <c:dLbls>
            <c:dLbl>
              <c:idx val="0"/>
              <c:layout>
                <c:manualLayout>
                  <c:x val="8.8017166827239792E-8"/>
                  <c:y val="-2.0569529122339331E-7"/>
                </c:manualLayout>
              </c:layout>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chemeClr val="bg1"/>
                      </a:solidFill>
                      <a:latin typeface="Calibri"/>
                      <a:ea typeface="Calibri"/>
                      <a:cs typeface="Calibri"/>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7.5475072658171244E-2"/>
                      <c:h val="7.2204806687565293E-2"/>
                    </c:manualLayout>
                  </c15:layout>
                </c:ext>
                <c:ext xmlns:c16="http://schemas.microsoft.com/office/drawing/2014/chart" uri="{C3380CC4-5D6E-409C-BE32-E72D297353CC}">
                  <c16:uniqueId val="{00000001-B767-484F-ACCE-A3F3691E23A2}"/>
                </c:ext>
              </c:extLst>
            </c:dLbl>
            <c:dLbl>
              <c:idx val="1"/>
              <c:layout>
                <c:manualLayout>
                  <c:x val="-3.8005812653699976E-2"/>
                  <c:y val="2.6123301985370925E-2"/>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bg1"/>
                      </a:solidFill>
                      <a:latin typeface="Calibri"/>
                      <a:ea typeface="Calibri"/>
                      <a:cs typeface="Calibri"/>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767-484F-ACCE-A3F3691E23A2}"/>
                </c:ext>
              </c:extLst>
            </c:dLbl>
            <c:dLbl>
              <c:idx val="2"/>
              <c:layout>
                <c:manualLayout>
                  <c:x val="3.3534540576794059E-2"/>
                  <c:y val="0"/>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bg1"/>
                      </a:solidFill>
                      <a:latin typeface="Calibri"/>
                      <a:ea typeface="Calibri"/>
                      <a:cs typeface="Calibri"/>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767-484F-ACCE-A3F3691E23A2}"/>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Calibri"/>
                    <a:ea typeface="Calibri"/>
                    <a:cs typeface="Calibri"/>
                  </a:defRPr>
                </a:pPr>
                <a:endParaRPr lang="en-US"/>
              </a:p>
            </c:txPr>
            <c:showLegendKey val="0"/>
            <c:showVal val="1"/>
            <c:showCatName val="1"/>
            <c:showSerName val="0"/>
            <c:showPercent val="0"/>
            <c:showBubbleSize val="0"/>
            <c:showLeaderLines val="1"/>
            <c:leaderLines>
              <c:spPr>
                <a:ln w="6350" cap="flat" cmpd="sng" algn="ctr">
                  <a:solidFill>
                    <a:schemeClr val="tx1"/>
                  </a:solidFill>
                  <a:prstDash val="solid"/>
                  <a:round/>
                </a:ln>
                <a:effectLst/>
              </c:spPr>
            </c:leaderLines>
            <c:extLst>
              <c:ext xmlns:c15="http://schemas.microsoft.com/office/drawing/2012/chart" uri="{CE6537A1-D6FC-4f65-9D91-7224C49458BB}"/>
            </c:extLst>
          </c:dLbls>
          <c:cat>
            <c:strRef>
              <c:f>table!$C$4:$C$6</c:f>
              <c:strCache>
                <c:ptCount val="3"/>
                <c:pt idx="0">
                  <c:v>Հարկային եկամուտներ և պետական տուրքեր</c:v>
                </c:pt>
                <c:pt idx="1">
                  <c:v>Պաշտոնական դրամաշնորհներ</c:v>
                </c:pt>
                <c:pt idx="2">
                  <c:v>Այլ եկամուտներ</c:v>
                </c:pt>
              </c:strCache>
            </c:strRef>
          </c:cat>
          <c:val>
            <c:numRef>
              <c:f>table!$D$4:$D$6</c:f>
              <c:numCache>
                <c:formatCode>0.0%</c:formatCode>
                <c:ptCount val="3"/>
                <c:pt idx="0">
                  <c:v>0.960852331</c:v>
                </c:pt>
                <c:pt idx="1">
                  <c:v>3.8393630100000001E-3</c:v>
                </c:pt>
                <c:pt idx="2">
                  <c:v>3.5308305989999997E-2</c:v>
                </c:pt>
              </c:numCache>
            </c:numRef>
          </c:val>
          <c:extLst>
            <c:ext xmlns:c16="http://schemas.microsoft.com/office/drawing/2014/chart" uri="{C3380CC4-5D6E-409C-BE32-E72D297353CC}">
              <c16:uniqueId val="{00000006-B767-484F-ACCE-A3F3691E23A2}"/>
            </c:ext>
          </c:extLst>
        </c:ser>
        <c:dLbls>
          <c:showLegendKey val="0"/>
          <c:showVal val="0"/>
          <c:showCatName val="0"/>
          <c:showSerName val="0"/>
          <c:showPercent val="0"/>
          <c:showBubbleSize val="0"/>
          <c:showLeaderLines val="1"/>
        </c:dLbls>
        <c:firstSliceAng val="0"/>
        <c:holeSize val="70"/>
      </c:doughnutChart>
      <c:spPr>
        <a:noFill/>
        <a:ln w="25400">
          <a:noFill/>
        </a:ln>
        <a:effectLst/>
      </c:spPr>
    </c:plotArea>
    <c:legend>
      <c:legendPos val="r"/>
      <c:layout>
        <c:manualLayout>
          <c:xMode val="edge"/>
          <c:yMode val="edge"/>
          <c:x val="0.51103710994459028"/>
          <c:y val="0.29246135899679204"/>
          <c:w val="0.45314559638378538"/>
          <c:h val="0.40000822590153595"/>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0000"/>
              </a:solidFill>
              <a:latin typeface="Calibri"/>
              <a:ea typeface="Calibri"/>
              <a:cs typeface="Calibri"/>
            </a:defRPr>
          </a:pPr>
          <a:endParaRPr lang="en-US"/>
        </a:p>
      </c:txPr>
    </c:legend>
    <c:plotVisOnly val="1"/>
    <c:dispBlanksAs val="zero"/>
    <c:showDLblsOverMax val="0"/>
  </c:chart>
  <c:spPr>
    <a:noFill/>
    <a:ln w="6350" cap="flat" cmpd="sng" algn="ctr">
      <a:noFill/>
      <a:prstDash val="solid"/>
      <a:round/>
    </a:ln>
    <a:effectLst/>
  </c:spPr>
  <c:txPr>
    <a:bodyPr/>
    <a:lstStyle/>
    <a:p>
      <a:pPr>
        <a:defRPr sz="1000" b="0" i="0" u="none" strike="noStrike" baseline="0">
          <a:solidFill>
            <a:srgbClr val="000000"/>
          </a:solidFill>
          <a:latin typeface="Calibri"/>
          <a:ea typeface="Calibri"/>
          <a:cs typeface="Calibri"/>
        </a:defRPr>
      </a:pPr>
      <a:endParaRPr lang="en-US"/>
    </a:p>
  </c:txPr>
  <c:externalData r:id="rId4">
    <c:autoUpdate val="0"/>
  </c:externalData>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862904752121119"/>
          <c:y val="0.13282020997375327"/>
          <c:w val="0.75180333178147074"/>
          <c:h val="0.53114785651793539"/>
        </c:manualLayout>
      </c:layout>
      <c:barChart>
        <c:barDir val="col"/>
        <c:grouping val="clustered"/>
        <c:varyColors val="0"/>
        <c:ser>
          <c:idx val="0"/>
          <c:order val="0"/>
          <c:tx>
            <c:strRef>
              <c:f>Sheet1!$A$2</c:f>
              <c:strCache>
                <c:ptCount val="1"/>
                <c:pt idx="0">
                  <c:v> Հարկային եկամուտներ և պետական տուրքեր, մլրդ դրամ</c:v>
                </c:pt>
              </c:strCache>
            </c:strRef>
          </c:tx>
          <c:spPr>
            <a:solidFill>
              <a:srgbClr val="5B9BD5"/>
            </a:solidFill>
            <a:ln w="25294" cap="rnd" cmpd="dbl">
              <a:miter lim="800000"/>
            </a:ln>
          </c:spPr>
          <c:invertIfNegative val="0"/>
          <c:dPt>
            <c:idx val="0"/>
            <c:invertIfNegative val="0"/>
            <c:bubble3D val="0"/>
            <c:spPr>
              <a:solidFill>
                <a:sysClr val="window" lastClr="FFFFFF">
                  <a:lumMod val="75000"/>
                </a:sysClr>
              </a:solidFill>
              <a:ln w="25294" cap="rnd" cmpd="dbl">
                <a:miter lim="800000"/>
              </a:ln>
            </c:spPr>
            <c:extLst>
              <c:ext xmlns:c16="http://schemas.microsoft.com/office/drawing/2014/chart" uri="{C3380CC4-5D6E-409C-BE32-E72D297353CC}">
                <c16:uniqueId val="{00000001-F31B-451D-BDC4-BF89B47FF597}"/>
              </c:ext>
            </c:extLst>
          </c:dPt>
          <c:dPt>
            <c:idx val="1"/>
            <c:invertIfNegative val="0"/>
            <c:bubble3D val="0"/>
            <c:spPr>
              <a:solidFill>
                <a:sysClr val="window" lastClr="FFFFFF">
                  <a:lumMod val="75000"/>
                </a:sysClr>
              </a:solidFill>
              <a:ln w="25294" cap="rnd" cmpd="dbl">
                <a:miter lim="800000"/>
              </a:ln>
            </c:spPr>
            <c:extLst>
              <c:ext xmlns:c16="http://schemas.microsoft.com/office/drawing/2014/chart" uri="{C3380CC4-5D6E-409C-BE32-E72D297353CC}">
                <c16:uniqueId val="{00000003-F31B-451D-BDC4-BF89B47FF597}"/>
              </c:ext>
            </c:extLst>
          </c:dPt>
          <c:dPt>
            <c:idx val="2"/>
            <c:invertIfNegative val="0"/>
            <c:bubble3D val="0"/>
            <c:spPr>
              <a:solidFill>
                <a:sysClr val="window" lastClr="FFFFFF">
                  <a:lumMod val="75000"/>
                </a:sysClr>
              </a:solidFill>
              <a:ln w="25294" cap="rnd" cmpd="dbl">
                <a:miter lim="800000"/>
              </a:ln>
            </c:spPr>
            <c:extLst>
              <c:ext xmlns:c16="http://schemas.microsoft.com/office/drawing/2014/chart" uri="{C3380CC4-5D6E-409C-BE32-E72D297353CC}">
                <c16:uniqueId val="{00000005-F31B-451D-BDC4-BF89B47FF597}"/>
              </c:ext>
            </c:extLst>
          </c:dPt>
          <c:dLbls>
            <c:dLbl>
              <c:idx val="0"/>
              <c:layout>
                <c:manualLayout>
                  <c:x val="-2.056555269922879E-3"/>
                  <c:y val="-7.203389830508479E-2"/>
                </c:manualLayout>
              </c:layout>
              <c:dLblPos val="outEnd"/>
              <c:showLegendKey val="0"/>
              <c:showVal val="1"/>
              <c:showCatName val="0"/>
              <c:showSerName val="0"/>
              <c:showPercent val="0"/>
              <c:showBubbleSize val="0"/>
              <c:separator>, </c:separator>
              <c:extLst>
                <c:ext xmlns:c15="http://schemas.microsoft.com/office/drawing/2012/chart" uri="{CE6537A1-D6FC-4f65-9D91-7224C49458BB}">
                  <c15:layout>
                    <c:manualLayout>
                      <c:w val="9.2935732647814906E-2"/>
                      <c:h val="0.13016765248841503"/>
                    </c:manualLayout>
                  </c15:layout>
                </c:ext>
                <c:ext xmlns:c16="http://schemas.microsoft.com/office/drawing/2014/chart" uri="{C3380CC4-5D6E-409C-BE32-E72D297353CC}">
                  <c16:uniqueId val="{00000001-F31B-451D-BDC4-BF89B47FF597}"/>
                </c:ext>
              </c:extLst>
            </c:dLbl>
            <c:dLbl>
              <c:idx val="1"/>
              <c:layout>
                <c:manualLayout>
                  <c:x val="0"/>
                  <c:y val="0"/>
                </c:manualLayout>
              </c:layout>
              <c:dLblPos val="outEnd"/>
              <c:showLegendKey val="0"/>
              <c:showVal val="1"/>
              <c:showCatName val="0"/>
              <c:showSerName val="0"/>
              <c:showPercent val="0"/>
              <c:showBubbleSize val="0"/>
              <c:separator>, </c:separator>
              <c:extLst>
                <c:ext xmlns:c15="http://schemas.microsoft.com/office/drawing/2012/chart" uri="{CE6537A1-D6FC-4f65-9D91-7224C49458BB}">
                  <c15:layout>
                    <c:manualLayout>
                      <c:w val="9.2935732647814906E-2"/>
                      <c:h val="0.13016765248841503"/>
                    </c:manualLayout>
                  </c15:layout>
                </c:ext>
                <c:ext xmlns:c16="http://schemas.microsoft.com/office/drawing/2014/chart" uri="{C3380CC4-5D6E-409C-BE32-E72D297353CC}">
                  <c16:uniqueId val="{00000003-F31B-451D-BDC4-BF89B47FF597}"/>
                </c:ext>
              </c:extLst>
            </c:dLbl>
            <c:dLbl>
              <c:idx val="2"/>
              <c:layout>
                <c:manualLayout>
                  <c:x val="0"/>
                  <c:y val="0"/>
                </c:manualLayout>
              </c:layout>
              <c:dLblPos val="outEnd"/>
              <c:showLegendKey val="0"/>
              <c:showVal val="1"/>
              <c:showCatName val="0"/>
              <c:showSerName val="0"/>
              <c:showPercent val="0"/>
              <c:showBubbleSize val="0"/>
              <c:separator>, </c:separator>
              <c:extLst>
                <c:ext xmlns:c15="http://schemas.microsoft.com/office/drawing/2012/chart" uri="{CE6537A1-D6FC-4f65-9D91-7224C49458BB}">
                  <c15:layout>
                    <c:manualLayout>
                      <c:w val="9.2935732647814906E-2"/>
                      <c:h val="0.13016765248841503"/>
                    </c:manualLayout>
                  </c15:layout>
                </c:ext>
                <c:ext xmlns:c16="http://schemas.microsoft.com/office/drawing/2014/chart" uri="{C3380CC4-5D6E-409C-BE32-E72D297353CC}">
                  <c16:uniqueId val="{00000005-F31B-451D-BDC4-BF89B47FF597}"/>
                </c:ext>
              </c:extLst>
            </c:dLbl>
            <c:dLbl>
              <c:idx val="3"/>
              <c:layout>
                <c:manualLayout>
                  <c:x val="-7.540615546549631E-17"/>
                  <c:y val="-7.2033898305084748E-2"/>
                </c:manualLayout>
              </c:layout>
              <c:dLblPos val="outEnd"/>
              <c:showLegendKey val="0"/>
              <c:showVal val="1"/>
              <c:showCatName val="0"/>
              <c:showSerName val="0"/>
              <c:showPercent val="0"/>
              <c:showBubbleSize val="0"/>
              <c:separator>, </c:separator>
              <c:extLst>
                <c:ext xmlns:c15="http://schemas.microsoft.com/office/drawing/2012/chart" uri="{CE6537A1-D6FC-4f65-9D91-7224C49458BB}">
                  <c15:layout>
                    <c:manualLayout>
                      <c:w val="9.2935732647814906E-2"/>
                      <c:h val="0.13016765248841503"/>
                    </c:manualLayout>
                  </c15:layout>
                </c:ext>
                <c:ext xmlns:c16="http://schemas.microsoft.com/office/drawing/2014/chart" uri="{C3380CC4-5D6E-409C-BE32-E72D297353CC}">
                  <c16:uniqueId val="{00000006-F31B-451D-BDC4-BF89B47FF597}"/>
                </c:ext>
              </c:extLst>
            </c:dLbl>
            <c:dLbl>
              <c:idx val="4"/>
              <c:layout>
                <c:manualLayout>
                  <c:x val="-7.540615546549631E-17"/>
                  <c:y val="-4.2372881355932215E-2"/>
                </c:manualLayout>
              </c:layout>
              <c:dLblPos val="outEnd"/>
              <c:showLegendKey val="0"/>
              <c:showVal val="1"/>
              <c:showCatName val="0"/>
              <c:showSerName val="0"/>
              <c:showPercent val="0"/>
              <c:showBubbleSize val="0"/>
              <c:separator>, </c:separator>
              <c:extLst>
                <c:ext xmlns:c15="http://schemas.microsoft.com/office/drawing/2012/chart" uri="{CE6537A1-D6FC-4f65-9D91-7224C49458BB}">
                  <c15:layout>
                    <c:manualLayout>
                      <c:w val="9.2935732647814906E-2"/>
                      <c:h val="0.13016765248841503"/>
                    </c:manualLayout>
                  </c15:layout>
                </c:ext>
                <c:ext xmlns:c16="http://schemas.microsoft.com/office/drawing/2014/chart" uri="{C3380CC4-5D6E-409C-BE32-E72D297353CC}">
                  <c16:uniqueId val="{00000008-CF8F-3A4D-8916-CE6A2E20F4B1}"/>
                </c:ext>
              </c:extLst>
            </c:dLbl>
            <c:dLbl>
              <c:idx val="5"/>
              <c:layout>
                <c:manualLayout>
                  <c:x val="0"/>
                  <c:y val="-5.5084745762711877E-2"/>
                </c:manualLayout>
              </c:layout>
              <c:dLblPos val="outEnd"/>
              <c:showLegendKey val="0"/>
              <c:showVal val="1"/>
              <c:showCatName val="0"/>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6-04AA-4866-954B-F2EB3BCA5507}"/>
                </c:ext>
              </c:extLst>
            </c:dLbl>
            <c:spPr>
              <a:noFill/>
              <a:ln w="25403">
                <a:noFill/>
              </a:ln>
            </c:spPr>
            <c:txPr>
              <a:bodyPr wrap="square" lIns="38100" tIns="19050" rIns="38100" bIns="19050" anchor="ctr">
                <a:noAutofit/>
              </a:bodyPr>
              <a:lstStyle/>
              <a:p>
                <a:pPr>
                  <a:defRPr b="1"/>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0"/>
              </c:ext>
            </c:extLst>
          </c:dLbls>
          <c:cat>
            <c:strRef>
              <c:f>Sheet1!$B$1:$H$1</c:f>
              <c:strCache>
                <c:ptCount val="7"/>
                <c:pt idx="0">
                  <c:v>2023 փաստ</c:v>
                </c:pt>
                <c:pt idx="1">
                  <c:v>2024 փաստ</c:v>
                </c:pt>
                <c:pt idx="2">
                  <c:v>2025 փաստ</c:v>
                </c:pt>
                <c:pt idx="3">
                  <c:v>2026  բյուջե</c:v>
                </c:pt>
                <c:pt idx="4">
                  <c:v>2027 ծրագիր</c:v>
                </c:pt>
                <c:pt idx="5">
                  <c:v>2028 ծրագիր</c:v>
                </c:pt>
                <c:pt idx="6">
                  <c:v>2029 ծրագիր</c:v>
                </c:pt>
              </c:strCache>
            </c:strRef>
          </c:cat>
          <c:val>
            <c:numRef>
              <c:f>Sheet1!$B$2:$H$2</c:f>
              <c:numCache>
                <c:formatCode>#,##0.0</c:formatCode>
                <c:ptCount val="7"/>
                <c:pt idx="0">
                  <c:v>2273.9</c:v>
                </c:pt>
                <c:pt idx="1">
                  <c:v>2390.8949527700001</c:v>
                </c:pt>
                <c:pt idx="2">
                  <c:v>2725.2</c:v>
                </c:pt>
                <c:pt idx="3">
                  <c:v>2972.8507601918363</c:v>
                </c:pt>
                <c:pt idx="4">
                  <c:v>3462.7</c:v>
                </c:pt>
                <c:pt idx="5">
                  <c:v>3797.2</c:v>
                </c:pt>
                <c:pt idx="6">
                  <c:v>4167.8</c:v>
                </c:pt>
              </c:numCache>
            </c:numRef>
          </c:val>
          <c:extLst>
            <c:ext xmlns:c16="http://schemas.microsoft.com/office/drawing/2014/chart" uri="{C3380CC4-5D6E-409C-BE32-E72D297353CC}">
              <c16:uniqueId val="{00000007-F31B-451D-BDC4-BF89B47FF597}"/>
            </c:ext>
          </c:extLst>
        </c:ser>
        <c:dLbls>
          <c:showLegendKey val="0"/>
          <c:showVal val="0"/>
          <c:showCatName val="0"/>
          <c:showSerName val="0"/>
          <c:showPercent val="0"/>
          <c:showBubbleSize val="0"/>
        </c:dLbls>
        <c:gapWidth val="100"/>
        <c:axId val="348154496"/>
        <c:axId val="348160384"/>
      </c:barChart>
      <c:lineChart>
        <c:grouping val="standard"/>
        <c:varyColors val="0"/>
        <c:ser>
          <c:idx val="1"/>
          <c:order val="1"/>
          <c:tx>
            <c:strRef>
              <c:f>Sheet1!$A$3</c:f>
              <c:strCache>
                <c:ptCount val="1"/>
                <c:pt idx="0">
                  <c:v> հարաբերությունը ՀՆԱ-ի նկատմամբ (%-ով) աջ առանցք</c:v>
                </c:pt>
              </c:strCache>
            </c:strRef>
          </c:tx>
          <c:spPr>
            <a:ln>
              <a:solidFill>
                <a:srgbClr val="5B9BD5"/>
              </a:solidFill>
            </a:ln>
          </c:spPr>
          <c:marker>
            <c:symbol val="none"/>
          </c:marker>
          <c:cat>
            <c:strRef>
              <c:f>Sheet1!$B$1:$H$1</c:f>
              <c:strCache>
                <c:ptCount val="7"/>
                <c:pt idx="0">
                  <c:v>2023 փաստ</c:v>
                </c:pt>
                <c:pt idx="1">
                  <c:v>2024 փաստ</c:v>
                </c:pt>
                <c:pt idx="2">
                  <c:v>2025 փաստ</c:v>
                </c:pt>
                <c:pt idx="3">
                  <c:v>2026  բյուջե</c:v>
                </c:pt>
                <c:pt idx="4">
                  <c:v>2027 ծրագիր</c:v>
                </c:pt>
                <c:pt idx="5">
                  <c:v>2028 ծրագիր</c:v>
                </c:pt>
                <c:pt idx="6">
                  <c:v>2029 ծրագիր</c:v>
                </c:pt>
              </c:strCache>
            </c:strRef>
          </c:cat>
          <c:val>
            <c:numRef>
              <c:f>Sheet1!$B$3:$H$3</c:f>
              <c:numCache>
                <c:formatCode>0.0%</c:formatCode>
                <c:ptCount val="7"/>
                <c:pt idx="0">
                  <c:v>0.23899999999999999</c:v>
                </c:pt>
                <c:pt idx="1">
                  <c:v>0.23455288364146215</c:v>
                </c:pt>
                <c:pt idx="2">
                  <c:v>0.24</c:v>
                </c:pt>
                <c:pt idx="3">
                  <c:v>0.24911344193377905</c:v>
                </c:pt>
                <c:pt idx="4">
                  <c:v>0.254</c:v>
                </c:pt>
                <c:pt idx="5">
                  <c:v>0.255</c:v>
                </c:pt>
                <c:pt idx="6">
                  <c:v>0.25700000000000001</c:v>
                </c:pt>
              </c:numCache>
            </c:numRef>
          </c:val>
          <c:smooth val="0"/>
          <c:extLst>
            <c:ext xmlns:c16="http://schemas.microsoft.com/office/drawing/2014/chart" uri="{C3380CC4-5D6E-409C-BE32-E72D297353CC}">
              <c16:uniqueId val="{00000008-F31B-451D-BDC4-BF89B47FF597}"/>
            </c:ext>
          </c:extLst>
        </c:ser>
        <c:dLbls>
          <c:showLegendKey val="0"/>
          <c:showVal val="0"/>
          <c:showCatName val="0"/>
          <c:showSerName val="0"/>
          <c:showPercent val="0"/>
          <c:showBubbleSize val="0"/>
        </c:dLbls>
        <c:marker val="1"/>
        <c:smooth val="0"/>
        <c:axId val="348161920"/>
        <c:axId val="348163456"/>
      </c:lineChart>
      <c:catAx>
        <c:axId val="348154496"/>
        <c:scaling>
          <c:orientation val="minMax"/>
        </c:scaling>
        <c:delete val="0"/>
        <c:axPos val="b"/>
        <c:numFmt formatCode="General" sourceLinked="1"/>
        <c:majorTickMark val="out"/>
        <c:minorTickMark val="none"/>
        <c:tickLblPos val="nextTo"/>
        <c:spPr>
          <a:ln>
            <a:solidFill>
              <a:sysClr val="window" lastClr="FFFFFF">
                <a:lumMod val="65000"/>
              </a:sysClr>
            </a:solidFill>
          </a:ln>
        </c:spPr>
        <c:txPr>
          <a:bodyPr/>
          <a:lstStyle/>
          <a:p>
            <a:pPr>
              <a:defRPr b="1"/>
            </a:pPr>
            <a:endParaRPr lang="en-US"/>
          </a:p>
        </c:txPr>
        <c:crossAx val="348160384"/>
        <c:crosses val="autoZero"/>
        <c:auto val="1"/>
        <c:lblAlgn val="ctr"/>
        <c:lblOffset val="100"/>
        <c:noMultiLvlLbl val="0"/>
      </c:catAx>
      <c:valAx>
        <c:axId val="348160384"/>
        <c:scaling>
          <c:orientation val="minMax"/>
          <c:max val="4500"/>
          <c:min val="0"/>
        </c:scaling>
        <c:delete val="0"/>
        <c:axPos val="l"/>
        <c:numFmt formatCode="#,##0" sourceLinked="0"/>
        <c:majorTickMark val="out"/>
        <c:minorTickMark val="none"/>
        <c:tickLblPos val="nextTo"/>
        <c:spPr>
          <a:ln>
            <a:noFill/>
          </a:ln>
        </c:spPr>
        <c:txPr>
          <a:bodyPr/>
          <a:lstStyle/>
          <a:p>
            <a:pPr>
              <a:defRPr>
                <a:solidFill>
                  <a:schemeClr val="bg1">
                    <a:lumMod val="65000"/>
                  </a:schemeClr>
                </a:solidFill>
              </a:defRPr>
            </a:pPr>
            <a:endParaRPr lang="en-US"/>
          </a:p>
        </c:txPr>
        <c:crossAx val="348154496"/>
        <c:crosses val="autoZero"/>
        <c:crossBetween val="between"/>
        <c:minorUnit val="100"/>
      </c:valAx>
      <c:catAx>
        <c:axId val="348161920"/>
        <c:scaling>
          <c:orientation val="minMax"/>
        </c:scaling>
        <c:delete val="1"/>
        <c:axPos val="b"/>
        <c:numFmt formatCode="General" sourceLinked="1"/>
        <c:majorTickMark val="out"/>
        <c:minorTickMark val="none"/>
        <c:tickLblPos val="none"/>
        <c:crossAx val="348163456"/>
        <c:crosses val="autoZero"/>
        <c:auto val="1"/>
        <c:lblAlgn val="ctr"/>
        <c:lblOffset val="100"/>
        <c:noMultiLvlLbl val="0"/>
      </c:catAx>
      <c:valAx>
        <c:axId val="348163456"/>
        <c:scaling>
          <c:orientation val="minMax"/>
          <c:min val="0.2"/>
        </c:scaling>
        <c:delete val="0"/>
        <c:axPos val="r"/>
        <c:numFmt formatCode="0%" sourceLinked="0"/>
        <c:majorTickMark val="none"/>
        <c:minorTickMark val="none"/>
        <c:tickLblPos val="nextTo"/>
        <c:spPr>
          <a:ln>
            <a:noFill/>
          </a:ln>
        </c:spPr>
        <c:txPr>
          <a:bodyPr rot="60000"/>
          <a:lstStyle/>
          <a:p>
            <a:pPr>
              <a:defRPr>
                <a:solidFill>
                  <a:schemeClr val="bg1">
                    <a:lumMod val="65000"/>
                  </a:schemeClr>
                </a:solidFill>
              </a:defRPr>
            </a:pPr>
            <a:endParaRPr lang="en-US"/>
          </a:p>
        </c:txPr>
        <c:crossAx val="348161920"/>
        <c:crosses val="max"/>
        <c:crossBetween val="between"/>
      </c:valAx>
      <c:spPr>
        <a:noFill/>
        <a:ln>
          <a:noFill/>
        </a:ln>
      </c:spPr>
    </c:plotArea>
    <c:legend>
      <c:legendPos val="r"/>
      <c:layout>
        <c:manualLayout>
          <c:xMode val="edge"/>
          <c:yMode val="edge"/>
          <c:x val="0.13291130687871941"/>
          <c:y val="0.80230927384076989"/>
          <c:w val="0.73575963895602192"/>
          <c:h val="0.1680612423447069"/>
        </c:manualLayout>
      </c:layout>
      <c:overlay val="0"/>
    </c:legend>
    <c:plotVisOnly val="1"/>
    <c:dispBlanksAs val="gap"/>
    <c:showDLblsOverMax val="0"/>
  </c:chart>
  <c:spPr>
    <a:noFill/>
    <a:ln w="19050">
      <a:solidFill>
        <a:sysClr val="window" lastClr="FFFFFF"/>
      </a:solidFill>
    </a:ln>
    <a:effectLst>
      <a:outerShdw blurRad="50800" dist="50800" dir="5400000" sx="2000" sy="2000" algn="ctr" rotWithShape="0">
        <a:srgbClr val="000000">
          <a:alpha val="43137"/>
        </a:srgbClr>
      </a:outerShdw>
    </a:effectLst>
  </c:spPr>
  <c:externalData r:id="rId2">
    <c:autoUpdate val="0"/>
  </c:externalData>
</c:chartSpace>
</file>

<file path=word/charts/chart5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8604329055845366E-2"/>
          <c:y val="0.13499830666328"/>
          <c:w val="0.88491937563220213"/>
          <c:h val="0.58837270341207348"/>
        </c:manualLayout>
      </c:layout>
      <c:barChart>
        <c:barDir val="col"/>
        <c:grouping val="stacked"/>
        <c:varyColors val="0"/>
        <c:ser>
          <c:idx val="0"/>
          <c:order val="0"/>
          <c:tx>
            <c:strRef>
              <c:f>Sheet1!$B$1</c:f>
              <c:strCache>
                <c:ptCount val="1"/>
                <c:pt idx="0">
                  <c:v> Ընդամենը ծախսեր </c:v>
                </c:pt>
              </c:strCache>
            </c:strRef>
          </c:tx>
          <c:spPr>
            <a:solidFill>
              <a:schemeClr val="accent1"/>
            </a:solidFill>
            <a:ln>
              <a:noFill/>
            </a:ln>
            <a:effectLst>
              <a:outerShdw blurRad="50800" dist="50800" dir="5400000" algn="ctr" rotWithShape="0">
                <a:schemeClr val="bg1"/>
              </a:outerShdw>
            </a:effectLst>
          </c:spPr>
          <c:invertIfNegative val="0"/>
          <c:dLbls>
            <c:delete val="1"/>
          </c:dLbls>
          <c:cat>
            <c:strRef>
              <c:f>Sheet1!$A$2:$A$8</c:f>
              <c:strCache>
                <c:ptCount val="7"/>
                <c:pt idx="0">
                  <c:v> 2023 թ փաստ </c:v>
                </c:pt>
                <c:pt idx="1">
                  <c:v> 2024 թ փաստ </c:v>
                </c:pt>
                <c:pt idx="2">
                  <c:v> 2025թ փաստ </c:v>
                </c:pt>
                <c:pt idx="3">
                  <c:v> 2026թ բյուջե </c:v>
                </c:pt>
                <c:pt idx="4">
                  <c:v> 2027թ ծրագիր </c:v>
                </c:pt>
                <c:pt idx="5">
                  <c:v> 2028թ ծրագիր </c:v>
                </c:pt>
                <c:pt idx="6">
                  <c:v> 2029թ ծրագիր </c:v>
                </c:pt>
              </c:strCache>
            </c:strRef>
          </c:cat>
          <c:val>
            <c:numRef>
              <c:f>Sheet1!$B$2:$B$8</c:f>
              <c:numCache>
                <c:formatCode>#,##0.0</c:formatCode>
                <c:ptCount val="7"/>
                <c:pt idx="0">
                  <c:v>2547.6498919400005</c:v>
                </c:pt>
                <c:pt idx="1">
                  <c:v>2955.3188979900001</c:v>
                </c:pt>
                <c:pt idx="2">
                  <c:v>3305.3068387600001</c:v>
                </c:pt>
                <c:pt idx="3">
                  <c:v>3627.6205710999998</c:v>
                </c:pt>
                <c:pt idx="4">
                  <c:v>4071.9846390252633</c:v>
                </c:pt>
                <c:pt idx="5">
                  <c:v>4364.3462194903659</c:v>
                </c:pt>
                <c:pt idx="6">
                  <c:v>4602.7436284565874</c:v>
                </c:pt>
              </c:numCache>
            </c:numRef>
          </c:val>
          <c:extLst>
            <c:ext xmlns:c16="http://schemas.microsoft.com/office/drawing/2014/chart" uri="{C3380CC4-5D6E-409C-BE32-E72D297353CC}">
              <c16:uniqueId val="{00000000-5A6C-1440-A86C-2CF4F8864ADA}"/>
            </c:ext>
          </c:extLst>
        </c:ser>
        <c:dLbls>
          <c:showLegendKey val="0"/>
          <c:showVal val="1"/>
          <c:showCatName val="0"/>
          <c:showSerName val="0"/>
          <c:showPercent val="0"/>
          <c:showBubbleSize val="0"/>
        </c:dLbls>
        <c:gapWidth val="150"/>
        <c:overlap val="100"/>
        <c:axId val="272977920"/>
        <c:axId val="272979456"/>
      </c:barChart>
      <c:barChart>
        <c:barDir val="col"/>
        <c:grouping val="stacked"/>
        <c:varyColors val="0"/>
        <c:ser>
          <c:idx val="1"/>
          <c:order val="1"/>
          <c:tx>
            <c:strRef>
              <c:f>Sheet1!$C$1</c:f>
              <c:strCache>
                <c:ptCount val="1"/>
                <c:pt idx="0">
                  <c:v> Ընթացիկ ծախսեր </c:v>
                </c:pt>
              </c:strCache>
            </c:strRef>
          </c:tx>
          <c:spPr>
            <a:solidFill>
              <a:schemeClr val="tx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6350" cap="flat" cmpd="sng" algn="ctr">
                      <a:solidFill>
                        <a:schemeClr val="tx1"/>
                      </a:solidFill>
                      <a:prstDash val="solid"/>
                      <a:round/>
                    </a:ln>
                    <a:effectLst/>
                  </c:spPr>
                </c15:leaderLines>
              </c:ext>
            </c:extLst>
          </c:dLbls>
          <c:cat>
            <c:strRef>
              <c:f>Sheet1!$A$2:$A$8</c:f>
              <c:strCache>
                <c:ptCount val="7"/>
                <c:pt idx="0">
                  <c:v> 2023 թ փաստ </c:v>
                </c:pt>
                <c:pt idx="1">
                  <c:v> 2024 թ փաստ </c:v>
                </c:pt>
                <c:pt idx="2">
                  <c:v> 2025թ փաստ </c:v>
                </c:pt>
                <c:pt idx="3">
                  <c:v> 2026թ բյուջե </c:v>
                </c:pt>
                <c:pt idx="4">
                  <c:v> 2027թ ծրագիր </c:v>
                </c:pt>
                <c:pt idx="5">
                  <c:v> 2028թ ծրագիր </c:v>
                </c:pt>
                <c:pt idx="6">
                  <c:v> 2029թ ծրագիր </c:v>
                </c:pt>
              </c:strCache>
            </c:strRef>
          </c:cat>
          <c:val>
            <c:numRef>
              <c:f>Sheet1!$C$2:$C$8</c:f>
              <c:numCache>
                <c:formatCode>#,##0.0</c:formatCode>
                <c:ptCount val="7"/>
                <c:pt idx="0">
                  <c:v>2075.0603464800001</c:v>
                </c:pt>
                <c:pt idx="1">
                  <c:v>2413.6324348000003</c:v>
                </c:pt>
                <c:pt idx="2">
                  <c:v>2612.58827866</c:v>
                </c:pt>
                <c:pt idx="3">
                  <c:v>2923.5309263000004</c:v>
                </c:pt>
                <c:pt idx="4">
                  <c:v>3310.5594042756015</c:v>
                </c:pt>
                <c:pt idx="5">
                  <c:v>3504.9449612903654</c:v>
                </c:pt>
                <c:pt idx="6">
                  <c:v>3646.0563529112769</c:v>
                </c:pt>
              </c:numCache>
            </c:numRef>
          </c:val>
          <c:extLst>
            <c:ext xmlns:c16="http://schemas.microsoft.com/office/drawing/2014/chart" uri="{C3380CC4-5D6E-409C-BE32-E72D297353CC}">
              <c16:uniqueId val="{00000001-5A6C-1440-A86C-2CF4F8864ADA}"/>
            </c:ext>
          </c:extLst>
        </c:ser>
        <c:ser>
          <c:idx val="2"/>
          <c:order val="2"/>
          <c:tx>
            <c:strRef>
              <c:f>Sheet1!$D$1</c:f>
              <c:strCache>
                <c:ptCount val="1"/>
                <c:pt idx="0">
                  <c:v> Ոչ ֆինանսական ակտիվների գծով ծախս </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 2023 թ փաստ </c:v>
                </c:pt>
                <c:pt idx="1">
                  <c:v> 2024 թ փաստ </c:v>
                </c:pt>
                <c:pt idx="2">
                  <c:v> 2025թ փաստ </c:v>
                </c:pt>
                <c:pt idx="3">
                  <c:v> 2026թ բյուջե </c:v>
                </c:pt>
                <c:pt idx="4">
                  <c:v> 2027թ ծրագիր </c:v>
                </c:pt>
                <c:pt idx="5">
                  <c:v> 2028թ ծրագիր </c:v>
                </c:pt>
                <c:pt idx="6">
                  <c:v> 2029թ ծրագիր </c:v>
                </c:pt>
              </c:strCache>
            </c:strRef>
          </c:cat>
          <c:val>
            <c:numRef>
              <c:f>Sheet1!$D$2:$D$8</c:f>
              <c:numCache>
                <c:formatCode>#,##0.0</c:formatCode>
                <c:ptCount val="7"/>
                <c:pt idx="0">
                  <c:v>494.35393634000002</c:v>
                </c:pt>
                <c:pt idx="1">
                  <c:v>557.75169661000007</c:v>
                </c:pt>
                <c:pt idx="2">
                  <c:v>692.71856009999999</c:v>
                </c:pt>
                <c:pt idx="3">
                  <c:v>714.08964479999997</c:v>
                </c:pt>
                <c:pt idx="4">
                  <c:v>761.42523474999996</c:v>
                </c:pt>
                <c:pt idx="5">
                  <c:v>859.40125820000003</c:v>
                </c:pt>
                <c:pt idx="6">
                  <c:v>956.68727554531006</c:v>
                </c:pt>
              </c:numCache>
            </c:numRef>
          </c:val>
          <c:extLst>
            <c:ext xmlns:c16="http://schemas.microsoft.com/office/drawing/2014/chart" uri="{C3380CC4-5D6E-409C-BE32-E72D297353CC}">
              <c16:uniqueId val="{00000002-5A6C-1440-A86C-2CF4F8864ADA}"/>
            </c:ext>
          </c:extLst>
        </c:ser>
        <c:ser>
          <c:idx val="3"/>
          <c:order val="3"/>
          <c:tx>
            <c:strRef>
              <c:f>Sheet1!$E$1</c:f>
              <c:strCache>
                <c:ptCount val="1"/>
                <c:pt idx="0">
                  <c:v>  Ոչ ֆինանսական ակտիվների օտարումից մուտքեր </c:v>
                </c:pt>
              </c:strCache>
            </c:strRef>
          </c:tx>
          <c:spPr>
            <a:solidFill>
              <a:schemeClr val="accent1">
                <a:lumMod val="60000"/>
              </a:schemeClr>
            </a:solidFill>
            <a:ln>
              <a:noFill/>
            </a:ln>
            <a:effectLst/>
          </c:spPr>
          <c:invertIfNegative val="0"/>
          <c:dLbls>
            <c:dLbl>
              <c:idx val="0"/>
              <c:layout>
                <c:manualLayout>
                  <c:x val="4.7477744807121663E-2"/>
                  <c:y val="6.46113288702348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A6C-1440-A86C-2CF4F8864ADA}"/>
                </c:ext>
              </c:extLst>
            </c:dLbl>
            <c:dLbl>
              <c:idx val="1"/>
              <c:layout>
                <c:manualLayout>
                  <c:x val="5.1434223541048464E-2"/>
                  <c:y val="6.461086637298091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A6C-1440-A86C-2CF4F8864ADA}"/>
                </c:ext>
              </c:extLst>
            </c:dLbl>
            <c:dLbl>
              <c:idx val="2"/>
              <c:layout>
                <c:manualLayout>
                  <c:x val="4.9455984174084991E-2"/>
                  <c:y val="7.635922161712176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A6C-1440-A86C-2CF4F8864ADA}"/>
                </c:ext>
              </c:extLst>
            </c:dLbl>
            <c:dLbl>
              <c:idx val="3"/>
              <c:layout>
                <c:manualLayout>
                  <c:x val="4.7477744807121663E-2"/>
                  <c:y val="6.46113288702348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A6C-1440-A86C-2CF4F8864ADA}"/>
                </c:ext>
              </c:extLst>
            </c:dLbl>
            <c:dLbl>
              <c:idx val="4"/>
              <c:layout>
                <c:manualLayout>
                  <c:x val="5.9347181008902079E-2"/>
                  <c:y val="5.28652861123637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A6C-1440-A86C-2CF4F8864ADA}"/>
                </c:ext>
              </c:extLst>
            </c:dLbl>
            <c:dLbl>
              <c:idx val="5"/>
              <c:layout>
                <c:manualLayout>
                  <c:x val="5.3412462908011868E-2"/>
                  <c:y val="8.22324742446841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A6C-1440-A86C-2CF4F8864ADA}"/>
                </c:ext>
              </c:extLst>
            </c:dLbl>
            <c:dLbl>
              <c:idx val="6"/>
              <c:layout>
                <c:manualLayout>
                  <c:x val="5.3412462908011868E-2"/>
                  <c:y val="8.2232011747430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A6C-1440-A86C-2CF4F8864ADA}"/>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6350" cap="flat" cmpd="sng" algn="ctr">
                      <a:solidFill>
                        <a:schemeClr val="tx1"/>
                      </a:solidFill>
                      <a:prstDash val="solid"/>
                      <a:round/>
                    </a:ln>
                    <a:effectLst/>
                  </c:spPr>
                </c15:leaderLines>
              </c:ext>
            </c:extLst>
          </c:dLbls>
          <c:cat>
            <c:strRef>
              <c:f>Sheet1!$A$2:$A$8</c:f>
              <c:strCache>
                <c:ptCount val="7"/>
                <c:pt idx="0">
                  <c:v> 2023 թ փաստ </c:v>
                </c:pt>
                <c:pt idx="1">
                  <c:v> 2024 թ փաստ </c:v>
                </c:pt>
                <c:pt idx="2">
                  <c:v> 2025թ փաստ </c:v>
                </c:pt>
                <c:pt idx="3">
                  <c:v> 2026թ բյուջե </c:v>
                </c:pt>
                <c:pt idx="4">
                  <c:v> 2027թ ծրագիր </c:v>
                </c:pt>
                <c:pt idx="5">
                  <c:v> 2028թ ծրագիր </c:v>
                </c:pt>
                <c:pt idx="6">
                  <c:v> 2029թ ծրագիր </c:v>
                </c:pt>
              </c:strCache>
            </c:strRef>
          </c:cat>
          <c:val>
            <c:numRef>
              <c:f>Sheet1!$E$2:$E$8</c:f>
              <c:numCache>
                <c:formatCode>#,##0.0</c:formatCode>
                <c:ptCount val="7"/>
                <c:pt idx="0">
                  <c:v>-21.764390880000001</c:v>
                </c:pt>
                <c:pt idx="1">
                  <c:v>-16.065233419999998</c:v>
                </c:pt>
                <c:pt idx="2">
                  <c:v>-9.8000000000000007</c:v>
                </c:pt>
                <c:pt idx="3">
                  <c:v>-10</c:v>
                </c:pt>
                <c:pt idx="4">
                  <c:v>-10</c:v>
                </c:pt>
                <c:pt idx="5">
                  <c:v>-10</c:v>
                </c:pt>
                <c:pt idx="6">
                  <c:v>-10</c:v>
                </c:pt>
              </c:numCache>
            </c:numRef>
          </c:val>
          <c:extLst>
            <c:ext xmlns:c16="http://schemas.microsoft.com/office/drawing/2014/chart" uri="{C3380CC4-5D6E-409C-BE32-E72D297353CC}">
              <c16:uniqueId val="{0000000A-5A6C-1440-A86C-2CF4F8864ADA}"/>
            </c:ext>
          </c:extLst>
        </c:ser>
        <c:dLbls>
          <c:showLegendKey val="0"/>
          <c:showVal val="1"/>
          <c:showCatName val="0"/>
          <c:showSerName val="0"/>
          <c:showPercent val="0"/>
          <c:showBubbleSize val="0"/>
        </c:dLbls>
        <c:gapWidth val="150"/>
        <c:overlap val="100"/>
        <c:axId val="272986880"/>
        <c:axId val="272980992"/>
      </c:barChart>
      <c:catAx>
        <c:axId val="272977920"/>
        <c:scaling>
          <c:orientation val="minMax"/>
        </c:scaling>
        <c:delete val="0"/>
        <c:axPos val="b"/>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72979456"/>
        <c:crosses val="autoZero"/>
        <c:auto val="1"/>
        <c:lblAlgn val="ctr"/>
        <c:lblOffset val="100"/>
        <c:noMultiLvlLbl val="0"/>
      </c:catAx>
      <c:valAx>
        <c:axId val="272979456"/>
        <c:scaling>
          <c:orientation val="minMax"/>
          <c:max val="4300"/>
          <c:min val="-100"/>
        </c:scaling>
        <c:delete val="0"/>
        <c:axPos val="l"/>
        <c:numFmt formatCode="#,##0" sourceLinked="0"/>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72977920"/>
        <c:crosses val="autoZero"/>
        <c:crossBetween val="between"/>
      </c:valAx>
      <c:valAx>
        <c:axId val="272980992"/>
        <c:scaling>
          <c:orientation val="minMax"/>
        </c:scaling>
        <c:delete val="1"/>
        <c:axPos val="r"/>
        <c:numFmt formatCode="#,##0.0" sourceLinked="1"/>
        <c:majorTickMark val="out"/>
        <c:minorTickMark val="none"/>
        <c:tickLblPos val="nextTo"/>
        <c:crossAx val="272986880"/>
        <c:crosses val="max"/>
        <c:crossBetween val="between"/>
      </c:valAx>
      <c:catAx>
        <c:axId val="272986880"/>
        <c:scaling>
          <c:orientation val="minMax"/>
        </c:scaling>
        <c:delete val="1"/>
        <c:axPos val="t"/>
        <c:numFmt formatCode="General" sourceLinked="1"/>
        <c:majorTickMark val="out"/>
        <c:minorTickMark val="none"/>
        <c:tickLblPos val="nextTo"/>
        <c:crossAx val="272980992"/>
        <c:crosses val="max"/>
        <c:auto val="1"/>
        <c:lblAlgn val="ctr"/>
        <c:lblOffset val="100"/>
        <c:noMultiLvlLbl val="0"/>
      </c:catAx>
      <c:spPr>
        <a:noFill/>
        <a:ln>
          <a:noFill/>
        </a:ln>
        <a:effectLst/>
      </c:spPr>
    </c:plotArea>
    <c:legend>
      <c:legendPos val="b"/>
      <c:legendEntry>
        <c:idx val="0"/>
        <c:delete val="1"/>
      </c:legendEntry>
      <c:layout>
        <c:manualLayout>
          <c:xMode val="edge"/>
          <c:yMode val="edge"/>
          <c:x val="3.0209118296584098E-2"/>
          <c:y val="0.8565129963593261"/>
          <c:w val="0.95411362971366176"/>
          <c:h val="0.1258449750232833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19050" cap="flat" cmpd="sng" algn="ctr">
      <a:solidFill>
        <a:schemeClr val="bg1"/>
      </a:solidFill>
      <a:prstDash val="solid"/>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7476450413023523E-2"/>
          <c:y val="8.9808668488871535E-2"/>
          <c:w val="0.92002866206141409"/>
          <c:h val="0.56458014985534066"/>
        </c:manualLayout>
      </c:layout>
      <c:barChart>
        <c:barDir val="col"/>
        <c:grouping val="stacked"/>
        <c:varyColors val="0"/>
        <c:ser>
          <c:idx val="0"/>
          <c:order val="0"/>
          <c:tx>
            <c:strRef>
              <c:f>Sheet1!$B$1</c:f>
              <c:strCache>
                <c:ptCount val="1"/>
                <c:pt idx="0">
                  <c:v> Ընդամենը ծախսեր </c:v>
                </c:pt>
              </c:strCache>
            </c:strRef>
          </c:tx>
          <c:spPr>
            <a:solidFill>
              <a:schemeClr val="accent1">
                <a:tint val="46000"/>
              </a:schemeClr>
            </a:solidFill>
            <a:ln>
              <a:noFill/>
            </a:ln>
            <a:effectLst/>
          </c:spPr>
          <c:invertIfNegative val="0"/>
          <c:dPt>
            <c:idx val="3"/>
            <c:invertIfNegative val="0"/>
            <c:bubble3D val="0"/>
            <c:extLst>
              <c:ext xmlns:c16="http://schemas.microsoft.com/office/drawing/2014/chart" uri="{C3380CC4-5D6E-409C-BE32-E72D297353CC}">
                <c16:uniqueId val="{00000000-9A7E-6F4D-B1EE-8EEFB94900EF}"/>
              </c:ext>
            </c:extLst>
          </c:dPt>
          <c:cat>
            <c:strRef>
              <c:f>Sheet1!$A$2:$A$8</c:f>
              <c:strCache>
                <c:ptCount val="7"/>
                <c:pt idx="0">
                  <c:v> 2023 թ փաստ </c:v>
                </c:pt>
                <c:pt idx="1">
                  <c:v> 2024 թ փաստ </c:v>
                </c:pt>
                <c:pt idx="2">
                  <c:v> 2025թ փաստ </c:v>
                </c:pt>
                <c:pt idx="3">
                  <c:v> 2026թ բյուջե </c:v>
                </c:pt>
                <c:pt idx="4">
                  <c:v> 2027թ ծրագիր </c:v>
                </c:pt>
                <c:pt idx="5">
                  <c:v> 2028թ ծրագիր </c:v>
                </c:pt>
                <c:pt idx="6">
                  <c:v> 2029թ ծրագիր </c:v>
                </c:pt>
              </c:strCache>
            </c:strRef>
          </c:cat>
          <c:val>
            <c:numRef>
              <c:f>Sheet1!$B$2:$B$8</c:f>
              <c:numCache>
                <c:formatCode>0.0</c:formatCode>
                <c:ptCount val="7"/>
                <c:pt idx="0">
                  <c:v>21.85996545172442</c:v>
                </c:pt>
                <c:pt idx="1">
                  <c:v>23.678348853303369</c:v>
                </c:pt>
                <c:pt idx="2">
                  <c:v>23.032449781523219</c:v>
                </c:pt>
                <c:pt idx="3">
                  <c:v>24.498062983943605</c:v>
                </c:pt>
                <c:pt idx="4">
                  <c:v>24.317497616179462</c:v>
                </c:pt>
                <c:pt idx="5">
                  <c:v>23.55909491562586</c:v>
                </c:pt>
                <c:pt idx="6">
                  <c:v>22.459321234960743</c:v>
                </c:pt>
              </c:numCache>
            </c:numRef>
          </c:val>
          <c:extLst>
            <c:ext xmlns:c16="http://schemas.microsoft.com/office/drawing/2014/chart" uri="{C3380CC4-5D6E-409C-BE32-E72D297353CC}">
              <c16:uniqueId val="{00000001-9A7E-6F4D-B1EE-8EEFB94900EF}"/>
            </c:ext>
          </c:extLst>
        </c:ser>
        <c:dLbls>
          <c:showLegendKey val="0"/>
          <c:showVal val="0"/>
          <c:showCatName val="0"/>
          <c:showSerName val="0"/>
          <c:showPercent val="0"/>
          <c:showBubbleSize val="0"/>
        </c:dLbls>
        <c:gapWidth val="150"/>
        <c:overlap val="100"/>
        <c:axId val="273980032"/>
        <c:axId val="273998208"/>
      </c:barChart>
      <c:barChart>
        <c:barDir val="col"/>
        <c:grouping val="stacked"/>
        <c:varyColors val="0"/>
        <c:ser>
          <c:idx val="1"/>
          <c:order val="1"/>
          <c:tx>
            <c:strRef>
              <c:f>Sheet1!$C$1</c:f>
              <c:strCache>
                <c:ptCount val="1"/>
                <c:pt idx="0">
                  <c:v> Աշխատանքի վարձատրություն </c:v>
                </c:pt>
              </c:strCache>
            </c:strRef>
          </c:tx>
          <c:spPr>
            <a:solidFill>
              <a:schemeClr val="accent1">
                <a:tint val="62000"/>
              </a:schemeClr>
            </a:solidFill>
            <a:ln>
              <a:noFill/>
            </a:ln>
            <a:effectLst/>
          </c:spPr>
          <c:invertIfNegative val="0"/>
          <c:dLbls>
            <c:dLbl>
              <c:idx val="4"/>
              <c:tx>
                <c:rich>
                  <a:bodyPr/>
                  <a:lstStyle/>
                  <a:p>
                    <a:r>
                      <a:rPr lang="en-US"/>
                      <a:t>2.4</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A7E-6F4D-B1EE-8EEFB94900EF}"/>
                </c:ext>
              </c:extLst>
            </c:dLbl>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 2023 թ փաստ </c:v>
                </c:pt>
                <c:pt idx="1">
                  <c:v> 2024 թ փաստ </c:v>
                </c:pt>
                <c:pt idx="2">
                  <c:v> 2025թ փաստ </c:v>
                </c:pt>
                <c:pt idx="3">
                  <c:v> 2026թ բյուջե </c:v>
                </c:pt>
                <c:pt idx="4">
                  <c:v> 2027թ ծրագիր </c:v>
                </c:pt>
                <c:pt idx="5">
                  <c:v> 2028թ ծրագիր </c:v>
                </c:pt>
                <c:pt idx="6">
                  <c:v> 2029թ ծրագիր </c:v>
                </c:pt>
              </c:strCache>
            </c:strRef>
          </c:cat>
          <c:val>
            <c:numRef>
              <c:f>Sheet1!$C$2:$C$8</c:f>
              <c:numCache>
                <c:formatCode>0.0</c:formatCode>
                <c:ptCount val="7"/>
                <c:pt idx="0">
                  <c:v>2.2969454234058935</c:v>
                </c:pt>
                <c:pt idx="1">
                  <c:v>2.38117742431234</c:v>
                </c:pt>
                <c:pt idx="2">
                  <c:v>2.2754737946836907</c:v>
                </c:pt>
                <c:pt idx="3">
                  <c:v>2.249313733384593</c:v>
                </c:pt>
                <c:pt idx="4">
                  <c:v>2.3388628264126208</c:v>
                </c:pt>
                <c:pt idx="5">
                  <c:v>2.2128419482489909</c:v>
                </c:pt>
                <c:pt idx="6">
                  <c:v>2.0434909164081456</c:v>
                </c:pt>
              </c:numCache>
            </c:numRef>
          </c:val>
          <c:extLst>
            <c:ext xmlns:c16="http://schemas.microsoft.com/office/drawing/2014/chart" uri="{C3380CC4-5D6E-409C-BE32-E72D297353CC}">
              <c16:uniqueId val="{00000003-9A7E-6F4D-B1EE-8EEFB94900EF}"/>
            </c:ext>
          </c:extLst>
        </c:ser>
        <c:ser>
          <c:idx val="2"/>
          <c:order val="2"/>
          <c:tx>
            <c:strRef>
              <c:f>Sheet1!$D$1</c:f>
              <c:strCache>
                <c:ptCount val="1"/>
                <c:pt idx="0">
                  <c:v> Ծառայությունների և ապրանքների ձեռքբերում </c:v>
                </c:pt>
              </c:strCache>
            </c:strRef>
          </c:tx>
          <c:spPr>
            <a:solidFill>
              <a:schemeClr val="accent1">
                <a:tint val="77000"/>
              </a:schemeClr>
            </a:solidFill>
            <a:ln>
              <a:noFill/>
            </a:ln>
            <a:effectLst/>
          </c:spPr>
          <c:invertIfNegative val="0"/>
          <c:dLbls>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 2023 թ փաստ </c:v>
                </c:pt>
                <c:pt idx="1">
                  <c:v> 2024 թ փաստ </c:v>
                </c:pt>
                <c:pt idx="2">
                  <c:v> 2025թ փաստ </c:v>
                </c:pt>
                <c:pt idx="3">
                  <c:v> 2026թ բյուջե </c:v>
                </c:pt>
                <c:pt idx="4">
                  <c:v> 2027թ ծրագիր </c:v>
                </c:pt>
                <c:pt idx="5">
                  <c:v> 2028թ ծրագիր </c:v>
                </c:pt>
                <c:pt idx="6">
                  <c:v> 2029թ ծրագիր </c:v>
                </c:pt>
              </c:strCache>
            </c:strRef>
          </c:cat>
          <c:val>
            <c:numRef>
              <c:f>Sheet1!$D$2:$D$8</c:f>
              <c:numCache>
                <c:formatCode>0.0</c:formatCode>
                <c:ptCount val="7"/>
                <c:pt idx="0">
                  <c:v>2.0135057255589279</c:v>
                </c:pt>
                <c:pt idx="1">
                  <c:v>1.0664397396817533</c:v>
                </c:pt>
                <c:pt idx="2">
                  <c:v>0.92658774049304893</c:v>
                </c:pt>
                <c:pt idx="3">
                  <c:v>0.77156133666477322</c:v>
                </c:pt>
                <c:pt idx="4">
                  <c:v>0.73108557236338045</c:v>
                </c:pt>
                <c:pt idx="5">
                  <c:v>0.64946490061218753</c:v>
                </c:pt>
                <c:pt idx="6">
                  <c:v>0.6029353282487927</c:v>
                </c:pt>
              </c:numCache>
            </c:numRef>
          </c:val>
          <c:extLst>
            <c:ext xmlns:c16="http://schemas.microsoft.com/office/drawing/2014/chart" uri="{C3380CC4-5D6E-409C-BE32-E72D297353CC}">
              <c16:uniqueId val="{00000004-9A7E-6F4D-B1EE-8EEFB94900EF}"/>
            </c:ext>
          </c:extLst>
        </c:ser>
        <c:ser>
          <c:idx val="3"/>
          <c:order val="3"/>
          <c:tx>
            <c:strRef>
              <c:f>Sheet1!$E$1</c:f>
              <c:strCache>
                <c:ptCount val="1"/>
                <c:pt idx="0">
                  <c:v> Տոկոսավճարներ </c:v>
                </c:pt>
              </c:strCache>
            </c:strRef>
          </c:tx>
          <c:spPr>
            <a:solidFill>
              <a:schemeClr val="accent1">
                <a:tint val="93000"/>
              </a:schemeClr>
            </a:solidFill>
            <a:ln>
              <a:noFill/>
            </a:ln>
            <a:effectLst/>
          </c:spPr>
          <c:invertIfNegative val="0"/>
          <c:dLbls>
            <c:dLbl>
              <c:idx val="4"/>
              <c:tx>
                <c:rich>
                  <a:bodyPr/>
                  <a:lstStyle/>
                  <a:p>
                    <a:r>
                      <a:rPr lang="en-US"/>
                      <a:t>3.6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A7E-6F4D-B1EE-8EEFB94900EF}"/>
                </c:ext>
              </c:extLst>
            </c:dLbl>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 2023 թ փաստ </c:v>
                </c:pt>
                <c:pt idx="1">
                  <c:v> 2024 թ փաստ </c:v>
                </c:pt>
                <c:pt idx="2">
                  <c:v> 2025թ փաստ </c:v>
                </c:pt>
                <c:pt idx="3">
                  <c:v> 2026թ բյուջե </c:v>
                </c:pt>
                <c:pt idx="4">
                  <c:v> 2027թ ծրագիր </c:v>
                </c:pt>
                <c:pt idx="5">
                  <c:v> 2028թ ծրագիր </c:v>
                </c:pt>
                <c:pt idx="6">
                  <c:v> 2029թ ծրագիր </c:v>
                </c:pt>
              </c:strCache>
            </c:strRef>
          </c:cat>
          <c:val>
            <c:numRef>
              <c:f>Sheet1!$E$2:$E$8</c:f>
              <c:numCache>
                <c:formatCode>0.0</c:formatCode>
                <c:ptCount val="7"/>
                <c:pt idx="0">
                  <c:v>2.6696059693057297</c:v>
                </c:pt>
                <c:pt idx="1">
                  <c:v>3.0763306673083357</c:v>
                </c:pt>
                <c:pt idx="2">
                  <c:v>3.077752428221916</c:v>
                </c:pt>
                <c:pt idx="3">
                  <c:v>3.5187603463185093</c:v>
                </c:pt>
                <c:pt idx="4">
                  <c:v>3.0615849993178594</c:v>
                </c:pt>
                <c:pt idx="5">
                  <c:v>3.0344899610595033</c:v>
                </c:pt>
                <c:pt idx="6">
                  <c:v>3.0193784625846734</c:v>
                </c:pt>
              </c:numCache>
            </c:numRef>
          </c:val>
          <c:extLst>
            <c:ext xmlns:c16="http://schemas.microsoft.com/office/drawing/2014/chart" uri="{C3380CC4-5D6E-409C-BE32-E72D297353CC}">
              <c16:uniqueId val="{00000006-9A7E-6F4D-B1EE-8EEFB94900EF}"/>
            </c:ext>
          </c:extLst>
        </c:ser>
        <c:ser>
          <c:idx val="4"/>
          <c:order val="4"/>
          <c:tx>
            <c:strRef>
              <c:f>Sheet1!$F$1</c:f>
              <c:strCache>
                <c:ptCount val="1"/>
                <c:pt idx="0">
                  <c:v> Սուբսիդիաներ </c:v>
                </c:pt>
              </c:strCache>
            </c:strRef>
          </c:tx>
          <c:spPr>
            <a:solidFill>
              <a:schemeClr val="accent1">
                <a:shade val="92000"/>
              </a:schemeClr>
            </a:solidFill>
            <a:ln>
              <a:noFill/>
            </a:ln>
            <a:effectLst/>
          </c:spPr>
          <c:invertIfNegative val="0"/>
          <c:dLbls>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 2023 թ փաստ </c:v>
                </c:pt>
                <c:pt idx="1">
                  <c:v> 2024 թ փաստ </c:v>
                </c:pt>
                <c:pt idx="2">
                  <c:v> 2025թ փաստ </c:v>
                </c:pt>
                <c:pt idx="3">
                  <c:v> 2026թ բյուջե </c:v>
                </c:pt>
                <c:pt idx="4">
                  <c:v> 2027թ ծրագիր </c:v>
                </c:pt>
                <c:pt idx="5">
                  <c:v> 2028թ ծրագիր </c:v>
                </c:pt>
                <c:pt idx="6">
                  <c:v> 2029թ ծրագիր </c:v>
                </c:pt>
              </c:strCache>
            </c:strRef>
          </c:cat>
          <c:val>
            <c:numRef>
              <c:f>Sheet1!$F$2:$F$8</c:f>
              <c:numCache>
                <c:formatCode>0.0</c:formatCode>
                <c:ptCount val="7"/>
                <c:pt idx="0">
                  <c:v>1.7278169860644823</c:v>
                </c:pt>
                <c:pt idx="1">
                  <c:v>1.8416071572204067</c:v>
                </c:pt>
                <c:pt idx="2">
                  <c:v>1.857583605346198</c:v>
                </c:pt>
                <c:pt idx="3">
                  <c:v>1.7778917063011908</c:v>
                </c:pt>
                <c:pt idx="4">
                  <c:v>1.8285805349997519</c:v>
                </c:pt>
                <c:pt idx="5">
                  <c:v>1.6208513253975476</c:v>
                </c:pt>
                <c:pt idx="6">
                  <c:v>1.4249574240889842</c:v>
                </c:pt>
              </c:numCache>
            </c:numRef>
          </c:val>
          <c:extLst>
            <c:ext xmlns:c16="http://schemas.microsoft.com/office/drawing/2014/chart" uri="{C3380CC4-5D6E-409C-BE32-E72D297353CC}">
              <c16:uniqueId val="{00000007-9A7E-6F4D-B1EE-8EEFB94900EF}"/>
            </c:ext>
          </c:extLst>
        </c:ser>
        <c:ser>
          <c:idx val="5"/>
          <c:order val="5"/>
          <c:tx>
            <c:strRef>
              <c:f>Sheet1!$G$1</c:f>
              <c:strCache>
                <c:ptCount val="1"/>
                <c:pt idx="0">
                  <c:v> Դրամաշնորհներ </c:v>
                </c:pt>
              </c:strCache>
            </c:strRef>
          </c:tx>
          <c:spPr>
            <a:solidFill>
              <a:schemeClr val="accent1">
                <a:shade val="76000"/>
              </a:schemeClr>
            </a:solidFill>
            <a:ln>
              <a:noFill/>
            </a:ln>
            <a:effectLst/>
          </c:spPr>
          <c:invertIfNegative val="0"/>
          <c:dLbls>
            <c:dLbl>
              <c:idx val="4"/>
              <c:tx>
                <c:rich>
                  <a:bodyPr/>
                  <a:lstStyle/>
                  <a:p>
                    <a:r>
                      <a:rPr lang="en-US"/>
                      <a:t>3.1</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A7E-6F4D-B1EE-8EEFB94900EF}"/>
                </c:ext>
              </c:extLst>
            </c:dLbl>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 2023 թ փաստ </c:v>
                </c:pt>
                <c:pt idx="1">
                  <c:v> 2024 թ փաստ </c:v>
                </c:pt>
                <c:pt idx="2">
                  <c:v> 2025թ փաստ </c:v>
                </c:pt>
                <c:pt idx="3">
                  <c:v> 2026թ բյուջե </c:v>
                </c:pt>
                <c:pt idx="4">
                  <c:v> 2027թ ծրագիր </c:v>
                </c:pt>
                <c:pt idx="5">
                  <c:v> 2028թ ծրագիր </c:v>
                </c:pt>
                <c:pt idx="6">
                  <c:v> 2029թ ծրագիր </c:v>
                </c:pt>
              </c:strCache>
            </c:strRef>
          </c:cat>
          <c:val>
            <c:numRef>
              <c:f>Sheet1!$G$2:$G$8</c:f>
              <c:numCache>
                <c:formatCode>0.0</c:formatCode>
                <c:ptCount val="7"/>
                <c:pt idx="0">
                  <c:v>2.9602621561497151</c:v>
                </c:pt>
                <c:pt idx="1">
                  <c:v>2.9765700193731925</c:v>
                </c:pt>
                <c:pt idx="2">
                  <c:v>2.8053303427677272</c:v>
                </c:pt>
                <c:pt idx="3">
                  <c:v>2.6334257200034479</c:v>
                </c:pt>
                <c:pt idx="4">
                  <c:v>2.2891673958237284</c:v>
                </c:pt>
                <c:pt idx="5">
                  <c:v>2.264718596637914</c:v>
                </c:pt>
                <c:pt idx="6">
                  <c:v>2.3165905434637493</c:v>
                </c:pt>
              </c:numCache>
            </c:numRef>
          </c:val>
          <c:extLst>
            <c:ext xmlns:c16="http://schemas.microsoft.com/office/drawing/2014/chart" uri="{C3380CC4-5D6E-409C-BE32-E72D297353CC}">
              <c16:uniqueId val="{00000009-9A7E-6F4D-B1EE-8EEFB94900EF}"/>
            </c:ext>
          </c:extLst>
        </c:ser>
        <c:ser>
          <c:idx val="6"/>
          <c:order val="6"/>
          <c:tx>
            <c:strRef>
              <c:f>Sheet1!$H$1</c:f>
              <c:strCache>
                <c:ptCount val="1"/>
                <c:pt idx="0">
                  <c:v> Սոցիալական նպաստներ և կենսաթոշակներ </c:v>
                </c:pt>
              </c:strCache>
            </c:strRef>
          </c:tx>
          <c:spPr>
            <a:solidFill>
              <a:schemeClr val="accent1">
                <a:shade val="61000"/>
              </a:schemeClr>
            </a:solidFill>
            <a:ln>
              <a:noFill/>
            </a:ln>
            <a:effectLst/>
          </c:spPr>
          <c:invertIfNegative val="0"/>
          <c:dLbls>
            <c:dLbl>
              <c:idx val="4"/>
              <c:tx>
                <c:rich>
                  <a:bodyPr/>
                  <a:lstStyle/>
                  <a:p>
                    <a:r>
                      <a:rPr lang="en-US"/>
                      <a:t>10</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A7E-6F4D-B1EE-8EEFB94900EF}"/>
                </c:ext>
              </c:extLst>
            </c:dLbl>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 2023 թ փաստ </c:v>
                </c:pt>
                <c:pt idx="1">
                  <c:v> 2024 թ փաստ </c:v>
                </c:pt>
                <c:pt idx="2">
                  <c:v> 2025թ փաստ </c:v>
                </c:pt>
                <c:pt idx="3">
                  <c:v> 2026թ բյուջե </c:v>
                </c:pt>
                <c:pt idx="4">
                  <c:v> 2027թ ծրագիր </c:v>
                </c:pt>
                <c:pt idx="5">
                  <c:v> 2028թ ծրագիր </c:v>
                </c:pt>
                <c:pt idx="6">
                  <c:v> 2029թ ծրագիր </c:v>
                </c:pt>
              </c:strCache>
            </c:strRef>
          </c:cat>
          <c:val>
            <c:numRef>
              <c:f>Sheet1!$H$2:$H$8</c:f>
              <c:numCache>
                <c:formatCode>0.0</c:formatCode>
                <c:ptCount val="7"/>
                <c:pt idx="0">
                  <c:v>7.4819285782903702</c:v>
                </c:pt>
                <c:pt idx="1">
                  <c:v>10.067260110455816</c:v>
                </c:pt>
                <c:pt idx="2">
                  <c:v>9.6343966014348617</c:v>
                </c:pt>
                <c:pt idx="3">
                  <c:v>10.768810502214455</c:v>
                </c:pt>
                <c:pt idx="4">
                  <c:v>11.365392547799381</c:v>
                </c:pt>
                <c:pt idx="5">
                  <c:v>10.913842030757213</c:v>
                </c:pt>
                <c:pt idx="6">
                  <c:v>10.351895802814637</c:v>
                </c:pt>
              </c:numCache>
            </c:numRef>
          </c:val>
          <c:extLst>
            <c:ext xmlns:c16="http://schemas.microsoft.com/office/drawing/2014/chart" uri="{C3380CC4-5D6E-409C-BE32-E72D297353CC}">
              <c16:uniqueId val="{0000000B-9A7E-6F4D-B1EE-8EEFB94900EF}"/>
            </c:ext>
          </c:extLst>
        </c:ser>
        <c:ser>
          <c:idx val="7"/>
          <c:order val="7"/>
          <c:tx>
            <c:strRef>
              <c:f>Sheet1!$I$1</c:f>
              <c:strCache>
                <c:ptCount val="1"/>
                <c:pt idx="0">
                  <c:v> Այլ ծախսեր </c:v>
                </c:pt>
              </c:strCache>
            </c:strRef>
          </c:tx>
          <c:spPr>
            <a:solidFill>
              <a:schemeClr val="accent1">
                <a:shade val="45000"/>
              </a:schemeClr>
            </a:solidFill>
            <a:ln>
              <a:noFill/>
            </a:ln>
            <a:effectLst/>
          </c:spPr>
          <c:invertIfNegative val="0"/>
          <c:dLbls>
            <c:dLbl>
              <c:idx val="4"/>
              <c:tx>
                <c:rich>
                  <a:bodyPr/>
                  <a:lstStyle/>
                  <a:p>
                    <a:r>
                      <a:rPr lang="en-US"/>
                      <a:t>3.1</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9A7E-6F4D-B1EE-8EEFB94900EF}"/>
                </c:ext>
              </c:extLst>
            </c:dLbl>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Calibri" panose="020F0502020204030204" pitchFamily="34" charset="0"/>
                    <a:ea typeface="Calibri" panose="020F0502020204030204" pitchFamily="34" charset="0"/>
                    <a:cs typeface="Calibri" panose="020F0502020204030204" pitchFamily="34"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Sheet1!$A$2:$A$8</c:f>
              <c:strCache>
                <c:ptCount val="7"/>
                <c:pt idx="0">
                  <c:v> 2023 թ փաստ </c:v>
                </c:pt>
                <c:pt idx="1">
                  <c:v> 2024 թ փաստ </c:v>
                </c:pt>
                <c:pt idx="2">
                  <c:v> 2025թ փաստ </c:v>
                </c:pt>
                <c:pt idx="3">
                  <c:v> 2026թ բյուջե </c:v>
                </c:pt>
                <c:pt idx="4">
                  <c:v> 2027թ ծրագիր </c:v>
                </c:pt>
                <c:pt idx="5">
                  <c:v> 2028թ ծրագիր </c:v>
                </c:pt>
                <c:pt idx="6">
                  <c:v> 2029թ ծրագիր </c:v>
                </c:pt>
              </c:strCache>
            </c:strRef>
          </c:cat>
          <c:val>
            <c:numRef>
              <c:f>Sheet1!$I$2:$I$8</c:f>
              <c:numCache>
                <c:formatCode>0.0</c:formatCode>
                <c:ptCount val="7"/>
                <c:pt idx="0">
                  <c:v>2.7099006129493004</c:v>
                </c:pt>
                <c:pt idx="1">
                  <c:v>2.268963734951523</c:v>
                </c:pt>
                <c:pt idx="2">
                  <c:v>2.4553252685757765</c:v>
                </c:pt>
                <c:pt idx="3">
                  <c:v>2.7782996390566348</c:v>
                </c:pt>
                <c:pt idx="4">
                  <c:v>2.7028237394627395</c:v>
                </c:pt>
                <c:pt idx="5">
                  <c:v>2.8628861529125045</c:v>
                </c:pt>
                <c:pt idx="6">
                  <c:v>2.7000727573517591</c:v>
                </c:pt>
              </c:numCache>
            </c:numRef>
          </c:val>
          <c:extLst>
            <c:ext xmlns:c16="http://schemas.microsoft.com/office/drawing/2014/chart" uri="{C3380CC4-5D6E-409C-BE32-E72D297353CC}">
              <c16:uniqueId val="{0000000D-9A7E-6F4D-B1EE-8EEFB94900EF}"/>
            </c:ext>
          </c:extLst>
        </c:ser>
        <c:dLbls>
          <c:showLegendKey val="0"/>
          <c:showVal val="0"/>
          <c:showCatName val="0"/>
          <c:showSerName val="0"/>
          <c:showPercent val="0"/>
          <c:showBubbleSize val="0"/>
        </c:dLbls>
        <c:gapWidth val="150"/>
        <c:overlap val="100"/>
        <c:axId val="274001280"/>
        <c:axId val="273999744"/>
      </c:barChart>
      <c:catAx>
        <c:axId val="27398003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73998208"/>
        <c:crosses val="autoZero"/>
        <c:auto val="1"/>
        <c:lblAlgn val="ctr"/>
        <c:lblOffset val="100"/>
        <c:noMultiLvlLbl val="0"/>
      </c:catAx>
      <c:valAx>
        <c:axId val="273998208"/>
        <c:scaling>
          <c:orientation val="minMax"/>
          <c:max val="30"/>
        </c:scaling>
        <c:delete val="0"/>
        <c:axPos val="l"/>
        <c:numFmt formatCode="0.0" sourceLinked="1"/>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800" b="0" i="0" u="none" strike="noStrike" kern="1200" baseline="0">
                <a:solidFill>
                  <a:schemeClr val="bg1">
                    <a:lumMod val="6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73980032"/>
        <c:crosses val="autoZero"/>
        <c:crossBetween val="between"/>
        <c:majorUnit val="10"/>
      </c:valAx>
      <c:valAx>
        <c:axId val="273999744"/>
        <c:scaling>
          <c:orientation val="minMax"/>
        </c:scaling>
        <c:delete val="1"/>
        <c:axPos val="r"/>
        <c:numFmt formatCode="0.0" sourceLinked="1"/>
        <c:majorTickMark val="out"/>
        <c:minorTickMark val="none"/>
        <c:tickLblPos val="nextTo"/>
        <c:crossAx val="274001280"/>
        <c:crosses val="max"/>
        <c:crossBetween val="between"/>
      </c:valAx>
      <c:catAx>
        <c:axId val="274001280"/>
        <c:scaling>
          <c:orientation val="minMax"/>
        </c:scaling>
        <c:delete val="1"/>
        <c:axPos val="b"/>
        <c:numFmt formatCode="General" sourceLinked="1"/>
        <c:majorTickMark val="out"/>
        <c:minorTickMark val="none"/>
        <c:tickLblPos val="nextTo"/>
        <c:crossAx val="273999744"/>
        <c:crosses val="autoZero"/>
        <c:auto val="1"/>
        <c:lblAlgn val="ctr"/>
        <c:lblOffset val="100"/>
        <c:noMultiLvlLbl val="0"/>
      </c:catAx>
      <c:spPr>
        <a:noFill/>
        <a:ln>
          <a:noFill/>
        </a:ln>
        <a:effectLst/>
      </c:spPr>
    </c:plotArea>
    <c:legend>
      <c:legendPos val="b"/>
      <c:legendEntry>
        <c:idx val="0"/>
        <c:delete val="1"/>
      </c:legendEntry>
      <c:layout>
        <c:manualLayout>
          <c:xMode val="edge"/>
          <c:yMode val="edge"/>
          <c:x val="5.5029064618456434E-2"/>
          <c:y val="0.78079736323471083"/>
          <c:w val="0.90618794583192441"/>
          <c:h val="0.15746709423914751"/>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Calibri" panose="020F0502020204030204" pitchFamily="34" charset="0"/>
              <a:ea typeface="Calibri" panose="020F0502020204030204" pitchFamily="34" charset="0"/>
              <a:cs typeface="Calibri" panose="020F0502020204030204" pitchFamily="34" charset="0"/>
            </a:defRPr>
          </a:pPr>
          <a:endParaRPr lang="en-US"/>
        </a:p>
      </c:txPr>
    </c:legend>
    <c:plotVisOnly val="1"/>
    <c:dispBlanksAs val="gap"/>
    <c:showDLblsOverMax val="0"/>
  </c:chart>
  <c:spPr>
    <a:noFill/>
    <a:ln w="9525" cap="flat" cmpd="sng" algn="ctr">
      <a:solidFill>
        <a:schemeClr val="tx1">
          <a:lumMod val="15000"/>
          <a:lumOff val="85000"/>
        </a:schemeClr>
      </a:solidFill>
      <a:prstDash val="solid"/>
      <a:round/>
    </a:ln>
    <a:effectLst/>
  </c:spPr>
  <c:txPr>
    <a:bodyPr/>
    <a:lstStyle/>
    <a:p>
      <a:pPr>
        <a:defRPr sz="800">
          <a:latin typeface="Calibri" panose="020F0502020204030204" pitchFamily="34" charset="0"/>
          <a:ea typeface="Calibri" panose="020F0502020204030204" pitchFamily="34" charset="0"/>
          <a:cs typeface="Calibri" panose="020F0502020204030204" pitchFamily="34" charset="0"/>
        </a:defRPr>
      </a:pPr>
      <a:endParaRPr lang="en-US"/>
    </a:p>
  </c:txPr>
  <c:externalData r:id="rId4">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470723300978718"/>
          <c:y val="7.9278160769322911E-2"/>
          <c:w val="0.80546608259233343"/>
          <c:h val="0.57789447274972972"/>
        </c:manualLayout>
      </c:layout>
      <c:barChart>
        <c:barDir val="col"/>
        <c:grouping val="stacked"/>
        <c:varyColors val="0"/>
        <c:ser>
          <c:idx val="0"/>
          <c:order val="0"/>
          <c:tx>
            <c:strRef>
              <c:f>Sheet1!$B$1</c:f>
              <c:strCache>
                <c:ptCount val="1"/>
                <c:pt idx="0">
                  <c:v> Ընդամենը ծախսեր </c:v>
                </c:pt>
              </c:strCache>
            </c:strRef>
          </c:tx>
          <c:spPr>
            <a:solidFill>
              <a:schemeClr val="accent5">
                <a:shade val="65000"/>
              </a:schemeClr>
            </a:solidFill>
            <a:ln>
              <a:noFill/>
            </a:ln>
            <a:effectLst>
              <a:outerShdw blurRad="50800" dist="50800" dir="5400000" algn="ctr" rotWithShape="0">
                <a:schemeClr val="bg1"/>
              </a:outerShdw>
            </a:effectLst>
          </c:spPr>
          <c:invertIfNegative val="0"/>
          <c:cat>
            <c:strRef>
              <c:f>Sheet1!$A$2:$A$8</c:f>
              <c:strCache>
                <c:ptCount val="7"/>
                <c:pt idx="0">
                  <c:v> 2023 թ </c:v>
                </c:pt>
                <c:pt idx="1">
                  <c:v> 2024թ </c:v>
                </c:pt>
                <c:pt idx="2">
                  <c:v> 2025 թ </c:v>
                </c:pt>
                <c:pt idx="3">
                  <c:v> 2026 թ </c:v>
                </c:pt>
                <c:pt idx="4">
                  <c:v> 2027 թ </c:v>
                </c:pt>
                <c:pt idx="5">
                  <c:v> 2028 թ </c:v>
                </c:pt>
                <c:pt idx="6">
                  <c:v> 2029 թ </c:v>
                </c:pt>
              </c:strCache>
            </c:strRef>
          </c:cat>
          <c:val>
            <c:numRef>
              <c:f>Sheet1!$B$2:$B$8</c:f>
              <c:numCache>
                <c:formatCode>#,##0</c:formatCode>
                <c:ptCount val="7"/>
                <c:pt idx="0">
                  <c:v>494.29999999999995</c:v>
                </c:pt>
                <c:pt idx="1">
                  <c:v>557.79999999999995</c:v>
                </c:pt>
                <c:pt idx="2">
                  <c:v>749.8</c:v>
                </c:pt>
                <c:pt idx="3">
                  <c:v>714.1</c:v>
                </c:pt>
                <c:pt idx="4">
                  <c:v>771.5</c:v>
                </c:pt>
                <c:pt idx="5">
                  <c:v>869.4</c:v>
                </c:pt>
                <c:pt idx="6">
                  <c:v>966.7</c:v>
                </c:pt>
              </c:numCache>
            </c:numRef>
          </c:val>
          <c:extLst>
            <c:ext xmlns:c16="http://schemas.microsoft.com/office/drawing/2014/chart" uri="{C3380CC4-5D6E-409C-BE32-E72D297353CC}">
              <c16:uniqueId val="{00000000-1C5E-FF42-816E-87A965F8A7C0}"/>
            </c:ext>
          </c:extLst>
        </c:ser>
        <c:dLbls>
          <c:showLegendKey val="0"/>
          <c:showVal val="0"/>
          <c:showCatName val="0"/>
          <c:showSerName val="0"/>
          <c:showPercent val="0"/>
          <c:showBubbleSize val="0"/>
        </c:dLbls>
        <c:gapWidth val="150"/>
        <c:overlap val="100"/>
        <c:axId val="273667200"/>
        <c:axId val="273668736"/>
      </c:barChart>
      <c:barChart>
        <c:barDir val="col"/>
        <c:grouping val="stacked"/>
        <c:varyColors val="0"/>
        <c:ser>
          <c:idx val="1"/>
          <c:order val="1"/>
          <c:tx>
            <c:strRef>
              <c:f>Sheet1!$C$1</c:f>
              <c:strCache>
                <c:ptCount val="1"/>
                <c:pt idx="0">
                  <c:v> արտաքին ռեսուրսների հաշվին իրականացվող ծրագրեր (ներառյալ ՀՀ կառավարության համաֆինանսավորումը) </c:v>
                </c:pt>
              </c:strCache>
            </c:strRef>
          </c:tx>
          <c:spPr>
            <a:solidFill>
              <a:schemeClr val="tx2">
                <a:lumMod val="75000"/>
              </a:schemeClr>
            </a:solidFill>
            <a:ln>
              <a:noFill/>
            </a:ln>
            <a:effectLst/>
          </c:spPr>
          <c:invertIfNegative val="0"/>
          <c:dLbls>
            <c:spPr>
              <a:noFill/>
              <a:ln>
                <a:noFill/>
              </a:ln>
              <a:effectLst/>
            </c:spPr>
            <c:txPr>
              <a:bodyPr wrap="square" lIns="38100" tIns="19050" rIns="38100" bIns="19050" anchor="ctr">
                <a:spAutoFit/>
              </a:bodyPr>
              <a:lstStyle/>
              <a:p>
                <a:pPr>
                  <a:defRPr b="1">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 2023 թ </c:v>
                </c:pt>
                <c:pt idx="1">
                  <c:v> 2024թ </c:v>
                </c:pt>
                <c:pt idx="2">
                  <c:v> 2025 թ </c:v>
                </c:pt>
                <c:pt idx="3">
                  <c:v> 2026 թ </c:v>
                </c:pt>
                <c:pt idx="4">
                  <c:v> 2027 թ </c:v>
                </c:pt>
                <c:pt idx="5">
                  <c:v> 2028 թ </c:v>
                </c:pt>
                <c:pt idx="6">
                  <c:v> 2029 թ </c:v>
                </c:pt>
              </c:strCache>
            </c:strRef>
          </c:cat>
          <c:val>
            <c:numRef>
              <c:f>Sheet1!$C$2:$C$8</c:f>
              <c:numCache>
                <c:formatCode>#,##0</c:formatCode>
                <c:ptCount val="7"/>
                <c:pt idx="0">
                  <c:v>73.400000000000006</c:v>
                </c:pt>
                <c:pt idx="1">
                  <c:v>77.099999999999994</c:v>
                </c:pt>
                <c:pt idx="2">
                  <c:v>204.2</c:v>
                </c:pt>
                <c:pt idx="3">
                  <c:v>120</c:v>
                </c:pt>
                <c:pt idx="4">
                  <c:v>118.1</c:v>
                </c:pt>
                <c:pt idx="5">
                  <c:v>137</c:v>
                </c:pt>
                <c:pt idx="6">
                  <c:v>122</c:v>
                </c:pt>
              </c:numCache>
            </c:numRef>
          </c:val>
          <c:extLst>
            <c:ext xmlns:c16="http://schemas.microsoft.com/office/drawing/2014/chart" uri="{C3380CC4-5D6E-409C-BE32-E72D297353CC}">
              <c16:uniqueId val="{00000001-1C5E-FF42-816E-87A965F8A7C0}"/>
            </c:ext>
          </c:extLst>
        </c:ser>
        <c:ser>
          <c:idx val="2"/>
          <c:order val="2"/>
          <c:tx>
            <c:strRef>
              <c:f>Sheet1!$D$1</c:f>
              <c:strCache>
                <c:ptCount val="1"/>
                <c:pt idx="0">
                  <c:v> ներքին ռեսուրսների հաշվին իրականացվող ծրագրեր </c:v>
                </c:pt>
              </c:strCache>
            </c:strRef>
          </c:tx>
          <c:spPr>
            <a:solidFill>
              <a:schemeClr val="tx2">
                <a:lumMod val="20000"/>
                <a:lumOff val="80000"/>
              </a:schemeClr>
            </a:solidFill>
            <a:ln>
              <a:noFill/>
            </a:ln>
            <a:effectLst/>
          </c:spPr>
          <c:invertIfNegative val="0"/>
          <c:dLbls>
            <c:spPr>
              <a:noFill/>
              <a:ln>
                <a:noFill/>
              </a:ln>
              <a:effectLst/>
            </c:spPr>
            <c:txPr>
              <a:bodyPr rot="0" vert="horz"/>
              <a:lstStyle/>
              <a:p>
                <a:pPr>
                  <a:defRPr b="1"/>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 2023 թ </c:v>
                </c:pt>
                <c:pt idx="1">
                  <c:v> 2024թ </c:v>
                </c:pt>
                <c:pt idx="2">
                  <c:v> 2025 թ </c:v>
                </c:pt>
                <c:pt idx="3">
                  <c:v> 2026 թ </c:v>
                </c:pt>
                <c:pt idx="4">
                  <c:v> 2027 թ </c:v>
                </c:pt>
                <c:pt idx="5">
                  <c:v> 2028 թ </c:v>
                </c:pt>
                <c:pt idx="6">
                  <c:v> 2029 թ </c:v>
                </c:pt>
              </c:strCache>
            </c:strRef>
          </c:cat>
          <c:val>
            <c:numRef>
              <c:f>Sheet1!$D$2:$D$8</c:f>
              <c:numCache>
                <c:formatCode>#,##0</c:formatCode>
                <c:ptCount val="7"/>
                <c:pt idx="0">
                  <c:v>420.9</c:v>
                </c:pt>
                <c:pt idx="1">
                  <c:v>480.7</c:v>
                </c:pt>
                <c:pt idx="2">
                  <c:v>545.6</c:v>
                </c:pt>
                <c:pt idx="3">
                  <c:v>594.1</c:v>
                </c:pt>
                <c:pt idx="4">
                  <c:v>653.4</c:v>
                </c:pt>
                <c:pt idx="5">
                  <c:v>732.4</c:v>
                </c:pt>
                <c:pt idx="6">
                  <c:v>844.7</c:v>
                </c:pt>
              </c:numCache>
            </c:numRef>
          </c:val>
          <c:extLst>
            <c:ext xmlns:c16="http://schemas.microsoft.com/office/drawing/2014/chart" uri="{C3380CC4-5D6E-409C-BE32-E72D297353CC}">
              <c16:uniqueId val="{00000002-1C5E-FF42-816E-87A965F8A7C0}"/>
            </c:ext>
          </c:extLst>
        </c:ser>
        <c:dLbls>
          <c:showLegendKey val="0"/>
          <c:showVal val="0"/>
          <c:showCatName val="0"/>
          <c:showSerName val="0"/>
          <c:showPercent val="0"/>
          <c:showBubbleSize val="0"/>
        </c:dLbls>
        <c:gapWidth val="150"/>
        <c:overlap val="100"/>
        <c:axId val="273684352"/>
        <c:axId val="273682816"/>
      </c:barChart>
      <c:catAx>
        <c:axId val="273667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b="1"/>
            </a:pPr>
            <a:endParaRPr lang="en-US"/>
          </a:p>
        </c:txPr>
        <c:crossAx val="273668736"/>
        <c:crosses val="autoZero"/>
        <c:auto val="1"/>
        <c:lblAlgn val="ctr"/>
        <c:lblOffset val="100"/>
        <c:noMultiLvlLbl val="0"/>
      </c:catAx>
      <c:valAx>
        <c:axId val="273668736"/>
        <c:scaling>
          <c:orientation val="minMax"/>
          <c:max val="750"/>
          <c:min val="0"/>
        </c:scaling>
        <c:delete val="0"/>
        <c:axPos val="l"/>
        <c:numFmt formatCode="#,##0" sourceLinked="1"/>
        <c:majorTickMark val="out"/>
        <c:minorTickMark val="none"/>
        <c:tickLblPos val="nextTo"/>
        <c:spPr>
          <a:noFill/>
          <a:ln>
            <a:noFill/>
          </a:ln>
          <a:effectLst/>
        </c:spPr>
        <c:txPr>
          <a:bodyPr rot="-60000000" vert="horz"/>
          <a:lstStyle/>
          <a:p>
            <a:pPr>
              <a:defRPr>
                <a:solidFill>
                  <a:schemeClr val="bg1">
                    <a:lumMod val="65000"/>
                  </a:schemeClr>
                </a:solidFill>
              </a:defRPr>
            </a:pPr>
            <a:endParaRPr lang="en-US"/>
          </a:p>
        </c:txPr>
        <c:crossAx val="273667200"/>
        <c:crosses val="autoZero"/>
        <c:crossBetween val="between"/>
      </c:valAx>
      <c:valAx>
        <c:axId val="273682816"/>
        <c:scaling>
          <c:orientation val="minMax"/>
        </c:scaling>
        <c:delete val="1"/>
        <c:axPos val="r"/>
        <c:numFmt formatCode="#,##0" sourceLinked="1"/>
        <c:majorTickMark val="out"/>
        <c:minorTickMark val="none"/>
        <c:tickLblPos val="nextTo"/>
        <c:crossAx val="273684352"/>
        <c:crosses val="max"/>
        <c:crossBetween val="between"/>
      </c:valAx>
      <c:catAx>
        <c:axId val="273684352"/>
        <c:scaling>
          <c:orientation val="minMax"/>
        </c:scaling>
        <c:delete val="1"/>
        <c:axPos val="t"/>
        <c:numFmt formatCode="General" sourceLinked="1"/>
        <c:majorTickMark val="out"/>
        <c:minorTickMark val="none"/>
        <c:tickLblPos val="nextTo"/>
        <c:crossAx val="273682816"/>
        <c:crosses val="max"/>
        <c:auto val="1"/>
        <c:lblAlgn val="ctr"/>
        <c:lblOffset val="100"/>
        <c:noMultiLvlLbl val="0"/>
      </c:catAx>
      <c:spPr>
        <a:noFill/>
        <a:ln w="25400">
          <a:noFill/>
        </a:ln>
        <a:effectLst/>
      </c:spPr>
    </c:plotArea>
    <c:legend>
      <c:legendPos val="b"/>
      <c:layout>
        <c:manualLayout>
          <c:xMode val="edge"/>
          <c:yMode val="edge"/>
          <c:x val="9.9439157528621785E-2"/>
          <c:y val="0.78753617336294512"/>
          <c:w val="0.85633640886913676"/>
          <c:h val="0.17926879472016202"/>
        </c:manualLayout>
      </c:layout>
      <c:overlay val="0"/>
      <c:txPr>
        <a:bodyPr/>
        <a:lstStyle/>
        <a:p>
          <a:pPr>
            <a:defRPr sz="800"/>
          </a:pPr>
          <a:endParaRPr lang="en-US"/>
        </a:p>
      </c:txPr>
    </c:legend>
    <c:plotVisOnly val="1"/>
    <c:dispBlanksAs val="gap"/>
    <c:showDLblsOverMax val="0"/>
  </c:chart>
  <c:spPr>
    <a:noFill/>
    <a:ln w="19050" cap="flat" cmpd="sng" algn="ctr">
      <a:solidFill>
        <a:schemeClr val="bg1"/>
      </a:solidFill>
      <a:round/>
    </a:ln>
    <a:effectLst/>
  </c:spPr>
  <c:txPr>
    <a:bodyPr/>
    <a:lstStyle/>
    <a:p>
      <a:pPr>
        <a:defRPr sz="900">
          <a:latin typeface="Calibri" panose="020F0502020204030204" pitchFamily="34" charset="0"/>
          <a:ea typeface="Calibri" panose="020F0502020204030204" pitchFamily="34" charset="0"/>
          <a:cs typeface="Calibri" panose="020F0502020204030204" pitchFamily="34" charset="0"/>
        </a:defRPr>
      </a:pPr>
      <a:endParaRPr lang="en-US"/>
    </a:p>
  </c:txPr>
  <c:externalData r:id="rId2">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7671485696708708E-2"/>
          <c:y val="8.4967320261437912E-2"/>
          <c:w val="0.87491028401517468"/>
          <c:h val="0.71357367093819157"/>
        </c:manualLayout>
      </c:layout>
      <c:barChart>
        <c:barDir val="col"/>
        <c:grouping val="clustered"/>
        <c:varyColors val="0"/>
        <c:ser>
          <c:idx val="0"/>
          <c:order val="0"/>
          <c:tx>
            <c:strRef>
              <c:f>Sheet1!$B$1</c:f>
              <c:strCache>
                <c:ptCount val="1"/>
                <c:pt idx="0">
                  <c:v>Column1</c:v>
                </c:pt>
              </c:strCache>
            </c:strRef>
          </c:tx>
          <c:spPr>
            <a:solidFill>
              <a:schemeClr val="accent1">
                <a:shade val="76000"/>
              </a:schemeClr>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131-6D41-93E0-F13B9795C43D}"/>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131-6D41-93E0-F13B9795C43D}"/>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131-6D41-93E0-F13B9795C43D}"/>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131-6D41-93E0-F13B9795C43D}"/>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131-6D41-93E0-F13B9795C43D}"/>
                </c:ext>
              </c:extLst>
            </c:dLbl>
            <c:dLbl>
              <c:idx val="5"/>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131-6D41-93E0-F13B9795C43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2024թ. փաստացի</c:v>
                </c:pt>
                <c:pt idx="1">
                  <c:v>2025թ. փաստացի</c:v>
                </c:pt>
                <c:pt idx="2">
                  <c:v>2026թ. հաստատված</c:v>
                </c:pt>
                <c:pt idx="3">
                  <c:v>2027թ. նախագիծ</c:v>
                </c:pt>
                <c:pt idx="4">
                  <c:v>2028թ. նախագիծ</c:v>
                </c:pt>
                <c:pt idx="5">
                  <c:v>2029թ. նախագիծ</c:v>
                </c:pt>
              </c:strCache>
            </c:strRef>
          </c:cat>
          <c:val>
            <c:numRef>
              <c:f>Sheet1!$B$2:$B$7</c:f>
              <c:numCache>
                <c:formatCode>#,##0.0</c:formatCode>
                <c:ptCount val="6"/>
                <c:pt idx="0">
                  <c:v>2955.3</c:v>
                </c:pt>
                <c:pt idx="1">
                  <c:v>3305</c:v>
                </c:pt>
                <c:pt idx="2">
                  <c:v>3627.6</c:v>
                </c:pt>
                <c:pt idx="3">
                  <c:v>4072</c:v>
                </c:pt>
                <c:pt idx="4">
                  <c:v>4364.3</c:v>
                </c:pt>
                <c:pt idx="5">
                  <c:v>4602.7</c:v>
                </c:pt>
              </c:numCache>
            </c:numRef>
          </c:val>
          <c:extLst>
            <c:ext xmlns:c16="http://schemas.microsoft.com/office/drawing/2014/chart" uri="{C3380CC4-5D6E-409C-BE32-E72D297353CC}">
              <c16:uniqueId val="{00000006-5131-6D41-93E0-F13B9795C43D}"/>
            </c:ext>
          </c:extLst>
        </c:ser>
        <c:ser>
          <c:idx val="1"/>
          <c:order val="1"/>
          <c:tx>
            <c:strRef>
              <c:f>Sheet1!$C$1</c:f>
              <c:strCache>
                <c:ptCount val="1"/>
                <c:pt idx="0">
                  <c:v>Series 2</c:v>
                </c:pt>
              </c:strCache>
            </c:strRef>
          </c:tx>
          <c:spPr>
            <a:solidFill>
              <a:schemeClr val="accent1">
                <a:tint val="77000"/>
              </a:schemeClr>
            </a:solidFill>
            <a:ln>
              <a:noFill/>
            </a:ln>
            <a:effectLst/>
          </c:spPr>
          <c:invertIfNegative val="0"/>
          <c:dLbls>
            <c:dLbl>
              <c:idx val="0"/>
              <c:layout>
                <c:manualLayout>
                  <c:x val="1.6405208653747547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131-6D41-93E0-F13B9795C43D}"/>
                </c:ext>
              </c:extLst>
            </c:dLbl>
            <c:dLbl>
              <c:idx val="1"/>
              <c:tx>
                <c:rich>
                  <a:bodyPr/>
                  <a:lstStyle/>
                  <a:p>
                    <a:fld id="{71F03872-7298-4C1E-9CEA-15CD2A89E532}" type="VALUE">
                      <a:rPr lang="en-US"/>
                      <a:pPr/>
                      <a:t>[VALUE]</a:t>
                    </a:fld>
                    <a:r>
                      <a:rPr lang="en-US"/>
                      <a:t>․0</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5131-6D41-93E0-F13B9795C43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2024թ. փաստացի</c:v>
                </c:pt>
                <c:pt idx="1">
                  <c:v>2025թ. փաստացի</c:v>
                </c:pt>
                <c:pt idx="2">
                  <c:v>2026թ. հաստատված</c:v>
                </c:pt>
                <c:pt idx="3">
                  <c:v>2027թ. նախագիծ</c:v>
                </c:pt>
                <c:pt idx="4">
                  <c:v>2028թ. նախագիծ</c:v>
                </c:pt>
                <c:pt idx="5">
                  <c:v>2029թ. նախագիծ</c:v>
                </c:pt>
              </c:strCache>
            </c:strRef>
          </c:cat>
          <c:val>
            <c:numRef>
              <c:f>Sheet1!$C$2:$C$7</c:f>
              <c:numCache>
                <c:formatCode>General</c:formatCode>
                <c:ptCount val="6"/>
                <c:pt idx="0" formatCode="#,##0.00">
                  <c:v>407.7</c:v>
                </c:pt>
                <c:pt idx="1">
                  <c:v>350</c:v>
                </c:pt>
                <c:pt idx="2">
                  <c:v>322.3</c:v>
                </c:pt>
                <c:pt idx="3">
                  <c:v>444.4</c:v>
                </c:pt>
                <c:pt idx="4">
                  <c:v>292.39999999999998</c:v>
                </c:pt>
                <c:pt idx="5">
                  <c:v>238.4</c:v>
                </c:pt>
              </c:numCache>
            </c:numRef>
          </c:val>
          <c:extLst>
            <c:ext xmlns:c16="http://schemas.microsoft.com/office/drawing/2014/chart" uri="{C3380CC4-5D6E-409C-BE32-E72D297353CC}">
              <c16:uniqueId val="{00000009-5131-6D41-93E0-F13B9795C43D}"/>
            </c:ext>
          </c:extLst>
        </c:ser>
        <c:dLbls>
          <c:showLegendKey val="0"/>
          <c:showVal val="0"/>
          <c:showCatName val="0"/>
          <c:showSerName val="0"/>
          <c:showPercent val="0"/>
          <c:showBubbleSize val="0"/>
        </c:dLbls>
        <c:gapWidth val="219"/>
        <c:overlap val="-27"/>
        <c:axId val="363059519"/>
        <c:axId val="363036959"/>
      </c:barChart>
      <c:catAx>
        <c:axId val="3630595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036959"/>
        <c:crosses val="autoZero"/>
        <c:auto val="1"/>
        <c:lblAlgn val="ctr"/>
        <c:lblOffset val="100"/>
        <c:noMultiLvlLbl val="0"/>
      </c:catAx>
      <c:valAx>
        <c:axId val="363036959"/>
        <c:scaling>
          <c:orientation val="minMax"/>
        </c:scaling>
        <c:delete val="1"/>
        <c:axPos val="l"/>
        <c:numFmt formatCode="#,##0.0" sourceLinked="1"/>
        <c:majorTickMark val="none"/>
        <c:minorTickMark val="none"/>
        <c:tickLblPos val="nextTo"/>
        <c:crossAx val="36305951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bar"/>
        <c:grouping val="clustered"/>
        <c:varyColors val="0"/>
        <c:ser>
          <c:idx val="0"/>
          <c:order val="0"/>
          <c:tx>
            <c:strRef>
              <c:f>Sheet1!$B$1</c:f>
              <c:strCache>
                <c:ptCount val="1"/>
                <c:pt idx="0">
                  <c:v>2029</c:v>
                </c:pt>
              </c:strCache>
            </c:strRef>
          </c:tx>
          <c:spPr>
            <a:solidFill>
              <a:schemeClr val="accent1">
                <a:tint val="48000"/>
              </a:schemeClr>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ՊԱՇՏՊԱՆՈՒԹՅՈՒՆ,ՀԱՍԱՐԱԿԱԿՆ ԿԱՐԳ,ԱՆՎՏԱՆԳՈՒԹՅՈՒՆ ԵՎ ԴԱՏԱԿԱՆ ԳՈՐԾՈՒՆԵՈՒԹՅՈՒՆ</c:v>
                </c:pt>
                <c:pt idx="2">
                  <c:v>ՏՆՏԵՍԱԿԱՆ ՈԼՈՐՏ</c:v>
                </c:pt>
                <c:pt idx="3">
                  <c:v>ՍՈՑԻԱԼԱԿԱՆ ՈԼՈՐՏ</c:v>
                </c:pt>
              </c:strCache>
            </c:strRef>
          </c:cat>
          <c:val>
            <c:numRef>
              <c:f>Sheet1!$B$2:$B$5</c:f>
              <c:numCache>
                <c:formatCode>0.00%</c:formatCode>
                <c:ptCount val="4"/>
                <c:pt idx="0">
                  <c:v>0.26200000000000001</c:v>
                </c:pt>
                <c:pt idx="1">
                  <c:v>0.20699999999999999</c:v>
                </c:pt>
                <c:pt idx="2">
                  <c:v>6.8000000000000005E-2</c:v>
                </c:pt>
                <c:pt idx="3">
                  <c:v>0.46300000000000002</c:v>
                </c:pt>
              </c:numCache>
            </c:numRef>
          </c:val>
          <c:extLst>
            <c:ext xmlns:c16="http://schemas.microsoft.com/office/drawing/2014/chart" uri="{C3380CC4-5D6E-409C-BE32-E72D297353CC}">
              <c16:uniqueId val="{00000000-6BDE-5C45-9281-82A77E6F9E16}"/>
            </c:ext>
          </c:extLst>
        </c:ser>
        <c:ser>
          <c:idx val="1"/>
          <c:order val="1"/>
          <c:tx>
            <c:strRef>
              <c:f>Sheet1!$C$1</c:f>
              <c:strCache>
                <c:ptCount val="1"/>
                <c:pt idx="0">
                  <c:v>2028</c:v>
                </c:pt>
              </c:strCache>
            </c:strRef>
          </c:tx>
          <c:spPr>
            <a:solidFill>
              <a:schemeClr val="accent1">
                <a:tint val="65000"/>
              </a:schemeClr>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ՊԱՇՏՊԱՆՈՒԹՅՈՒՆ,ՀԱՍԱՐԱԿԱԿՆ ԿԱՐԳ,ԱՆՎՏԱՆԳՈՒԹՅՈՒՆ ԵՎ ԴԱՏԱԿԱՆ ԳՈՐԾՈՒՆԵՈՒԹՅՈՒՆ</c:v>
                </c:pt>
                <c:pt idx="2">
                  <c:v>ՏՆՏԵՍԱԿԱՆ ՈԼՈՐՏ</c:v>
                </c:pt>
                <c:pt idx="3">
                  <c:v>ՍՈՑԻԱԼԱԿԱՆ ՈԼՈՐՏ</c:v>
                </c:pt>
              </c:strCache>
            </c:strRef>
          </c:cat>
          <c:val>
            <c:numRef>
              <c:f>Sheet1!$C$2:$C$5</c:f>
              <c:numCache>
                <c:formatCode>0.00%</c:formatCode>
                <c:ptCount val="4"/>
                <c:pt idx="0">
                  <c:v>0.25</c:v>
                </c:pt>
                <c:pt idx="1">
                  <c:v>0.218</c:v>
                </c:pt>
                <c:pt idx="2">
                  <c:v>7.0999999999999994E-2</c:v>
                </c:pt>
                <c:pt idx="3">
                  <c:v>0.46200000000000002</c:v>
                </c:pt>
              </c:numCache>
            </c:numRef>
          </c:val>
          <c:extLst>
            <c:ext xmlns:c16="http://schemas.microsoft.com/office/drawing/2014/chart" uri="{C3380CC4-5D6E-409C-BE32-E72D297353CC}">
              <c16:uniqueId val="{00000001-6BDE-5C45-9281-82A77E6F9E16}"/>
            </c:ext>
          </c:extLst>
        </c:ser>
        <c:ser>
          <c:idx val="2"/>
          <c:order val="2"/>
          <c:tx>
            <c:strRef>
              <c:f>Sheet1!$D$1</c:f>
              <c:strCache>
                <c:ptCount val="1"/>
                <c:pt idx="0">
                  <c:v>2027</c:v>
                </c:pt>
              </c:strCache>
            </c:strRef>
          </c:tx>
          <c:spPr>
            <a:solidFill>
              <a:schemeClr val="accent1">
                <a:tint val="83000"/>
              </a:schemeClr>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ՊԱՇՏՊԱՆՈՒԹՅՈՒՆ,ՀԱՍԱՐԱԿԱԿՆ ԿԱՐԳ,ԱՆՎՏԱՆԳՈՒԹՅՈՒՆ ԵՎ ԴԱՏԱԿԱՆ ԳՈՐԾՈՒՆԵՈՒԹՅՈՒՆ</c:v>
                </c:pt>
                <c:pt idx="2">
                  <c:v>ՏՆՏԵՍԱԿԱՆ ՈԼՈՐՏ</c:v>
                </c:pt>
                <c:pt idx="3">
                  <c:v>ՍՈՑԻԱԼԱԿԱՆ ՈԼՈՐՏ</c:v>
                </c:pt>
              </c:strCache>
            </c:strRef>
          </c:cat>
          <c:val>
            <c:numRef>
              <c:f>Sheet1!$D$2:$D$5</c:f>
              <c:numCache>
                <c:formatCode>0.00%</c:formatCode>
                <c:ptCount val="4"/>
                <c:pt idx="0">
                  <c:v>0.24399999999999999</c:v>
                </c:pt>
                <c:pt idx="1">
                  <c:v>0.22500000000000001</c:v>
                </c:pt>
                <c:pt idx="2">
                  <c:v>7.6999999999999999E-2</c:v>
                </c:pt>
                <c:pt idx="3">
                  <c:v>0.45400000000000001</c:v>
                </c:pt>
              </c:numCache>
            </c:numRef>
          </c:val>
          <c:extLst>
            <c:ext xmlns:c16="http://schemas.microsoft.com/office/drawing/2014/chart" uri="{C3380CC4-5D6E-409C-BE32-E72D297353CC}">
              <c16:uniqueId val="{00000002-6BDE-5C45-9281-82A77E6F9E16}"/>
            </c:ext>
          </c:extLst>
        </c:ser>
        <c:ser>
          <c:idx val="3"/>
          <c:order val="3"/>
          <c:tx>
            <c:strRef>
              <c:f>Sheet1!$E$1</c:f>
              <c:strCache>
                <c:ptCount val="1"/>
                <c:pt idx="0">
                  <c:v>2026</c:v>
                </c:pt>
              </c:strCache>
            </c:strRef>
          </c:tx>
          <c:spPr>
            <a:solidFill>
              <a:schemeClr val="accent1"/>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ՊԱՇՏՊԱՆՈՒԹՅՈՒՆ,ՀԱՍԱՐԱԿԱԿՆ ԿԱՐԳ,ԱՆՎՏԱՆԳՈՒԹՅՈՒՆ ԵՎ ԴԱՏԱԿԱՆ ԳՈՐԾՈՒՆԵՈՒԹՅՈՒՆ</c:v>
                </c:pt>
                <c:pt idx="2">
                  <c:v>ՏՆՏԵՍԱԿԱՆ ՈԼՈՐՏ</c:v>
                </c:pt>
                <c:pt idx="3">
                  <c:v>ՍՈՑԻԱԼԱԿԱՆ ՈԼՈՐՏ</c:v>
                </c:pt>
              </c:strCache>
            </c:strRef>
          </c:cat>
          <c:val>
            <c:numRef>
              <c:f>Sheet1!$E$2:$E$5</c:f>
              <c:numCache>
                <c:formatCode>0.00%</c:formatCode>
                <c:ptCount val="4"/>
                <c:pt idx="0">
                  <c:v>0.253</c:v>
                </c:pt>
                <c:pt idx="1">
                  <c:v>0.22500000000000001</c:v>
                </c:pt>
                <c:pt idx="2">
                  <c:v>7.8E-2</c:v>
                </c:pt>
                <c:pt idx="3">
                  <c:v>0.44400000000000001</c:v>
                </c:pt>
              </c:numCache>
            </c:numRef>
          </c:val>
          <c:extLst>
            <c:ext xmlns:c16="http://schemas.microsoft.com/office/drawing/2014/chart" uri="{C3380CC4-5D6E-409C-BE32-E72D297353CC}">
              <c16:uniqueId val="{00000003-6BDE-5C45-9281-82A77E6F9E16}"/>
            </c:ext>
          </c:extLst>
        </c:ser>
        <c:ser>
          <c:idx val="4"/>
          <c:order val="4"/>
          <c:tx>
            <c:strRef>
              <c:f>Sheet1!$F$1</c:f>
              <c:strCache>
                <c:ptCount val="1"/>
                <c:pt idx="0">
                  <c:v>2025</c:v>
                </c:pt>
              </c:strCache>
            </c:strRef>
          </c:tx>
          <c:spPr>
            <a:solidFill>
              <a:schemeClr val="accent1">
                <a:shade val="82000"/>
              </a:schemeClr>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ՊԱՇՏՊԱՆՈՒԹՅՈՒՆ,ՀԱՍԱՐԱԿԱԿՆ ԿԱՐԳ,ԱՆՎՏԱՆԳՈՒԹՅՈՒՆ ԵՎ ԴԱՏԱԿԱՆ ԳՈՐԾՈՒՆԵՈՒԹՅՈՒՆ</c:v>
                </c:pt>
                <c:pt idx="2">
                  <c:v>ՏՆՏԵՍԱԿԱՆ ՈԼՈՐՏ</c:v>
                </c:pt>
                <c:pt idx="3">
                  <c:v>ՍՈՑԻԱԼԱԿԱՆ ՈԼՈՐՏ</c:v>
                </c:pt>
              </c:strCache>
            </c:strRef>
          </c:cat>
          <c:val>
            <c:numRef>
              <c:f>Sheet1!$F$2:$F$5</c:f>
              <c:numCache>
                <c:formatCode>0.00%</c:formatCode>
                <c:ptCount val="4"/>
                <c:pt idx="0">
                  <c:v>0.224</c:v>
                </c:pt>
                <c:pt idx="1">
                  <c:v>0.28000000000000003</c:v>
                </c:pt>
                <c:pt idx="2">
                  <c:v>7.1999999999999995E-2</c:v>
                </c:pt>
                <c:pt idx="3">
                  <c:v>0.42399999999999999</c:v>
                </c:pt>
              </c:numCache>
            </c:numRef>
          </c:val>
          <c:extLst>
            <c:ext xmlns:c16="http://schemas.microsoft.com/office/drawing/2014/chart" uri="{C3380CC4-5D6E-409C-BE32-E72D297353CC}">
              <c16:uniqueId val="{00000004-6BDE-5C45-9281-82A77E6F9E16}"/>
            </c:ext>
          </c:extLst>
        </c:ser>
        <c:ser>
          <c:idx val="5"/>
          <c:order val="5"/>
          <c:tx>
            <c:strRef>
              <c:f>Sheet1!$G$1</c:f>
              <c:strCache>
                <c:ptCount val="1"/>
                <c:pt idx="0">
                  <c:v>2024</c:v>
                </c:pt>
              </c:strCache>
            </c:strRef>
          </c:tx>
          <c:spPr>
            <a:solidFill>
              <a:schemeClr val="accent1">
                <a:shade val="65000"/>
              </a:schemeClr>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ՊԱՇՏՊԱՆՈՒԹՅՈՒՆ,ՀԱՍԱՐԱԿԱԿՆ ԿԱՐԳ,ԱՆՎՏԱՆԳՈՒԹՅՈՒՆ ԵՎ ԴԱՏԱԿԱՆ ԳՈՐԾՈՒՆԵՈՒԹՅՈՒՆ</c:v>
                </c:pt>
                <c:pt idx="2">
                  <c:v>ՏՆՏԵՍԱԿԱՆ ՈԼՈՐՏ</c:v>
                </c:pt>
                <c:pt idx="3">
                  <c:v>ՍՈՑԻԱԼԱԿԱՆ ՈԼՈՐՏ</c:v>
                </c:pt>
              </c:strCache>
            </c:strRef>
          </c:cat>
          <c:val>
            <c:numRef>
              <c:f>Sheet1!$G$2:$G$5</c:f>
              <c:numCache>
                <c:formatCode>0.00%</c:formatCode>
                <c:ptCount val="4"/>
                <c:pt idx="0">
                  <c:v>0.22700000000000001</c:v>
                </c:pt>
                <c:pt idx="1">
                  <c:v>0.26300000000000001</c:v>
                </c:pt>
                <c:pt idx="2">
                  <c:v>7.6999999999999999E-2</c:v>
                </c:pt>
                <c:pt idx="3">
                  <c:v>0.433</c:v>
                </c:pt>
              </c:numCache>
            </c:numRef>
          </c:val>
          <c:extLst>
            <c:ext xmlns:c16="http://schemas.microsoft.com/office/drawing/2014/chart" uri="{C3380CC4-5D6E-409C-BE32-E72D297353CC}">
              <c16:uniqueId val="{00000005-6BDE-5C45-9281-82A77E6F9E16}"/>
            </c:ext>
          </c:extLst>
        </c:ser>
        <c:ser>
          <c:idx val="6"/>
          <c:order val="6"/>
          <c:tx>
            <c:strRef>
              <c:f>Sheet1!$H$1</c:f>
              <c:strCache>
                <c:ptCount val="1"/>
                <c:pt idx="0">
                  <c:v>2023</c:v>
                </c:pt>
              </c:strCache>
            </c:strRef>
          </c:tx>
          <c:spPr>
            <a:solidFill>
              <a:schemeClr val="accent1">
                <a:shade val="47000"/>
              </a:schemeClr>
            </a:solidFill>
            <a:ln>
              <a:noFill/>
            </a:ln>
            <a:effectLst/>
          </c:spPr>
          <c:invertIfNegative val="0"/>
          <c:cat>
            <c:strRef>
              <c:f>Sheet1!$A$2:$A$5</c:f>
              <c:strCache>
                <c:ptCount val="4"/>
                <c:pt idx="0">
                  <c:v>ԸՆԴՀԱՆՈՒՐ ԲՆՈՒՅԹԻ ՀԱՆՐԱՅԻՆ ԾԱՌԱՅՈՒԹՅՈՒՆՆԵՐ (ԱՅԴ ԹՎՈՒՄ՝ ՊԱՀՈՒՍՏԱՅԻՆ ՖՈՆԴԵՐ)</c:v>
                </c:pt>
                <c:pt idx="1">
                  <c:v>ՊԱՇՏՊԱՆՈՒԹՅՈՒՆ,ՀԱՍԱՐԱԿԱԿՆ ԿԱՐԳ,ԱՆՎՏԱՆԳՈՒԹՅՈՒՆ ԵՎ ԴԱՏԱԿԱՆ ԳՈՐԾՈՒՆԵՈՒԹՅՈՒՆ</c:v>
                </c:pt>
                <c:pt idx="2">
                  <c:v>ՏՆՏԵՍԱԿԱՆ ՈԼՈՐՏ</c:v>
                </c:pt>
                <c:pt idx="3">
                  <c:v>ՍՈՑԻԱԼԱԿԱՆ ՈԼՈՐՏ</c:v>
                </c:pt>
              </c:strCache>
            </c:strRef>
          </c:cat>
          <c:val>
            <c:numRef>
              <c:f>Sheet1!$H$2:$H$5</c:f>
              <c:numCache>
                <c:formatCode>0.00%</c:formatCode>
                <c:ptCount val="4"/>
                <c:pt idx="0">
                  <c:v>0.20499999999999999</c:v>
                </c:pt>
                <c:pt idx="1">
                  <c:v>0.28799999999999998</c:v>
                </c:pt>
                <c:pt idx="2">
                  <c:v>8.5000000000000006E-2</c:v>
                </c:pt>
                <c:pt idx="3">
                  <c:v>0.42199999999999999</c:v>
                </c:pt>
              </c:numCache>
            </c:numRef>
          </c:val>
          <c:extLst>
            <c:ext xmlns:c16="http://schemas.microsoft.com/office/drawing/2014/chart" uri="{C3380CC4-5D6E-409C-BE32-E72D297353CC}">
              <c16:uniqueId val="{00000006-6BDE-5C45-9281-82A77E6F9E16}"/>
            </c:ext>
          </c:extLst>
        </c:ser>
        <c:dLbls>
          <c:showLegendKey val="0"/>
          <c:showVal val="0"/>
          <c:showCatName val="0"/>
          <c:showSerName val="0"/>
          <c:showPercent val="0"/>
          <c:showBubbleSize val="0"/>
        </c:dLbls>
        <c:gapWidth val="182"/>
        <c:axId val="251521711"/>
        <c:axId val="251523631"/>
      </c:barChart>
      <c:catAx>
        <c:axId val="25152171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523631"/>
        <c:crosses val="autoZero"/>
        <c:auto val="1"/>
        <c:lblAlgn val="ctr"/>
        <c:lblOffset val="100"/>
        <c:noMultiLvlLbl val="0"/>
      </c:catAx>
      <c:valAx>
        <c:axId val="251523631"/>
        <c:scaling>
          <c:orientation val="minMax"/>
        </c:scaling>
        <c:delete val="1"/>
        <c:axPos val="b"/>
        <c:numFmt formatCode="0.00%" sourceLinked="1"/>
        <c:majorTickMark val="none"/>
        <c:minorTickMark val="none"/>
        <c:tickLblPos val="nextTo"/>
        <c:crossAx val="2515217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GHEA Grapalat"/>
                <a:ea typeface="GHEA Grapalat"/>
                <a:cs typeface="GHEA Grapalat"/>
              </a:defRPr>
            </a:pPr>
            <a:r>
              <a:rPr lang="hy-AM" sz="1000"/>
              <a:t>Ըստ ռեզիդենտության</a:t>
            </a:r>
          </a:p>
        </c:rich>
      </c:tx>
      <c:layout>
        <c:manualLayout>
          <c:xMode val="edge"/>
          <c:yMode val="edge"/>
          <c:x val="0.19144911764078271"/>
          <c:y val="0"/>
        </c:manualLayout>
      </c:layout>
      <c:overlay val="0"/>
    </c:title>
    <c:autoTitleDeleted val="0"/>
    <c:plotArea>
      <c:layout>
        <c:manualLayout>
          <c:layoutTarget val="inner"/>
          <c:xMode val="edge"/>
          <c:yMode val="edge"/>
          <c:x val="1.8003076654495357E-2"/>
          <c:y val="0.11514435695538058"/>
          <c:w val="0.9550648274228879"/>
          <c:h val="0.66673467990414237"/>
        </c:manualLayout>
      </c:layout>
      <c:barChart>
        <c:barDir val="col"/>
        <c:grouping val="stacked"/>
        <c:varyColors val="0"/>
        <c:ser>
          <c:idx val="0"/>
          <c:order val="0"/>
          <c:tx>
            <c:strRef>
              <c:f>'[2027-2031 debt.xlsx new.xlsx]UXERZ 2027 budget'!$I$52</c:f>
              <c:strCache>
                <c:ptCount val="1"/>
                <c:pt idx="0">
                  <c:v>ներքին պարտք</c:v>
                </c:pt>
              </c:strCache>
            </c:strRef>
          </c:tx>
          <c:spPr>
            <a:solidFill>
              <a:srgbClr val="4472C4">
                <a:lumMod val="60000"/>
                <a:lumOff val="40000"/>
              </a:srgbClr>
            </a:solidFill>
            <a:ln>
              <a:noFill/>
            </a:ln>
          </c:spPr>
          <c:invertIfNegative val="0"/>
          <c:dLbls>
            <c:spPr>
              <a:noFill/>
              <a:ln w="25400">
                <a:noFill/>
              </a:ln>
            </c:spPr>
            <c:txPr>
              <a:bodyPr wrap="square" lIns="38100" tIns="19050" rIns="38100" bIns="19050" anchor="ctr">
                <a:spAutoFit/>
              </a:bodyPr>
              <a:lstStyle/>
              <a:p>
                <a:pPr>
                  <a:defRPr sz="600" b="0" i="0" u="none" strike="noStrike" baseline="0">
                    <a:solidFill>
                      <a:schemeClr val="bg1"/>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'[2027-2031 debt.xlsx new.xlsx]UXERZ 2027 budget'!$J$50:$S$50</c:f>
              <c:numCache>
                <c:formatCode>General</c:formatCode>
                <c:ptCount val="10"/>
                <c:pt idx="0">
                  <c:v>2020</c:v>
                </c:pt>
                <c:pt idx="1">
                  <c:v>2021</c:v>
                </c:pt>
                <c:pt idx="2">
                  <c:v>2022</c:v>
                </c:pt>
                <c:pt idx="3">
                  <c:v>2023</c:v>
                </c:pt>
                <c:pt idx="4">
                  <c:v>2024</c:v>
                </c:pt>
                <c:pt idx="5">
                  <c:v>2025</c:v>
                </c:pt>
                <c:pt idx="6">
                  <c:v>2026</c:v>
                </c:pt>
                <c:pt idx="7">
                  <c:v>2027</c:v>
                </c:pt>
                <c:pt idx="8">
                  <c:v>2028</c:v>
                </c:pt>
                <c:pt idx="9">
                  <c:v>2029</c:v>
                </c:pt>
              </c:numCache>
            </c:numRef>
          </c:cat>
          <c:val>
            <c:numRef>
              <c:f>'[2027-2031 debt.xlsx new.xlsx]UXERZ 2027 budget'!$J$52:$S$52</c:f>
              <c:numCache>
                <c:formatCode>_(* #,##0.0_);_(* \(#,##0.0\);_(* "-"??_);_(@_)</c:formatCode>
                <c:ptCount val="10"/>
                <c:pt idx="0">
                  <c:v>25.424939353575063</c:v>
                </c:pt>
                <c:pt idx="1">
                  <c:v>29.39398591380732</c:v>
                </c:pt>
                <c:pt idx="2">
                  <c:v>41.563932522681775</c:v>
                </c:pt>
                <c:pt idx="3">
                  <c:v>47.313953899753812</c:v>
                </c:pt>
                <c:pt idx="4">
                  <c:v>51.774766217807098</c:v>
                </c:pt>
                <c:pt idx="5">
                  <c:v>53.378618861224659</c:v>
                </c:pt>
                <c:pt idx="6">
                  <c:v>53.849153024997136</c:v>
                </c:pt>
                <c:pt idx="7">
                  <c:v>52.5633442847925</c:v>
                </c:pt>
                <c:pt idx="8">
                  <c:v>51.533513270988884</c:v>
                </c:pt>
                <c:pt idx="9">
                  <c:v>51.043335237962815</c:v>
                </c:pt>
              </c:numCache>
            </c:numRef>
          </c:val>
          <c:extLst>
            <c:ext xmlns:c16="http://schemas.microsoft.com/office/drawing/2014/chart" uri="{C3380CC4-5D6E-409C-BE32-E72D297353CC}">
              <c16:uniqueId val="{00000000-A3BC-46C5-AE2A-4933239A7274}"/>
            </c:ext>
          </c:extLst>
        </c:ser>
        <c:ser>
          <c:idx val="1"/>
          <c:order val="1"/>
          <c:tx>
            <c:strRef>
              <c:f>'[2027-2031 debt.xlsx new.xlsx]UXERZ 2027 budget'!$I$53</c:f>
              <c:strCache>
                <c:ptCount val="1"/>
                <c:pt idx="0">
                  <c:v>արտաքին պարտք</c:v>
                </c:pt>
              </c:strCache>
            </c:strRef>
          </c:tx>
          <c:spPr>
            <a:solidFill>
              <a:srgbClr val="44546A">
                <a:lumMod val="75000"/>
              </a:srgbClr>
            </a:solidFill>
            <a:ln>
              <a:noFill/>
            </a:ln>
          </c:spPr>
          <c:invertIfNegative val="0"/>
          <c:dPt>
            <c:idx val="2"/>
            <c:invertIfNegative val="0"/>
            <c:bubble3D val="0"/>
            <c:extLst>
              <c:ext xmlns:c16="http://schemas.microsoft.com/office/drawing/2014/chart" uri="{C3380CC4-5D6E-409C-BE32-E72D297353CC}">
                <c16:uniqueId val="{00000001-A3BC-46C5-AE2A-4933239A7274}"/>
              </c:ext>
            </c:extLst>
          </c:dPt>
          <c:dLbls>
            <c:spPr>
              <a:noFill/>
              <a:ln w="25400">
                <a:noFill/>
              </a:ln>
            </c:spPr>
            <c:txPr>
              <a:bodyPr wrap="square" lIns="38100" tIns="19050" rIns="38100" bIns="19050" anchor="ctr">
                <a:spAutoFit/>
              </a:bodyPr>
              <a:lstStyle/>
              <a:p>
                <a:pPr>
                  <a:defRPr sz="6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'[2027-2031 debt.xlsx new.xlsx]UXERZ 2027 budget'!$J$50:$S$50</c:f>
              <c:numCache>
                <c:formatCode>General</c:formatCode>
                <c:ptCount val="10"/>
                <c:pt idx="0">
                  <c:v>2020</c:v>
                </c:pt>
                <c:pt idx="1">
                  <c:v>2021</c:v>
                </c:pt>
                <c:pt idx="2">
                  <c:v>2022</c:v>
                </c:pt>
                <c:pt idx="3">
                  <c:v>2023</c:v>
                </c:pt>
                <c:pt idx="4">
                  <c:v>2024</c:v>
                </c:pt>
                <c:pt idx="5">
                  <c:v>2025</c:v>
                </c:pt>
                <c:pt idx="6">
                  <c:v>2026</c:v>
                </c:pt>
                <c:pt idx="7">
                  <c:v>2027</c:v>
                </c:pt>
                <c:pt idx="8">
                  <c:v>2028</c:v>
                </c:pt>
                <c:pt idx="9">
                  <c:v>2029</c:v>
                </c:pt>
              </c:numCache>
            </c:numRef>
          </c:cat>
          <c:val>
            <c:numRef>
              <c:f>'[2027-2031 debt.xlsx new.xlsx]UXERZ 2027 budget'!$J$53:$S$53</c:f>
              <c:numCache>
                <c:formatCode>_(* #,##0.0_);_(* \(#,##0.0\);_(* "-"??_);_(@_)</c:formatCode>
                <c:ptCount val="10"/>
                <c:pt idx="0">
                  <c:v>74.575060646424916</c:v>
                </c:pt>
                <c:pt idx="1">
                  <c:v>70.606014086192658</c:v>
                </c:pt>
                <c:pt idx="2">
                  <c:v>58.436067477318225</c:v>
                </c:pt>
                <c:pt idx="3">
                  <c:v>52.686046100246188</c:v>
                </c:pt>
                <c:pt idx="4">
                  <c:v>48.225233782192895</c:v>
                </c:pt>
                <c:pt idx="5">
                  <c:v>46.621381138775355</c:v>
                </c:pt>
                <c:pt idx="6">
                  <c:v>46.150846975002864</c:v>
                </c:pt>
                <c:pt idx="7">
                  <c:v>47.4366557152075</c:v>
                </c:pt>
                <c:pt idx="8">
                  <c:v>48.466486729011116</c:v>
                </c:pt>
                <c:pt idx="9">
                  <c:v>48.956664762037178</c:v>
                </c:pt>
              </c:numCache>
            </c:numRef>
          </c:val>
          <c:extLst>
            <c:ext xmlns:c16="http://schemas.microsoft.com/office/drawing/2014/chart" uri="{C3380CC4-5D6E-409C-BE32-E72D297353CC}">
              <c16:uniqueId val="{00000002-A3BC-46C5-AE2A-4933239A7274}"/>
            </c:ext>
          </c:extLst>
        </c:ser>
        <c:dLbls>
          <c:showLegendKey val="0"/>
          <c:showVal val="0"/>
          <c:showCatName val="0"/>
          <c:showSerName val="0"/>
          <c:showPercent val="0"/>
          <c:showBubbleSize val="0"/>
        </c:dLbls>
        <c:gapWidth val="77"/>
        <c:overlap val="100"/>
        <c:axId val="462032896"/>
        <c:axId val="454874752"/>
      </c:barChart>
      <c:catAx>
        <c:axId val="4620328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800" b="0" i="0" u="none" strike="noStrike" baseline="0">
                <a:solidFill>
                  <a:srgbClr val="333333"/>
                </a:solidFill>
                <a:latin typeface="GHEA Grapalat"/>
                <a:ea typeface="GHEA Grapalat"/>
                <a:cs typeface="GHEA Grapalat"/>
              </a:defRPr>
            </a:pPr>
            <a:endParaRPr lang="en-US"/>
          </a:p>
        </c:txPr>
        <c:crossAx val="454874752"/>
        <c:crosses val="autoZero"/>
        <c:auto val="1"/>
        <c:lblAlgn val="ctr"/>
        <c:lblOffset val="100"/>
        <c:noMultiLvlLbl val="0"/>
      </c:catAx>
      <c:valAx>
        <c:axId val="454874752"/>
        <c:scaling>
          <c:orientation val="minMax"/>
          <c:max val="100"/>
        </c:scaling>
        <c:delete val="1"/>
        <c:axPos val="l"/>
        <c:numFmt formatCode="_(* #,##0.0_);_(* \(#,##0.0\);_(* &quot;-&quot;??_);_(@_)" sourceLinked="1"/>
        <c:majorTickMark val="out"/>
        <c:minorTickMark val="none"/>
        <c:tickLblPos val="nextTo"/>
        <c:crossAx val="462032896"/>
        <c:crosses val="autoZero"/>
        <c:crossBetween val="between"/>
      </c:valAx>
      <c:spPr>
        <a:noFill/>
        <a:ln w="25400">
          <a:noFill/>
        </a:ln>
      </c:spPr>
    </c:plotArea>
    <c:legend>
      <c:legendPos val="b"/>
      <c:layout>
        <c:manualLayout>
          <c:xMode val="edge"/>
          <c:yMode val="edge"/>
          <c:x val="2.7173960978454929E-2"/>
          <c:y val="0.91815960989372447"/>
          <c:w val="0.91032612793319534"/>
          <c:h val="6.6496300365555094E-2"/>
        </c:manualLayout>
      </c:layout>
      <c:overlay val="0"/>
      <c:txPr>
        <a:bodyPr/>
        <a:lstStyle/>
        <a:p>
          <a:pPr>
            <a:defRPr sz="775"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noFill/>
    </a:ln>
    <a:effectLst/>
  </c:spPr>
  <c:txPr>
    <a:bodyPr/>
    <a:lstStyle/>
    <a:p>
      <a:pPr>
        <a:defRPr sz="1000" b="0" i="0" u="none" strike="noStrike" baseline="0">
          <a:solidFill>
            <a:srgbClr val="000000"/>
          </a:solidFill>
          <a:latin typeface="GHEA Grapalat"/>
          <a:ea typeface="GHEA Grapalat"/>
          <a:cs typeface="GHEA Grapalat"/>
        </a:defRPr>
      </a:pPr>
      <a:endParaRPr lang="en-US"/>
    </a:p>
  </c:txPr>
  <c:externalData r:id="rId2">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GHEA Grapalat"/>
                <a:ea typeface="GHEA Grapalat"/>
                <a:cs typeface="GHEA Grapalat"/>
              </a:defRPr>
            </a:pPr>
            <a:r>
              <a:rPr lang="hy-AM" sz="1000"/>
              <a:t>Ըստ ներգրավման արժույթի</a:t>
            </a:r>
          </a:p>
        </c:rich>
      </c:tx>
      <c:layout>
        <c:manualLayout>
          <c:xMode val="edge"/>
          <c:yMode val="edge"/>
          <c:x val="0.19144911554360372"/>
          <c:y val="0"/>
        </c:manualLayout>
      </c:layout>
      <c:overlay val="0"/>
    </c:title>
    <c:autoTitleDeleted val="0"/>
    <c:plotArea>
      <c:layout>
        <c:manualLayout>
          <c:layoutTarget val="inner"/>
          <c:xMode val="edge"/>
          <c:yMode val="edge"/>
          <c:x val="1.8003076654495357E-2"/>
          <c:y val="0.11514435695538058"/>
          <c:w val="0.9550648274228879"/>
          <c:h val="0.66673467990414237"/>
        </c:manualLayout>
      </c:layout>
      <c:barChart>
        <c:barDir val="col"/>
        <c:grouping val="stacked"/>
        <c:varyColors val="0"/>
        <c:ser>
          <c:idx val="0"/>
          <c:order val="0"/>
          <c:tx>
            <c:strRef>
              <c:f>'[2027-2031 debt.xlsx new.xlsx]UXERZ 2027 budget'!$I$59</c:f>
              <c:strCache>
                <c:ptCount val="1"/>
                <c:pt idx="0">
                  <c:v>դրամային</c:v>
                </c:pt>
              </c:strCache>
            </c:strRef>
          </c:tx>
          <c:spPr>
            <a:solidFill>
              <a:srgbClr val="4472C4">
                <a:lumMod val="60000"/>
                <a:lumOff val="40000"/>
              </a:srgbClr>
            </a:solidFill>
          </c:spPr>
          <c:invertIfNegative val="0"/>
          <c:dLbls>
            <c:spPr>
              <a:noFill/>
              <a:ln w="25400">
                <a:noFill/>
              </a:ln>
            </c:spPr>
            <c:txPr>
              <a:bodyPr wrap="square" lIns="38100" tIns="19050" rIns="38100" bIns="19050" anchor="ctr">
                <a:spAutoFit/>
              </a:bodyPr>
              <a:lstStyle/>
              <a:p>
                <a:pPr>
                  <a:defRPr sz="6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'[2027-2031 debt.xlsx new.xlsx]UXERZ 2027 budget'!$J$50:$S$50</c:f>
              <c:numCache>
                <c:formatCode>General</c:formatCode>
                <c:ptCount val="10"/>
                <c:pt idx="0">
                  <c:v>2020</c:v>
                </c:pt>
                <c:pt idx="1">
                  <c:v>2021</c:v>
                </c:pt>
                <c:pt idx="2">
                  <c:v>2022</c:v>
                </c:pt>
                <c:pt idx="3">
                  <c:v>2023</c:v>
                </c:pt>
                <c:pt idx="4">
                  <c:v>2024</c:v>
                </c:pt>
                <c:pt idx="5">
                  <c:v>2025</c:v>
                </c:pt>
                <c:pt idx="6">
                  <c:v>2026</c:v>
                </c:pt>
                <c:pt idx="7">
                  <c:v>2027</c:v>
                </c:pt>
                <c:pt idx="8">
                  <c:v>2028</c:v>
                </c:pt>
                <c:pt idx="9">
                  <c:v>2029</c:v>
                </c:pt>
              </c:numCache>
            </c:numRef>
          </c:cat>
          <c:val>
            <c:numRef>
              <c:f>'[2027-2031 debt.xlsx new.xlsx]UXERZ 2027 budget'!$J$59:$S$59</c:f>
              <c:numCache>
                <c:formatCode>_(* #,##0.0_);_(* \(#,##0.0\);_(* "-"??_);_(@_)</c:formatCode>
                <c:ptCount val="10"/>
                <c:pt idx="0">
                  <c:v>24.435806405343516</c:v>
                </c:pt>
                <c:pt idx="1">
                  <c:v>28.842937457677692</c:v>
                </c:pt>
                <c:pt idx="2">
                  <c:v>37.92281415103416</c:v>
                </c:pt>
                <c:pt idx="3">
                  <c:v>45.933174026569759</c:v>
                </c:pt>
                <c:pt idx="4">
                  <c:v>50.759235817845003</c:v>
                </c:pt>
                <c:pt idx="5">
                  <c:v>52.940938742500805</c:v>
                </c:pt>
                <c:pt idx="6">
                  <c:v>53.30814992378496</c:v>
                </c:pt>
                <c:pt idx="7">
                  <c:v>52.22925648717996</c:v>
                </c:pt>
                <c:pt idx="8">
                  <c:v>51.331911874862861</c:v>
                </c:pt>
                <c:pt idx="9">
                  <c:v>50.942032599224667</c:v>
                </c:pt>
              </c:numCache>
            </c:numRef>
          </c:val>
          <c:extLst>
            <c:ext xmlns:c16="http://schemas.microsoft.com/office/drawing/2014/chart" uri="{C3380CC4-5D6E-409C-BE32-E72D297353CC}">
              <c16:uniqueId val="{00000000-8FCD-4E80-B366-20317AD35E8F}"/>
            </c:ext>
          </c:extLst>
        </c:ser>
        <c:ser>
          <c:idx val="1"/>
          <c:order val="1"/>
          <c:tx>
            <c:strRef>
              <c:f>'[2027-2031 debt.xlsx new.xlsx]UXERZ 2027 budget'!$I$60</c:f>
              <c:strCache>
                <c:ptCount val="1"/>
                <c:pt idx="0">
                  <c:v>արտարժութային պարտք</c:v>
                </c:pt>
              </c:strCache>
            </c:strRef>
          </c:tx>
          <c:spPr>
            <a:solidFill>
              <a:srgbClr val="44546A">
                <a:lumMod val="75000"/>
              </a:srgbClr>
            </a:solidFill>
          </c:spPr>
          <c:invertIfNegative val="0"/>
          <c:dLbls>
            <c:spPr>
              <a:noFill/>
              <a:ln w="25400">
                <a:noFill/>
              </a:ln>
            </c:spPr>
            <c:txPr>
              <a:bodyPr wrap="square" lIns="38100" tIns="19050" rIns="38100" bIns="19050" anchor="ctr">
                <a:spAutoFit/>
              </a:bodyPr>
              <a:lstStyle/>
              <a:p>
                <a:pPr>
                  <a:defRPr sz="6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'[2027-2031 debt.xlsx new.xlsx]UXERZ 2027 budget'!$J$50:$S$50</c:f>
              <c:numCache>
                <c:formatCode>General</c:formatCode>
                <c:ptCount val="10"/>
                <c:pt idx="0">
                  <c:v>2020</c:v>
                </c:pt>
                <c:pt idx="1">
                  <c:v>2021</c:v>
                </c:pt>
                <c:pt idx="2">
                  <c:v>2022</c:v>
                </c:pt>
                <c:pt idx="3">
                  <c:v>2023</c:v>
                </c:pt>
                <c:pt idx="4">
                  <c:v>2024</c:v>
                </c:pt>
                <c:pt idx="5">
                  <c:v>2025</c:v>
                </c:pt>
                <c:pt idx="6">
                  <c:v>2026</c:v>
                </c:pt>
                <c:pt idx="7">
                  <c:v>2027</c:v>
                </c:pt>
                <c:pt idx="8">
                  <c:v>2028</c:v>
                </c:pt>
                <c:pt idx="9">
                  <c:v>2029</c:v>
                </c:pt>
              </c:numCache>
            </c:numRef>
          </c:cat>
          <c:val>
            <c:numRef>
              <c:f>'[2027-2031 debt.xlsx new.xlsx]UXERZ 2027 budget'!$J$60:$S$60</c:f>
              <c:numCache>
                <c:formatCode>_(* #,##0.0_);_(* \(#,##0.0\);_(* "-"??_);_(@_)</c:formatCode>
                <c:ptCount val="10"/>
                <c:pt idx="0">
                  <c:v>75.564193594656473</c:v>
                </c:pt>
                <c:pt idx="1">
                  <c:v>71.157062542322308</c:v>
                </c:pt>
                <c:pt idx="2">
                  <c:v>62.077185848965847</c:v>
                </c:pt>
                <c:pt idx="3">
                  <c:v>54.066825973430234</c:v>
                </c:pt>
                <c:pt idx="4">
                  <c:v>49.24076418215499</c:v>
                </c:pt>
                <c:pt idx="5">
                  <c:v>47.059061257499195</c:v>
                </c:pt>
                <c:pt idx="6">
                  <c:v>46.69185007621504</c:v>
                </c:pt>
                <c:pt idx="7">
                  <c:v>47.770743512820026</c:v>
                </c:pt>
                <c:pt idx="8">
                  <c:v>48.668088125137146</c:v>
                </c:pt>
                <c:pt idx="9">
                  <c:v>49.057967400775333</c:v>
                </c:pt>
              </c:numCache>
            </c:numRef>
          </c:val>
          <c:extLst>
            <c:ext xmlns:c16="http://schemas.microsoft.com/office/drawing/2014/chart" uri="{C3380CC4-5D6E-409C-BE32-E72D297353CC}">
              <c16:uniqueId val="{00000001-8FCD-4E80-B366-20317AD35E8F}"/>
            </c:ext>
          </c:extLst>
        </c:ser>
        <c:dLbls>
          <c:showLegendKey val="0"/>
          <c:showVal val="0"/>
          <c:showCatName val="0"/>
          <c:showSerName val="0"/>
          <c:showPercent val="0"/>
          <c:showBubbleSize val="0"/>
        </c:dLbls>
        <c:gapWidth val="79"/>
        <c:overlap val="100"/>
        <c:axId val="456644608"/>
        <c:axId val="454872448"/>
      </c:barChart>
      <c:catAx>
        <c:axId val="456644608"/>
        <c:scaling>
          <c:orientation val="minMax"/>
        </c:scaling>
        <c:delete val="0"/>
        <c:axPos val="b"/>
        <c:majorGridlines>
          <c:spPr>
            <a:ln w="9525" cap="flat" cmpd="sng" algn="ctr">
              <a:no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800" b="0" i="0" u="none" strike="noStrike" baseline="0">
                <a:solidFill>
                  <a:srgbClr val="333333"/>
                </a:solidFill>
                <a:latin typeface="GHEA Grapalat"/>
                <a:ea typeface="GHEA Grapalat"/>
                <a:cs typeface="GHEA Grapalat"/>
              </a:defRPr>
            </a:pPr>
            <a:endParaRPr lang="en-US"/>
          </a:p>
        </c:txPr>
        <c:crossAx val="454872448"/>
        <c:crosses val="autoZero"/>
        <c:auto val="1"/>
        <c:lblAlgn val="ctr"/>
        <c:lblOffset val="100"/>
        <c:noMultiLvlLbl val="0"/>
      </c:catAx>
      <c:valAx>
        <c:axId val="454872448"/>
        <c:scaling>
          <c:orientation val="minMax"/>
          <c:max val="100"/>
        </c:scaling>
        <c:delete val="1"/>
        <c:axPos val="l"/>
        <c:numFmt formatCode="_(* #,##0.0_);_(* \(#,##0.0\);_(* &quot;-&quot;??_);_(@_)" sourceLinked="1"/>
        <c:majorTickMark val="out"/>
        <c:minorTickMark val="none"/>
        <c:tickLblPos val="nextTo"/>
        <c:crossAx val="456644608"/>
        <c:crosses val="autoZero"/>
        <c:crossBetween val="between"/>
      </c:valAx>
      <c:spPr>
        <a:noFill/>
        <a:ln w="25400">
          <a:noFill/>
        </a:ln>
      </c:spPr>
    </c:plotArea>
    <c:legend>
      <c:legendPos val="b"/>
      <c:layout>
        <c:manualLayout>
          <c:xMode val="edge"/>
          <c:yMode val="edge"/>
          <c:x val="1.2315192787633732E-2"/>
          <c:y val="0.92190693270926649"/>
          <c:w val="0.74876949963564143"/>
          <c:h val="5.8962260390581729E-2"/>
        </c:manualLayout>
      </c:layout>
      <c:overlay val="0"/>
      <c:txPr>
        <a:bodyPr/>
        <a:lstStyle/>
        <a:p>
          <a:pPr>
            <a:defRPr sz="775"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noFill/>
    </a:ln>
    <a:effectLst/>
  </c:spPr>
  <c:txPr>
    <a:bodyPr/>
    <a:lstStyle/>
    <a:p>
      <a:pPr>
        <a:defRPr sz="1000" b="0" i="0" u="none" strike="noStrike" baseline="0">
          <a:solidFill>
            <a:srgbClr val="000000"/>
          </a:solidFill>
          <a:latin typeface="GHEA Grapalat"/>
          <a:ea typeface="GHEA Grapalat"/>
          <a:cs typeface="GHEA Grapalat"/>
        </a:defRPr>
      </a:pPr>
      <a:endParaRPr lang="en-US"/>
    </a:p>
  </c:txPr>
  <c:externalData r:id="rId2">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GHEA Grapalat"/>
                <a:ea typeface="GHEA Grapalat"/>
                <a:cs typeface="GHEA Grapalat"/>
              </a:defRPr>
            </a:pPr>
            <a:r>
              <a:rPr lang="hy-AM" sz="1000"/>
              <a:t>Ըստ տոկոսադրույքի տեսակի</a:t>
            </a:r>
          </a:p>
        </c:rich>
      </c:tx>
      <c:layout>
        <c:manualLayout>
          <c:xMode val="edge"/>
          <c:yMode val="edge"/>
          <c:x val="0.19144923061087951"/>
          <c:y val="0"/>
        </c:manualLayout>
      </c:layout>
      <c:overlay val="0"/>
    </c:title>
    <c:autoTitleDeleted val="0"/>
    <c:plotArea>
      <c:layout>
        <c:manualLayout>
          <c:layoutTarget val="inner"/>
          <c:xMode val="edge"/>
          <c:yMode val="edge"/>
          <c:x val="1.8003076654495357E-2"/>
          <c:y val="0.11514435695538058"/>
          <c:w val="0.9550648274228879"/>
          <c:h val="0.66673467990414237"/>
        </c:manualLayout>
      </c:layout>
      <c:barChart>
        <c:barDir val="col"/>
        <c:grouping val="stacked"/>
        <c:varyColors val="0"/>
        <c:ser>
          <c:idx val="0"/>
          <c:order val="0"/>
          <c:tx>
            <c:strRef>
              <c:f>'[2027-2031 debt.xlsx new.xlsx]UXERZ 2027 budget'!$I$62</c:f>
              <c:strCache>
                <c:ptCount val="1"/>
                <c:pt idx="0">
                  <c:v>լողացող տոկոսադրույքով</c:v>
                </c:pt>
              </c:strCache>
            </c:strRef>
          </c:tx>
          <c:invertIfNegative val="0"/>
          <c:dLbls>
            <c:spPr>
              <a:noFill/>
              <a:ln w="25400">
                <a:noFill/>
              </a:ln>
            </c:spPr>
            <c:txPr>
              <a:bodyPr wrap="square" lIns="38100" tIns="19050" rIns="38100" bIns="19050" anchor="ctr">
                <a:spAutoFit/>
              </a:bodyPr>
              <a:lstStyle/>
              <a:p>
                <a:pPr>
                  <a:defRPr sz="6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'[2027-2031 debt.xlsx new.xlsx]UXERZ 2027 budget'!$J$50:$S$50</c:f>
              <c:numCache>
                <c:formatCode>General</c:formatCode>
                <c:ptCount val="10"/>
                <c:pt idx="0">
                  <c:v>2020</c:v>
                </c:pt>
                <c:pt idx="1">
                  <c:v>2021</c:v>
                </c:pt>
                <c:pt idx="2">
                  <c:v>2022</c:v>
                </c:pt>
                <c:pt idx="3">
                  <c:v>2023</c:v>
                </c:pt>
                <c:pt idx="4">
                  <c:v>2024</c:v>
                </c:pt>
                <c:pt idx="5">
                  <c:v>2025</c:v>
                </c:pt>
                <c:pt idx="6">
                  <c:v>2026</c:v>
                </c:pt>
                <c:pt idx="7">
                  <c:v>2027</c:v>
                </c:pt>
                <c:pt idx="8">
                  <c:v>2028</c:v>
                </c:pt>
                <c:pt idx="9">
                  <c:v>2029</c:v>
                </c:pt>
              </c:numCache>
            </c:numRef>
          </c:cat>
          <c:val>
            <c:numRef>
              <c:f>'[2027-2031 debt.xlsx new.xlsx]UXERZ 2027 budget'!$J$62:$S$62</c:f>
              <c:numCache>
                <c:formatCode>_(* #,##0.0_);_(* \(#,##0.0\);_(* "-"??_);_(@_)</c:formatCode>
                <c:ptCount val="10"/>
                <c:pt idx="0">
                  <c:v>19.593935065352742</c:v>
                </c:pt>
                <c:pt idx="1">
                  <c:v>17.055253400285526</c:v>
                </c:pt>
                <c:pt idx="2">
                  <c:v>16.465865053197106</c:v>
                </c:pt>
                <c:pt idx="3">
                  <c:v>15.936216070225301</c:v>
                </c:pt>
                <c:pt idx="4">
                  <c:v>15.578874337862414</c:v>
                </c:pt>
                <c:pt idx="5">
                  <c:v>13.938248784621372</c:v>
                </c:pt>
                <c:pt idx="6">
                  <c:v>18.025635116929575</c:v>
                </c:pt>
                <c:pt idx="7">
                  <c:v>15.676299794793962</c:v>
                </c:pt>
                <c:pt idx="8">
                  <c:v>15.721050175451946</c:v>
                </c:pt>
                <c:pt idx="9">
                  <c:v>15.574334481676745</c:v>
                </c:pt>
              </c:numCache>
            </c:numRef>
          </c:val>
          <c:extLst>
            <c:ext xmlns:c16="http://schemas.microsoft.com/office/drawing/2014/chart" uri="{C3380CC4-5D6E-409C-BE32-E72D297353CC}">
              <c16:uniqueId val="{00000000-AA65-479C-ADEC-93D69724A985}"/>
            </c:ext>
          </c:extLst>
        </c:ser>
        <c:ser>
          <c:idx val="1"/>
          <c:order val="1"/>
          <c:tx>
            <c:strRef>
              <c:f>'[2027-2031 debt.xlsx new.xlsx]UXERZ 2027 budget'!$I$63</c:f>
              <c:strCache>
                <c:ptCount val="1"/>
                <c:pt idx="0">
                  <c:v>ֆիքսված տոկոսադրույքով</c:v>
                </c:pt>
              </c:strCache>
            </c:strRef>
          </c:tx>
          <c:spPr>
            <a:solidFill>
              <a:srgbClr val="44546A">
                <a:lumMod val="75000"/>
              </a:srgbClr>
            </a:solidFill>
          </c:spPr>
          <c:invertIfNegative val="0"/>
          <c:dLbls>
            <c:spPr>
              <a:noFill/>
              <a:ln w="25400">
                <a:noFill/>
              </a:ln>
            </c:spPr>
            <c:txPr>
              <a:bodyPr wrap="square" lIns="38100" tIns="19050" rIns="38100" bIns="19050" anchor="ctr">
                <a:spAutoFit/>
              </a:bodyPr>
              <a:lstStyle/>
              <a:p>
                <a:pPr>
                  <a:defRPr sz="6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'[2027-2031 debt.xlsx new.xlsx]UXERZ 2027 budget'!$J$50:$S$50</c:f>
              <c:numCache>
                <c:formatCode>General</c:formatCode>
                <c:ptCount val="10"/>
                <c:pt idx="0">
                  <c:v>2020</c:v>
                </c:pt>
                <c:pt idx="1">
                  <c:v>2021</c:v>
                </c:pt>
                <c:pt idx="2">
                  <c:v>2022</c:v>
                </c:pt>
                <c:pt idx="3">
                  <c:v>2023</c:v>
                </c:pt>
                <c:pt idx="4">
                  <c:v>2024</c:v>
                </c:pt>
                <c:pt idx="5">
                  <c:v>2025</c:v>
                </c:pt>
                <c:pt idx="6">
                  <c:v>2026</c:v>
                </c:pt>
                <c:pt idx="7">
                  <c:v>2027</c:v>
                </c:pt>
                <c:pt idx="8">
                  <c:v>2028</c:v>
                </c:pt>
                <c:pt idx="9">
                  <c:v>2029</c:v>
                </c:pt>
              </c:numCache>
            </c:numRef>
          </c:cat>
          <c:val>
            <c:numRef>
              <c:f>'[2027-2031 debt.xlsx new.xlsx]UXERZ 2027 budget'!$J$63:$S$63</c:f>
              <c:numCache>
                <c:formatCode>_(* #,##0.0_);_(* \(#,##0.0\);_(* "-"??_);_(@_)</c:formatCode>
                <c:ptCount val="10"/>
                <c:pt idx="0">
                  <c:v>80.406064934647262</c:v>
                </c:pt>
                <c:pt idx="1">
                  <c:v>82.944746599714477</c:v>
                </c:pt>
                <c:pt idx="2">
                  <c:v>83.534134946802894</c:v>
                </c:pt>
                <c:pt idx="3">
                  <c:v>84.063783929774715</c:v>
                </c:pt>
                <c:pt idx="4">
                  <c:v>84.421125662137555</c:v>
                </c:pt>
                <c:pt idx="5">
                  <c:v>86.061751215378621</c:v>
                </c:pt>
                <c:pt idx="6">
                  <c:v>81.974364883070422</c:v>
                </c:pt>
                <c:pt idx="7">
                  <c:v>84.323700205206038</c:v>
                </c:pt>
                <c:pt idx="8">
                  <c:v>84.27894982454805</c:v>
                </c:pt>
                <c:pt idx="9">
                  <c:v>84.425665518323243</c:v>
                </c:pt>
              </c:numCache>
            </c:numRef>
          </c:val>
          <c:extLst>
            <c:ext xmlns:c16="http://schemas.microsoft.com/office/drawing/2014/chart" uri="{C3380CC4-5D6E-409C-BE32-E72D297353CC}">
              <c16:uniqueId val="{00000001-AA65-479C-ADEC-93D69724A985}"/>
            </c:ext>
          </c:extLst>
        </c:ser>
        <c:dLbls>
          <c:showLegendKey val="0"/>
          <c:showVal val="0"/>
          <c:showCatName val="0"/>
          <c:showSerName val="0"/>
          <c:showPercent val="0"/>
          <c:showBubbleSize val="0"/>
        </c:dLbls>
        <c:gapWidth val="79"/>
        <c:overlap val="100"/>
        <c:axId val="462034432"/>
        <c:axId val="461955072"/>
      </c:barChart>
      <c:catAx>
        <c:axId val="462034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800" b="0" i="0" u="none" strike="noStrike" baseline="0">
                <a:solidFill>
                  <a:srgbClr val="333333"/>
                </a:solidFill>
                <a:latin typeface="GHEA Grapalat"/>
                <a:ea typeface="GHEA Grapalat"/>
                <a:cs typeface="GHEA Grapalat"/>
              </a:defRPr>
            </a:pPr>
            <a:endParaRPr lang="en-US"/>
          </a:p>
        </c:txPr>
        <c:crossAx val="461955072"/>
        <c:crosses val="autoZero"/>
        <c:auto val="1"/>
        <c:lblAlgn val="ctr"/>
        <c:lblOffset val="100"/>
        <c:noMultiLvlLbl val="0"/>
      </c:catAx>
      <c:valAx>
        <c:axId val="461955072"/>
        <c:scaling>
          <c:orientation val="minMax"/>
          <c:max val="100"/>
        </c:scaling>
        <c:delete val="1"/>
        <c:axPos val="l"/>
        <c:numFmt formatCode="_(* #,##0.0_);_(* \(#,##0.0\);_(* &quot;-&quot;??_);_(@_)" sourceLinked="1"/>
        <c:majorTickMark val="out"/>
        <c:minorTickMark val="none"/>
        <c:tickLblPos val="nextTo"/>
        <c:crossAx val="462034432"/>
        <c:crosses val="autoZero"/>
        <c:crossBetween val="between"/>
      </c:valAx>
      <c:spPr>
        <a:noFill/>
        <a:ln w="25400">
          <a:noFill/>
        </a:ln>
      </c:spPr>
    </c:plotArea>
    <c:legend>
      <c:legendPos val="b"/>
      <c:layout>
        <c:manualLayout>
          <c:xMode val="edge"/>
          <c:yMode val="edge"/>
          <c:x val="1.2315372343162987E-2"/>
          <c:y val="0.86450102704553233"/>
          <c:w val="0.91379419484329161"/>
          <c:h val="0.11924141275818778"/>
        </c:manualLayout>
      </c:layout>
      <c:overlay val="0"/>
      <c:txPr>
        <a:bodyPr/>
        <a:lstStyle/>
        <a:p>
          <a:pPr>
            <a:defRPr sz="775"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noFill/>
    </a:ln>
    <a:effectLst/>
  </c:spPr>
  <c:txPr>
    <a:bodyPr/>
    <a:lstStyle/>
    <a:p>
      <a:pPr>
        <a:defRPr sz="1000" b="0" i="0" u="none" strike="noStrike" baseline="0">
          <a:solidFill>
            <a:srgbClr val="000000"/>
          </a:solidFill>
          <a:latin typeface="GHEA Grapalat"/>
          <a:ea typeface="GHEA Grapalat"/>
          <a:cs typeface="GHEA Grapalat"/>
        </a:defRPr>
      </a:pPr>
      <a:endParaRPr lang="en-US"/>
    </a:p>
  </c:txPr>
  <c:externalData r:id="rId2">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GHEA Grapalat"/>
                <a:ea typeface="GHEA Grapalat"/>
                <a:cs typeface="GHEA Grapalat"/>
              </a:defRPr>
            </a:pPr>
            <a:r>
              <a:rPr lang="hy-AM" sz="1000"/>
              <a:t>Ըստ գործիքակազմի</a:t>
            </a:r>
          </a:p>
        </c:rich>
      </c:tx>
      <c:layout>
        <c:manualLayout>
          <c:xMode val="edge"/>
          <c:yMode val="edge"/>
          <c:x val="0.31765965903873938"/>
          <c:y val="0"/>
        </c:manualLayout>
      </c:layout>
      <c:overlay val="0"/>
    </c:title>
    <c:autoTitleDeleted val="0"/>
    <c:plotArea>
      <c:layout>
        <c:manualLayout>
          <c:layoutTarget val="inner"/>
          <c:xMode val="edge"/>
          <c:yMode val="edge"/>
          <c:x val="6.7125846111341356E-2"/>
          <c:y val="0.10891817870592262"/>
          <c:w val="0.91130525867442591"/>
          <c:h val="0.66718886820275458"/>
        </c:manualLayout>
      </c:layout>
      <c:barChart>
        <c:barDir val="col"/>
        <c:grouping val="stacked"/>
        <c:varyColors val="0"/>
        <c:ser>
          <c:idx val="0"/>
          <c:order val="0"/>
          <c:tx>
            <c:strRef>
              <c:f>'[2027-2031 debt.xlsx new.xlsx]UXERZ 2027 budget'!$I$55</c:f>
              <c:strCache>
                <c:ptCount val="1"/>
                <c:pt idx="0">
                  <c:v>պետական գանձապետական պարտատոմսեր</c:v>
                </c:pt>
              </c:strCache>
            </c:strRef>
          </c:tx>
          <c:invertIfNegative val="0"/>
          <c:dLbls>
            <c:spPr>
              <a:noFill/>
              <a:ln w="25400">
                <a:noFill/>
              </a:ln>
            </c:spPr>
            <c:txPr>
              <a:bodyPr wrap="square" lIns="38100" tIns="19050" rIns="38100" bIns="19050" anchor="ctr">
                <a:spAutoFit/>
              </a:bodyPr>
              <a:lstStyle/>
              <a:p>
                <a:pPr>
                  <a:defRPr sz="6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'[2027-2031 debt.xlsx new.xlsx]UXERZ 2027 budget'!$J$50:$S$50</c:f>
              <c:numCache>
                <c:formatCode>General</c:formatCode>
                <c:ptCount val="10"/>
                <c:pt idx="0">
                  <c:v>2020</c:v>
                </c:pt>
                <c:pt idx="1">
                  <c:v>2021</c:v>
                </c:pt>
                <c:pt idx="2">
                  <c:v>2022</c:v>
                </c:pt>
                <c:pt idx="3">
                  <c:v>2023</c:v>
                </c:pt>
                <c:pt idx="4">
                  <c:v>2024</c:v>
                </c:pt>
                <c:pt idx="5">
                  <c:v>2025</c:v>
                </c:pt>
                <c:pt idx="6">
                  <c:v>2026</c:v>
                </c:pt>
                <c:pt idx="7">
                  <c:v>2027</c:v>
                </c:pt>
                <c:pt idx="8">
                  <c:v>2028</c:v>
                </c:pt>
                <c:pt idx="9">
                  <c:v>2029</c:v>
                </c:pt>
              </c:numCache>
            </c:numRef>
          </c:cat>
          <c:val>
            <c:numRef>
              <c:f>'[2027-2031 debt.xlsx new.xlsx]UXERZ 2027 budget'!$J$55:$S$55</c:f>
              <c:numCache>
                <c:formatCode>_(* #,##0.0_);_(* \(#,##0.0\);_(* "-"??_);_(@_)</c:formatCode>
                <c:ptCount val="10"/>
                <c:pt idx="0">
                  <c:v>24.43580640534352</c:v>
                </c:pt>
                <c:pt idx="1">
                  <c:v>28.715750090456986</c:v>
                </c:pt>
                <c:pt idx="2">
                  <c:v>37.691911704261791</c:v>
                </c:pt>
                <c:pt idx="3">
                  <c:v>45.776127358537046</c:v>
                </c:pt>
                <c:pt idx="4">
                  <c:v>50.564243219028569</c:v>
                </c:pt>
                <c:pt idx="5">
                  <c:v>51.969788754269686</c:v>
                </c:pt>
                <c:pt idx="6">
                  <c:v>53.308149923784967</c:v>
                </c:pt>
                <c:pt idx="7">
                  <c:v>52.229256487179974</c:v>
                </c:pt>
                <c:pt idx="8">
                  <c:v>51.331911874862854</c:v>
                </c:pt>
                <c:pt idx="9">
                  <c:v>50.942032599224675</c:v>
                </c:pt>
              </c:numCache>
            </c:numRef>
          </c:val>
          <c:extLst>
            <c:ext xmlns:c16="http://schemas.microsoft.com/office/drawing/2014/chart" uri="{C3380CC4-5D6E-409C-BE32-E72D297353CC}">
              <c16:uniqueId val="{00000000-3FDB-4EB6-ACB1-09CA173B3885}"/>
            </c:ext>
          </c:extLst>
        </c:ser>
        <c:ser>
          <c:idx val="1"/>
          <c:order val="1"/>
          <c:tx>
            <c:strRef>
              <c:f>'[2027-2031 debt.xlsx new.xlsx]UXERZ 2027 budget'!$I$56</c:f>
              <c:strCache>
                <c:ptCount val="1"/>
                <c:pt idx="0">
                  <c:v>արտաքին վարկեր</c:v>
                </c:pt>
              </c:strCache>
            </c:strRef>
          </c:tx>
          <c:spPr>
            <a:solidFill>
              <a:srgbClr val="44546A">
                <a:lumMod val="75000"/>
              </a:srgbClr>
            </a:solidFill>
          </c:spPr>
          <c:invertIfNegative val="0"/>
          <c:dLbls>
            <c:spPr>
              <a:noFill/>
              <a:ln w="25400">
                <a:noFill/>
              </a:ln>
            </c:spPr>
            <c:txPr>
              <a:bodyPr wrap="square" lIns="38100" tIns="19050" rIns="38100" bIns="19050" anchor="ctr">
                <a:spAutoFit/>
              </a:bodyPr>
              <a:lstStyle/>
              <a:p>
                <a:pPr>
                  <a:defRPr sz="600" b="0" i="0" u="none" strike="noStrike" baseline="0">
                    <a:solidFill>
                      <a:srgbClr val="FFFFFF"/>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'[2027-2031 debt.xlsx new.xlsx]UXERZ 2027 budget'!$J$50:$S$50</c:f>
              <c:numCache>
                <c:formatCode>General</c:formatCode>
                <c:ptCount val="10"/>
                <c:pt idx="0">
                  <c:v>2020</c:v>
                </c:pt>
                <c:pt idx="1">
                  <c:v>2021</c:v>
                </c:pt>
                <c:pt idx="2">
                  <c:v>2022</c:v>
                </c:pt>
                <c:pt idx="3">
                  <c:v>2023</c:v>
                </c:pt>
                <c:pt idx="4">
                  <c:v>2024</c:v>
                </c:pt>
                <c:pt idx="5">
                  <c:v>2025</c:v>
                </c:pt>
                <c:pt idx="6">
                  <c:v>2026</c:v>
                </c:pt>
                <c:pt idx="7">
                  <c:v>2027</c:v>
                </c:pt>
                <c:pt idx="8">
                  <c:v>2028</c:v>
                </c:pt>
                <c:pt idx="9">
                  <c:v>2029</c:v>
                </c:pt>
              </c:numCache>
            </c:numRef>
          </c:cat>
          <c:val>
            <c:numRef>
              <c:f>'[2027-2031 debt.xlsx new.xlsx]UXERZ 2027 budget'!$J$56:$S$56</c:f>
              <c:numCache>
                <c:formatCode>_(* #,##0.0_);_(* \(#,##0.0\);_(* "-"??_);_(@_)</c:formatCode>
                <c:ptCount val="10"/>
                <c:pt idx="0">
                  <c:v>62.13165865325638</c:v>
                </c:pt>
                <c:pt idx="1">
                  <c:v>51.107756883540731</c:v>
                </c:pt>
                <c:pt idx="2">
                  <c:v>44.652938897780103</c:v>
                </c:pt>
                <c:pt idx="3">
                  <c:v>40.160972348918442</c:v>
                </c:pt>
                <c:pt idx="4">
                  <c:v>36.519091012191126</c:v>
                </c:pt>
                <c:pt idx="5">
                  <c:v>32.767304925635571</c:v>
                </c:pt>
                <c:pt idx="6">
                  <c:v>33.348399926809506</c:v>
                </c:pt>
                <c:pt idx="7">
                  <c:v>35.542059729065159</c:v>
                </c:pt>
                <c:pt idx="8">
                  <c:v>37.195844072461426</c:v>
                </c:pt>
                <c:pt idx="9">
                  <c:v>38.098595122101869</c:v>
                </c:pt>
              </c:numCache>
            </c:numRef>
          </c:val>
          <c:extLst>
            <c:ext xmlns:c16="http://schemas.microsoft.com/office/drawing/2014/chart" uri="{C3380CC4-5D6E-409C-BE32-E72D297353CC}">
              <c16:uniqueId val="{00000001-3FDB-4EB6-ACB1-09CA173B3885}"/>
            </c:ext>
          </c:extLst>
        </c:ser>
        <c:ser>
          <c:idx val="2"/>
          <c:order val="2"/>
          <c:tx>
            <c:strRef>
              <c:f>'[2027-2031 debt.xlsx new.xlsx]UXERZ 2027 budget'!$I$57</c:f>
              <c:strCache>
                <c:ptCount val="1"/>
                <c:pt idx="0">
                  <c:v>արտարժութային պետական պարտատոմսեր</c:v>
                </c:pt>
              </c:strCache>
            </c:strRef>
          </c:tx>
          <c:spPr>
            <a:solidFill>
              <a:srgbClr val="5B9BD5">
                <a:lumMod val="60000"/>
                <a:lumOff val="40000"/>
              </a:srgbClr>
            </a:solidFill>
          </c:spPr>
          <c:invertIfNegative val="0"/>
          <c:dLbls>
            <c:spPr>
              <a:noFill/>
              <a:ln w="25400">
                <a:noFill/>
              </a:ln>
            </c:spPr>
            <c:txPr>
              <a:bodyPr wrap="square" lIns="38100" tIns="19050" rIns="38100" bIns="19050" anchor="ctr">
                <a:spAutoFit/>
              </a:bodyPr>
              <a:lstStyle/>
              <a:p>
                <a:pPr>
                  <a:defRPr sz="600" b="0" i="0" u="none" strike="noStrike" baseline="0">
                    <a:solidFill>
                      <a:schemeClr val="bg1"/>
                    </a:solidFill>
                    <a:latin typeface="GHEA Grapalat"/>
                    <a:ea typeface="GHEA Grapalat"/>
                    <a:cs typeface="GHEA Grapalat"/>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'[2027-2031 debt.xlsx new.xlsx]UXERZ 2027 budget'!$J$50:$S$50</c:f>
              <c:numCache>
                <c:formatCode>General</c:formatCode>
                <c:ptCount val="10"/>
                <c:pt idx="0">
                  <c:v>2020</c:v>
                </c:pt>
                <c:pt idx="1">
                  <c:v>2021</c:v>
                </c:pt>
                <c:pt idx="2">
                  <c:v>2022</c:v>
                </c:pt>
                <c:pt idx="3">
                  <c:v>2023</c:v>
                </c:pt>
                <c:pt idx="4">
                  <c:v>2024</c:v>
                </c:pt>
                <c:pt idx="5">
                  <c:v>2025</c:v>
                </c:pt>
                <c:pt idx="6">
                  <c:v>2026</c:v>
                </c:pt>
                <c:pt idx="7">
                  <c:v>2027</c:v>
                </c:pt>
                <c:pt idx="8">
                  <c:v>2028</c:v>
                </c:pt>
                <c:pt idx="9">
                  <c:v>2029</c:v>
                </c:pt>
              </c:numCache>
            </c:numRef>
          </c:cat>
          <c:val>
            <c:numRef>
              <c:f>'[2027-2031 debt.xlsx new.xlsx]UXERZ 2027 budget'!$J$57:$S$57</c:f>
              <c:numCache>
                <c:formatCode>_(* #,##0.0_);_(* \(#,##0.0\);_(* "-"??_);_(@_)</c:formatCode>
                <c:ptCount val="10"/>
                <c:pt idx="0">
                  <c:v>13.318164480745365</c:v>
                </c:pt>
                <c:pt idx="1">
                  <c:v>19.959081994965057</c:v>
                </c:pt>
                <c:pt idx="2">
                  <c:v>17.350175100668647</c:v>
                </c:pt>
                <c:pt idx="3">
                  <c:v>13.839914330996935</c:v>
                </c:pt>
                <c:pt idx="4">
                  <c:v>12.669291927110507</c:v>
                </c:pt>
                <c:pt idx="5">
                  <c:v>14.244345522948224</c:v>
                </c:pt>
                <c:pt idx="6">
                  <c:v>13.343450149405529</c:v>
                </c:pt>
                <c:pt idx="7">
                  <c:v>12.228683783754869</c:v>
                </c:pt>
                <c:pt idx="8">
                  <c:v>11.472244052675716</c:v>
                </c:pt>
                <c:pt idx="9">
                  <c:v>10.959372278673451</c:v>
                </c:pt>
              </c:numCache>
            </c:numRef>
          </c:val>
          <c:extLst>
            <c:ext xmlns:c16="http://schemas.microsoft.com/office/drawing/2014/chart" uri="{C3380CC4-5D6E-409C-BE32-E72D297353CC}">
              <c16:uniqueId val="{00000002-3FDB-4EB6-ACB1-09CA173B3885}"/>
            </c:ext>
          </c:extLst>
        </c:ser>
        <c:dLbls>
          <c:showLegendKey val="0"/>
          <c:showVal val="0"/>
          <c:showCatName val="0"/>
          <c:showSerName val="0"/>
          <c:showPercent val="0"/>
          <c:showBubbleSize val="0"/>
        </c:dLbls>
        <c:gapWidth val="79"/>
        <c:overlap val="100"/>
        <c:axId val="462035968"/>
        <c:axId val="461957376"/>
      </c:barChart>
      <c:catAx>
        <c:axId val="462035968"/>
        <c:scaling>
          <c:orientation val="minMax"/>
        </c:scaling>
        <c:delete val="0"/>
        <c:axPos val="b"/>
        <c:majorGridlines>
          <c:spPr>
            <a:ln w="9525" cap="flat" cmpd="sng" algn="ctr">
              <a:no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vert="horz"/>
          <a:lstStyle/>
          <a:p>
            <a:pPr>
              <a:defRPr sz="800" b="0" i="0" u="none" strike="noStrike" baseline="0">
                <a:solidFill>
                  <a:srgbClr val="333333"/>
                </a:solidFill>
                <a:latin typeface="GHEA Grapalat"/>
                <a:ea typeface="GHEA Grapalat"/>
                <a:cs typeface="GHEA Grapalat"/>
              </a:defRPr>
            </a:pPr>
            <a:endParaRPr lang="en-US"/>
          </a:p>
        </c:txPr>
        <c:crossAx val="461957376"/>
        <c:crosses val="autoZero"/>
        <c:auto val="1"/>
        <c:lblAlgn val="ctr"/>
        <c:lblOffset val="100"/>
        <c:noMultiLvlLbl val="0"/>
      </c:catAx>
      <c:valAx>
        <c:axId val="461957376"/>
        <c:scaling>
          <c:orientation val="minMax"/>
          <c:max val="100"/>
        </c:scaling>
        <c:delete val="1"/>
        <c:axPos val="l"/>
        <c:numFmt formatCode="_(* #,##0.0_);_(* \(#,##0.0\);_(* &quot;-&quot;??_);_(@_)" sourceLinked="1"/>
        <c:majorTickMark val="out"/>
        <c:minorTickMark val="none"/>
        <c:tickLblPos val="nextTo"/>
        <c:crossAx val="462035968"/>
        <c:crosses val="autoZero"/>
        <c:crossBetween val="between"/>
      </c:valAx>
      <c:spPr>
        <a:noFill/>
        <a:ln w="25400">
          <a:noFill/>
        </a:ln>
      </c:spPr>
    </c:plotArea>
    <c:legend>
      <c:legendPos val="b"/>
      <c:layout>
        <c:manualLayout>
          <c:xMode val="edge"/>
          <c:yMode val="edge"/>
          <c:x val="0"/>
          <c:y val="0.88378493338739161"/>
          <c:w val="1"/>
          <c:h val="0.11621512840271753"/>
        </c:manualLayout>
      </c:layout>
      <c:overlay val="0"/>
      <c:txPr>
        <a:bodyPr/>
        <a:lstStyle/>
        <a:p>
          <a:pPr>
            <a:defRPr sz="600"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noFill/>
    </a:ln>
    <a:effectLst/>
  </c:spPr>
  <c:txPr>
    <a:bodyPr/>
    <a:lstStyle/>
    <a:p>
      <a:pPr>
        <a:defRPr sz="1000" b="0" i="0" u="none" strike="noStrike" baseline="0">
          <a:solidFill>
            <a:srgbClr val="000000"/>
          </a:solidFill>
          <a:latin typeface="GHEA Grapalat"/>
          <a:ea typeface="GHEA Grapalat"/>
          <a:cs typeface="GHEA Grapalat"/>
        </a:defRPr>
      </a:pPr>
      <a:endParaRPr lang="en-US"/>
    </a:p>
  </c:txPr>
  <c:externalData r:id="rId2">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93532805157614"/>
          <c:y val="0.1111111111111111"/>
          <c:w val="0.86800598674779728"/>
          <c:h val="0.67471486518730617"/>
        </c:manualLayout>
      </c:layout>
      <c:barChart>
        <c:barDir val="col"/>
        <c:grouping val="stacked"/>
        <c:varyColors val="0"/>
        <c:ser>
          <c:idx val="1"/>
          <c:order val="0"/>
          <c:tx>
            <c:strRef>
              <c:f>'[2027-2031 debt.xlsx]cut off date 2027'!$B$24</c:f>
              <c:strCache>
                <c:ptCount val="1"/>
                <c:pt idx="0">
                  <c:v>Արտաքին վարկեր</c:v>
                </c:pt>
              </c:strCache>
            </c:strRef>
          </c:tx>
          <c:spPr>
            <a:solidFill>
              <a:sysClr val="window" lastClr="FFFFFF">
                <a:lumMod val="75000"/>
              </a:sysClr>
            </a:solidFill>
            <a:ln>
              <a:noFill/>
            </a:ln>
            <a:effectLst/>
          </c:spPr>
          <c:invertIfNegative val="0"/>
          <c:cat>
            <c:numRef>
              <c:f>'[2027-2031 debt.xlsx]cut off date 2027'!$C$3:$AC$3</c:f>
              <c:numCache>
                <c:formatCode>General</c:formatCode>
                <c:ptCount val="27"/>
                <c:pt idx="0">
                  <c:v>2028</c:v>
                </c:pt>
                <c:pt idx="1">
                  <c:v>2029</c:v>
                </c:pt>
                <c:pt idx="2">
                  <c:v>2030</c:v>
                </c:pt>
                <c:pt idx="3">
                  <c:v>2031</c:v>
                </c:pt>
                <c:pt idx="4">
                  <c:v>2032</c:v>
                </c:pt>
                <c:pt idx="5">
                  <c:v>2033</c:v>
                </c:pt>
                <c:pt idx="6">
                  <c:v>2034</c:v>
                </c:pt>
                <c:pt idx="7">
                  <c:v>2035</c:v>
                </c:pt>
                <c:pt idx="8">
                  <c:v>2036</c:v>
                </c:pt>
                <c:pt idx="9">
                  <c:v>2037</c:v>
                </c:pt>
                <c:pt idx="10">
                  <c:v>2038</c:v>
                </c:pt>
                <c:pt idx="11">
                  <c:v>2039</c:v>
                </c:pt>
                <c:pt idx="12">
                  <c:v>2040</c:v>
                </c:pt>
                <c:pt idx="13">
                  <c:v>2041</c:v>
                </c:pt>
                <c:pt idx="14">
                  <c:v>2042</c:v>
                </c:pt>
                <c:pt idx="15">
                  <c:v>2043</c:v>
                </c:pt>
                <c:pt idx="16">
                  <c:v>2044</c:v>
                </c:pt>
                <c:pt idx="17">
                  <c:v>2045</c:v>
                </c:pt>
                <c:pt idx="18">
                  <c:v>2046</c:v>
                </c:pt>
                <c:pt idx="19">
                  <c:v>2047</c:v>
                </c:pt>
                <c:pt idx="20">
                  <c:v>2048</c:v>
                </c:pt>
                <c:pt idx="21">
                  <c:v>2049</c:v>
                </c:pt>
                <c:pt idx="22">
                  <c:v>2050</c:v>
                </c:pt>
                <c:pt idx="23">
                  <c:v>2051</c:v>
                </c:pt>
                <c:pt idx="24">
                  <c:v>2052</c:v>
                </c:pt>
                <c:pt idx="25">
                  <c:v>2053</c:v>
                </c:pt>
                <c:pt idx="26">
                  <c:v>2054</c:v>
                </c:pt>
              </c:numCache>
            </c:numRef>
          </c:cat>
          <c:val>
            <c:numRef>
              <c:f>'[2027-2031 debt.xlsx]cut off date 2027'!$C$24:$AC$24</c:f>
              <c:numCache>
                <c:formatCode>_(* #,##0.00_);_(* \(#,##0.00\);_(* "-"??_);_(@_)</c:formatCode>
                <c:ptCount val="27"/>
                <c:pt idx="0">
                  <c:v>136.90652410693173</c:v>
                </c:pt>
                <c:pt idx="1">
                  <c:v>139.44300846171816</c:v>
                </c:pt>
                <c:pt idx="2">
                  <c:v>142.96655816254739</c:v>
                </c:pt>
                <c:pt idx="3">
                  <c:v>167.7486055605394</c:v>
                </c:pt>
                <c:pt idx="4">
                  <c:v>171.7147467537842</c:v>
                </c:pt>
                <c:pt idx="5">
                  <c:v>163.57123702381267</c:v>
                </c:pt>
                <c:pt idx="6">
                  <c:v>161.62794888174273</c:v>
                </c:pt>
                <c:pt idx="7">
                  <c:v>145.3042193842588</c:v>
                </c:pt>
                <c:pt idx="8">
                  <c:v>137.19179086038432</c:v>
                </c:pt>
                <c:pt idx="9">
                  <c:v>135.03769657976184</c:v>
                </c:pt>
                <c:pt idx="10">
                  <c:v>120.10450970970057</c:v>
                </c:pt>
                <c:pt idx="11">
                  <c:v>115.65228275503101</c:v>
                </c:pt>
                <c:pt idx="12">
                  <c:v>99.501216038698587</c:v>
                </c:pt>
                <c:pt idx="13">
                  <c:v>88.567599202548564</c:v>
                </c:pt>
                <c:pt idx="14">
                  <c:v>76.717367133854111</c:v>
                </c:pt>
                <c:pt idx="15">
                  <c:v>71.423592128304875</c:v>
                </c:pt>
                <c:pt idx="16">
                  <c:v>71.264393884605028</c:v>
                </c:pt>
                <c:pt idx="17">
                  <c:v>54.040501247283004</c:v>
                </c:pt>
                <c:pt idx="18">
                  <c:v>11.357860163862705</c:v>
                </c:pt>
                <c:pt idx="19">
                  <c:v>9.8658113143109052</c:v>
                </c:pt>
                <c:pt idx="20">
                  <c:v>8.7684272267650165</c:v>
                </c:pt>
                <c:pt idx="21">
                  <c:v>15.783863745645315</c:v>
                </c:pt>
                <c:pt idx="22">
                  <c:v>7.3183846126944694</c:v>
                </c:pt>
                <c:pt idx="23">
                  <c:v>6.7199713553018769</c:v>
                </c:pt>
                <c:pt idx="24">
                  <c:v>5.8765460918686321</c:v>
                </c:pt>
                <c:pt idx="25">
                  <c:v>4.970040350639584</c:v>
                </c:pt>
                <c:pt idx="26">
                  <c:v>1.9120554526562241</c:v>
                </c:pt>
              </c:numCache>
            </c:numRef>
          </c:val>
          <c:extLst>
            <c:ext xmlns:c16="http://schemas.microsoft.com/office/drawing/2014/chart" uri="{C3380CC4-5D6E-409C-BE32-E72D297353CC}">
              <c16:uniqueId val="{00000000-AE56-4097-8F3F-53730A1DFA05}"/>
            </c:ext>
          </c:extLst>
        </c:ser>
        <c:ser>
          <c:idx val="3"/>
          <c:order val="1"/>
          <c:tx>
            <c:strRef>
              <c:f>'[2027-2031 debt.xlsx]cut off date 2027'!$B$25</c:f>
              <c:strCache>
                <c:ptCount val="1"/>
                <c:pt idx="0">
                  <c:v>Գանձապետական պարտատոմսեր</c:v>
                </c:pt>
              </c:strCache>
            </c:strRef>
          </c:tx>
          <c:spPr>
            <a:solidFill>
              <a:srgbClr val="5B9BD5">
                <a:lumMod val="75000"/>
              </a:srgbClr>
            </a:solidFill>
            <a:ln>
              <a:noFill/>
            </a:ln>
            <a:effectLst/>
          </c:spPr>
          <c:invertIfNegative val="0"/>
          <c:cat>
            <c:numRef>
              <c:f>'[2027-2031 debt.xlsx]cut off date 2027'!$C$3:$AC$3</c:f>
              <c:numCache>
                <c:formatCode>General</c:formatCode>
                <c:ptCount val="27"/>
                <c:pt idx="0">
                  <c:v>2028</c:v>
                </c:pt>
                <c:pt idx="1">
                  <c:v>2029</c:v>
                </c:pt>
                <c:pt idx="2">
                  <c:v>2030</c:v>
                </c:pt>
                <c:pt idx="3">
                  <c:v>2031</c:v>
                </c:pt>
                <c:pt idx="4">
                  <c:v>2032</c:v>
                </c:pt>
                <c:pt idx="5">
                  <c:v>2033</c:v>
                </c:pt>
                <c:pt idx="6">
                  <c:v>2034</c:v>
                </c:pt>
                <c:pt idx="7">
                  <c:v>2035</c:v>
                </c:pt>
                <c:pt idx="8">
                  <c:v>2036</c:v>
                </c:pt>
                <c:pt idx="9">
                  <c:v>2037</c:v>
                </c:pt>
                <c:pt idx="10">
                  <c:v>2038</c:v>
                </c:pt>
                <c:pt idx="11">
                  <c:v>2039</c:v>
                </c:pt>
                <c:pt idx="12">
                  <c:v>2040</c:v>
                </c:pt>
                <c:pt idx="13">
                  <c:v>2041</c:v>
                </c:pt>
                <c:pt idx="14">
                  <c:v>2042</c:v>
                </c:pt>
                <c:pt idx="15">
                  <c:v>2043</c:v>
                </c:pt>
                <c:pt idx="16">
                  <c:v>2044</c:v>
                </c:pt>
                <c:pt idx="17">
                  <c:v>2045</c:v>
                </c:pt>
                <c:pt idx="18">
                  <c:v>2046</c:v>
                </c:pt>
                <c:pt idx="19">
                  <c:v>2047</c:v>
                </c:pt>
                <c:pt idx="20">
                  <c:v>2048</c:v>
                </c:pt>
                <c:pt idx="21">
                  <c:v>2049</c:v>
                </c:pt>
                <c:pt idx="22">
                  <c:v>2050</c:v>
                </c:pt>
                <c:pt idx="23">
                  <c:v>2051</c:v>
                </c:pt>
                <c:pt idx="24">
                  <c:v>2052</c:v>
                </c:pt>
                <c:pt idx="25">
                  <c:v>2053</c:v>
                </c:pt>
                <c:pt idx="26">
                  <c:v>2054</c:v>
                </c:pt>
              </c:numCache>
            </c:numRef>
          </c:cat>
          <c:val>
            <c:numRef>
              <c:f>'[2027-2031 debt.xlsx]cut off date 2027'!$C$25:$AC$25</c:f>
              <c:numCache>
                <c:formatCode>_(* #,##0.0_);_(* \(#,##0.0\);_(* "-"??_);_(@_)</c:formatCode>
                <c:ptCount val="27"/>
                <c:pt idx="0">
                  <c:v>407.75304600000004</c:v>
                </c:pt>
                <c:pt idx="1">
                  <c:v>461.558739</c:v>
                </c:pt>
                <c:pt idx="2">
                  <c:v>318.21800000000002</c:v>
                </c:pt>
                <c:pt idx="3">
                  <c:v>365.28262000000001</c:v>
                </c:pt>
                <c:pt idx="4">
                  <c:v>185.5</c:v>
                </c:pt>
                <c:pt idx="5">
                  <c:v>451.26654000000002</c:v>
                </c:pt>
                <c:pt idx="6">
                  <c:v>0</c:v>
                </c:pt>
                <c:pt idx="7">
                  <c:v>384.718321</c:v>
                </c:pt>
                <c:pt idx="8">
                  <c:v>70.328999999999994</c:v>
                </c:pt>
                <c:pt idx="9">
                  <c:v>305.06083999999998</c:v>
                </c:pt>
                <c:pt idx="10">
                  <c:v>0</c:v>
                </c:pt>
                <c:pt idx="11">
                  <c:v>0</c:v>
                </c:pt>
                <c:pt idx="12">
                  <c:v>0</c:v>
                </c:pt>
                <c:pt idx="13">
                  <c:v>0</c:v>
                </c:pt>
                <c:pt idx="14">
                  <c:v>0</c:v>
                </c:pt>
                <c:pt idx="15">
                  <c:v>0</c:v>
                </c:pt>
                <c:pt idx="16">
                  <c:v>0</c:v>
                </c:pt>
                <c:pt idx="17">
                  <c:v>0</c:v>
                </c:pt>
                <c:pt idx="18">
                  <c:v>0</c:v>
                </c:pt>
                <c:pt idx="19">
                  <c:v>119.700405</c:v>
                </c:pt>
                <c:pt idx="20">
                  <c:v>0</c:v>
                </c:pt>
                <c:pt idx="21">
                  <c:v>0</c:v>
                </c:pt>
                <c:pt idx="22">
                  <c:v>132.52976200000001</c:v>
                </c:pt>
                <c:pt idx="23">
                  <c:v>0</c:v>
                </c:pt>
                <c:pt idx="24">
                  <c:v>14.166264</c:v>
                </c:pt>
                <c:pt idx="25">
                  <c:v>0</c:v>
                </c:pt>
                <c:pt idx="26">
                  <c:v>139.43450999999999</c:v>
                </c:pt>
              </c:numCache>
            </c:numRef>
          </c:val>
          <c:extLst>
            <c:ext xmlns:c16="http://schemas.microsoft.com/office/drawing/2014/chart" uri="{C3380CC4-5D6E-409C-BE32-E72D297353CC}">
              <c16:uniqueId val="{00000001-AE56-4097-8F3F-53730A1DFA05}"/>
            </c:ext>
          </c:extLst>
        </c:ser>
        <c:ser>
          <c:idx val="4"/>
          <c:order val="2"/>
          <c:tx>
            <c:strRef>
              <c:f>'[2027-2031 debt.xlsx]cut off date 2027'!$B$26</c:f>
              <c:strCache>
                <c:ptCount val="1"/>
                <c:pt idx="0">
                  <c:v>Արտարժութային պարտատոմսեր </c:v>
                </c:pt>
              </c:strCache>
            </c:strRef>
          </c:tx>
          <c:spPr>
            <a:solidFill>
              <a:srgbClr val="44546A"/>
            </a:solidFill>
            <a:ln>
              <a:noFill/>
            </a:ln>
            <a:effectLst/>
          </c:spPr>
          <c:invertIfNegative val="0"/>
          <c:cat>
            <c:numRef>
              <c:f>'[2027-2031 debt.xlsx]cut off date 2027'!$C$3:$AC$3</c:f>
              <c:numCache>
                <c:formatCode>General</c:formatCode>
                <c:ptCount val="27"/>
                <c:pt idx="0">
                  <c:v>2028</c:v>
                </c:pt>
                <c:pt idx="1">
                  <c:v>2029</c:v>
                </c:pt>
                <c:pt idx="2">
                  <c:v>2030</c:v>
                </c:pt>
                <c:pt idx="3">
                  <c:v>2031</c:v>
                </c:pt>
                <c:pt idx="4">
                  <c:v>2032</c:v>
                </c:pt>
                <c:pt idx="5">
                  <c:v>2033</c:v>
                </c:pt>
                <c:pt idx="6">
                  <c:v>2034</c:v>
                </c:pt>
                <c:pt idx="7">
                  <c:v>2035</c:v>
                </c:pt>
                <c:pt idx="8">
                  <c:v>2036</c:v>
                </c:pt>
                <c:pt idx="9">
                  <c:v>2037</c:v>
                </c:pt>
                <c:pt idx="10">
                  <c:v>2038</c:v>
                </c:pt>
                <c:pt idx="11">
                  <c:v>2039</c:v>
                </c:pt>
                <c:pt idx="12">
                  <c:v>2040</c:v>
                </c:pt>
                <c:pt idx="13">
                  <c:v>2041</c:v>
                </c:pt>
                <c:pt idx="14">
                  <c:v>2042</c:v>
                </c:pt>
                <c:pt idx="15">
                  <c:v>2043</c:v>
                </c:pt>
                <c:pt idx="16">
                  <c:v>2044</c:v>
                </c:pt>
                <c:pt idx="17">
                  <c:v>2045</c:v>
                </c:pt>
                <c:pt idx="18">
                  <c:v>2046</c:v>
                </c:pt>
                <c:pt idx="19">
                  <c:v>2047</c:v>
                </c:pt>
                <c:pt idx="20">
                  <c:v>2048</c:v>
                </c:pt>
                <c:pt idx="21">
                  <c:v>2049</c:v>
                </c:pt>
                <c:pt idx="22">
                  <c:v>2050</c:v>
                </c:pt>
                <c:pt idx="23">
                  <c:v>2051</c:v>
                </c:pt>
                <c:pt idx="24">
                  <c:v>2052</c:v>
                </c:pt>
                <c:pt idx="25">
                  <c:v>2053</c:v>
                </c:pt>
                <c:pt idx="26">
                  <c:v>2054</c:v>
                </c:pt>
              </c:numCache>
            </c:numRef>
          </c:cat>
          <c:val>
            <c:numRef>
              <c:f>'[2027-2031 debt.xlsx]cut off date 2027'!$C$26:$AC$26</c:f>
              <c:numCache>
                <c:formatCode>_(* #,##0.0_);_(* \(#,##0.0\);_(* "-"?_);_(@_)</c:formatCode>
                <c:ptCount val="27"/>
                <c:pt idx="0">
                  <c:v>0</c:v>
                </c:pt>
                <c:pt idx="1">
                  <c:v>197.10186722202494</c:v>
                </c:pt>
                <c:pt idx="2">
                  <c:v>0</c:v>
                </c:pt>
                <c:pt idx="3">
                  <c:v>295.65280083303742</c:v>
                </c:pt>
                <c:pt idx="4">
                  <c:v>0</c:v>
                </c:pt>
                <c:pt idx="5">
                  <c:v>0</c:v>
                </c:pt>
                <c:pt idx="6">
                  <c:v>0</c:v>
                </c:pt>
                <c:pt idx="7">
                  <c:v>295.65280083303742</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numCache>
            </c:numRef>
          </c:val>
          <c:extLst>
            <c:ext xmlns:c16="http://schemas.microsoft.com/office/drawing/2014/chart" uri="{C3380CC4-5D6E-409C-BE32-E72D297353CC}">
              <c16:uniqueId val="{00000002-AE56-4097-8F3F-53730A1DFA05}"/>
            </c:ext>
          </c:extLst>
        </c:ser>
        <c:dLbls>
          <c:showLegendKey val="0"/>
          <c:showVal val="0"/>
          <c:showCatName val="0"/>
          <c:showSerName val="0"/>
          <c:showPercent val="0"/>
          <c:showBubbleSize val="0"/>
        </c:dLbls>
        <c:gapWidth val="80"/>
        <c:overlap val="100"/>
        <c:axId val="217095168"/>
        <c:axId val="225216192"/>
        <c:extLst/>
      </c:barChart>
      <c:catAx>
        <c:axId val="217095168"/>
        <c:scaling>
          <c:orientation val="minMax"/>
        </c:scaling>
        <c:delete val="0"/>
        <c:axPos val="b"/>
        <c:numFmt formatCode="General" sourceLinked="1"/>
        <c:majorTickMark val="none"/>
        <c:minorTickMark val="none"/>
        <c:tickLblPos val="nextTo"/>
        <c:spPr>
          <a:noFill/>
          <a:ln w="6350" cap="flat" cmpd="sng" algn="ctr">
            <a:solidFill>
              <a:schemeClr val="bg1">
                <a:lumMod val="75000"/>
              </a:schemeClr>
            </a:solidFill>
            <a:prstDash val="solid"/>
            <a:round/>
          </a:ln>
          <a:effectLst/>
        </c:spPr>
        <c:txPr>
          <a:bodyPr rot="0" spcFirstLastPara="1" vertOverflow="ellipsis" wrap="square" anchor="ctr" anchorCtr="1"/>
          <a:lstStyle/>
          <a:p>
            <a:pPr>
              <a:defRPr sz="600" b="0" i="0" u="none" strike="noStrike" kern="1200" baseline="0">
                <a:solidFill>
                  <a:srgbClr val="000000"/>
                </a:solidFill>
                <a:latin typeface="Calibri"/>
                <a:ea typeface="Calibri"/>
                <a:cs typeface="Calibri"/>
              </a:defRPr>
            </a:pPr>
            <a:endParaRPr lang="en-US"/>
          </a:p>
        </c:txPr>
        <c:crossAx val="225216192"/>
        <c:crosses val="autoZero"/>
        <c:auto val="1"/>
        <c:lblAlgn val="ctr"/>
        <c:lblOffset val="100"/>
        <c:noMultiLvlLbl val="0"/>
      </c:catAx>
      <c:valAx>
        <c:axId val="225216192"/>
        <c:scaling>
          <c:orientation val="minMax"/>
          <c:max val="700"/>
        </c:scaling>
        <c:delete val="0"/>
        <c:axPos val="l"/>
        <c:numFmt formatCode="_(* #,##0.00_);_(* \(#,##0.00\);_(* &quot;-&quot;??_);_(@_)" sourceLinked="1"/>
        <c:majorTickMark val="none"/>
        <c:minorTickMark val="none"/>
        <c:tickLblPos val="nextTo"/>
        <c:spPr>
          <a:noFill/>
          <a:ln w="9525" cap="flat" cmpd="sng" algn="ctr">
            <a:noFill/>
            <a:prstDash val="solid"/>
            <a:round/>
          </a:ln>
          <a:effectLst/>
        </c:spPr>
        <c:txPr>
          <a:bodyPr rot="0" spcFirstLastPara="1" vertOverflow="ellipsis" wrap="square" anchor="ctr" anchorCtr="1"/>
          <a:lstStyle/>
          <a:p>
            <a:pPr>
              <a:defRPr sz="1000" b="0" i="0" u="none" strike="noStrike" kern="1200" baseline="0">
                <a:solidFill>
                  <a:schemeClr val="bg1">
                    <a:lumMod val="65000"/>
                  </a:schemeClr>
                </a:solidFill>
                <a:latin typeface="Calibri"/>
                <a:ea typeface="Calibri"/>
                <a:cs typeface="Calibri"/>
              </a:defRPr>
            </a:pPr>
            <a:endParaRPr lang="en-US"/>
          </a:p>
        </c:txPr>
        <c:crossAx val="217095168"/>
        <c:crossesAt val="1"/>
        <c:crossBetween val="between"/>
      </c:valAx>
      <c:spPr>
        <a:noFill/>
        <a:ln>
          <a:noFill/>
        </a:ln>
        <a:effectLst/>
      </c:spPr>
    </c:plotArea>
    <c:legend>
      <c:legendPos val="b"/>
      <c:layout>
        <c:manualLayout>
          <c:xMode val="edge"/>
          <c:yMode val="edge"/>
          <c:x val="8.798768940544982E-2"/>
          <c:y val="0.88005050505050508"/>
          <c:w val="0.88353393152191262"/>
          <c:h val="6.744267114592925E-2"/>
        </c:manualLayout>
      </c:layout>
      <c:overlay val="0"/>
      <c:spPr>
        <a:noFill/>
        <a:ln>
          <a:noFill/>
        </a:ln>
        <a:effectLst/>
      </c:spPr>
      <c:txPr>
        <a:bodyPr rot="0" spcFirstLastPara="1" vertOverflow="ellipsis" vert="horz" wrap="square" anchor="ctr" anchorCtr="1"/>
        <a:lstStyle/>
        <a:p>
          <a:pPr>
            <a:defRPr sz="585" b="0" i="0" u="none" strike="noStrike" kern="1200" baseline="0">
              <a:solidFill>
                <a:srgbClr val="000000"/>
              </a:solidFill>
              <a:latin typeface="GHEA Grapalat"/>
              <a:ea typeface="GHEA Grapalat"/>
              <a:cs typeface="GHEA Grapalat"/>
            </a:defRPr>
          </a:pPr>
          <a:endParaRPr lang="en-US"/>
        </a:p>
      </c:txPr>
    </c:legend>
    <c:plotVisOnly val="1"/>
    <c:dispBlanksAs val="gap"/>
    <c:showDLblsOverMax val="0"/>
  </c:chart>
  <c:spPr>
    <a:noFill/>
    <a:ln w="19050" cap="flat" cmpd="sng" algn="ctr">
      <a:solidFill>
        <a:schemeClr val="bg1"/>
      </a:solidFill>
      <a:prstDash val="solid"/>
      <a:round/>
    </a:ln>
    <a:effectLst/>
  </c:spPr>
  <c:txPr>
    <a:bodyPr/>
    <a:lstStyle/>
    <a:p>
      <a:pPr>
        <a:defRPr sz="700" b="0" i="0" u="none" strike="noStrike" baseline="0">
          <a:solidFill>
            <a:srgbClr val="000000"/>
          </a:solidFill>
          <a:latin typeface="Calibri"/>
          <a:ea typeface="Calibri"/>
          <a:cs typeface="Calibri"/>
        </a:defRPr>
      </a:pPr>
      <a:endParaRPr lang="en-US"/>
    </a:p>
  </c:txPr>
  <c:externalData r:id="rId4">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93219338706922"/>
          <c:y val="0.20969260198407408"/>
          <c:w val="0.35815726159230099"/>
          <c:h val="0.59692876932050165"/>
        </c:manualLayout>
      </c:layout>
      <c:doughnutChart>
        <c:varyColors val="1"/>
        <c:ser>
          <c:idx val="0"/>
          <c:order val="0"/>
          <c:dPt>
            <c:idx val="0"/>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001-377A-4DA3-8436-3657C24C7ADF}"/>
              </c:ext>
            </c:extLst>
          </c:dPt>
          <c:dPt>
            <c:idx val="1"/>
            <c:bubble3D val="0"/>
            <c:spPr>
              <a:solidFill>
                <a:schemeClr val="accent1">
                  <a:lumMod val="75000"/>
                </a:schemeClr>
              </a:solidFill>
              <a:ln w="19050">
                <a:solidFill>
                  <a:schemeClr val="lt1"/>
                </a:solidFill>
              </a:ln>
              <a:effectLst/>
            </c:spPr>
            <c:extLst>
              <c:ext xmlns:c16="http://schemas.microsoft.com/office/drawing/2014/chart" uri="{C3380CC4-5D6E-409C-BE32-E72D297353CC}">
                <c16:uniqueId val="{00000003-377A-4DA3-8436-3657C24C7AD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77A-4DA3-8436-3657C24C7ADF}"/>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1-377A-4DA3-8436-3657C24C7ADF}"/>
                </c:ext>
              </c:extLst>
            </c:dLbl>
            <c:dLbl>
              <c:idx val="1"/>
              <c:layout>
                <c:manualLayout>
                  <c:x val="9.8619329388558341E-4"/>
                  <c:y val="1.1299257084389792E-2"/>
                </c:manualLayout>
              </c:layout>
              <c:numFmt formatCode="0.0%" sourceLinked="0"/>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layout>
                    <c:manualLayout>
                      <c:w val="7.7938933668794355E-2"/>
                      <c:h val="9.0734641220694856E-2"/>
                    </c:manualLayout>
                  </c15:layout>
                </c:ext>
                <c:ext xmlns:c16="http://schemas.microsoft.com/office/drawing/2014/chart" uri="{C3380CC4-5D6E-409C-BE32-E72D297353CC}">
                  <c16:uniqueId val="{00000003-377A-4DA3-8436-3657C24C7ADF}"/>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5-377A-4DA3-8436-3657C24C7ADF}"/>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'[2027-2031 debt.xlsx]UXERZ 2027 budget'!$A$68:$A$70</c:f>
              <c:strCache>
                <c:ptCount val="3"/>
                <c:pt idx="0">
                  <c:v>Պետական գանձապետական պարտատոմսեր</c:v>
                </c:pt>
                <c:pt idx="1">
                  <c:v>Արտաքին վարկեր</c:v>
                </c:pt>
                <c:pt idx="2">
                  <c:v>Արտարժութային պետական պարտատոմսեր</c:v>
                </c:pt>
              </c:strCache>
            </c:strRef>
          </c:cat>
          <c:val>
            <c:numRef>
              <c:f>'[2027-2031 debt.xlsx]UXERZ 2027 budget'!$B$68:$B$70</c:f>
              <c:numCache>
                <c:formatCode>_(* #,##0.0_);_(* \(#,##0.0\);_(* "-"??_);_(@_)</c:formatCode>
                <c:ptCount val="3"/>
                <c:pt idx="0">
                  <c:v>301.16901271660851</c:v>
                </c:pt>
                <c:pt idx="1">
                  <c:v>77.679352007400013</c:v>
                </c:pt>
                <c:pt idx="2">
                  <c:v>37.952704724999997</c:v>
                </c:pt>
              </c:numCache>
            </c:numRef>
          </c:val>
          <c:extLst>
            <c:ext xmlns:c16="http://schemas.microsoft.com/office/drawing/2014/chart" uri="{C3380CC4-5D6E-409C-BE32-E72D297353CC}">
              <c16:uniqueId val="{00000006-377A-4DA3-8436-3657C24C7ADF}"/>
            </c:ext>
          </c:extLst>
        </c:ser>
        <c:dLbls>
          <c:showLegendKey val="0"/>
          <c:showVal val="0"/>
          <c:showCatName val="0"/>
          <c:showSerName val="0"/>
          <c:showPercent val="0"/>
          <c:showBubbleSize val="0"/>
          <c:showLeaderLines val="0"/>
        </c:dLbls>
        <c:firstSliceAng val="0"/>
        <c:holeSize val="65"/>
      </c:doughnutChart>
      <c:spPr>
        <a:noFill/>
        <a:ln>
          <a:noFill/>
        </a:ln>
        <a:effectLst/>
      </c:spPr>
    </c:plotArea>
    <c:legend>
      <c:legendPos val="b"/>
      <c:layout>
        <c:manualLayout>
          <c:xMode val="edge"/>
          <c:yMode val="edge"/>
          <c:x val="0.51915417533635499"/>
          <c:y val="0.20138512215593973"/>
          <c:w val="0.40815195988993341"/>
          <c:h val="0.5675775722987195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areaChart>
        <c:grouping val="stacked"/>
        <c:varyColors val="0"/>
        <c:ser>
          <c:idx val="0"/>
          <c:order val="0"/>
          <c:tx>
            <c:strRef>
              <c:f>'fan chart'!$B$3</c:f>
              <c:strCache>
                <c:ptCount val="1"/>
              </c:strCache>
            </c:strRef>
          </c:tx>
          <c:spPr>
            <a:no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chart'!$B$4:$B$115</c:f>
              <c:numCache>
                <c:formatCode>General</c:formatCode>
                <c:ptCount val="8"/>
                <c:pt idx="0">
                  <c:v>21.919592453534747</c:v>
                </c:pt>
                <c:pt idx="1">
                  <c:v>15.867840863060877</c:v>
                </c:pt>
                <c:pt idx="2">
                  <c:v>5.1464541217999766</c:v>
                </c:pt>
                <c:pt idx="3">
                  <c:v>13.98420233879753</c:v>
                </c:pt>
                <c:pt idx="4">
                  <c:v>8.5136955471369742</c:v>
                </c:pt>
                <c:pt idx="5">
                  <c:v>7.0677032652077347</c:v>
                </c:pt>
                <c:pt idx="6">
                  <c:v>4.9239076703554163</c:v>
                </c:pt>
                <c:pt idx="7">
                  <c:v>5.4596773695628391</c:v>
                </c:pt>
              </c:numCache>
            </c:numRef>
          </c:val>
          <c:extLst>
            <c:ext xmlns:c16="http://schemas.microsoft.com/office/drawing/2014/chart" uri="{C3380CC4-5D6E-409C-BE32-E72D297353CC}">
              <c16:uniqueId val="{00000000-A635-4C74-B57B-157B7000A6B2}"/>
            </c:ext>
          </c:extLst>
        </c:ser>
        <c:ser>
          <c:idx val="1"/>
          <c:order val="1"/>
          <c:tx>
            <c:strRef>
              <c:f>'fan chart'!$C$3</c:f>
              <c:strCache>
                <c:ptCount val="1"/>
              </c:strCache>
            </c:strRef>
          </c:tx>
          <c:spPr>
            <a:solidFill>
              <a:srgbClr val="FF0000">
                <a:alpha val="2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chart'!$C$4:$C$115</c:f>
              <c:numCache>
                <c:formatCode>General</c:formatCode>
                <c:ptCount val="8"/>
                <c:pt idx="4">
                  <c:v>1.0791216949192854</c:v>
                </c:pt>
                <c:pt idx="5">
                  <c:v>1.0998662270082473</c:v>
                </c:pt>
                <c:pt idx="6">
                  <c:v>1.0459671475012469</c:v>
                </c:pt>
                <c:pt idx="7">
                  <c:v>0.94997476160068217</c:v>
                </c:pt>
              </c:numCache>
            </c:numRef>
          </c:val>
          <c:extLst>
            <c:ext xmlns:c16="http://schemas.microsoft.com/office/drawing/2014/chart" uri="{C3380CC4-5D6E-409C-BE32-E72D297353CC}">
              <c16:uniqueId val="{00000001-A635-4C74-B57B-157B7000A6B2}"/>
            </c:ext>
          </c:extLst>
        </c:ser>
        <c:ser>
          <c:idx val="2"/>
          <c:order val="2"/>
          <c:tx>
            <c:strRef>
              <c:f>'fan chart'!$D$3</c:f>
              <c:strCache>
                <c:ptCount val="1"/>
              </c:strCache>
            </c:strRef>
          </c:tx>
          <c:spPr>
            <a:solidFill>
              <a:srgbClr val="FF0000">
                <a:alpha val="3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chart'!$D$4:$D$115</c:f>
              <c:numCache>
                <c:formatCode>General</c:formatCode>
                <c:ptCount val="8"/>
                <c:pt idx="4">
                  <c:v>0.72807828442030242</c:v>
                </c:pt>
                <c:pt idx="5">
                  <c:v>0.74207452173584088</c:v>
                </c:pt>
                <c:pt idx="6">
                  <c:v>0.70570906867892003</c:v>
                </c:pt>
                <c:pt idx="7">
                  <c:v>0.64094346163668359</c:v>
                </c:pt>
              </c:numCache>
            </c:numRef>
          </c:val>
          <c:extLst>
            <c:ext xmlns:c16="http://schemas.microsoft.com/office/drawing/2014/chart" uri="{C3380CC4-5D6E-409C-BE32-E72D297353CC}">
              <c16:uniqueId val="{00000002-A635-4C74-B57B-157B7000A6B2}"/>
            </c:ext>
          </c:extLst>
        </c:ser>
        <c:ser>
          <c:idx val="3"/>
          <c:order val="3"/>
          <c:tx>
            <c:strRef>
              <c:f>'fan chart'!$E$3</c:f>
              <c:strCache>
                <c:ptCount val="1"/>
              </c:strCache>
            </c:strRef>
          </c:tx>
          <c:spPr>
            <a:solidFill>
              <a:srgbClr val="FF0000">
                <a:alpha val="4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chart'!$E$4:$E$115</c:f>
              <c:numCache>
                <c:formatCode>General</c:formatCode>
                <c:ptCount val="8"/>
                <c:pt idx="4">
                  <c:v>0.57865353990594848</c:v>
                </c:pt>
                <c:pt idx="5">
                  <c:v>0.58977730563458586</c:v>
                </c:pt>
                <c:pt idx="6">
                  <c:v>0.56087519635326633</c:v>
                </c:pt>
                <c:pt idx="7">
                  <c:v>0.50940154498762169</c:v>
                </c:pt>
              </c:numCache>
            </c:numRef>
          </c:val>
          <c:extLst>
            <c:ext xmlns:c16="http://schemas.microsoft.com/office/drawing/2014/chart" uri="{C3380CC4-5D6E-409C-BE32-E72D297353CC}">
              <c16:uniqueId val="{00000003-A635-4C74-B57B-157B7000A6B2}"/>
            </c:ext>
          </c:extLst>
        </c:ser>
        <c:ser>
          <c:idx val="4"/>
          <c:order val="4"/>
          <c:tx>
            <c:strRef>
              <c:f>'fan chart'!$F$3</c:f>
              <c:strCache>
                <c:ptCount val="1"/>
              </c:strCache>
            </c:strRef>
          </c:tx>
          <c:spPr>
            <a:solidFill>
              <a:srgbClr val="FF0000">
                <a:alpha val="5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chart'!$F$4:$F$115</c:f>
              <c:numCache>
                <c:formatCode>General</c:formatCode>
                <c:ptCount val="8"/>
                <c:pt idx="4">
                  <c:v>0.49643321295112841</c:v>
                </c:pt>
                <c:pt idx="5">
                  <c:v>0.50597641346741717</c:v>
                </c:pt>
                <c:pt idx="6">
                  <c:v>0.48118097719665442</c:v>
                </c:pt>
                <c:pt idx="7">
                  <c:v>0.43702116762575471</c:v>
                </c:pt>
              </c:numCache>
            </c:numRef>
          </c:val>
          <c:extLst>
            <c:ext xmlns:c16="http://schemas.microsoft.com/office/drawing/2014/chart" uri="{C3380CC4-5D6E-409C-BE32-E72D297353CC}">
              <c16:uniqueId val="{00000004-A635-4C74-B57B-157B7000A6B2}"/>
            </c:ext>
          </c:extLst>
        </c:ser>
        <c:ser>
          <c:idx val="5"/>
          <c:order val="5"/>
          <c:tx>
            <c:strRef>
              <c:f>'fan chart'!$G$3</c:f>
              <c:strCache>
                <c:ptCount val="1"/>
              </c:strCache>
            </c:strRef>
          </c:tx>
          <c:spPr>
            <a:solidFill>
              <a:srgbClr val="FF0000">
                <a:alpha val="6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chart'!$G$4:$G$115</c:f>
              <c:numCache>
                <c:formatCode>General</c:formatCode>
                <c:ptCount val="8"/>
                <c:pt idx="4">
                  <c:v>0.44581236814356906</c:v>
                </c:pt>
                <c:pt idx="5">
                  <c:v>0.4543824571522066</c:v>
                </c:pt>
                <c:pt idx="6">
                  <c:v>0.43211538904588664</c:v>
                </c:pt>
                <c:pt idx="7">
                  <c:v>0.39245851523492803</c:v>
                </c:pt>
              </c:numCache>
            </c:numRef>
          </c:val>
          <c:extLst>
            <c:ext xmlns:c16="http://schemas.microsoft.com/office/drawing/2014/chart" uri="{C3380CC4-5D6E-409C-BE32-E72D297353CC}">
              <c16:uniqueId val="{00000005-A635-4C74-B57B-157B7000A6B2}"/>
            </c:ext>
          </c:extLst>
        </c:ser>
        <c:ser>
          <c:idx val="6"/>
          <c:order val="6"/>
          <c:tx>
            <c:strRef>
              <c:f>'fan chart'!$H$3</c:f>
              <c:strCache>
                <c:ptCount val="1"/>
              </c:strCache>
            </c:strRef>
          </c:tx>
          <c:spPr>
            <a:solidFill>
              <a:srgbClr val="FF0000">
                <a:alpha val="7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chart'!$H$4:$H$115</c:f>
              <c:numCache>
                <c:formatCode>General</c:formatCode>
                <c:ptCount val="8"/>
                <c:pt idx="4">
                  <c:v>0.41311159840938849</c:v>
                </c:pt>
                <c:pt idx="5">
                  <c:v>0.42105306307447243</c:v>
                </c:pt>
                <c:pt idx="6">
                  <c:v>0.40041930601744546</c:v>
                </c:pt>
                <c:pt idx="7">
                  <c:v>0.36367130237594836</c:v>
                </c:pt>
              </c:numCache>
            </c:numRef>
          </c:val>
          <c:extLst>
            <c:ext xmlns:c16="http://schemas.microsoft.com/office/drawing/2014/chart" uri="{C3380CC4-5D6E-409C-BE32-E72D297353CC}">
              <c16:uniqueId val="{00000006-A635-4C74-B57B-157B7000A6B2}"/>
            </c:ext>
          </c:extLst>
        </c:ser>
        <c:ser>
          <c:idx val="7"/>
          <c:order val="7"/>
          <c:tx>
            <c:strRef>
              <c:f>'fan chart'!$I$3</c:f>
              <c:strCache>
                <c:ptCount val="1"/>
              </c:strCache>
            </c:strRef>
          </c:tx>
          <c:spPr>
            <a:solidFill>
              <a:srgbClr val="FF0000">
                <a:alpha val="8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chart'!$I$4:$I$115</c:f>
              <c:numCache>
                <c:formatCode>General</c:formatCode>
                <c:ptCount val="8"/>
                <c:pt idx="4">
                  <c:v>0.39200250861922292</c:v>
                </c:pt>
                <c:pt idx="5">
                  <c:v>0.39953818198886459</c:v>
                </c:pt>
                <c:pt idx="6">
                  <c:v>0.37995876432124831</c:v>
                </c:pt>
                <c:pt idx="7">
                  <c:v>0.34508850246057676</c:v>
                </c:pt>
              </c:numCache>
            </c:numRef>
          </c:val>
          <c:extLst>
            <c:ext xmlns:c16="http://schemas.microsoft.com/office/drawing/2014/chart" uri="{C3380CC4-5D6E-409C-BE32-E72D297353CC}">
              <c16:uniqueId val="{00000007-A635-4C74-B57B-157B7000A6B2}"/>
            </c:ext>
          </c:extLst>
        </c:ser>
        <c:ser>
          <c:idx val="8"/>
          <c:order val="8"/>
          <c:tx>
            <c:strRef>
              <c:f>'fan chart'!$J$3</c:f>
              <c:strCache>
                <c:ptCount val="1"/>
              </c:strCache>
            </c:strRef>
          </c:tx>
          <c:spPr>
            <a:solidFill>
              <a:srgbClr val="FF0000">
                <a:alpha val="9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chart'!$J$4:$J$115</c:f>
              <c:numCache>
                <c:formatCode>General</c:formatCode>
                <c:ptCount val="8"/>
                <c:pt idx="4">
                  <c:v>0.3792669636971695</c:v>
                </c:pt>
                <c:pt idx="5">
                  <c:v>0.38655781489193508</c:v>
                </c:pt>
                <c:pt idx="6">
                  <c:v>0.36761450170776122</c:v>
                </c:pt>
                <c:pt idx="7">
                  <c:v>0.33387711980731005</c:v>
                </c:pt>
              </c:numCache>
            </c:numRef>
          </c:val>
          <c:extLst>
            <c:ext xmlns:c16="http://schemas.microsoft.com/office/drawing/2014/chart" uri="{C3380CC4-5D6E-409C-BE32-E72D297353CC}">
              <c16:uniqueId val="{00000008-A635-4C74-B57B-157B7000A6B2}"/>
            </c:ext>
          </c:extLst>
        </c:ser>
        <c:ser>
          <c:idx val="9"/>
          <c:order val="9"/>
          <c:tx>
            <c:strRef>
              <c:f>'fan chart'!$K$3</c:f>
              <c:strCache>
                <c:ptCount val="1"/>
              </c:strCache>
            </c:strRef>
          </c:tx>
          <c:spPr>
            <a:solidFill>
              <a:srgbClr val="FF0000"/>
            </a:solidFill>
            <a:ln>
              <a:solidFill>
                <a:srgbClr val="FF0000"/>
              </a:solidFill>
              <a:prstDash val="solid"/>
            </a:ln>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chart'!$K$4:$K$115</c:f>
              <c:numCache>
                <c:formatCode>General</c:formatCode>
                <c:ptCount val="8"/>
                <c:pt idx="4">
                  <c:v>0.57326520177226747</c:v>
                </c:pt>
                <c:pt idx="5">
                  <c:v>0.63486365953770729</c:v>
                </c:pt>
                <c:pt idx="6">
                  <c:v>0.62907633982222855</c:v>
                </c:pt>
                <c:pt idx="7">
                  <c:v>0.61372492917160848</c:v>
                </c:pt>
              </c:numCache>
            </c:numRef>
          </c:val>
          <c:extLst>
            <c:ext xmlns:c16="http://schemas.microsoft.com/office/drawing/2014/chart" uri="{C3380CC4-5D6E-409C-BE32-E72D297353CC}">
              <c16:uniqueId val="{00000009-A635-4C74-B57B-157B7000A6B2}"/>
            </c:ext>
          </c:extLst>
        </c:ser>
        <c:ser>
          <c:idx val="10"/>
          <c:order val="10"/>
          <c:tx>
            <c:strRef>
              <c:f>'fan chart'!$L$3</c:f>
              <c:strCache>
                <c:ptCount val="1"/>
              </c:strCache>
            </c:strRef>
          </c:tx>
          <c:spPr>
            <a:solidFill>
              <a:srgbClr val="FF0000">
                <a:alpha val="9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chart'!$L$4:$L$115</c:f>
              <c:numCache>
                <c:formatCode>General</c:formatCode>
                <c:ptCount val="8"/>
                <c:pt idx="4">
                  <c:v>0.20323356386866998</c:v>
                </c:pt>
                <c:pt idx="5">
                  <c:v>0.25853352410757324</c:v>
                </c:pt>
                <c:pt idx="6">
                  <c:v>0.2715962836194894</c:v>
                </c:pt>
                <c:pt idx="7">
                  <c:v>0.28973494301729907</c:v>
                </c:pt>
              </c:numCache>
            </c:numRef>
          </c:val>
          <c:extLst>
            <c:ext xmlns:c16="http://schemas.microsoft.com/office/drawing/2014/chart" uri="{C3380CC4-5D6E-409C-BE32-E72D297353CC}">
              <c16:uniqueId val="{0000000A-A635-4C74-B57B-157B7000A6B2}"/>
            </c:ext>
          </c:extLst>
        </c:ser>
        <c:ser>
          <c:idx val="11"/>
          <c:order val="11"/>
          <c:tx>
            <c:strRef>
              <c:f>'fan chart'!$M$3</c:f>
              <c:strCache>
                <c:ptCount val="1"/>
              </c:strCache>
            </c:strRef>
          </c:tx>
          <c:spPr>
            <a:solidFill>
              <a:srgbClr val="FF0000">
                <a:alpha val="8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chart'!$M$4:$M$115</c:f>
              <c:numCache>
                <c:formatCode>General</c:formatCode>
                <c:ptCount val="8"/>
                <c:pt idx="4">
                  <c:v>0.21005801848788153</c:v>
                </c:pt>
                <c:pt idx="5">
                  <c:v>0.2672149164387978</c:v>
                </c:pt>
                <c:pt idx="6">
                  <c:v>0.28071631515869733</c:v>
                </c:pt>
                <c:pt idx="7">
                  <c:v>0.29946405927439379</c:v>
                </c:pt>
              </c:numCache>
            </c:numRef>
          </c:val>
          <c:extLst>
            <c:ext xmlns:c16="http://schemas.microsoft.com/office/drawing/2014/chart" uri="{C3380CC4-5D6E-409C-BE32-E72D297353CC}">
              <c16:uniqueId val="{0000000B-A635-4C74-B57B-157B7000A6B2}"/>
            </c:ext>
          </c:extLst>
        </c:ser>
        <c:ser>
          <c:idx val="12"/>
          <c:order val="12"/>
          <c:tx>
            <c:strRef>
              <c:f>'fan chart'!$N$3</c:f>
              <c:strCache>
                <c:ptCount val="1"/>
              </c:strCache>
            </c:strRef>
          </c:tx>
          <c:spPr>
            <a:solidFill>
              <a:srgbClr val="FF0000">
                <a:alpha val="7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chart'!$N$4:$N$115</c:f>
              <c:numCache>
                <c:formatCode>General</c:formatCode>
                <c:ptCount val="8"/>
                <c:pt idx="4">
                  <c:v>0.22136951133782645</c:v>
                </c:pt>
                <c:pt idx="5">
                  <c:v>0.28160427247697051</c:v>
                </c:pt>
                <c:pt idx="6">
                  <c:v>0.29583271306931813</c:v>
                </c:pt>
                <c:pt idx="7">
                  <c:v>0.31559001147408239</c:v>
                </c:pt>
              </c:numCache>
            </c:numRef>
          </c:val>
          <c:extLst>
            <c:ext xmlns:c16="http://schemas.microsoft.com/office/drawing/2014/chart" uri="{C3380CC4-5D6E-409C-BE32-E72D297353CC}">
              <c16:uniqueId val="{0000000C-A635-4C74-B57B-157B7000A6B2}"/>
            </c:ext>
          </c:extLst>
        </c:ser>
        <c:ser>
          <c:idx val="13"/>
          <c:order val="13"/>
          <c:tx>
            <c:strRef>
              <c:f>'fan chart'!$O$3</c:f>
              <c:strCache>
                <c:ptCount val="1"/>
              </c:strCache>
            </c:strRef>
          </c:tx>
          <c:spPr>
            <a:solidFill>
              <a:srgbClr val="FF0000">
                <a:alpha val="6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chart'!$O$4:$O$115</c:f>
              <c:numCache>
                <c:formatCode>General</c:formatCode>
                <c:ptCount val="8"/>
                <c:pt idx="4">
                  <c:v>0.23889250862063527</c:v>
                </c:pt>
                <c:pt idx="5">
                  <c:v>0.30389528659007503</c:v>
                </c:pt>
                <c:pt idx="6">
                  <c:v>0.31925001112428752</c:v>
                </c:pt>
                <c:pt idx="7">
                  <c:v>0.3405712425393812</c:v>
                </c:pt>
              </c:numCache>
            </c:numRef>
          </c:val>
          <c:extLst>
            <c:ext xmlns:c16="http://schemas.microsoft.com/office/drawing/2014/chart" uri="{C3380CC4-5D6E-409C-BE32-E72D297353CC}">
              <c16:uniqueId val="{0000000D-A635-4C74-B57B-157B7000A6B2}"/>
            </c:ext>
          </c:extLst>
        </c:ser>
        <c:ser>
          <c:idx val="14"/>
          <c:order val="14"/>
          <c:tx>
            <c:strRef>
              <c:f>'fan chart'!$P$3</c:f>
              <c:strCache>
                <c:ptCount val="1"/>
              </c:strCache>
            </c:strRef>
          </c:tx>
          <c:spPr>
            <a:solidFill>
              <a:srgbClr val="FF0000">
                <a:alpha val="5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chart'!$P$4:$P$115</c:f>
              <c:numCache>
                <c:formatCode>General</c:formatCode>
                <c:ptCount val="8"/>
                <c:pt idx="4">
                  <c:v>0.26601813695376464</c:v>
                </c:pt>
                <c:pt idx="5">
                  <c:v>0.33840181274206138</c:v>
                </c:pt>
                <c:pt idx="6">
                  <c:v>0.35550002665263847</c:v>
                </c:pt>
                <c:pt idx="7">
                  <c:v>0.37924222891487247</c:v>
                </c:pt>
              </c:numCache>
            </c:numRef>
          </c:val>
          <c:extLst>
            <c:ext xmlns:c16="http://schemas.microsoft.com/office/drawing/2014/chart" uri="{C3380CC4-5D6E-409C-BE32-E72D297353CC}">
              <c16:uniqueId val="{0000000E-A635-4C74-B57B-157B7000A6B2}"/>
            </c:ext>
          </c:extLst>
        </c:ser>
        <c:ser>
          <c:idx val="15"/>
          <c:order val="15"/>
          <c:tx>
            <c:strRef>
              <c:f>'fan chart'!$Q$3</c:f>
              <c:strCache>
                <c:ptCount val="1"/>
              </c:strCache>
            </c:strRef>
          </c:tx>
          <c:spPr>
            <a:solidFill>
              <a:srgbClr val="FF0000">
                <a:alpha val="4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chart'!$Q$4:$Q$115</c:f>
              <c:numCache>
                <c:formatCode>General</c:formatCode>
                <c:ptCount val="8"/>
                <c:pt idx="4">
                  <c:v>0.31007662785575008</c:v>
                </c:pt>
                <c:pt idx="5">
                  <c:v>0.39444864232534904</c:v>
                </c:pt>
                <c:pt idx="6">
                  <c:v>0.41437869887134049</c:v>
                </c:pt>
                <c:pt idx="7">
                  <c:v>0.44205313528250123</c:v>
                </c:pt>
              </c:numCache>
            </c:numRef>
          </c:val>
          <c:extLst>
            <c:ext xmlns:c16="http://schemas.microsoft.com/office/drawing/2014/chart" uri="{C3380CC4-5D6E-409C-BE32-E72D297353CC}">
              <c16:uniqueId val="{0000000F-A635-4C74-B57B-157B7000A6B2}"/>
            </c:ext>
          </c:extLst>
        </c:ser>
        <c:ser>
          <c:idx val="16"/>
          <c:order val="16"/>
          <c:tx>
            <c:strRef>
              <c:f>'fan chart'!$R$3</c:f>
              <c:strCache>
                <c:ptCount val="1"/>
              </c:strCache>
            </c:strRef>
          </c:tx>
          <c:spPr>
            <a:solidFill>
              <a:srgbClr val="FF0000">
                <a:alpha val="3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chart'!$R$4:$R$115</c:f>
              <c:numCache>
                <c:formatCode>General</c:formatCode>
                <c:ptCount val="8"/>
                <c:pt idx="4">
                  <c:v>0.39014720152708371</c:v>
                </c:pt>
                <c:pt idx="5">
                  <c:v>0.49630646144986201</c:v>
                </c:pt>
                <c:pt idx="6">
                  <c:v>0.52138302346443588</c:v>
                </c:pt>
                <c:pt idx="7">
                  <c:v>0.5562037837207594</c:v>
                </c:pt>
              </c:numCache>
            </c:numRef>
          </c:val>
          <c:extLst>
            <c:ext xmlns:c16="http://schemas.microsoft.com/office/drawing/2014/chart" uri="{C3380CC4-5D6E-409C-BE32-E72D297353CC}">
              <c16:uniqueId val="{00000010-A635-4C74-B57B-157B7000A6B2}"/>
            </c:ext>
          </c:extLst>
        </c:ser>
        <c:ser>
          <c:idx val="17"/>
          <c:order val="17"/>
          <c:tx>
            <c:strRef>
              <c:f>'fan chart'!$S$3</c:f>
              <c:strCache>
                <c:ptCount val="1"/>
              </c:strCache>
            </c:strRef>
          </c:tx>
          <c:spPr>
            <a:solidFill>
              <a:srgbClr val="FF0000">
                <a:alpha val="20000"/>
              </a:srgbClr>
            </a:solidFill>
          </c:spPr>
          <c:cat>
            <c:strRef>
              <c:f>'fan chart'!$A$4:$A$115</c:f>
              <c:strCache>
                <c:ptCount val="8"/>
                <c:pt idx="0">
                  <c:v>2022</c:v>
                </c:pt>
                <c:pt idx="1">
                  <c:v>2023</c:v>
                </c:pt>
                <c:pt idx="2">
                  <c:v>2024</c:v>
                </c:pt>
                <c:pt idx="3">
                  <c:v>2025</c:v>
                </c:pt>
                <c:pt idx="4">
                  <c:v>2026*</c:v>
                </c:pt>
                <c:pt idx="5">
                  <c:v>2027*</c:v>
                </c:pt>
                <c:pt idx="6">
                  <c:v>2028*</c:v>
                </c:pt>
                <c:pt idx="7">
                  <c:v>2029*</c:v>
                </c:pt>
              </c:strCache>
            </c:strRef>
          </c:cat>
          <c:val>
            <c:numRef>
              <c:f>'fan chart'!$S$4:$S$115</c:f>
              <c:numCache>
                <c:formatCode>General</c:formatCode>
                <c:ptCount val="8"/>
                <c:pt idx="4">
                  <c:v>0.57825692427447706</c:v>
                </c:pt>
                <c:pt idx="5">
                  <c:v>0.73560093926657011</c:v>
                </c:pt>
                <c:pt idx="6">
                  <c:v>0.77276818169498895</c:v>
                </c:pt>
                <c:pt idx="7">
                  <c:v>0.82437779377962528</c:v>
                </c:pt>
              </c:numCache>
            </c:numRef>
          </c:val>
          <c:extLst>
            <c:ext xmlns:c16="http://schemas.microsoft.com/office/drawing/2014/chart" uri="{C3380CC4-5D6E-409C-BE32-E72D297353CC}">
              <c16:uniqueId val="{00000011-A635-4C74-B57B-157B7000A6B2}"/>
            </c:ext>
          </c:extLst>
        </c:ser>
        <c:dLbls>
          <c:showLegendKey val="0"/>
          <c:showVal val="0"/>
          <c:showCatName val="0"/>
          <c:showSerName val="0"/>
          <c:showPercent val="0"/>
          <c:showBubbleSize val="0"/>
        </c:dLbls>
        <c:axId val="613163224"/>
        <c:axId val="613164208"/>
      </c:areaChart>
      <c:catAx>
        <c:axId val="613163224"/>
        <c:scaling>
          <c:orientation val="minMax"/>
        </c:scaling>
        <c:delete val="0"/>
        <c:axPos val="b"/>
        <c:numFmt formatCode="General" sourceLinked="1"/>
        <c:majorTickMark val="out"/>
        <c:minorTickMark val="none"/>
        <c:tickLblPos val="nextTo"/>
        <c:crossAx val="613164208"/>
        <c:crosses val="autoZero"/>
        <c:auto val="1"/>
        <c:lblAlgn val="ctr"/>
        <c:lblOffset val="100"/>
        <c:noMultiLvlLbl val="0"/>
      </c:catAx>
      <c:valAx>
        <c:axId val="613164208"/>
        <c:scaling>
          <c:orientation val="minMax"/>
        </c:scaling>
        <c:delete val="0"/>
        <c:axPos val="l"/>
        <c:numFmt formatCode="General" sourceLinked="1"/>
        <c:majorTickMark val="out"/>
        <c:minorTickMark val="none"/>
        <c:tickLblPos val="nextTo"/>
        <c:spPr>
          <a:ln>
            <a:noFill/>
          </a:ln>
        </c:spPr>
        <c:txPr>
          <a:bodyPr/>
          <a:lstStyle/>
          <a:p>
            <a:pPr>
              <a:defRPr>
                <a:solidFill>
                  <a:schemeClr val="bg1">
                    <a:lumMod val="65000"/>
                  </a:schemeClr>
                </a:solidFill>
              </a:defRPr>
            </a:pPr>
            <a:endParaRPr lang="en-US"/>
          </a:p>
        </c:txPr>
        <c:crossAx val="613163224"/>
        <c:crosses val="autoZero"/>
        <c:crossBetween val="between"/>
      </c:valAx>
      <c:spPr>
        <a:noFill/>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c:spPr>
  <c:txPr>
    <a:bodyPr/>
    <a:lstStyle/>
    <a:p>
      <a:pPr>
        <a:defRPr>
          <a:latin typeface="GHEA Grapalat" panose="02000506050000020003" pitchFamily="50" charset="0"/>
        </a:defRPr>
      </a:pPr>
      <a:endParaRPr lang="en-US"/>
    </a:p>
  </c:txPr>
  <c:externalData r:id="rId2">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'[Զեկույց - data - 2026.xlsx]Sheet1'!$B$8</c:f>
              <c:strCache>
                <c:ptCount val="1"/>
                <c:pt idx="0">
                  <c:v>Ակտիվներ</c:v>
                </c:pt>
              </c:strCache>
            </c:strRef>
          </c:tx>
          <c:spPr>
            <a:solidFill>
              <a:schemeClr val="accent1">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'[Զեկույց - data - 2026.xlsx]Sheet1'!$A$9:$A$14</c:f>
              <c:numCache>
                <c:formatCode>General</c:formatCode>
                <c:ptCount val="6"/>
                <c:pt idx="0">
                  <c:v>2020</c:v>
                </c:pt>
                <c:pt idx="1">
                  <c:v>2021</c:v>
                </c:pt>
                <c:pt idx="2">
                  <c:v>2022</c:v>
                </c:pt>
                <c:pt idx="3">
                  <c:v>2023</c:v>
                </c:pt>
                <c:pt idx="4">
                  <c:v>2024</c:v>
                </c:pt>
                <c:pt idx="5">
                  <c:v>2025</c:v>
                </c:pt>
              </c:numCache>
            </c:numRef>
          </c:cat>
          <c:val>
            <c:numRef>
              <c:f>'[Զեկույց - data - 2026.xlsx]Sheet1'!$B$9:$B$14</c:f>
              <c:numCache>
                <c:formatCode>General</c:formatCode>
                <c:ptCount val="6"/>
                <c:pt idx="0">
                  <c:v>796</c:v>
                </c:pt>
                <c:pt idx="1">
                  <c:v>828</c:v>
                </c:pt>
                <c:pt idx="2">
                  <c:v>830</c:v>
                </c:pt>
                <c:pt idx="3">
                  <c:v>851.7</c:v>
                </c:pt>
                <c:pt idx="4">
                  <c:v>876.1</c:v>
                </c:pt>
                <c:pt idx="5">
                  <c:v>882.6</c:v>
                </c:pt>
              </c:numCache>
            </c:numRef>
          </c:val>
          <c:extLst>
            <c:ext xmlns:c16="http://schemas.microsoft.com/office/drawing/2014/chart" uri="{C3380CC4-5D6E-409C-BE32-E72D297353CC}">
              <c16:uniqueId val="{00000000-1527-4524-9B13-6B565A666D3A}"/>
            </c:ext>
          </c:extLst>
        </c:ser>
        <c:ser>
          <c:idx val="1"/>
          <c:order val="1"/>
          <c:tx>
            <c:strRef>
              <c:f>'[Զեկույց - data - 2026.xlsx]Sheet1'!$C$8</c:f>
              <c:strCache>
                <c:ptCount val="1"/>
                <c:pt idx="0">
                  <c:v>Պարտավորություններ</c:v>
                </c:pt>
              </c:strCache>
            </c:strRef>
          </c:tx>
          <c:spPr>
            <a:solidFill>
              <a:schemeClr val="accent1">
                <a:tint val="77000"/>
              </a:schemeClr>
            </a:solidFill>
            <a:ln>
              <a:noFill/>
            </a:ln>
            <a:effectLst/>
          </c:spPr>
          <c:invertIfNegative val="0"/>
          <c:dLbls>
            <c:dLbl>
              <c:idx val="3"/>
              <c:layout>
                <c:manualLayout>
                  <c:x val="8.3160083160083165E-3"/>
                  <c:y val="4.613610149942287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527-4524-9B13-6B565A666D3A}"/>
                </c:ext>
              </c:extLst>
            </c:dLbl>
            <c:dLbl>
              <c:idx val="4"/>
              <c:layout>
                <c:manualLayout>
                  <c:x val="8.3160083160083165E-3"/>
                  <c:y val="-4.2290937825948762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527-4524-9B13-6B565A666D3A}"/>
                </c:ext>
              </c:extLst>
            </c:dLbl>
            <c:dLbl>
              <c:idx val="5"/>
              <c:layout>
                <c:manualLayout>
                  <c:x val="1.1088011088011088E-2"/>
                  <c:y val="9.2272202998846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527-4524-9B13-6B565A666D3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'[Զեկույց - data - 2026.xlsx]Sheet1'!$A$9:$A$14</c:f>
              <c:numCache>
                <c:formatCode>General</c:formatCode>
                <c:ptCount val="6"/>
                <c:pt idx="0">
                  <c:v>2020</c:v>
                </c:pt>
                <c:pt idx="1">
                  <c:v>2021</c:v>
                </c:pt>
                <c:pt idx="2">
                  <c:v>2022</c:v>
                </c:pt>
                <c:pt idx="3">
                  <c:v>2023</c:v>
                </c:pt>
                <c:pt idx="4">
                  <c:v>2024</c:v>
                </c:pt>
                <c:pt idx="5">
                  <c:v>2025</c:v>
                </c:pt>
              </c:numCache>
            </c:numRef>
          </c:cat>
          <c:val>
            <c:numRef>
              <c:f>'[Զեկույց - data - 2026.xlsx]Sheet1'!$C$9:$C$14</c:f>
              <c:numCache>
                <c:formatCode>General</c:formatCode>
                <c:ptCount val="6"/>
                <c:pt idx="0">
                  <c:v>548</c:v>
                </c:pt>
                <c:pt idx="1">
                  <c:v>511</c:v>
                </c:pt>
                <c:pt idx="2">
                  <c:v>453</c:v>
                </c:pt>
                <c:pt idx="3">
                  <c:v>476.4</c:v>
                </c:pt>
                <c:pt idx="4">
                  <c:v>449.7</c:v>
                </c:pt>
                <c:pt idx="5">
                  <c:v>445.4</c:v>
                </c:pt>
              </c:numCache>
            </c:numRef>
          </c:val>
          <c:extLst>
            <c:ext xmlns:c16="http://schemas.microsoft.com/office/drawing/2014/chart" uri="{C3380CC4-5D6E-409C-BE32-E72D297353CC}">
              <c16:uniqueId val="{00000004-1527-4524-9B13-6B565A666D3A}"/>
            </c:ext>
          </c:extLst>
        </c:ser>
        <c:dLbls>
          <c:showLegendKey val="0"/>
          <c:showVal val="0"/>
          <c:showCatName val="0"/>
          <c:showSerName val="0"/>
          <c:showPercent val="0"/>
          <c:showBubbleSize val="0"/>
        </c:dLbls>
        <c:gapWidth val="219"/>
        <c:overlap val="-27"/>
        <c:axId val="222107312"/>
        <c:axId val="222105232"/>
      </c:barChart>
      <c:catAx>
        <c:axId val="222107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105232"/>
        <c:crosses val="autoZero"/>
        <c:auto val="1"/>
        <c:lblAlgn val="ctr"/>
        <c:lblOffset val="100"/>
        <c:noMultiLvlLbl val="0"/>
      </c:catAx>
      <c:valAx>
        <c:axId val="222105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y-AM"/>
                  <a:t>ՀՀ</a:t>
                </a:r>
                <a:r>
                  <a:rPr lang="hy-AM" baseline="0"/>
                  <a:t> մլրդ դրամ</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107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Sheet3!$H$32</c:f>
              <c:strCache>
                <c:ptCount val="1"/>
                <c:pt idx="0">
                  <c:v>Պարտք/Ակտիվների հարաբերակցություն</c:v>
                </c:pt>
              </c:strCache>
            </c:strRef>
          </c:tx>
          <c:spPr>
            <a:ln w="28575" cap="rnd">
              <a:solidFill>
                <a:schemeClr val="accent1"/>
              </a:solidFill>
              <a:round/>
            </a:ln>
            <a:effectLst/>
          </c:spPr>
          <c:marker>
            <c:symbol val="none"/>
          </c:marker>
          <c:cat>
            <c:numRef>
              <c:f>Sheet3!$D$33:$D$37</c:f>
              <c:numCache>
                <c:formatCode>General</c:formatCode>
                <c:ptCount val="5"/>
                <c:pt idx="0">
                  <c:v>2021</c:v>
                </c:pt>
                <c:pt idx="1">
                  <c:v>2022</c:v>
                </c:pt>
                <c:pt idx="2">
                  <c:v>2023</c:v>
                </c:pt>
                <c:pt idx="3">
                  <c:v>2024</c:v>
                </c:pt>
                <c:pt idx="4">
                  <c:v>2025</c:v>
                </c:pt>
              </c:numCache>
            </c:numRef>
          </c:cat>
          <c:val>
            <c:numRef>
              <c:f>Sheet3!$H$33:$H$37</c:f>
              <c:numCache>
                <c:formatCode>0.00</c:formatCode>
                <c:ptCount val="5"/>
                <c:pt idx="0">
                  <c:v>0.75910278073397852</c:v>
                </c:pt>
                <c:pt idx="1">
                  <c:v>0.56819973950106817</c:v>
                </c:pt>
                <c:pt idx="2">
                  <c:v>0.59512372544591563</c:v>
                </c:pt>
                <c:pt idx="3">
                  <c:v>0.50588142682077042</c:v>
                </c:pt>
                <c:pt idx="4">
                  <c:v>0.50015371624288274</c:v>
                </c:pt>
              </c:numCache>
            </c:numRef>
          </c:val>
          <c:smooth val="0"/>
          <c:extLst>
            <c:ext xmlns:c16="http://schemas.microsoft.com/office/drawing/2014/chart" uri="{C3380CC4-5D6E-409C-BE32-E72D297353CC}">
              <c16:uniqueId val="{00000000-398F-456E-ABD8-2BEDA69C3FC3}"/>
            </c:ext>
          </c:extLst>
        </c:ser>
        <c:dLbls>
          <c:showLegendKey val="0"/>
          <c:showVal val="0"/>
          <c:showCatName val="0"/>
          <c:showSerName val="0"/>
          <c:showPercent val="0"/>
          <c:showBubbleSize val="0"/>
        </c:dLbls>
        <c:marker val="1"/>
        <c:smooth val="0"/>
        <c:axId val="1980870080"/>
        <c:axId val="1980870912"/>
      </c:lineChart>
      <c:lineChart>
        <c:grouping val="standard"/>
        <c:varyColors val="0"/>
        <c:ser>
          <c:idx val="1"/>
          <c:order val="1"/>
          <c:tx>
            <c:strRef>
              <c:f>Sheet3!$I$32</c:f>
              <c:strCache>
                <c:ptCount val="1"/>
                <c:pt idx="0">
                  <c:v>Պարտք/Սեփական կապիտալի հարաբերակցություն</c:v>
                </c:pt>
              </c:strCache>
            </c:strRef>
          </c:tx>
          <c:spPr>
            <a:ln w="28575" cap="rnd">
              <a:solidFill>
                <a:schemeClr val="bg1">
                  <a:lumMod val="65000"/>
                </a:schemeClr>
              </a:solidFill>
              <a:round/>
            </a:ln>
            <a:effectLst/>
          </c:spPr>
          <c:marker>
            <c:symbol val="none"/>
          </c:marker>
          <c:dPt>
            <c:idx val="1"/>
            <c:marker>
              <c:symbol val="none"/>
            </c:marker>
            <c:bubble3D val="0"/>
            <c:extLst>
              <c:ext xmlns:c16="http://schemas.microsoft.com/office/drawing/2014/chart" uri="{C3380CC4-5D6E-409C-BE32-E72D297353CC}">
                <c16:uniqueId val="{00000001-398F-456E-ABD8-2BEDA69C3FC3}"/>
              </c:ext>
            </c:extLst>
          </c:dPt>
          <c:cat>
            <c:numRef>
              <c:f>Sheet3!$D$33:$D$37</c:f>
              <c:numCache>
                <c:formatCode>General</c:formatCode>
                <c:ptCount val="5"/>
                <c:pt idx="0">
                  <c:v>2021</c:v>
                </c:pt>
                <c:pt idx="1">
                  <c:v>2022</c:v>
                </c:pt>
                <c:pt idx="2">
                  <c:v>2023</c:v>
                </c:pt>
                <c:pt idx="3">
                  <c:v>2024</c:v>
                </c:pt>
                <c:pt idx="4">
                  <c:v>2025</c:v>
                </c:pt>
              </c:numCache>
            </c:numRef>
          </c:cat>
          <c:val>
            <c:numRef>
              <c:f>Sheet3!$I$33:$I$37</c:f>
              <c:numCache>
                <c:formatCode>0%</c:formatCode>
                <c:ptCount val="5"/>
                <c:pt idx="0">
                  <c:v>2.6649632384907616</c:v>
                </c:pt>
                <c:pt idx="1">
                  <c:v>1.3229253877674851</c:v>
                </c:pt>
                <c:pt idx="2">
                  <c:v>1.4053242411691964</c:v>
                </c:pt>
                <c:pt idx="3">
                  <c:v>1.005982015783119</c:v>
                </c:pt>
                <c:pt idx="4">
                  <c:v>0.98754636810673446</c:v>
                </c:pt>
              </c:numCache>
            </c:numRef>
          </c:val>
          <c:smooth val="0"/>
          <c:extLst>
            <c:ext xmlns:c16="http://schemas.microsoft.com/office/drawing/2014/chart" uri="{C3380CC4-5D6E-409C-BE32-E72D297353CC}">
              <c16:uniqueId val="{00000002-398F-456E-ABD8-2BEDA69C3FC3}"/>
            </c:ext>
          </c:extLst>
        </c:ser>
        <c:dLbls>
          <c:showLegendKey val="0"/>
          <c:showVal val="0"/>
          <c:showCatName val="0"/>
          <c:showSerName val="0"/>
          <c:showPercent val="0"/>
          <c:showBubbleSize val="0"/>
        </c:dLbls>
        <c:marker val="1"/>
        <c:smooth val="0"/>
        <c:axId val="1625290191"/>
        <c:axId val="1625286863"/>
      </c:lineChart>
      <c:catAx>
        <c:axId val="1980870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980870912"/>
        <c:crosses val="autoZero"/>
        <c:auto val="1"/>
        <c:lblAlgn val="ctr"/>
        <c:lblOffset val="100"/>
        <c:noMultiLvlLbl val="0"/>
      </c:catAx>
      <c:valAx>
        <c:axId val="19808709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0870080"/>
        <c:crosses val="autoZero"/>
        <c:crossBetween val="between"/>
      </c:valAx>
      <c:valAx>
        <c:axId val="1625286863"/>
        <c:scaling>
          <c:orientation val="minMax"/>
        </c:scaling>
        <c:delete val="0"/>
        <c:axPos val="r"/>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5290191"/>
        <c:crosses val="max"/>
        <c:crossBetween val="between"/>
      </c:valAx>
      <c:catAx>
        <c:axId val="1625290191"/>
        <c:scaling>
          <c:orientation val="minMax"/>
        </c:scaling>
        <c:delete val="1"/>
        <c:axPos val="b"/>
        <c:numFmt formatCode="General" sourceLinked="1"/>
        <c:majorTickMark val="out"/>
        <c:minorTickMark val="none"/>
        <c:tickLblPos val="nextTo"/>
        <c:crossAx val="1625286863"/>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pPr>
      <a:endParaRPr lang="en-US"/>
    </a:p>
  </c:txPr>
  <c:externalData r:id="rId3">
    <c:autoUpdate val="0"/>
  </c:externalData>
</c:chartSpace>
</file>

<file path=word/charts/chart6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dLbls>
            <c:dLbl>
              <c:idx val="0"/>
              <c:layout>
                <c:manualLayout>
                  <c:x val="-1.2631578947368627E-2"/>
                  <c:y val="-1.6203703703703703E-2"/>
                </c:manualLayout>
              </c:layout>
              <c:tx>
                <c:rich>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mn-lt"/>
                        <a:ea typeface="+mn-ea"/>
                        <a:cs typeface="+mn-cs"/>
                      </a:defRPr>
                    </a:pPr>
                    <a:r>
                      <a:rPr lang="en-US" sz="800"/>
                      <a:t>1</a:t>
                    </a:r>
                  </a:p>
                </c:rich>
              </c:tx>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1.8526315789473686E-2"/>
                      <c:h val="5.5902960046660836E-2"/>
                    </c:manualLayout>
                  </c15:layout>
                </c:ext>
                <c:ext xmlns:c16="http://schemas.microsoft.com/office/drawing/2014/chart" uri="{C3380CC4-5D6E-409C-BE32-E72D297353CC}">
                  <c16:uniqueId val="{00000000-6478-4459-94AB-D40CEFDD72E8}"/>
                </c:ext>
              </c:extLst>
            </c:dLbl>
            <c:dLbl>
              <c:idx val="1"/>
              <c:layout>
                <c:manualLayout>
                  <c:x val="-1.1228070175438596E-2"/>
                  <c:y val="-1.8518336249635461E-2"/>
                </c:manualLayout>
              </c:layout>
              <c:tx>
                <c:rich>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mn-lt"/>
                        <a:ea typeface="+mn-ea"/>
                        <a:cs typeface="+mn-cs"/>
                      </a:defRPr>
                    </a:pPr>
                    <a:r>
                      <a:rPr lang="en-US" sz="800"/>
                      <a:t>2</a:t>
                    </a:r>
                  </a:p>
                </c:rich>
              </c:tx>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2.1782456140350879E-2"/>
                      <c:h val="4.6643700787401571E-2"/>
                    </c:manualLayout>
                  </c15:layout>
                </c:ext>
                <c:ext xmlns:c16="http://schemas.microsoft.com/office/drawing/2014/chart" uri="{C3380CC4-5D6E-409C-BE32-E72D297353CC}">
                  <c16:uniqueId val="{00000001-6478-4459-94AB-D40CEFDD72E8}"/>
                </c:ext>
              </c:extLst>
            </c:dLbl>
            <c:dLbl>
              <c:idx val="2"/>
              <c:layout>
                <c:manualLayout>
                  <c:x val="-1.403497720679652E-2"/>
                  <c:y val="-3.2407407407407406E-2"/>
                </c:manualLayout>
              </c:layout>
              <c:tx>
                <c:rich>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mn-lt"/>
                        <a:ea typeface="+mn-ea"/>
                        <a:cs typeface="+mn-cs"/>
                      </a:defRPr>
                    </a:pPr>
                    <a:r>
                      <a:rPr lang="en-US" sz="800"/>
                      <a:t>3</a:t>
                    </a:r>
                  </a:p>
                </c:rich>
              </c:tx>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2.3073684210526312E-2"/>
                      <c:h val="5.1273330417031207E-2"/>
                    </c:manualLayout>
                  </c15:layout>
                </c:ext>
                <c:ext xmlns:c16="http://schemas.microsoft.com/office/drawing/2014/chart" uri="{C3380CC4-5D6E-409C-BE32-E72D297353CC}">
                  <c16:uniqueId val="{00000002-6478-4459-94AB-D40CEFDD72E8}"/>
                </c:ext>
              </c:extLst>
            </c:dLbl>
            <c:dLbl>
              <c:idx val="3"/>
              <c:layout>
                <c:manualLayout>
                  <c:x val="-8.4210526315790495E-3"/>
                  <c:y val="-4.6296296296296294E-3"/>
                </c:manualLayout>
              </c:layout>
              <c:tx>
                <c:rich>
                  <a:bodyPr/>
                  <a:lstStyle/>
                  <a:p>
                    <a:r>
                      <a:rPr lang="en-US"/>
                      <a:t>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478-4459-94AB-D40CEFDD72E8}"/>
                </c:ext>
              </c:extLst>
            </c:dLbl>
            <c:dLbl>
              <c:idx val="4"/>
              <c:layout>
                <c:manualLayout>
                  <c:x val="-1.12280701754387E-2"/>
                  <c:y val="-1.8518518518518517E-2"/>
                </c:manualLayout>
              </c:layout>
              <c:tx>
                <c:rich>
                  <a:bodyPr/>
                  <a:lstStyle/>
                  <a:p>
                    <a:r>
                      <a:rPr lang="en-US"/>
                      <a:t>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478-4459-94AB-D40CEFDD72E8}"/>
                </c:ext>
              </c:extLst>
            </c:dLbl>
            <c:dLbl>
              <c:idx val="5"/>
              <c:layout>
                <c:manualLayout>
                  <c:x val="-2.2456140350877191E-2"/>
                  <c:y val="-2.7777777777777776E-2"/>
                </c:manualLayout>
              </c:layout>
              <c:tx>
                <c:rich>
                  <a:bodyPr/>
                  <a:lstStyle/>
                  <a:p>
                    <a:r>
                      <a:rPr lang="en-US"/>
                      <a:t>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478-4459-94AB-D40CEFDD72E8}"/>
                </c:ext>
              </c:extLst>
            </c:dLbl>
            <c:dLbl>
              <c:idx val="6"/>
              <c:layout>
                <c:manualLayout>
                  <c:x val="-2.4764645861810135E-2"/>
                  <c:y val="-2.4902571981504189E-2"/>
                </c:manualLayout>
              </c:layout>
              <c:tx>
                <c:rich>
                  <a:bodyPr/>
                  <a:lstStyle/>
                  <a:p>
                    <a:r>
                      <a:rPr lang="en-US"/>
                      <a:t>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478-4459-94AB-D40CEFDD72E8}"/>
                </c:ext>
              </c:extLst>
            </c:dLbl>
            <c:dLbl>
              <c:idx val="7"/>
              <c:layout>
                <c:manualLayout>
                  <c:x val="-2.8070175438596596E-2"/>
                  <c:y val="-3.4722222222222224E-2"/>
                </c:manualLayout>
              </c:layout>
              <c:tx>
                <c:rich>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mn-lt"/>
                        <a:ea typeface="+mn-ea"/>
                        <a:cs typeface="+mn-cs"/>
                      </a:defRPr>
                    </a:pPr>
                    <a:r>
                      <a:rPr lang="en-US" sz="800"/>
                      <a:t>8</a:t>
                    </a:r>
                  </a:p>
                </c:rich>
              </c:tx>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2.1473684210526318E-2"/>
                      <c:h val="4.6551108194808982E-2"/>
                    </c:manualLayout>
                  </c15:layout>
                </c:ext>
                <c:ext xmlns:c16="http://schemas.microsoft.com/office/drawing/2014/chart" uri="{C3380CC4-5D6E-409C-BE32-E72D297353CC}">
                  <c16:uniqueId val="{00000007-6478-4459-94AB-D40CEFDD72E8}"/>
                </c:ext>
              </c:extLst>
            </c:dLbl>
            <c:dLbl>
              <c:idx val="8"/>
              <c:layout>
                <c:manualLayout>
                  <c:x val="-2.5263157894736842E-2"/>
                  <c:y val="-3.7037037037037035E-2"/>
                </c:manualLayout>
              </c:layout>
              <c:tx>
                <c:rich>
                  <a:bodyPr/>
                  <a:lstStyle/>
                  <a:p>
                    <a:r>
                      <a:rPr lang="en-US"/>
                      <a:t>9</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478-4459-94AB-D40CEFDD72E8}"/>
                </c:ext>
              </c:extLst>
            </c:dLbl>
            <c:dLbl>
              <c:idx val="9"/>
              <c:layout>
                <c:manualLayout>
                  <c:x val="-2.9609219079888852E-2"/>
                  <c:y val="-2.0273005273965656E-2"/>
                </c:manualLayout>
              </c:layout>
              <c:tx>
                <c:rich>
                  <a:bodyPr/>
                  <a:lstStyle/>
                  <a:p>
                    <a:r>
                      <a:rPr lang="en-US"/>
                      <a:t>10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478-4459-94AB-D40CEFDD72E8}"/>
                </c:ext>
              </c:extLst>
            </c:dLbl>
            <c:dLbl>
              <c:idx val="10"/>
              <c:layout>
                <c:manualLayout>
                  <c:x val="-1.1000680232819308E-2"/>
                  <c:y val="-3.1530040921245207E-2"/>
                </c:manualLayout>
              </c:layout>
              <c:tx>
                <c:rich>
                  <a:bodyPr/>
                  <a:lstStyle/>
                  <a:p>
                    <a:r>
                      <a:rPr lang="en-US"/>
                      <a:t>11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478-4459-94AB-D40CEFDD72E8}"/>
                </c:ext>
              </c:extLst>
            </c:dLbl>
            <c:dLbl>
              <c:idx val="11"/>
              <c:layout>
                <c:manualLayout>
                  <c:x val="-2.2456140350877191E-2"/>
                  <c:y val="-1.8518518518518604E-2"/>
                </c:manualLayout>
              </c:layout>
              <c:tx>
                <c:rich>
                  <a:bodyPr/>
                  <a:lstStyle/>
                  <a:p>
                    <a:r>
                      <a:rPr lang="en-US"/>
                      <a:t>12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478-4459-94AB-D40CEFDD72E8}"/>
                </c:ext>
              </c:extLst>
            </c:dLbl>
            <c:dLbl>
              <c:idx val="12"/>
              <c:layout>
                <c:manualLayout>
                  <c:x val="-3.9070872559023029E-2"/>
                  <c:y val="-1.3011478630837186E-2"/>
                </c:manualLayout>
              </c:layout>
              <c:tx>
                <c:rich>
                  <a:bodyPr/>
                  <a:lstStyle/>
                  <a:p>
                    <a:r>
                      <a:rPr lang="en-US"/>
                      <a:t>13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6478-4459-94AB-D40CEFDD72E8}"/>
                </c:ext>
              </c:extLst>
            </c:dLbl>
            <c:dLbl>
              <c:idx val="13"/>
              <c:layout>
                <c:manualLayout>
                  <c:x val="-1.6842105263157894E-2"/>
                  <c:y val="-3.2407407407407489E-2"/>
                </c:manualLayout>
              </c:layout>
              <c:tx>
                <c:rich>
                  <a:bodyPr/>
                  <a:lstStyle/>
                  <a:p>
                    <a:r>
                      <a:rPr lang="en-US"/>
                      <a:t>14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6478-4459-94AB-D40CEFDD72E8}"/>
                </c:ext>
              </c:extLst>
            </c:dLbl>
            <c:dLbl>
              <c:idx val="14"/>
              <c:layout>
                <c:manualLayout>
                  <c:x val="-2.3496749642236039E-2"/>
                  <c:y val="-2.7682262043698572E-2"/>
                </c:manualLayout>
              </c:layout>
              <c:tx>
                <c:rich>
                  <a:bodyPr/>
                  <a:lstStyle/>
                  <a:p>
                    <a:r>
                      <a:rPr lang="en-US"/>
                      <a:t>15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6478-4459-94AB-D40CEFDD72E8}"/>
                </c:ext>
              </c:extLst>
            </c:dLbl>
            <c:dLbl>
              <c:idx val="15"/>
              <c:layout>
                <c:manualLayout>
                  <c:x val="-1.6842105263157946E-2"/>
                  <c:y val="-3.7037037037037035E-2"/>
                </c:manualLayout>
              </c:layout>
              <c:tx>
                <c:rich>
                  <a:bodyPr/>
                  <a:lstStyle/>
                  <a:p>
                    <a:r>
                      <a:rPr lang="en-US"/>
                      <a:t>16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6478-4459-94AB-D40CEFDD72E8}"/>
                </c:ext>
              </c:extLst>
            </c:dLbl>
            <c:dLbl>
              <c:idx val="16"/>
              <c:layout>
                <c:manualLayout>
                  <c:x val="-3.3185735646124918E-2"/>
                  <c:y val="-2.6657310425315172E-2"/>
                </c:manualLayout>
              </c:layout>
              <c:tx>
                <c:rich>
                  <a:bodyPr/>
                  <a:lstStyle/>
                  <a:p>
                    <a:r>
                      <a:rPr lang="en-US"/>
                      <a:t>17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6478-4459-94AB-D40CEFDD72E8}"/>
                </c:ext>
              </c:extLst>
            </c:dLbl>
            <c:dLbl>
              <c:idx val="17"/>
              <c:layout>
                <c:manualLayout>
                  <c:x val="-4.3915445777101825E-2"/>
                  <c:y val="-1.6520660058205669E-2"/>
                </c:manualLayout>
              </c:layout>
              <c:tx>
                <c:rich>
                  <a:bodyPr/>
                  <a:lstStyle/>
                  <a:p>
                    <a:r>
                      <a:rPr lang="en-US"/>
                      <a:t>18</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6478-4459-94AB-D40CEFDD72E8}"/>
                </c:ext>
              </c:extLst>
            </c:dLbl>
            <c:dLbl>
              <c:idx val="18"/>
              <c:layout>
                <c:manualLayout>
                  <c:x val="-2.2727156049259123E-2"/>
                  <c:y val="-2.2904965209555185E-2"/>
                </c:manualLayout>
              </c:layout>
              <c:tx>
                <c:rich>
                  <a:bodyPr/>
                  <a:lstStyle/>
                  <a:p>
                    <a:r>
                      <a:rPr lang="en-US"/>
                      <a:t>19</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6478-4459-94AB-D40CEFDD72E8}"/>
                </c:ext>
              </c:extLst>
            </c:dLbl>
            <c:dLbl>
              <c:idx val="19"/>
              <c:layout>
                <c:manualLayout>
                  <c:x val="-6.8820630306297287E-3"/>
                  <c:y val="-2.0273005273965521E-2"/>
                </c:manualLayout>
              </c:layout>
              <c:tx>
                <c:rich>
                  <a:bodyPr/>
                  <a:lstStyle/>
                  <a:p>
                    <a:r>
                      <a:rPr lang="en-US"/>
                      <a:t>20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6478-4459-94AB-D40CEFDD72E8}"/>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'Ռիսկ-պարտավորություն'!$D$3:$D$22</c:f>
              <c:numCache>
                <c:formatCode>General</c:formatCode>
                <c:ptCount val="20"/>
                <c:pt idx="0">
                  <c:v>4.5333333333333332</c:v>
                </c:pt>
                <c:pt idx="1">
                  <c:v>2.4666666666666668</c:v>
                </c:pt>
                <c:pt idx="2">
                  <c:v>2.2666666666666666</c:v>
                </c:pt>
                <c:pt idx="3">
                  <c:v>2.9285714285714284</c:v>
                </c:pt>
                <c:pt idx="4">
                  <c:v>3.2666666666666666</c:v>
                </c:pt>
                <c:pt idx="5">
                  <c:v>3.8571428571428572</c:v>
                </c:pt>
                <c:pt idx="6">
                  <c:v>3.1666666666666665</c:v>
                </c:pt>
                <c:pt idx="7">
                  <c:v>2.3333333333333335</c:v>
                </c:pt>
                <c:pt idx="8">
                  <c:v>2.8666666666666667</c:v>
                </c:pt>
                <c:pt idx="9">
                  <c:v>2.6363636363636362</c:v>
                </c:pt>
                <c:pt idx="10">
                  <c:v>2.4666666666666668</c:v>
                </c:pt>
                <c:pt idx="11">
                  <c:v>2.9285714285714284</c:v>
                </c:pt>
                <c:pt idx="12">
                  <c:v>4</c:v>
                </c:pt>
                <c:pt idx="13">
                  <c:v>4.2</c:v>
                </c:pt>
                <c:pt idx="14">
                  <c:v>2.4</c:v>
                </c:pt>
                <c:pt idx="15">
                  <c:v>1.3333333333333333</c:v>
                </c:pt>
                <c:pt idx="16">
                  <c:v>2.1666666666666665</c:v>
                </c:pt>
                <c:pt idx="17">
                  <c:v>2.0714285714285716</c:v>
                </c:pt>
                <c:pt idx="18">
                  <c:v>2.75</c:v>
                </c:pt>
                <c:pt idx="19">
                  <c:v>3.2307692307692308</c:v>
                </c:pt>
              </c:numCache>
            </c:numRef>
          </c:xVal>
          <c:yVal>
            <c:numRef>
              <c:f>'Ռիսկ-պարտավորություն'!$E$3:$E$22</c:f>
              <c:numCache>
                <c:formatCode>_(* #,##0.00_);_(* \(#,##0.00\);_(* "-"??_);_(@_)</c:formatCode>
                <c:ptCount val="20"/>
                <c:pt idx="0">
                  <c:v>104961189</c:v>
                </c:pt>
                <c:pt idx="1">
                  <c:v>93593812</c:v>
                </c:pt>
                <c:pt idx="2">
                  <c:v>66156502</c:v>
                </c:pt>
                <c:pt idx="3">
                  <c:v>1385998</c:v>
                </c:pt>
                <c:pt idx="4">
                  <c:v>8915004</c:v>
                </c:pt>
                <c:pt idx="5">
                  <c:v>11896542</c:v>
                </c:pt>
                <c:pt idx="6">
                  <c:v>7589416</c:v>
                </c:pt>
                <c:pt idx="7">
                  <c:v>5472189</c:v>
                </c:pt>
                <c:pt idx="8">
                  <c:v>4777775</c:v>
                </c:pt>
                <c:pt idx="9">
                  <c:v>1080006</c:v>
                </c:pt>
                <c:pt idx="10">
                  <c:v>3290016.2</c:v>
                </c:pt>
                <c:pt idx="11">
                  <c:v>3506184</c:v>
                </c:pt>
                <c:pt idx="12">
                  <c:v>2689128</c:v>
                </c:pt>
                <c:pt idx="13">
                  <c:v>2187957</c:v>
                </c:pt>
                <c:pt idx="14">
                  <c:v>1549329.8</c:v>
                </c:pt>
                <c:pt idx="15">
                  <c:v>1523686</c:v>
                </c:pt>
                <c:pt idx="16">
                  <c:v>1157363</c:v>
                </c:pt>
                <c:pt idx="17">
                  <c:v>492350</c:v>
                </c:pt>
                <c:pt idx="18">
                  <c:v>2479813.8944000015</c:v>
                </c:pt>
                <c:pt idx="19">
                  <c:v>91632</c:v>
                </c:pt>
              </c:numCache>
            </c:numRef>
          </c:yVal>
          <c:smooth val="0"/>
          <c:extLst>
            <c:ext xmlns:c16="http://schemas.microsoft.com/office/drawing/2014/chart" uri="{C3380CC4-5D6E-409C-BE32-E72D297353CC}">
              <c16:uniqueId val="{00000014-6478-4459-94AB-D40CEFDD72E8}"/>
            </c:ext>
          </c:extLst>
        </c:ser>
        <c:dLbls>
          <c:showLegendKey val="0"/>
          <c:showVal val="0"/>
          <c:showCatName val="0"/>
          <c:showSerName val="0"/>
          <c:showPercent val="0"/>
          <c:showBubbleSize val="0"/>
        </c:dLbls>
        <c:axId val="1361190960"/>
        <c:axId val="1361200112"/>
      </c:scatterChart>
      <c:valAx>
        <c:axId val="1361190960"/>
        <c:scaling>
          <c:orientation val="minMax"/>
          <c:min val="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hy-AM" b="1"/>
                  <a:t>Ընդհանուր ռիսկայնություն</a:t>
                </a:r>
                <a:endParaRPr lang="en-US" b="1"/>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361200112"/>
        <c:crosses val="autoZero"/>
        <c:crossBetween val="midCat"/>
        <c:majorUnit val="1"/>
      </c:valAx>
      <c:valAx>
        <c:axId val="1361200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hy-AM" b="1"/>
                  <a:t>Ընդհանուր</a:t>
                </a:r>
                <a:r>
                  <a:rPr lang="hy-AM" b="1" baseline="0"/>
                  <a:t>  պարտավորությունները</a:t>
                </a:r>
                <a:endParaRPr lang="en-US" b="1"/>
              </a:p>
            </c:rich>
          </c:tx>
          <c:layout>
            <c:manualLayout>
              <c:xMode val="edge"/>
              <c:yMode val="edge"/>
              <c:x val="2.0648967551622419E-2"/>
              <c:y val="7.4490740740740746E-2"/>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_(* #,##0.00_);_(* \(#,##0.00\);_(* &quot;-&quot;??_);_(@_)"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11909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6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Sheet1!$D$4</c:f>
              <c:strCache>
                <c:ptCount val="1"/>
                <c:pt idx="0">
                  <c:v>ՊՄԸ-ների կողից շահաբաժինների գծով փաստացի բյուջետային մուտքերը (մլրդ դրամ), ձախ առանցք</c:v>
                </c:pt>
              </c:strCache>
            </c:strRef>
          </c:tx>
          <c:spPr>
            <a:solidFill>
              <a:schemeClr val="accent1"/>
            </a:solidFill>
            <a:ln>
              <a:noFill/>
            </a:ln>
            <a:effectLst/>
          </c:spPr>
          <c:invertIfNegative val="0"/>
          <c:cat>
            <c:numRef>
              <c:f>Sheet1!$B$5:$B$13</c:f>
              <c:numCache>
                <c:formatCode>General</c:formatCode>
                <c:ptCount val="9"/>
                <c:pt idx="0">
                  <c:v>2017</c:v>
                </c:pt>
                <c:pt idx="1">
                  <c:v>2018</c:v>
                </c:pt>
                <c:pt idx="2">
                  <c:v>2019</c:v>
                </c:pt>
                <c:pt idx="3">
                  <c:v>2020</c:v>
                </c:pt>
                <c:pt idx="4">
                  <c:v>2021</c:v>
                </c:pt>
                <c:pt idx="5">
                  <c:v>2022</c:v>
                </c:pt>
                <c:pt idx="6">
                  <c:v>2023</c:v>
                </c:pt>
                <c:pt idx="7">
                  <c:v>2024</c:v>
                </c:pt>
                <c:pt idx="8">
                  <c:v>2025</c:v>
                </c:pt>
              </c:numCache>
            </c:numRef>
          </c:cat>
          <c:val>
            <c:numRef>
              <c:f>Sheet1!$D$5:$D$13</c:f>
              <c:numCache>
                <c:formatCode>0.000</c:formatCode>
                <c:ptCount val="9"/>
                <c:pt idx="0">
                  <c:v>1.2669999999999999</c:v>
                </c:pt>
                <c:pt idx="1">
                  <c:v>1.2669999999999999</c:v>
                </c:pt>
                <c:pt idx="2">
                  <c:v>1.504</c:v>
                </c:pt>
                <c:pt idx="3">
                  <c:v>3.5630000000000002</c:v>
                </c:pt>
                <c:pt idx="4">
                  <c:v>0.78900000000000003</c:v>
                </c:pt>
                <c:pt idx="5">
                  <c:v>1.3029999999999999</c:v>
                </c:pt>
                <c:pt idx="6">
                  <c:v>2.2709999999999999</c:v>
                </c:pt>
                <c:pt idx="7">
                  <c:v>38.799999999999997</c:v>
                </c:pt>
                <c:pt idx="8">
                  <c:v>15.8</c:v>
                </c:pt>
              </c:numCache>
            </c:numRef>
          </c:val>
          <c:extLst>
            <c:ext xmlns:c16="http://schemas.microsoft.com/office/drawing/2014/chart" uri="{C3380CC4-5D6E-409C-BE32-E72D297353CC}">
              <c16:uniqueId val="{00000000-27C8-4C00-A453-38B9CA20FF52}"/>
            </c:ext>
          </c:extLst>
        </c:ser>
        <c:dLbls>
          <c:showLegendKey val="0"/>
          <c:showVal val="0"/>
          <c:showCatName val="0"/>
          <c:showSerName val="0"/>
          <c:showPercent val="0"/>
          <c:showBubbleSize val="0"/>
        </c:dLbls>
        <c:gapWidth val="219"/>
        <c:overlap val="-27"/>
        <c:axId val="1050181008"/>
        <c:axId val="1050183504"/>
      </c:barChart>
      <c:lineChart>
        <c:grouping val="standard"/>
        <c:varyColors val="0"/>
        <c:ser>
          <c:idx val="1"/>
          <c:order val="1"/>
          <c:tx>
            <c:strRef>
              <c:f>Sheet1!$E$4</c:f>
              <c:strCache>
                <c:ptCount val="1"/>
                <c:pt idx="0">
                  <c:v>Շահաբաժինների կշիռը պետական բյուջեի եկամուտներում (%),աջ առանցք</c:v>
                </c:pt>
              </c:strCache>
            </c:strRef>
          </c:tx>
          <c:spPr>
            <a:ln w="28575" cap="rnd">
              <a:solidFill>
                <a:schemeClr val="bg1">
                  <a:lumMod val="65000"/>
                </a:schemeClr>
              </a:solidFill>
              <a:round/>
            </a:ln>
            <a:effectLst/>
          </c:spPr>
          <c:marker>
            <c:symbol val="none"/>
          </c:marker>
          <c:dLbls>
            <c:dLbl>
              <c:idx val="4"/>
              <c:layout>
                <c:manualLayout>
                  <c:x val="-2.2222222222222324E-2"/>
                  <c:y val="-6.01851851851851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7C8-4C00-A453-38B9CA20FF5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Sheet1!$B$5:$B$13</c:f>
              <c:numCache>
                <c:formatCode>General</c:formatCode>
                <c:ptCount val="9"/>
                <c:pt idx="0">
                  <c:v>2017</c:v>
                </c:pt>
                <c:pt idx="1">
                  <c:v>2018</c:v>
                </c:pt>
                <c:pt idx="2">
                  <c:v>2019</c:v>
                </c:pt>
                <c:pt idx="3">
                  <c:v>2020</c:v>
                </c:pt>
                <c:pt idx="4">
                  <c:v>2021</c:v>
                </c:pt>
                <c:pt idx="5">
                  <c:v>2022</c:v>
                </c:pt>
                <c:pt idx="6">
                  <c:v>2023</c:v>
                </c:pt>
                <c:pt idx="7">
                  <c:v>2024</c:v>
                </c:pt>
                <c:pt idx="8">
                  <c:v>2025</c:v>
                </c:pt>
              </c:numCache>
            </c:numRef>
          </c:cat>
          <c:val>
            <c:numRef>
              <c:f>Sheet1!$E$5:$E$13</c:f>
              <c:numCache>
                <c:formatCode>0.0%</c:formatCode>
                <c:ptCount val="9"/>
                <c:pt idx="0">
                  <c:v>1E-3</c:v>
                </c:pt>
                <c:pt idx="1">
                  <c:v>1E-3</c:v>
                </c:pt>
                <c:pt idx="2">
                  <c:v>1E-3</c:v>
                </c:pt>
                <c:pt idx="3">
                  <c:v>2E-3</c:v>
                </c:pt>
                <c:pt idx="4" formatCode="0.000%">
                  <c:v>3.0000000000000001E-5</c:v>
                </c:pt>
                <c:pt idx="5">
                  <c:v>1E-3</c:v>
                </c:pt>
                <c:pt idx="6">
                  <c:v>1.5E-3</c:v>
                </c:pt>
                <c:pt idx="7">
                  <c:v>1.4999999999999999E-2</c:v>
                </c:pt>
                <c:pt idx="8">
                  <c:v>5.0000000000000001E-3</c:v>
                </c:pt>
              </c:numCache>
            </c:numRef>
          </c:val>
          <c:smooth val="0"/>
          <c:extLst>
            <c:ext xmlns:c16="http://schemas.microsoft.com/office/drawing/2014/chart" uri="{C3380CC4-5D6E-409C-BE32-E72D297353CC}">
              <c16:uniqueId val="{00000002-27C8-4C00-A453-38B9CA20FF52}"/>
            </c:ext>
          </c:extLst>
        </c:ser>
        <c:dLbls>
          <c:showLegendKey val="0"/>
          <c:showVal val="0"/>
          <c:showCatName val="0"/>
          <c:showSerName val="0"/>
          <c:showPercent val="0"/>
          <c:showBubbleSize val="0"/>
        </c:dLbls>
        <c:marker val="1"/>
        <c:smooth val="0"/>
        <c:axId val="1050178928"/>
        <c:axId val="1050181840"/>
      </c:lineChart>
      <c:catAx>
        <c:axId val="1050181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0183504"/>
        <c:crosses val="autoZero"/>
        <c:auto val="1"/>
        <c:lblAlgn val="ctr"/>
        <c:lblOffset val="100"/>
        <c:noMultiLvlLbl val="0"/>
      </c:catAx>
      <c:valAx>
        <c:axId val="105018350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0181008"/>
        <c:crosses val="autoZero"/>
        <c:crossBetween val="between"/>
      </c:valAx>
      <c:valAx>
        <c:axId val="1050181840"/>
        <c:scaling>
          <c:orientation val="minMax"/>
        </c:scaling>
        <c:delete val="0"/>
        <c:axPos val="r"/>
        <c:numFmt formatCode="0.0%"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0178928"/>
        <c:crosses val="max"/>
        <c:crossBetween val="between"/>
      </c:valAx>
      <c:catAx>
        <c:axId val="1050178928"/>
        <c:scaling>
          <c:orientation val="minMax"/>
        </c:scaling>
        <c:delete val="1"/>
        <c:axPos val="b"/>
        <c:numFmt formatCode="General" sourceLinked="1"/>
        <c:majorTickMark val="none"/>
        <c:minorTickMark val="none"/>
        <c:tickLblPos val="nextTo"/>
        <c:crossAx val="105018184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doughnutChart>
        <c:varyColors val="1"/>
        <c:ser>
          <c:idx val="0"/>
          <c:order val="0"/>
          <c:dPt>
            <c:idx val="0"/>
            <c:bubble3D val="0"/>
            <c:spPr>
              <a:solidFill>
                <a:schemeClr val="accent5">
                  <a:shade val="76000"/>
                </a:schemeClr>
              </a:solidFill>
              <a:ln w="19050">
                <a:solidFill>
                  <a:schemeClr val="lt1"/>
                </a:solidFill>
              </a:ln>
              <a:effectLst/>
            </c:spPr>
            <c:extLst>
              <c:ext xmlns:c16="http://schemas.microsoft.com/office/drawing/2014/chart" uri="{C3380CC4-5D6E-409C-BE32-E72D297353CC}">
                <c16:uniqueId val="{00000001-4061-4F9A-8BF6-FA297C58FD4B}"/>
              </c:ext>
            </c:extLst>
          </c:dPt>
          <c:dPt>
            <c:idx val="1"/>
            <c:bubble3D val="0"/>
            <c:spPr>
              <a:solidFill>
                <a:schemeClr val="accent5">
                  <a:tint val="77000"/>
                </a:schemeClr>
              </a:solidFill>
              <a:ln w="19050">
                <a:solidFill>
                  <a:schemeClr val="lt1"/>
                </a:solidFill>
              </a:ln>
              <a:effectLst/>
            </c:spPr>
            <c:extLst>
              <c:ext xmlns:c16="http://schemas.microsoft.com/office/drawing/2014/chart" uri="{C3380CC4-5D6E-409C-BE32-E72D297353CC}">
                <c16:uniqueId val="{00000003-4061-4F9A-8BF6-FA297C58FD4B}"/>
              </c:ext>
            </c:extLst>
          </c:dPt>
          <c:dLbls>
            <c:dLbl>
              <c:idx val="0"/>
              <c:layout>
                <c:manualLayout>
                  <c:x val="7.8522645813850253E-2"/>
                  <c:y val="-4.39885995845611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061-4F9A-8BF6-FA297C58FD4B}"/>
                </c:ext>
              </c:extLst>
            </c:dLbl>
            <c:dLbl>
              <c:idx val="1"/>
              <c:layout>
                <c:manualLayout>
                  <c:x val="-9.9392379320596289E-2"/>
                  <c:y val="-4.03833631225545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061-4F9A-8BF6-FA297C58FD4B}"/>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'Վարկեր և երաշխիքներ (ՄԺԾԾ)'!$B$24:$B$25</c:f>
              <c:strCache>
                <c:ptCount val="2"/>
                <c:pt idx="0">
                  <c:v>Բյուջետային վարկ</c:v>
                </c:pt>
                <c:pt idx="1">
                  <c:v>Ենթավարկ</c:v>
                </c:pt>
              </c:strCache>
            </c:strRef>
          </c:cat>
          <c:val>
            <c:numRef>
              <c:f>'Վարկեր և երաշխիքներ (ՄԺԾԾ)'!$C$24:$C$25</c:f>
              <c:numCache>
                <c:formatCode>0.0%</c:formatCode>
                <c:ptCount val="2"/>
                <c:pt idx="0">
                  <c:v>0.502</c:v>
                </c:pt>
                <c:pt idx="1">
                  <c:v>0.498</c:v>
                </c:pt>
              </c:numCache>
            </c:numRef>
          </c:val>
          <c:extLst>
            <c:ext xmlns:c16="http://schemas.microsoft.com/office/drawing/2014/chart" uri="{C3380CC4-5D6E-409C-BE32-E72D297353CC}">
              <c16:uniqueId val="{00000004-4061-4F9A-8BF6-FA297C58FD4B}"/>
            </c:ext>
          </c:extLst>
        </c:ser>
        <c:dLbls>
          <c:showLegendKey val="0"/>
          <c:showVal val="0"/>
          <c:showCatName val="0"/>
          <c:showSerName val="0"/>
          <c:showPercent val="0"/>
          <c:showBubbleSize val="0"/>
          <c:showLeaderLines val="1"/>
        </c:dLbls>
        <c:firstSliceAng val="0"/>
        <c:holeSize val="6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'Վարկեր և երաշխիքներ (ՄԺԾԾ)'!$C$40</c:f>
              <c:strCache>
                <c:ptCount val="1"/>
                <c:pt idx="0">
                  <c:v>Վարկային պորտֆել</c:v>
                </c:pt>
              </c:strCache>
            </c:strRef>
          </c:tx>
          <c:spPr>
            <a:solidFill>
              <a:schemeClr val="accent1">
                <a:shade val="76000"/>
              </a:schemeClr>
            </a:solidFill>
            <a:ln>
              <a:noFill/>
            </a:ln>
            <a:effectLst/>
          </c:spPr>
          <c:invertIfNegative val="0"/>
          <c:dLbls>
            <c:dLbl>
              <c:idx val="0"/>
              <c:layout>
                <c:manualLayout>
                  <c:x val="6.2305295950155761E-3"/>
                  <c:y val="-2.18531468531468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14E-4E43-9905-0AFE1BB4157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(ՄԺԾԾ)'!$B$41:$B$50</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'Վարկեր և երաշխիքներ (ՄԺԾԾ)'!$C$41:$C$50</c:f>
              <c:numCache>
                <c:formatCode>0.0</c:formatCode>
                <c:ptCount val="10"/>
                <c:pt idx="0">
                  <c:v>487.7</c:v>
                </c:pt>
                <c:pt idx="1">
                  <c:v>383.7</c:v>
                </c:pt>
                <c:pt idx="2">
                  <c:v>426.99119183365002</c:v>
                </c:pt>
                <c:pt idx="3">
                  <c:v>439.32239228798699</c:v>
                </c:pt>
                <c:pt idx="4">
                  <c:v>523.41891130545628</c:v>
                </c:pt>
                <c:pt idx="5">
                  <c:v>483.77872703454284</c:v>
                </c:pt>
                <c:pt idx="6">
                  <c:v>370.76997471292884</c:v>
                </c:pt>
                <c:pt idx="7">
                  <c:v>370.32464692195532</c:v>
                </c:pt>
                <c:pt idx="8">
                  <c:v>345.13289748010743</c:v>
                </c:pt>
                <c:pt idx="9">
                  <c:v>337.23654733679302</c:v>
                </c:pt>
              </c:numCache>
            </c:numRef>
          </c:val>
          <c:extLst>
            <c:ext xmlns:c16="http://schemas.microsoft.com/office/drawing/2014/chart" uri="{C3380CC4-5D6E-409C-BE32-E72D297353CC}">
              <c16:uniqueId val="{00000001-314E-4E43-9905-0AFE1BB41576}"/>
            </c:ext>
          </c:extLst>
        </c:ser>
        <c:dLbls>
          <c:showLegendKey val="0"/>
          <c:showVal val="0"/>
          <c:showCatName val="0"/>
          <c:showSerName val="0"/>
          <c:showPercent val="0"/>
          <c:showBubbleSize val="0"/>
        </c:dLbls>
        <c:gapWidth val="150"/>
        <c:axId val="351883647"/>
        <c:axId val="351882399"/>
      </c:barChart>
      <c:lineChart>
        <c:grouping val="standard"/>
        <c:varyColors val="0"/>
        <c:ser>
          <c:idx val="1"/>
          <c:order val="1"/>
          <c:tx>
            <c:strRef>
              <c:f>'Վարկեր և երաշխիքներ (ՄԺԾԾ)'!$E$40</c:f>
              <c:strCache>
                <c:ptCount val="1"/>
                <c:pt idx="0">
                  <c:v>Վարկային պորտֆել/ՀՆԱ</c:v>
                </c:pt>
              </c:strCache>
            </c:strRef>
          </c:tx>
          <c:spPr>
            <a:ln w="28575" cap="rnd">
              <a:solidFill>
                <a:schemeClr val="accent1">
                  <a:tint val="77000"/>
                </a:schemeClr>
              </a:solidFill>
              <a:round/>
            </a:ln>
            <a:effectLst/>
          </c:spPr>
          <c:marker>
            <c:symbol val="none"/>
          </c:marker>
          <c:dLbls>
            <c:dLbl>
              <c:idx val="0"/>
              <c:layout>
                <c:manualLayout>
                  <c:x val="2.2263595555228492E-2"/>
                  <c:y val="-4.31876686305820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14E-4E43-9905-0AFE1BB41576}"/>
                </c:ext>
              </c:extLst>
            </c:dLbl>
            <c:dLbl>
              <c:idx val="1"/>
              <c:layout>
                <c:manualLayout>
                  <c:x val="-6.8794190712784239E-2"/>
                  <c:y val="1.6083634901487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14E-4E43-9905-0AFE1BB41576}"/>
                </c:ext>
              </c:extLst>
            </c:dLbl>
            <c:dLbl>
              <c:idx val="2"/>
              <c:layout>
                <c:manualLayout>
                  <c:x val="-1.91094974202182E-3"/>
                  <c:y val="6.43345396059509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14E-4E43-9905-0AFE1BB41576}"/>
                </c:ext>
              </c:extLst>
            </c:dLbl>
            <c:dLbl>
              <c:idx val="3"/>
              <c:layout>
                <c:manualLayout>
                  <c:x val="1.0676039850073203E-2"/>
                  <c:y val="1.32800800382461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14E-4E43-9905-0AFE1BB41576}"/>
                </c:ext>
              </c:extLst>
            </c:dLbl>
            <c:dLbl>
              <c:idx val="4"/>
              <c:layout>
                <c:manualLayout>
                  <c:x val="-4.2585648194073844E-17"/>
                  <c:y val="-2.7777777777777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14E-4E43-9905-0AFE1BB41576}"/>
                </c:ext>
              </c:extLst>
            </c:dLbl>
            <c:dLbl>
              <c:idx val="5"/>
              <c:layout>
                <c:manualLayout>
                  <c:x val="5.7328492260652845E-3"/>
                  <c:y val="-2.52145803849307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14E-4E43-9905-0AFE1BB41576}"/>
                </c:ext>
              </c:extLst>
            </c:dLbl>
            <c:dLbl>
              <c:idx val="6"/>
              <c:layout>
                <c:manualLayout>
                  <c:x val="2.6202581738242014E-3"/>
                  <c:y val="-3.76458370930412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14E-4E43-9905-0AFE1BB41576}"/>
                </c:ext>
              </c:extLst>
            </c:dLbl>
            <c:dLbl>
              <c:idx val="7"/>
              <c:layout>
                <c:manualLayout>
                  <c:x val="2.2084259341459632E-3"/>
                  <c:y val="-2.65604766834785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14E-4E43-9905-0AFE1BB41576}"/>
                </c:ext>
              </c:extLst>
            </c:dLbl>
            <c:dLbl>
              <c:idx val="8"/>
              <c:layout>
                <c:manualLayout>
                  <c:x val="1.9109497420217848E-3"/>
                  <c:y val="6.433453960595102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14E-4E43-9905-0AFE1BB41576}"/>
                </c:ext>
              </c:extLst>
            </c:dLbl>
            <c:dLbl>
              <c:idx val="9"/>
              <c:layout>
                <c:manualLayout>
                  <c:x val="5.7328492260652142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14E-4E43-9905-0AFE1BB41576}"/>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(ՄԺԾԾ)'!$B$44:$B$50</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(ՄԺԾԾ)'!$E$41:$E$50</c:f>
              <c:numCache>
                <c:formatCode>0.00%</c:formatCode>
                <c:ptCount val="10"/>
                <c:pt idx="0">
                  <c:v>9.6244671835171977E-2</c:v>
                </c:pt>
                <c:pt idx="1">
                  <c:v>6.8955065504346991E-2</c:v>
                </c:pt>
                <c:pt idx="2">
                  <c:v>7.0963718449519778E-2</c:v>
                </c:pt>
                <c:pt idx="3">
                  <c:v>6.7140575645841999E-2</c:v>
                </c:pt>
                <c:pt idx="4">
                  <c:v>8.466955000317479E-2</c:v>
                </c:pt>
                <c:pt idx="5">
                  <c:v>6.9192520253510192E-2</c:v>
                </c:pt>
                <c:pt idx="6">
                  <c:v>4.3612560313883532E-2</c:v>
                </c:pt>
                <c:pt idx="7">
                  <c:v>3.9012282227687059E-2</c:v>
                </c:pt>
                <c:pt idx="8">
                  <c:v>3.3858416175794145E-2</c:v>
                </c:pt>
                <c:pt idx="9">
                  <c:v>2.9797772308033918E-2</c:v>
                </c:pt>
              </c:numCache>
            </c:numRef>
          </c:val>
          <c:smooth val="0"/>
          <c:extLst>
            <c:ext xmlns:c16="http://schemas.microsoft.com/office/drawing/2014/chart" uri="{C3380CC4-5D6E-409C-BE32-E72D297353CC}">
              <c16:uniqueId val="{0000000C-314E-4E43-9905-0AFE1BB41576}"/>
            </c:ext>
          </c:extLst>
        </c:ser>
        <c:dLbls>
          <c:showLegendKey val="0"/>
          <c:showVal val="0"/>
          <c:showCatName val="0"/>
          <c:showSerName val="0"/>
          <c:showPercent val="0"/>
          <c:showBubbleSize val="0"/>
        </c:dLbls>
        <c:marker val="1"/>
        <c:smooth val="0"/>
        <c:axId val="327795487"/>
        <c:axId val="327797151"/>
      </c:lineChart>
      <c:catAx>
        <c:axId val="35188364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51882399"/>
        <c:crosses val="autoZero"/>
        <c:auto val="1"/>
        <c:lblAlgn val="ctr"/>
        <c:lblOffset val="100"/>
        <c:noMultiLvlLbl val="0"/>
      </c:catAx>
      <c:valAx>
        <c:axId val="351882399"/>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51883647"/>
        <c:crosses val="autoZero"/>
        <c:crossBetween val="between"/>
      </c:valAx>
      <c:valAx>
        <c:axId val="327797151"/>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7795487"/>
        <c:crosses val="max"/>
        <c:crossBetween val="between"/>
      </c:valAx>
      <c:catAx>
        <c:axId val="327795487"/>
        <c:scaling>
          <c:orientation val="minMax"/>
        </c:scaling>
        <c:delete val="1"/>
        <c:axPos val="b"/>
        <c:numFmt formatCode="General" sourceLinked="1"/>
        <c:majorTickMark val="out"/>
        <c:minorTickMark val="none"/>
        <c:tickLblPos val="nextTo"/>
        <c:crossAx val="32779715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7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doughnutChart>
        <c:varyColors val="1"/>
        <c:ser>
          <c:idx val="0"/>
          <c:order val="0"/>
          <c:dPt>
            <c:idx val="0"/>
            <c:bubble3D val="0"/>
            <c:spPr>
              <a:solidFill>
                <a:schemeClr val="accent5">
                  <a:shade val="53000"/>
                </a:schemeClr>
              </a:solidFill>
              <a:ln w="19050">
                <a:solidFill>
                  <a:schemeClr val="lt1"/>
                </a:solidFill>
              </a:ln>
              <a:effectLst/>
            </c:spPr>
            <c:extLst>
              <c:ext xmlns:c16="http://schemas.microsoft.com/office/drawing/2014/chart" uri="{C3380CC4-5D6E-409C-BE32-E72D297353CC}">
                <c16:uniqueId val="{00000001-30D3-4B2C-838C-BC8D3C112A52}"/>
              </c:ext>
            </c:extLst>
          </c:dPt>
          <c:dPt>
            <c:idx val="1"/>
            <c:bubble3D val="0"/>
            <c:spPr>
              <a:solidFill>
                <a:schemeClr val="accent5">
                  <a:shade val="76000"/>
                </a:schemeClr>
              </a:solidFill>
              <a:ln w="19050">
                <a:solidFill>
                  <a:schemeClr val="lt1"/>
                </a:solidFill>
              </a:ln>
              <a:effectLst/>
            </c:spPr>
            <c:extLst>
              <c:ext xmlns:c16="http://schemas.microsoft.com/office/drawing/2014/chart" uri="{C3380CC4-5D6E-409C-BE32-E72D297353CC}">
                <c16:uniqueId val="{00000003-30D3-4B2C-838C-BC8D3C112A52}"/>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30D3-4B2C-838C-BC8D3C112A52}"/>
              </c:ext>
            </c:extLst>
          </c:dPt>
          <c:dPt>
            <c:idx val="3"/>
            <c:bubble3D val="0"/>
            <c:spPr>
              <a:solidFill>
                <a:schemeClr val="accent5">
                  <a:tint val="77000"/>
                </a:schemeClr>
              </a:solidFill>
              <a:ln w="19050">
                <a:solidFill>
                  <a:schemeClr val="lt1"/>
                </a:solidFill>
              </a:ln>
              <a:effectLst/>
            </c:spPr>
            <c:extLst>
              <c:ext xmlns:c16="http://schemas.microsoft.com/office/drawing/2014/chart" uri="{C3380CC4-5D6E-409C-BE32-E72D297353CC}">
                <c16:uniqueId val="{00000007-30D3-4B2C-838C-BC8D3C112A52}"/>
              </c:ext>
            </c:extLst>
          </c:dPt>
          <c:dPt>
            <c:idx val="4"/>
            <c:bubble3D val="0"/>
            <c:spPr>
              <a:solidFill>
                <a:schemeClr val="accent5">
                  <a:tint val="54000"/>
                </a:schemeClr>
              </a:solidFill>
              <a:ln w="19050">
                <a:solidFill>
                  <a:schemeClr val="lt1"/>
                </a:solidFill>
              </a:ln>
              <a:effectLst/>
            </c:spPr>
            <c:extLst>
              <c:ext xmlns:c16="http://schemas.microsoft.com/office/drawing/2014/chart" uri="{C3380CC4-5D6E-409C-BE32-E72D297353CC}">
                <c16:uniqueId val="{00000009-30D3-4B2C-838C-BC8D3C112A52}"/>
              </c:ext>
            </c:extLst>
          </c:dPt>
          <c:dLbls>
            <c:dLbl>
              <c:idx val="0"/>
              <c:layout>
                <c:manualLayout>
                  <c:x val="9.4354844701222046E-2"/>
                  <c:y val="-0.1069415666788836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0D3-4B2C-838C-BC8D3C112A52}"/>
                </c:ext>
              </c:extLst>
            </c:dLbl>
            <c:dLbl>
              <c:idx val="1"/>
              <c:layout>
                <c:manualLayout>
                  <c:x val="1.0117267451660196E-2"/>
                  <c:y val="0.1574074074074073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0D3-4B2C-838C-BC8D3C112A52}"/>
                </c:ext>
              </c:extLst>
            </c:dLbl>
            <c:dLbl>
              <c:idx val="2"/>
              <c:layout>
                <c:manualLayout>
                  <c:x val="-9.0277777777777748E-2"/>
                  <c:y val="-3.2407407407407406E-2"/>
                </c:manualLayout>
              </c:layout>
              <c:showLegendKey val="0"/>
              <c:showVal val="1"/>
              <c:showCatName val="0"/>
              <c:showSerName val="0"/>
              <c:showPercent val="0"/>
              <c:showBubbleSize val="0"/>
              <c:extLst>
                <c:ext xmlns:c15="http://schemas.microsoft.com/office/drawing/2012/chart" uri="{CE6537A1-D6FC-4f65-9D91-7224C49458BB}">
                  <c15:layout>
                    <c:manualLayout>
                      <c:w val="8.6241469816272967E-2"/>
                      <c:h val="0.12136045494313211"/>
                    </c:manualLayout>
                  </c15:layout>
                </c:ext>
                <c:ext xmlns:c16="http://schemas.microsoft.com/office/drawing/2014/chart" uri="{C3380CC4-5D6E-409C-BE32-E72D297353CC}">
                  <c16:uniqueId val="{00000005-30D3-4B2C-838C-BC8D3C112A52}"/>
                </c:ext>
              </c:extLst>
            </c:dLbl>
            <c:dLbl>
              <c:idx val="3"/>
              <c:layout>
                <c:manualLayout>
                  <c:x val="-8.0555555555555533E-2"/>
                  <c:y val="-0.10648166375036454"/>
                </c:manualLayout>
              </c:layout>
              <c:showLegendKey val="0"/>
              <c:showVal val="1"/>
              <c:showCatName val="0"/>
              <c:showSerName val="0"/>
              <c:showPercent val="0"/>
              <c:showBubbleSize val="0"/>
              <c:extLst>
                <c:ext xmlns:c15="http://schemas.microsoft.com/office/drawing/2012/chart" uri="{CE6537A1-D6FC-4f65-9D91-7224C49458BB}">
                  <c15:layout>
                    <c:manualLayout>
                      <c:w val="0.17791885389326337"/>
                      <c:h val="0.18660250801983083"/>
                    </c:manualLayout>
                  </c15:layout>
                </c:ext>
                <c:ext xmlns:c16="http://schemas.microsoft.com/office/drawing/2014/chart" uri="{C3380CC4-5D6E-409C-BE32-E72D297353CC}">
                  <c16:uniqueId val="{00000007-30D3-4B2C-838C-BC8D3C112A52}"/>
                </c:ext>
              </c:extLst>
            </c:dLbl>
            <c:dLbl>
              <c:idx val="4"/>
              <c:layout>
                <c:manualLayout>
                  <c:x val="-8.333249195659715E-3"/>
                  <c:y val="-0.1168736848313869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0D3-4B2C-838C-BC8D3C112A52}"/>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'Վարկեր և երաշխիքներ (ՄԺԾԾ)'!$B$61:$B$65</c:f>
              <c:strCache>
                <c:ptCount val="5"/>
                <c:pt idx="0">
                  <c:v>Եվրո</c:v>
                </c:pt>
                <c:pt idx="1">
                  <c:v>ՀՀ դրամ</c:v>
                </c:pt>
                <c:pt idx="2">
                  <c:v>ԱՄՆ դոլար</c:v>
                </c:pt>
                <c:pt idx="3">
                  <c:v>Ճապոնական իեն</c:v>
                </c:pt>
                <c:pt idx="4">
                  <c:v>ՀՓԻ</c:v>
                </c:pt>
              </c:strCache>
            </c:strRef>
          </c:cat>
          <c:val>
            <c:numRef>
              <c:f>'Վարկեր և երաշխիքներ (ՄԺԾԾ)'!$C$61:$C$65</c:f>
              <c:numCache>
                <c:formatCode>0.0%</c:formatCode>
                <c:ptCount val="5"/>
                <c:pt idx="0">
                  <c:v>0.13300000000000001</c:v>
                </c:pt>
                <c:pt idx="1">
                  <c:v>0.48499999999999999</c:v>
                </c:pt>
                <c:pt idx="2">
                  <c:v>0.23200000000000001</c:v>
                </c:pt>
                <c:pt idx="3">
                  <c:v>0.13</c:v>
                </c:pt>
                <c:pt idx="4">
                  <c:v>0.02</c:v>
                </c:pt>
              </c:numCache>
            </c:numRef>
          </c:val>
          <c:extLst>
            <c:ext xmlns:c16="http://schemas.microsoft.com/office/drawing/2014/chart" uri="{C3380CC4-5D6E-409C-BE32-E72D297353CC}">
              <c16:uniqueId val="{0000000A-30D3-4B2C-838C-BC8D3C112A52}"/>
            </c:ext>
          </c:extLst>
        </c:ser>
        <c:dLbls>
          <c:showLegendKey val="0"/>
          <c:showVal val="0"/>
          <c:showCatName val="0"/>
          <c:showSerName val="0"/>
          <c:showPercent val="0"/>
          <c:showBubbleSize val="0"/>
          <c:showLeaderLines val="1"/>
        </c:dLbls>
        <c:firstSliceAng val="0"/>
        <c:holeSize val="6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7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3136482939632545E-2"/>
          <c:y val="4.9217002237136466E-2"/>
          <c:w val="0.83519925634295711"/>
          <c:h val="0.57803766139970758"/>
        </c:manualLayout>
      </c:layout>
      <c:barChart>
        <c:barDir val="col"/>
        <c:grouping val="clustered"/>
        <c:varyColors val="0"/>
        <c:ser>
          <c:idx val="0"/>
          <c:order val="0"/>
          <c:tx>
            <c:strRef>
              <c:f>'Վարկեր և երաշխիքներ (ՄԺԾԾ)'!$C$87</c:f>
              <c:strCache>
                <c:ptCount val="1"/>
                <c:pt idx="0">
                  <c:v>Փոփոխվող տոկոսադրույքով վարկեր</c:v>
                </c:pt>
              </c:strCache>
            </c:strRef>
          </c:tx>
          <c:spPr>
            <a:solidFill>
              <a:schemeClr val="accent1">
                <a:shade val="76000"/>
              </a:schemeClr>
            </a:solidFill>
            <a:ln>
              <a:noFill/>
            </a:ln>
            <a:effectLst/>
          </c:spPr>
          <c:invertIfNegative val="0"/>
          <c:dLbls>
            <c:dLbl>
              <c:idx val="0"/>
              <c:layout>
                <c:manualLayout>
                  <c:x val="0"/>
                  <c:y val="0.1443298969072164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111-4150-BBAD-904B246CCDBE}"/>
                </c:ext>
              </c:extLst>
            </c:dLbl>
            <c:dLbl>
              <c:idx val="1"/>
              <c:layout>
                <c:manualLayout>
                  <c:x val="0"/>
                  <c:y val="0.2226804123711340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111-4150-BBAD-904B246CCDBE}"/>
                </c:ext>
              </c:extLst>
            </c:dLbl>
            <c:dLbl>
              <c:idx val="2"/>
              <c:layout>
                <c:manualLayout>
                  <c:x val="-2.0768431983385254E-3"/>
                  <c:y val="0.1608247422680411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111-4150-BBAD-904B246CCDBE}"/>
                </c:ext>
              </c:extLst>
            </c:dLbl>
            <c:dLbl>
              <c:idx val="3"/>
              <c:layout>
                <c:manualLayout>
                  <c:x val="2.0768431983385254E-3"/>
                  <c:y val="0.1113402061855670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111-4150-BBAD-904B246CCDBE}"/>
                </c:ext>
              </c:extLst>
            </c:dLbl>
            <c:dLbl>
              <c:idx val="4"/>
              <c:layout>
                <c:manualLayout>
                  <c:x val="-7.6150037580680326E-17"/>
                  <c:y val="0.1360824742268041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111-4150-BBAD-904B246CCDBE}"/>
                </c:ext>
              </c:extLst>
            </c:dLbl>
            <c:dLbl>
              <c:idx val="5"/>
              <c:layout>
                <c:manualLayout>
                  <c:x val="2.0768431983383732E-3"/>
                  <c:y val="0.1072164948453608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111-4150-BBAD-904B246CCDBE}"/>
                </c:ext>
              </c:extLst>
            </c:dLbl>
            <c:dLbl>
              <c:idx val="6"/>
              <c:layout>
                <c:manualLayout>
                  <c:x val="-1.5230007516136065E-16"/>
                  <c:y val="0.1195876288659793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111-4150-BBAD-904B246CCDBE}"/>
                </c:ext>
              </c:extLst>
            </c:dLbl>
            <c:spPr>
              <a:noFill/>
              <a:ln>
                <a:noFill/>
              </a:ln>
              <a:effectLst/>
            </c:spPr>
            <c:txPr>
              <a:bodyPr rot="0" spcFirstLastPara="1" vertOverflow="ellipsis" vert="horz" wrap="square" lIns="38100" tIns="19050" rIns="38100" bIns="19050" anchor="ctr" anchorCtr="0">
                <a:spAutoFit/>
              </a:bodyPr>
              <a:lstStyle/>
              <a:p>
                <a:pPr algn="ctr">
                  <a:defRPr sz="800" b="0"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(ՄԺԾԾ)'!$B$88:$B$94</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(ՄԺԾԾ)'!$C$88:$C$94</c:f>
              <c:numCache>
                <c:formatCode>0.0</c:formatCode>
                <c:ptCount val="7"/>
                <c:pt idx="0" formatCode="_(* #,##0.0_);_(* \(#,##0.0\);_(* &quot;-&quot;??_);_(@_)">
                  <c:v>100.07331357101303</c:v>
                </c:pt>
                <c:pt idx="1">
                  <c:v>126.8215407073609</c:v>
                </c:pt>
                <c:pt idx="2">
                  <c:v>111.329007928248</c:v>
                </c:pt>
                <c:pt idx="3">
                  <c:v>68.87308294394424</c:v>
                </c:pt>
                <c:pt idx="4">
                  <c:v>99.315040647165532</c:v>
                </c:pt>
                <c:pt idx="5" formatCode="_(* #,##0.0_);_(* \(#,##0.0\);_(* &quot;-&quot;??_);_(@_)">
                  <c:v>79.008690009798528</c:v>
                </c:pt>
                <c:pt idx="6">
                  <c:v>65.750062193283895</c:v>
                </c:pt>
              </c:numCache>
            </c:numRef>
          </c:val>
          <c:extLst>
            <c:ext xmlns:c16="http://schemas.microsoft.com/office/drawing/2014/chart" uri="{C3380CC4-5D6E-409C-BE32-E72D297353CC}">
              <c16:uniqueId val="{00000007-5111-4150-BBAD-904B246CCDBE}"/>
            </c:ext>
          </c:extLst>
        </c:ser>
        <c:dLbls>
          <c:showLegendKey val="0"/>
          <c:showVal val="0"/>
          <c:showCatName val="0"/>
          <c:showSerName val="0"/>
          <c:showPercent val="0"/>
          <c:showBubbleSize val="0"/>
        </c:dLbls>
        <c:gapWidth val="150"/>
        <c:axId val="327796319"/>
        <c:axId val="327795903"/>
      </c:barChart>
      <c:lineChart>
        <c:grouping val="standard"/>
        <c:varyColors val="0"/>
        <c:ser>
          <c:idx val="1"/>
          <c:order val="1"/>
          <c:tx>
            <c:strRef>
              <c:f>'Վարկեր և երաշխիքներ (ՄԺԾԾ)'!$E$87</c:f>
              <c:strCache>
                <c:ptCount val="1"/>
                <c:pt idx="0">
                  <c:v>Փոփոխվող տոկոսադրույքով վարկերի տեսակարար կշիռը վարկային պորտֆելում</c:v>
                </c:pt>
              </c:strCache>
            </c:strRef>
          </c:tx>
          <c:spPr>
            <a:ln w="28575" cap="rnd">
              <a:solidFill>
                <a:schemeClr val="accent1">
                  <a:tint val="77000"/>
                </a:schemeClr>
              </a:solidFill>
              <a:round/>
            </a:ln>
            <a:effectLst/>
          </c:spPr>
          <c:marker>
            <c:symbol val="none"/>
          </c:marker>
          <c:dPt>
            <c:idx val="2"/>
            <c:marker>
              <c:symbol val="none"/>
            </c:marker>
            <c:bubble3D val="0"/>
            <c:spPr>
              <a:ln w="28575" cap="rnd">
                <a:solidFill>
                  <a:schemeClr val="accent1">
                    <a:tint val="77000"/>
                  </a:schemeClr>
                </a:solidFill>
                <a:round/>
              </a:ln>
              <a:effectLst/>
            </c:spPr>
            <c:extLst>
              <c:ext xmlns:c16="http://schemas.microsoft.com/office/drawing/2014/chart" uri="{C3380CC4-5D6E-409C-BE32-E72D297353CC}">
                <c16:uniqueId val="{00000009-5111-4150-BBAD-904B246CCDBE}"/>
              </c:ext>
            </c:extLst>
          </c:dPt>
          <c:dLbls>
            <c:dLbl>
              <c:idx val="0"/>
              <c:layout>
                <c:manualLayout>
                  <c:x val="-7.1877599135903761E-2"/>
                  <c:y val="-2.21352454048645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111-4150-BBAD-904B246CCDBE}"/>
                </c:ext>
              </c:extLst>
            </c:dLbl>
            <c:dLbl>
              <c:idx val="1"/>
              <c:layout>
                <c:manualLayout>
                  <c:x val="2.0905923344947737E-2"/>
                  <c:y val="3.93442622950819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111-4150-BBAD-904B246CCDBE}"/>
                </c:ext>
              </c:extLst>
            </c:dLbl>
            <c:dLbl>
              <c:idx val="2"/>
              <c:layout>
                <c:manualLayout>
                  <c:x val="2.090592334494765E-2"/>
                  <c:y val="-4.80874316939890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111-4150-BBAD-904B246CCDBE}"/>
                </c:ext>
              </c:extLst>
            </c:dLbl>
            <c:dLbl>
              <c:idx val="3"/>
              <c:layout>
                <c:manualLayout>
                  <c:x val="1.8583042973286706E-2"/>
                  <c:y val="4.371584699453551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5111-4150-BBAD-904B246CCDBE}"/>
                </c:ext>
              </c:extLst>
            </c:dLbl>
            <c:dLbl>
              <c:idx val="4"/>
              <c:layout>
                <c:manualLayout>
                  <c:x val="8.5171296388147688E-17"/>
                  <c:y val="-3.93442622950819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5111-4150-BBAD-904B246CCDBE}"/>
                </c:ext>
              </c:extLst>
            </c:dLbl>
            <c:dLbl>
              <c:idx val="5"/>
              <c:layout>
                <c:manualLayout>
                  <c:x val="0"/>
                  <c:y val="-5.2459016393442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5111-4150-BBAD-904B246CCDBE}"/>
                </c:ext>
              </c:extLst>
            </c:dLbl>
            <c:dLbl>
              <c:idx val="6"/>
              <c:layout>
                <c:manualLayout>
                  <c:x val="1.7801515623843602E-3"/>
                  <c:y val="-3.43839438112811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5111-4150-BBAD-904B246CCDBE}"/>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(ՄԺԾԾ)'!$B$88:$B$94</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(ՄԺԾԾ)'!$E$88:$E$94</c:f>
              <c:numCache>
                <c:formatCode>0.0%</c:formatCode>
                <c:ptCount val="7"/>
                <c:pt idx="0">
                  <c:v>0.22779014984834289</c:v>
                </c:pt>
                <c:pt idx="1">
                  <c:v>0.24229453305585763</c:v>
                </c:pt>
                <c:pt idx="2">
                  <c:v>0.23012381840489418</c:v>
                </c:pt>
                <c:pt idx="3">
                  <c:v>0.18575690493079891</c:v>
                </c:pt>
                <c:pt idx="4">
                  <c:v>0.26818371791520496</c:v>
                </c:pt>
                <c:pt idx="5">
                  <c:v>0.22892251241958869</c:v>
                </c:pt>
                <c:pt idx="6">
                  <c:v>0.19496719057445547</c:v>
                </c:pt>
              </c:numCache>
            </c:numRef>
          </c:val>
          <c:smooth val="0"/>
          <c:extLst>
            <c:ext xmlns:c16="http://schemas.microsoft.com/office/drawing/2014/chart" uri="{C3380CC4-5D6E-409C-BE32-E72D297353CC}">
              <c16:uniqueId val="{00000010-5111-4150-BBAD-904B246CCDBE}"/>
            </c:ext>
          </c:extLst>
        </c:ser>
        <c:dLbls>
          <c:showLegendKey val="0"/>
          <c:showVal val="0"/>
          <c:showCatName val="0"/>
          <c:showSerName val="0"/>
          <c:showPercent val="0"/>
          <c:showBubbleSize val="0"/>
        </c:dLbls>
        <c:marker val="1"/>
        <c:smooth val="0"/>
        <c:axId val="463423359"/>
        <c:axId val="463422943"/>
      </c:lineChart>
      <c:catAx>
        <c:axId val="32779631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7795903"/>
        <c:crosses val="autoZero"/>
        <c:auto val="1"/>
        <c:lblAlgn val="ctr"/>
        <c:lblOffset val="100"/>
        <c:noMultiLvlLbl val="0"/>
      </c:catAx>
      <c:valAx>
        <c:axId val="327795903"/>
        <c:scaling>
          <c:orientation val="minMax"/>
        </c:scaling>
        <c:delete val="0"/>
        <c:axPos val="l"/>
        <c:majorGridlines>
          <c:spPr>
            <a:ln w="9525" cap="flat" cmpd="sng" algn="ctr">
              <a:solidFill>
                <a:schemeClr val="tx1">
                  <a:lumMod val="15000"/>
                  <a:lumOff val="85000"/>
                </a:schemeClr>
              </a:solidFill>
              <a:round/>
            </a:ln>
            <a:effectLst/>
          </c:spPr>
        </c:majorGridlines>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7796319"/>
        <c:crosses val="autoZero"/>
        <c:crossBetween val="between"/>
      </c:valAx>
      <c:valAx>
        <c:axId val="463422943"/>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3423359"/>
        <c:crosses val="max"/>
        <c:crossBetween val="between"/>
      </c:valAx>
      <c:catAx>
        <c:axId val="463423359"/>
        <c:scaling>
          <c:orientation val="minMax"/>
        </c:scaling>
        <c:delete val="1"/>
        <c:axPos val="b"/>
        <c:numFmt formatCode="General" sourceLinked="1"/>
        <c:majorTickMark val="out"/>
        <c:minorTickMark val="none"/>
        <c:tickLblPos val="nextTo"/>
        <c:crossAx val="463422943"/>
        <c:crosses val="autoZero"/>
        <c:auto val="1"/>
        <c:lblAlgn val="ctr"/>
        <c:lblOffset val="100"/>
        <c:noMultiLvlLbl val="0"/>
      </c:catAx>
      <c:spPr>
        <a:noFill/>
        <a:ln>
          <a:noFill/>
        </a:ln>
        <a:effectLst/>
      </c:spPr>
    </c:plotArea>
    <c:legend>
      <c:legendPos val="b"/>
      <c:layout>
        <c:manualLayout>
          <c:xMode val="edge"/>
          <c:yMode val="edge"/>
          <c:x val="8.4347034721494948E-2"/>
          <c:y val="0.76496844752133719"/>
          <c:w val="0.82574999999999998"/>
          <c:h val="0.1717186631097929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7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'Վարկեր և երաշխիքներ (ՄԺԾԾ)'!$C$104</c:f>
              <c:strCache>
                <c:ptCount val="1"/>
                <c:pt idx="0">
                  <c:v>Բանկային միջին տոկոսադրույք ՀՀ դրամով</c:v>
                </c:pt>
              </c:strCache>
            </c:strRef>
          </c:tx>
          <c:spPr>
            <a:solidFill>
              <a:schemeClr val="accent1">
                <a:lumMod val="60000"/>
                <a:lumOff val="40000"/>
              </a:schemeClr>
            </a:solidFill>
            <a:ln>
              <a:noFill/>
            </a:ln>
            <a:effectLst/>
          </c:spPr>
          <c:invertIfNegative val="0"/>
          <c:cat>
            <c:numRef>
              <c:f>'Վարկեր և երաշխիքներ (ՄԺԾԾ)'!$B$105:$B$111</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(ՄԺԾԾ)'!$C$105:$C$111</c:f>
              <c:numCache>
                <c:formatCode>0.0%</c:formatCode>
                <c:ptCount val="7"/>
                <c:pt idx="0">
                  <c:v>0.105</c:v>
                </c:pt>
                <c:pt idx="1">
                  <c:v>0.105</c:v>
                </c:pt>
                <c:pt idx="2">
                  <c:v>0.107</c:v>
                </c:pt>
                <c:pt idx="3">
                  <c:v>0.129</c:v>
                </c:pt>
                <c:pt idx="4">
                  <c:v>0.121</c:v>
                </c:pt>
                <c:pt idx="5">
                  <c:v>0.13200000000000001</c:v>
                </c:pt>
                <c:pt idx="6">
                  <c:v>0.13300000000000001</c:v>
                </c:pt>
              </c:numCache>
            </c:numRef>
          </c:val>
          <c:extLst>
            <c:ext xmlns:c16="http://schemas.microsoft.com/office/drawing/2014/chart" uri="{C3380CC4-5D6E-409C-BE32-E72D297353CC}">
              <c16:uniqueId val="{00000000-A0D1-42C0-AEF2-17C428CD8D8E}"/>
            </c:ext>
          </c:extLst>
        </c:ser>
        <c:ser>
          <c:idx val="1"/>
          <c:order val="1"/>
          <c:tx>
            <c:strRef>
              <c:f>'Վարկեր և երաշխիքներ (ՄԺԾԾ)'!$D$104</c:f>
              <c:strCache>
                <c:ptCount val="1"/>
                <c:pt idx="0">
                  <c:v>Բանկային միջին տոկոսադրույք ԱՄՆ դոլարով</c:v>
                </c:pt>
              </c:strCache>
            </c:strRef>
          </c:tx>
          <c:spPr>
            <a:solidFill>
              <a:schemeClr val="bg2">
                <a:lumMod val="50000"/>
              </a:schemeClr>
            </a:solidFill>
            <a:ln>
              <a:noFill/>
            </a:ln>
            <a:effectLst/>
          </c:spPr>
          <c:invertIfNegative val="0"/>
          <c:cat>
            <c:numRef>
              <c:f>'Վարկեր և երաշխիքներ (ՄԺԾԾ)'!$B$105:$B$111</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(ՄԺԾԾ)'!$D$105:$D$111</c:f>
              <c:numCache>
                <c:formatCode>0.0%</c:formatCode>
                <c:ptCount val="7"/>
                <c:pt idx="0">
                  <c:v>8.1000000000000003E-2</c:v>
                </c:pt>
                <c:pt idx="1">
                  <c:v>7.6999999999999999E-2</c:v>
                </c:pt>
                <c:pt idx="2">
                  <c:v>7.6999999999999999E-2</c:v>
                </c:pt>
                <c:pt idx="3">
                  <c:v>7.8E-2</c:v>
                </c:pt>
                <c:pt idx="4">
                  <c:v>8.5999999999999993E-2</c:v>
                </c:pt>
                <c:pt idx="5">
                  <c:v>8.5999999999999993E-2</c:v>
                </c:pt>
                <c:pt idx="6">
                  <c:v>8.4000000000000005E-2</c:v>
                </c:pt>
              </c:numCache>
            </c:numRef>
          </c:val>
          <c:extLst>
            <c:ext xmlns:c16="http://schemas.microsoft.com/office/drawing/2014/chart" uri="{C3380CC4-5D6E-409C-BE32-E72D297353CC}">
              <c16:uniqueId val="{00000001-A0D1-42C0-AEF2-17C428CD8D8E}"/>
            </c:ext>
          </c:extLst>
        </c:ser>
        <c:ser>
          <c:idx val="2"/>
          <c:order val="2"/>
          <c:tx>
            <c:strRef>
              <c:f>'Վարկեր և երաշխիքներ (ՄԺԾԾ)'!$E$104</c:f>
              <c:strCache>
                <c:ptCount val="1"/>
                <c:pt idx="0">
                  <c:v>Տրամադրված բյուջետային վարկերի միջին տոկոսադրույքը ՀՀ դրամով</c:v>
                </c:pt>
              </c:strCache>
            </c:strRef>
          </c:tx>
          <c:spPr>
            <a:solidFill>
              <a:schemeClr val="accent5">
                <a:lumMod val="75000"/>
              </a:schemeClr>
            </a:solidFill>
            <a:ln>
              <a:noFill/>
            </a:ln>
            <a:effectLst/>
          </c:spPr>
          <c:invertIfNegative val="0"/>
          <c:cat>
            <c:numRef>
              <c:f>'Վարկեր և երաշխիքներ (ՄԺԾԾ)'!$B$105:$B$111</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(ՄԺԾԾ)'!$E$105:$E$111</c:f>
              <c:numCache>
                <c:formatCode>0.00%</c:formatCode>
                <c:ptCount val="7"/>
                <c:pt idx="0">
                  <c:v>6.25E-2</c:v>
                </c:pt>
                <c:pt idx="1">
                  <c:v>6.8099999999999994E-2</c:v>
                </c:pt>
                <c:pt idx="2">
                  <c:v>4.7899999999999998E-2</c:v>
                </c:pt>
                <c:pt idx="3">
                  <c:v>4.8500000000000001E-2</c:v>
                </c:pt>
                <c:pt idx="4">
                  <c:v>4.2799999999999998E-2</c:v>
                </c:pt>
                <c:pt idx="5">
                  <c:v>4.9799999999999997E-2</c:v>
                </c:pt>
                <c:pt idx="6">
                  <c:v>5.2499999999999998E-2</c:v>
                </c:pt>
              </c:numCache>
            </c:numRef>
          </c:val>
          <c:extLst>
            <c:ext xmlns:c16="http://schemas.microsoft.com/office/drawing/2014/chart" uri="{C3380CC4-5D6E-409C-BE32-E72D297353CC}">
              <c16:uniqueId val="{00000002-A0D1-42C0-AEF2-17C428CD8D8E}"/>
            </c:ext>
          </c:extLst>
        </c:ser>
        <c:ser>
          <c:idx val="3"/>
          <c:order val="3"/>
          <c:tx>
            <c:strRef>
              <c:f>'Վարկեր և երաշխիքներ (ՄԺԾԾ)'!$F$104</c:f>
              <c:strCache>
                <c:ptCount val="1"/>
                <c:pt idx="0">
                  <c:v>Տրամադրված բյուջետային վարկերի միջին տոկոսադրույքը ԱՄՆ դոլարով</c:v>
                </c:pt>
              </c:strCache>
            </c:strRef>
          </c:tx>
          <c:spPr>
            <a:solidFill>
              <a:schemeClr val="tx1">
                <a:lumMod val="75000"/>
                <a:lumOff val="25000"/>
              </a:schemeClr>
            </a:solidFill>
            <a:ln>
              <a:noFill/>
            </a:ln>
            <a:effectLst/>
          </c:spPr>
          <c:invertIfNegative val="0"/>
          <c:cat>
            <c:numRef>
              <c:f>'Վարկեր և երաշխիքներ (ՄԺԾԾ)'!$B$105:$B$111</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(ՄԺԾԾ)'!$F$105:$F$111</c:f>
              <c:numCache>
                <c:formatCode>0.00%</c:formatCode>
                <c:ptCount val="7"/>
                <c:pt idx="0">
                  <c:v>3.9800000000000002E-2</c:v>
                </c:pt>
                <c:pt idx="1">
                  <c:v>0.04</c:v>
                </c:pt>
                <c:pt idx="2">
                  <c:v>2.6499999999999999E-2</c:v>
                </c:pt>
                <c:pt idx="3">
                  <c:v>2.63E-2</c:v>
                </c:pt>
                <c:pt idx="4">
                  <c:v>2.5999999999999999E-2</c:v>
                </c:pt>
                <c:pt idx="5">
                  <c:v>2.9000000000000001E-2</c:v>
                </c:pt>
                <c:pt idx="6">
                  <c:v>2.7199999999999998E-2</c:v>
                </c:pt>
              </c:numCache>
            </c:numRef>
          </c:val>
          <c:extLst>
            <c:ext xmlns:c16="http://schemas.microsoft.com/office/drawing/2014/chart" uri="{C3380CC4-5D6E-409C-BE32-E72D297353CC}">
              <c16:uniqueId val="{00000003-A0D1-42C0-AEF2-17C428CD8D8E}"/>
            </c:ext>
          </c:extLst>
        </c:ser>
        <c:dLbls>
          <c:showLegendKey val="0"/>
          <c:showVal val="0"/>
          <c:showCatName val="0"/>
          <c:showSerName val="0"/>
          <c:showPercent val="0"/>
          <c:showBubbleSize val="0"/>
        </c:dLbls>
        <c:gapWidth val="219"/>
        <c:axId val="345530015"/>
        <c:axId val="345526687"/>
      </c:barChart>
      <c:lineChart>
        <c:grouping val="standard"/>
        <c:varyColors val="0"/>
        <c:ser>
          <c:idx val="4"/>
          <c:order val="4"/>
          <c:tx>
            <c:strRef>
              <c:f>'Վարկեր և երաշխիքներ (ՄԺԾԾ)'!$G$104</c:f>
              <c:strCache>
                <c:ptCount val="1"/>
                <c:pt idx="0">
                  <c:v>Վերաֆինանսավորման տոկոսադրույք</c:v>
                </c:pt>
              </c:strCache>
            </c:strRef>
          </c:tx>
          <c:spPr>
            <a:ln w="28575" cap="rnd">
              <a:solidFill>
                <a:schemeClr val="accent5">
                  <a:tint val="54000"/>
                </a:schemeClr>
              </a:solidFill>
              <a:round/>
            </a:ln>
            <a:effectLst/>
          </c:spPr>
          <c:marker>
            <c:symbol val="none"/>
          </c:marker>
          <c:dLbls>
            <c:dLbl>
              <c:idx val="0"/>
              <c:layout>
                <c:manualLayout>
                  <c:x val="9.9671085418120212E-3"/>
                  <c:y val="-4.66109924257137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0D1-42C0-AEF2-17C428CD8D8E}"/>
                </c:ext>
              </c:extLst>
            </c:dLbl>
            <c:dLbl>
              <c:idx val="1"/>
              <c:layout>
                <c:manualLayout>
                  <c:x val="7.9736868334496155E-3"/>
                  <c:y val="3.884249368809477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0D1-42C0-AEF2-17C428CD8D8E}"/>
                </c:ext>
              </c:extLst>
            </c:dLbl>
            <c:dLbl>
              <c:idx val="2"/>
              <c:layout>
                <c:manualLayout>
                  <c:x val="-1.9934217083624039E-3"/>
                  <c:y val="2.71897455816663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0D1-42C0-AEF2-17C428CD8D8E}"/>
                </c:ext>
              </c:extLst>
            </c:dLbl>
            <c:dLbl>
              <c:idx val="3"/>
              <c:layout>
                <c:manualLayout>
                  <c:x val="-1.2383904954016957E-2"/>
                  <c:y val="-2.00501253132832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0D1-42C0-AEF2-17C428CD8D8E}"/>
                </c:ext>
              </c:extLst>
            </c:dLbl>
            <c:dLbl>
              <c:idx val="4"/>
              <c:layout>
                <c:manualLayout>
                  <c:x val="-2.0639841590028539E-2"/>
                  <c:y val="-2.33918128654970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0D1-42C0-AEF2-17C428CD8D8E}"/>
                </c:ext>
              </c:extLst>
            </c:dLbl>
            <c:dLbl>
              <c:idx val="5"/>
              <c:layout>
                <c:manualLayout>
                  <c:x val="0"/>
                  <c:y val="-3.00751879699248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0D1-42C0-AEF2-17C428CD8D8E}"/>
                </c:ext>
              </c:extLst>
            </c:dLbl>
            <c:dLbl>
              <c:idx val="6"/>
              <c:layout>
                <c:manualLayout>
                  <c:x val="8.3265381720635401E-3"/>
                  <c:y val="-4.426820894814833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0D1-42C0-AEF2-17C428CD8D8E}"/>
                </c:ext>
              </c:extLst>
            </c:dLbl>
            <c:numFmt formatCode="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(ՄԺԾԾ)'!$B$105:$B$111</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(ՄԺԾԾ)'!$G$105:$G$111</c:f>
              <c:numCache>
                <c:formatCode>0.00%</c:formatCode>
                <c:ptCount val="7"/>
                <c:pt idx="0">
                  <c:v>5.5E-2</c:v>
                </c:pt>
                <c:pt idx="1">
                  <c:v>5.2999999999999999E-2</c:v>
                </c:pt>
                <c:pt idx="2">
                  <c:v>7.8E-2</c:v>
                </c:pt>
                <c:pt idx="3">
                  <c:v>0.108</c:v>
                </c:pt>
                <c:pt idx="4">
                  <c:v>9.2999999999999999E-2</c:v>
                </c:pt>
                <c:pt idx="5">
                  <c:v>7.0000000000000007E-2</c:v>
                </c:pt>
                <c:pt idx="6">
                  <c:v>6.5000000000000002E-2</c:v>
                </c:pt>
              </c:numCache>
            </c:numRef>
          </c:val>
          <c:smooth val="0"/>
          <c:extLst>
            <c:ext xmlns:c16="http://schemas.microsoft.com/office/drawing/2014/chart" uri="{C3380CC4-5D6E-409C-BE32-E72D297353CC}">
              <c16:uniqueId val="{0000000B-A0D1-42C0-AEF2-17C428CD8D8E}"/>
            </c:ext>
          </c:extLst>
        </c:ser>
        <c:dLbls>
          <c:showLegendKey val="0"/>
          <c:showVal val="0"/>
          <c:showCatName val="0"/>
          <c:showSerName val="0"/>
          <c:showPercent val="0"/>
          <c:showBubbleSize val="0"/>
        </c:dLbls>
        <c:marker val="1"/>
        <c:smooth val="0"/>
        <c:axId val="345530015"/>
        <c:axId val="345526687"/>
      </c:lineChart>
      <c:catAx>
        <c:axId val="345530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45526687"/>
        <c:crosses val="autoZero"/>
        <c:auto val="1"/>
        <c:lblAlgn val="ctr"/>
        <c:lblOffset val="100"/>
        <c:noMultiLvlLbl val="0"/>
      </c:catAx>
      <c:valAx>
        <c:axId val="345526687"/>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45530015"/>
        <c:crosses val="autoZero"/>
        <c:crossBetween val="between"/>
      </c:valAx>
      <c:spPr>
        <a:noFill/>
        <a:ln>
          <a:noFill/>
        </a:ln>
        <a:effectLst/>
      </c:spPr>
    </c:plotArea>
    <c:legend>
      <c:legendPos val="b"/>
      <c:layout>
        <c:manualLayout>
          <c:xMode val="edge"/>
          <c:yMode val="edge"/>
          <c:x val="2.2316277543947483E-2"/>
          <c:y val="0.63382844769185365"/>
          <c:w val="0.95337386624140341"/>
          <c:h val="0.3428660560952895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7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percentStacked"/>
        <c:varyColors val="0"/>
        <c:ser>
          <c:idx val="0"/>
          <c:order val="0"/>
          <c:tx>
            <c:strRef>
              <c:f>'Վարկեր և երաշխիքներ (ՄԺԾԾ)'!$C$128</c:f>
              <c:strCache>
                <c:ptCount val="1"/>
                <c:pt idx="0">
                  <c:v>Գրավով</c:v>
                </c:pt>
              </c:strCache>
            </c:strRef>
          </c:tx>
          <c:spPr>
            <a:solidFill>
              <a:schemeClr val="accent5">
                <a:shade val="76000"/>
              </a:schemeClr>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(ՄԺԾԾ)'!$B$129:$B$133</c:f>
              <c:numCache>
                <c:formatCode>General</c:formatCode>
                <c:ptCount val="5"/>
                <c:pt idx="0">
                  <c:v>2021</c:v>
                </c:pt>
                <c:pt idx="1">
                  <c:v>2022</c:v>
                </c:pt>
                <c:pt idx="2">
                  <c:v>2023</c:v>
                </c:pt>
                <c:pt idx="3">
                  <c:v>2024</c:v>
                </c:pt>
                <c:pt idx="4">
                  <c:v>2025</c:v>
                </c:pt>
              </c:numCache>
            </c:numRef>
          </c:cat>
          <c:val>
            <c:numRef>
              <c:f>'Վարկեր և երաշխիքներ (ՄԺԾԾ)'!$C$129:$C$133</c:f>
              <c:numCache>
                <c:formatCode>0.0%</c:formatCode>
                <c:ptCount val="5"/>
                <c:pt idx="0">
                  <c:v>0.748</c:v>
                </c:pt>
                <c:pt idx="1">
                  <c:v>0.72099999999999997</c:v>
                </c:pt>
                <c:pt idx="2">
                  <c:v>0.74199999999999999</c:v>
                </c:pt>
                <c:pt idx="3">
                  <c:v>0.72</c:v>
                </c:pt>
                <c:pt idx="4">
                  <c:v>0.56999999999999995</c:v>
                </c:pt>
              </c:numCache>
            </c:numRef>
          </c:val>
          <c:extLst>
            <c:ext xmlns:c16="http://schemas.microsoft.com/office/drawing/2014/chart" uri="{C3380CC4-5D6E-409C-BE32-E72D297353CC}">
              <c16:uniqueId val="{00000000-23D5-41DA-91F0-C56F08202683}"/>
            </c:ext>
          </c:extLst>
        </c:ser>
        <c:ser>
          <c:idx val="1"/>
          <c:order val="1"/>
          <c:tx>
            <c:strRef>
              <c:f>'Վարկեր և երաշխիքներ (ՄԺԾԾ)'!$D$128</c:f>
              <c:strCache>
                <c:ptCount val="1"/>
                <c:pt idx="0">
                  <c:v>Առանց գրավ</c:v>
                </c:pt>
              </c:strCache>
            </c:strRef>
          </c:tx>
          <c:spPr>
            <a:solidFill>
              <a:schemeClr val="accent5">
                <a:tint val="77000"/>
              </a:schemeClr>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(ՄԺԾԾ)'!$B$129:$B$133</c:f>
              <c:numCache>
                <c:formatCode>General</c:formatCode>
                <c:ptCount val="5"/>
                <c:pt idx="0">
                  <c:v>2021</c:v>
                </c:pt>
                <c:pt idx="1">
                  <c:v>2022</c:v>
                </c:pt>
                <c:pt idx="2">
                  <c:v>2023</c:v>
                </c:pt>
                <c:pt idx="3">
                  <c:v>2024</c:v>
                </c:pt>
                <c:pt idx="4">
                  <c:v>2025</c:v>
                </c:pt>
              </c:numCache>
            </c:numRef>
          </c:cat>
          <c:val>
            <c:numRef>
              <c:f>'Վարկեր և երաշխիքներ (ՄԺԾԾ)'!$D$129:$D$133</c:f>
              <c:numCache>
                <c:formatCode>0.0%</c:formatCode>
                <c:ptCount val="5"/>
                <c:pt idx="0">
                  <c:v>0.252</c:v>
                </c:pt>
                <c:pt idx="1">
                  <c:v>0.27900000000000003</c:v>
                </c:pt>
                <c:pt idx="2">
                  <c:v>0.25800000000000001</c:v>
                </c:pt>
                <c:pt idx="3">
                  <c:v>0.28000000000000003</c:v>
                </c:pt>
                <c:pt idx="4">
                  <c:v>0.43</c:v>
                </c:pt>
              </c:numCache>
            </c:numRef>
          </c:val>
          <c:extLst>
            <c:ext xmlns:c16="http://schemas.microsoft.com/office/drawing/2014/chart" uri="{C3380CC4-5D6E-409C-BE32-E72D297353CC}">
              <c16:uniqueId val="{00000001-23D5-41DA-91F0-C56F08202683}"/>
            </c:ext>
          </c:extLst>
        </c:ser>
        <c:dLbls>
          <c:showLegendKey val="0"/>
          <c:showVal val="0"/>
          <c:showCatName val="0"/>
          <c:showSerName val="0"/>
          <c:showPercent val="0"/>
          <c:showBubbleSize val="0"/>
        </c:dLbls>
        <c:gapWidth val="150"/>
        <c:overlap val="100"/>
        <c:axId val="463421695"/>
        <c:axId val="463425023"/>
      </c:barChart>
      <c:catAx>
        <c:axId val="463421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3425023"/>
        <c:crosses val="autoZero"/>
        <c:auto val="1"/>
        <c:lblAlgn val="ctr"/>
        <c:lblOffset val="100"/>
        <c:noMultiLvlLbl val="0"/>
      </c:catAx>
      <c:valAx>
        <c:axId val="46342502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34216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7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bar"/>
        <c:grouping val="percentStacked"/>
        <c:varyColors val="0"/>
        <c:ser>
          <c:idx val="0"/>
          <c:order val="0"/>
          <c:tx>
            <c:strRef>
              <c:f>'[Ամփոփ գրաֆիկներ -2025.xlsx]Վարկեր և երաշխիքներ (ՄԺԾԾ)'!$B$243</c:f>
              <c:strCache>
                <c:ptCount val="1"/>
                <c:pt idx="0">
                  <c:v>Ներքին</c:v>
                </c:pt>
              </c:strCache>
            </c:strRef>
          </c:tx>
          <c:spPr>
            <a:solidFill>
              <a:schemeClr val="accent5">
                <a:lumMod val="60000"/>
                <a:lumOff val="40000"/>
              </a:schemeClr>
            </a:solidFill>
            <a:ln>
              <a:noFill/>
            </a:ln>
            <a:effectLst/>
          </c:spPr>
          <c:invertIfNegative val="0"/>
          <c:dLbls>
            <c:dLbl>
              <c:idx val="3"/>
              <c:delete val="1"/>
              <c:extLst>
                <c:ext xmlns:c15="http://schemas.microsoft.com/office/drawing/2012/chart" uri="{CE6537A1-D6FC-4f65-9D91-7224C49458BB}"/>
                <c:ext xmlns:c16="http://schemas.microsoft.com/office/drawing/2014/chart" uri="{C3380CC4-5D6E-409C-BE32-E72D297353CC}">
                  <c16:uniqueId val="{00000000-ACAC-49C9-BB41-73F48C0C97C5}"/>
                </c:ext>
              </c:extLst>
            </c:dLbl>
            <c:dLbl>
              <c:idx val="4"/>
              <c:delete val="1"/>
              <c:extLst>
                <c:ext xmlns:c15="http://schemas.microsoft.com/office/drawing/2012/chart" uri="{CE6537A1-D6FC-4f65-9D91-7224C49458BB}"/>
                <c:ext xmlns:c16="http://schemas.microsoft.com/office/drawing/2014/chart" uri="{C3380CC4-5D6E-409C-BE32-E72D297353CC}">
                  <c16:uniqueId val="{00000001-ACAC-49C9-BB41-73F48C0C97C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'[Ամփոփ գրաֆիկներ -2025.xlsx]Վարկեր և երաշխիքներ (ՄԺԾԾ)'!$A$244:$A$253</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'[Ամփոփ գրաֆիկներ -2025.xlsx]Վարկեր և երաշխիքներ (ՄԺԾԾ)'!$B$244:$B$253</c:f>
              <c:numCache>
                <c:formatCode>0.0%</c:formatCode>
                <c:ptCount val="10"/>
                <c:pt idx="0">
                  <c:v>4.5646020676589176E-2</c:v>
                </c:pt>
                <c:pt idx="1">
                  <c:v>5.1467129774237459E-2</c:v>
                </c:pt>
                <c:pt idx="2">
                  <c:v>5.6414747553592381E-2</c:v>
                </c:pt>
                <c:pt idx="3">
                  <c:v>0</c:v>
                </c:pt>
                <c:pt idx="4">
                  <c:v>0</c:v>
                </c:pt>
                <c:pt idx="5">
                  <c:v>9.2559922663170507E-2</c:v>
                </c:pt>
                <c:pt idx="6">
                  <c:v>0.1976649474249301</c:v>
                </c:pt>
                <c:pt idx="7">
                  <c:v>0.17325783507241374</c:v>
                </c:pt>
                <c:pt idx="8">
                  <c:v>0.25148730069258596</c:v>
                </c:pt>
                <c:pt idx="9">
                  <c:v>0.65749196690395739</c:v>
                </c:pt>
              </c:numCache>
            </c:numRef>
          </c:val>
          <c:extLst>
            <c:ext xmlns:c16="http://schemas.microsoft.com/office/drawing/2014/chart" uri="{C3380CC4-5D6E-409C-BE32-E72D297353CC}">
              <c16:uniqueId val="{00000002-ACAC-49C9-BB41-73F48C0C97C5}"/>
            </c:ext>
          </c:extLst>
        </c:ser>
        <c:ser>
          <c:idx val="1"/>
          <c:order val="1"/>
          <c:tx>
            <c:strRef>
              <c:f>'[Ամփոփ գրաֆիկներ -2025.xlsx]Վարկեր և երաշխիքներ (ՄԺԾԾ)'!$C$243</c:f>
              <c:strCache>
                <c:ptCount val="1"/>
                <c:pt idx="0">
                  <c:v>Արտաքին</c:v>
                </c:pt>
              </c:strCache>
            </c:strRef>
          </c:tx>
          <c:spPr>
            <a:solidFill>
              <a:schemeClr val="accent1">
                <a:lumMod val="40000"/>
                <a:lumOff val="60000"/>
              </a:schemeClr>
            </a:solidFill>
            <a:ln w="0">
              <a:solidFill>
                <a:schemeClr val="tx1">
                  <a:lumMod val="15000"/>
                  <a:lumOff val="85000"/>
                </a:schemeClr>
              </a:solidFill>
            </a:ln>
            <a:effectLst/>
          </c:spPr>
          <c:invertIfNegative val="0"/>
          <c:dLbls>
            <c:spPr>
              <a:noFill/>
              <a:ln>
                <a:noFill/>
              </a:ln>
              <a:effectLst/>
            </c:spPr>
            <c:txPr>
              <a:bodyPr rot="0" spcFirstLastPara="1" vertOverflow="ellipsis" vert="horz" wrap="square" lIns="38100" tIns="19050" rIns="38100" bIns="19050" anchor="ctr" anchorCtr="0">
                <a:spAutoFit/>
              </a:bodyPr>
              <a:lstStyle/>
              <a:p>
                <a:pPr algn="ct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'[Ամփոփ գրաֆիկներ -2025.xlsx]Վարկեր և երաշխիքներ (ՄԺԾԾ)'!$A$244:$A$253</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'[Ամփոփ գրաֆիկներ -2025.xlsx]Վարկեր և երաշխիքներ (ՄԺԾԾ)'!$C$244:$C$253</c:f>
              <c:numCache>
                <c:formatCode>0.0%</c:formatCode>
                <c:ptCount val="10"/>
                <c:pt idx="0">
                  <c:v>0.95435397932341082</c:v>
                </c:pt>
                <c:pt idx="1">
                  <c:v>0.9485328702257626</c:v>
                </c:pt>
                <c:pt idx="2">
                  <c:v>0.94358525244640756</c:v>
                </c:pt>
                <c:pt idx="3">
                  <c:v>1</c:v>
                </c:pt>
                <c:pt idx="4">
                  <c:v>1</c:v>
                </c:pt>
                <c:pt idx="5">
                  <c:v>0.90744007733682952</c:v>
                </c:pt>
                <c:pt idx="6">
                  <c:v>0.80233505257506987</c:v>
                </c:pt>
                <c:pt idx="7">
                  <c:v>0.82674216492758623</c:v>
                </c:pt>
                <c:pt idx="8">
                  <c:v>0.74851269930741404</c:v>
                </c:pt>
                <c:pt idx="9">
                  <c:v>0.3425080330960425</c:v>
                </c:pt>
              </c:numCache>
            </c:numRef>
          </c:val>
          <c:extLst>
            <c:ext xmlns:c16="http://schemas.microsoft.com/office/drawing/2014/chart" uri="{C3380CC4-5D6E-409C-BE32-E72D297353CC}">
              <c16:uniqueId val="{00000003-ACAC-49C9-BB41-73F48C0C97C5}"/>
            </c:ext>
          </c:extLst>
        </c:ser>
        <c:dLbls>
          <c:showLegendKey val="0"/>
          <c:showVal val="0"/>
          <c:showCatName val="0"/>
          <c:showSerName val="0"/>
          <c:showPercent val="0"/>
          <c:showBubbleSize val="0"/>
        </c:dLbls>
        <c:gapWidth val="80"/>
        <c:overlap val="100"/>
        <c:axId val="58627999"/>
        <c:axId val="58628831"/>
      </c:barChart>
      <c:catAx>
        <c:axId val="586279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58628831"/>
        <c:crosses val="autoZero"/>
        <c:auto val="1"/>
        <c:lblAlgn val="ctr"/>
        <c:lblOffset val="100"/>
        <c:noMultiLvlLbl val="0"/>
      </c:catAx>
      <c:valAx>
        <c:axId val="5862883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586279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25400"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doughnutChart>
        <c:varyColors val="1"/>
        <c:ser>
          <c:idx val="0"/>
          <c:order val="0"/>
          <c:spPr>
            <a:ln w="0"/>
          </c:spPr>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0" cap="flat" cmpd="sng" algn="ctr">
                <a:solidFill>
                  <a:schemeClr val="accent1">
                    <a:shade val="95000"/>
                  </a:schemeClr>
                </a:solidFill>
                <a:round/>
              </a:ln>
              <a:effectLst/>
            </c:spPr>
            <c:extLst>
              <c:ext xmlns:c16="http://schemas.microsoft.com/office/drawing/2014/chart" uri="{C3380CC4-5D6E-409C-BE32-E72D297353CC}">
                <c16:uniqueId val="{00000001-E27B-4815-8E55-B8CFF02D952E}"/>
              </c:ext>
            </c:extLst>
          </c:dPt>
          <c:dPt>
            <c:idx val="1"/>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0" cap="flat" cmpd="sng" algn="ctr">
                <a:solidFill>
                  <a:schemeClr val="accent3">
                    <a:shade val="95000"/>
                  </a:schemeClr>
                </a:solidFill>
                <a:round/>
              </a:ln>
              <a:effectLst/>
            </c:spPr>
            <c:extLst>
              <c:ext xmlns:c16="http://schemas.microsoft.com/office/drawing/2014/chart" uri="{C3380CC4-5D6E-409C-BE32-E72D297353CC}">
                <c16:uniqueId val="{00000003-E27B-4815-8E55-B8CFF02D952E}"/>
              </c:ext>
            </c:extLst>
          </c:dPt>
          <c:dPt>
            <c:idx val="2"/>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0" cap="flat" cmpd="sng" algn="ctr">
                <a:solidFill>
                  <a:schemeClr val="accent5">
                    <a:shade val="95000"/>
                  </a:schemeClr>
                </a:solidFill>
                <a:round/>
              </a:ln>
              <a:effectLst/>
            </c:spPr>
            <c:extLst>
              <c:ext xmlns:c16="http://schemas.microsoft.com/office/drawing/2014/chart" uri="{C3380CC4-5D6E-409C-BE32-E72D297353CC}">
                <c16:uniqueId val="{00000005-E27B-4815-8E55-B8CFF02D952E}"/>
              </c:ext>
            </c:extLst>
          </c:dPt>
          <c:dPt>
            <c:idx val="3"/>
            <c:bubble3D val="0"/>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0" cap="flat" cmpd="sng" algn="ctr">
                <a:solidFill>
                  <a:schemeClr val="accent1">
                    <a:lumMod val="60000"/>
                    <a:shade val="95000"/>
                  </a:schemeClr>
                </a:solidFill>
                <a:round/>
              </a:ln>
              <a:effectLst/>
            </c:spPr>
            <c:extLst>
              <c:ext xmlns:c16="http://schemas.microsoft.com/office/drawing/2014/chart" uri="{C3380CC4-5D6E-409C-BE32-E72D297353CC}">
                <c16:uniqueId val="{00000007-E27B-4815-8E55-B8CFF02D952E}"/>
              </c:ext>
            </c:extLst>
          </c:dPt>
          <c:dLbls>
            <c:spPr>
              <a:noFill/>
              <a:ln>
                <a:noFill/>
              </a:ln>
              <a:effectLst/>
            </c:spPr>
            <c:txPr>
              <a:bodyPr rot="0" spcFirstLastPara="1" vertOverflow="ellipsis" vert="horz" wrap="square" anchor="ctr" anchorCtr="1"/>
              <a:lstStyle/>
              <a:p>
                <a:pPr>
                  <a:defRPr sz="8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'Վարկեր և երաշխիքներ (ՄԺԾԾ)'!$B$220:$B$223</c:f>
              <c:strCache>
                <c:ptCount val="4"/>
                <c:pt idx="0">
                  <c:v>Եվրո</c:v>
                </c:pt>
                <c:pt idx="1">
                  <c:v>ՀՀ դրամ</c:v>
                </c:pt>
                <c:pt idx="2">
                  <c:v>ԱՄՆ դոլար</c:v>
                </c:pt>
                <c:pt idx="3">
                  <c:v>ՀՓԻ</c:v>
                </c:pt>
              </c:strCache>
            </c:strRef>
          </c:cat>
          <c:val>
            <c:numRef>
              <c:f>'Վարկեր և երաշխիքներ (ՄԺԾԾ)'!$C$220:$C$223</c:f>
              <c:numCache>
                <c:formatCode>0.0%</c:formatCode>
                <c:ptCount val="4"/>
                <c:pt idx="0">
                  <c:v>0.15153409205666563</c:v>
                </c:pt>
                <c:pt idx="1">
                  <c:v>0.13913174305113071</c:v>
                </c:pt>
                <c:pt idx="2">
                  <c:v>0.66210054866892365</c:v>
                </c:pt>
                <c:pt idx="3">
                  <c:v>4.7233616223280185E-2</c:v>
                </c:pt>
              </c:numCache>
            </c:numRef>
          </c:val>
          <c:extLst>
            <c:ext xmlns:c16="http://schemas.microsoft.com/office/drawing/2014/chart" uri="{C3380CC4-5D6E-409C-BE32-E72D297353CC}">
              <c16:uniqueId val="{00000008-E27B-4815-8E55-B8CFF02D952E}"/>
            </c:ext>
          </c:extLst>
        </c:ser>
        <c:dLbls>
          <c:showLegendKey val="0"/>
          <c:showVal val="0"/>
          <c:showCatName val="0"/>
          <c:showSerName val="0"/>
          <c:showPercent val="0"/>
          <c:showBubbleSize val="0"/>
          <c:showLeaderLines val="1"/>
        </c:dLbls>
        <c:firstSliceAng val="0"/>
        <c:holeSize val="65"/>
      </c:doughnutChart>
      <c:spPr>
        <a:noFill/>
        <a:ln>
          <a:noFill/>
        </a:ln>
        <a:effectLst/>
      </c:spPr>
    </c:plotArea>
    <c:legend>
      <c:legendPos val="b"/>
      <c:overlay val="1"/>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7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'[Ամփոփ գրաֆիկներ -2025.xlsx]Վարկեր և երաշխիքներ (ՄԺԾԾ)'!$B$198</c:f>
              <c:strCache>
                <c:ptCount val="1"/>
                <c:pt idx="0">
                  <c:v>Արտաքին բյուջետային երաշխիքներ</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numRef>
              <c:f>'[Ամփոփ գրաֆիկներ -2025.xlsx]Վարկեր և երաշխիքներ (ՄԺԾԾ)'!$A$199:$A$208</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'[Ամփոփ գրաֆիկներ -2025.xlsx]Վարկեր և երաշխիքներ (ՄԺԾԾ)'!$B$199:$B$208</c:f>
              <c:numCache>
                <c:formatCode>0.00</c:formatCode>
                <c:ptCount val="10"/>
                <c:pt idx="0">
                  <c:v>70.826556299013987</c:v>
                </c:pt>
                <c:pt idx="1">
                  <c:v>80.297131011865432</c:v>
                </c:pt>
                <c:pt idx="2">
                  <c:v>72.820219375012499</c:v>
                </c:pt>
                <c:pt idx="3">
                  <c:v>65.638326220506002</c:v>
                </c:pt>
                <c:pt idx="4">
                  <c:v>67.558570111706217</c:v>
                </c:pt>
                <c:pt idx="5">
                  <c:v>52.493354319798193</c:v>
                </c:pt>
                <c:pt idx="6">
                  <c:v>37.205814223596597</c:v>
                </c:pt>
                <c:pt idx="7">
                  <c:v>34.246462302871798</c:v>
                </c:pt>
                <c:pt idx="8">
                  <c:v>28.393695999999995</c:v>
                </c:pt>
                <c:pt idx="9">
                  <c:v>27.088768065811198</c:v>
                </c:pt>
              </c:numCache>
            </c:numRef>
          </c:val>
          <c:extLst>
            <c:ext xmlns:c16="http://schemas.microsoft.com/office/drawing/2014/chart" uri="{C3380CC4-5D6E-409C-BE32-E72D297353CC}">
              <c16:uniqueId val="{00000000-6287-49FE-841A-E88F250D7DB0}"/>
            </c:ext>
          </c:extLst>
        </c:ser>
        <c:ser>
          <c:idx val="1"/>
          <c:order val="1"/>
          <c:tx>
            <c:strRef>
              <c:f>'[Ամփոփ գրաֆիկներ -2025.xlsx]Վարկեր և երաշխիքներ (ՄԺԾԾ)'!$C$198</c:f>
              <c:strCache>
                <c:ptCount val="1"/>
                <c:pt idx="0">
                  <c:v>Ներքին բյուջետային երաշխիքներ</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cat>
            <c:numRef>
              <c:f>'[Ամփոփ գրաֆիկներ -2025.xlsx]Վարկեր և երաշխիքներ (ՄԺԾԾ)'!$A$199:$A$208</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'[Ամփոփ գրաֆիկներ -2025.xlsx]Վարկեր և երաշխիքներ (ՄԺԾԾ)'!$C$199:$C$208</c:f>
              <c:numCache>
                <c:formatCode>0.00</c:formatCode>
                <c:ptCount val="10"/>
                <c:pt idx="0">
                  <c:v>3.3875799999999998</c:v>
                </c:pt>
                <c:pt idx="1">
                  <c:v>4.3569000000000004</c:v>
                </c:pt>
                <c:pt idx="2">
                  <c:v>4.3537499999999998</c:v>
                </c:pt>
                <c:pt idx="3" formatCode="0">
                  <c:v>0</c:v>
                </c:pt>
                <c:pt idx="4" formatCode="0">
                  <c:v>0</c:v>
                </c:pt>
                <c:pt idx="5">
                  <c:v>5.3543820000000002</c:v>
                </c:pt>
                <c:pt idx="6">
                  <c:v>9.1661024765222248</c:v>
                </c:pt>
                <c:pt idx="7">
                  <c:v>7.1769266999999992</c:v>
                </c:pt>
                <c:pt idx="8">
                  <c:v>9.5397899999999982</c:v>
                </c:pt>
                <c:pt idx="9">
                  <c:v>52.000670569968911</c:v>
                </c:pt>
              </c:numCache>
            </c:numRef>
          </c:val>
          <c:extLst>
            <c:ext xmlns:c16="http://schemas.microsoft.com/office/drawing/2014/chart" uri="{C3380CC4-5D6E-409C-BE32-E72D297353CC}">
              <c16:uniqueId val="{00000001-6287-49FE-841A-E88F250D7DB0}"/>
            </c:ext>
          </c:extLst>
        </c:ser>
        <c:dLbls>
          <c:showLegendKey val="0"/>
          <c:showVal val="0"/>
          <c:showCatName val="0"/>
          <c:showSerName val="0"/>
          <c:showPercent val="0"/>
          <c:showBubbleSize val="0"/>
        </c:dLbls>
        <c:gapWidth val="219"/>
        <c:overlap val="100"/>
        <c:axId val="847251632"/>
        <c:axId val="847252880"/>
      </c:barChart>
      <c:lineChart>
        <c:grouping val="standard"/>
        <c:varyColors val="0"/>
        <c:ser>
          <c:idx val="2"/>
          <c:order val="2"/>
          <c:tx>
            <c:strRef>
              <c:f>'[Ամփոփ գրաֆիկներ -2025.xlsx]Վարկեր և երաշխիքներ (ՄԺԾԾ)'!$F$198</c:f>
              <c:strCache>
                <c:ptCount val="1"/>
                <c:pt idx="0">
                  <c:v> Բյուջետային երաշխիքներ/ՀՆԱ (աջ առանցք, %)</c:v>
                </c:pt>
              </c:strCache>
            </c:strRef>
          </c:tx>
          <c:spPr>
            <a:ln w="38100" cap="rnd">
              <a:solidFill>
                <a:srgbClr val="2E4A68">
                  <a:alpha val="70000"/>
                </a:srgbClr>
              </a:solidFill>
              <a:round/>
            </a:ln>
            <a:effectLst/>
          </c:spPr>
          <c:marker>
            <c:symbol val="none"/>
          </c:marker>
          <c:dLbls>
            <c:dLbl>
              <c:idx val="0"/>
              <c:layout>
                <c:manualLayout>
                  <c:x val="-5.4841473864610121E-2"/>
                  <c:y val="-2.29461161181882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287-49FE-841A-E88F250D7DB0}"/>
                </c:ext>
              </c:extLst>
            </c:dLbl>
            <c:dLbl>
              <c:idx val="1"/>
              <c:layout>
                <c:manualLayout>
                  <c:x val="-3.9309400775965439E-2"/>
                  <c:y val="-3.3644154599492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287-49FE-841A-E88F250D7DB0}"/>
                </c:ext>
              </c:extLst>
            </c:dLbl>
            <c:dLbl>
              <c:idx val="2"/>
              <c:layout>
                <c:manualLayout>
                  <c:x val="9.7859333500884271E-3"/>
                  <c:y val="-9.029347512331841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287-49FE-841A-E88F250D7DB0}"/>
                </c:ext>
              </c:extLst>
            </c:dLbl>
            <c:dLbl>
              <c:idx val="3"/>
              <c:layout>
                <c:manualLayout>
                  <c:x val="1.492727266422806E-2"/>
                  <c:y val="-1.75221479703875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287-49FE-841A-E88F250D7DB0}"/>
                </c:ext>
              </c:extLst>
            </c:dLbl>
            <c:dLbl>
              <c:idx val="4"/>
              <c:layout>
                <c:manualLayout>
                  <c:x val="4.8929666750441537E-3"/>
                  <c:y val="-2.70880425369954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287-49FE-841A-E88F250D7DB0}"/>
                </c:ext>
              </c:extLst>
            </c:dLbl>
            <c:dLbl>
              <c:idx val="5"/>
              <c:layout>
                <c:manualLayout>
                  <c:x val="4.9758003628500797E-3"/>
                  <c:y val="3.278056031248652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287-49FE-841A-E88F250D7DB0}"/>
                </c:ext>
              </c:extLst>
            </c:dLbl>
            <c:dLbl>
              <c:idx val="6"/>
              <c:layout>
                <c:manualLayout>
                  <c:x val="5.1413881748070727E-3"/>
                  <c:y val="-9.834049764937758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287-49FE-841A-E88F250D7DB0}"/>
                </c:ext>
              </c:extLst>
            </c:dLbl>
            <c:dLbl>
              <c:idx val="7"/>
              <c:layout>
                <c:manualLayout>
                  <c:x val="8.5689802913453302E-3"/>
                  <c:y val="-1.2019255309683241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287-49FE-841A-E88F250D7DB0}"/>
                </c:ext>
              </c:extLst>
            </c:dLbl>
            <c:dLbl>
              <c:idx val="8"/>
              <c:layout>
                <c:manualLayout>
                  <c:x val="1.0282776349614395E-2"/>
                  <c:y val="1.31120663532503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287-49FE-841A-E88F250D7DB0}"/>
                </c:ext>
              </c:extLst>
            </c:dLbl>
            <c:dLbl>
              <c:idx val="9"/>
              <c:layout>
                <c:manualLayout>
                  <c:x val="1.8793615307767049E-3"/>
                  <c:y val="-3.79950677485452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287-49FE-841A-E88F250D7DB0}"/>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'[Ամփոփ գրաֆիկներ -2025.xlsx]Վարկեր և երաշխիքներ (ՄԺԾԾ)'!$A$199:$A$208</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'[Ամփոփ գրաֆիկներ -2025.xlsx]Վարկեր և երաշխիքներ (ՄԺԾԾ)'!$F$199:$F$208</c:f>
              <c:numCache>
                <c:formatCode>0.00%</c:formatCode>
                <c:ptCount val="10"/>
                <c:pt idx="0">
                  <c:v>1.4714419815266106E-2</c:v>
                </c:pt>
                <c:pt idx="1">
                  <c:v>1.6705965622844904E-2</c:v>
                </c:pt>
                <c:pt idx="2">
                  <c:v>1.3869002120105438E-2</c:v>
                </c:pt>
                <c:pt idx="3">
                  <c:v>1.0908748916826345E-2</c:v>
                </c:pt>
                <c:pt idx="4">
                  <c:v>1.0324812408233724E-2</c:v>
                </c:pt>
                <c:pt idx="5">
                  <c:v>9.3575942655256643E-3</c:v>
                </c:pt>
                <c:pt idx="6">
                  <c:v>6.632349886765399E-3</c:v>
                </c:pt>
                <c:pt idx="7">
                  <c:v>4.8725090339150658E-3</c:v>
                </c:pt>
                <c:pt idx="8">
                  <c:v>6.9918060170451575E-3</c:v>
                </c:pt>
                <c:pt idx="9">
                  <c:v>7.758875343358191E-3</c:v>
                </c:pt>
              </c:numCache>
            </c:numRef>
          </c:val>
          <c:smooth val="0"/>
          <c:extLst>
            <c:ext xmlns:c16="http://schemas.microsoft.com/office/drawing/2014/chart" uri="{C3380CC4-5D6E-409C-BE32-E72D297353CC}">
              <c16:uniqueId val="{0000000C-6287-49FE-841A-E88F250D7DB0}"/>
            </c:ext>
          </c:extLst>
        </c:ser>
        <c:dLbls>
          <c:showLegendKey val="0"/>
          <c:showVal val="0"/>
          <c:showCatName val="0"/>
          <c:showSerName val="0"/>
          <c:showPercent val="0"/>
          <c:showBubbleSize val="0"/>
        </c:dLbls>
        <c:marker val="1"/>
        <c:smooth val="0"/>
        <c:axId val="847238736"/>
        <c:axId val="847225840"/>
      </c:lineChart>
      <c:catAx>
        <c:axId val="84725163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47252880"/>
        <c:crosses val="autoZero"/>
        <c:auto val="1"/>
        <c:lblAlgn val="ctr"/>
        <c:lblOffset val="100"/>
        <c:noMultiLvlLbl val="0"/>
      </c:catAx>
      <c:valAx>
        <c:axId val="847252880"/>
        <c:scaling>
          <c:orientation val="minMax"/>
        </c:scaling>
        <c:delete val="0"/>
        <c:axPos val="l"/>
        <c:majorGridlines>
          <c:spPr>
            <a:ln>
              <a:solidFill>
                <a:schemeClr val="tx1">
                  <a:lumMod val="15000"/>
                  <a:lumOff val="85000"/>
                </a:schemeClr>
              </a:solidFill>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47251632"/>
        <c:crosses val="autoZero"/>
        <c:crossBetween val="between"/>
      </c:valAx>
      <c:valAx>
        <c:axId val="847225840"/>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47238736"/>
        <c:crosses val="max"/>
        <c:crossBetween val="between"/>
      </c:valAx>
      <c:catAx>
        <c:axId val="847238736"/>
        <c:scaling>
          <c:orientation val="minMax"/>
        </c:scaling>
        <c:delete val="1"/>
        <c:axPos val="b"/>
        <c:numFmt formatCode="General" sourceLinked="1"/>
        <c:majorTickMark val="none"/>
        <c:minorTickMark val="none"/>
        <c:tickLblPos val="nextTo"/>
        <c:crossAx val="84722584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7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'Վարկեր և երաշխիքներ (ՄԺԾԾ)'!$B$311</c:f>
              <c:strCache>
                <c:ptCount val="1"/>
                <c:pt idx="0">
                  <c:v>Կշիռ</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(ՄԺԾԾ)'!$A$312:$A$321</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'Վարկեր և երաշխիքներ (ՄԺԾԾ)'!$B$312:$B$321</c:f>
              <c:numCache>
                <c:formatCode>0.00%</c:formatCode>
                <c:ptCount val="10"/>
                <c:pt idx="0">
                  <c:v>7.7130248971349707E-2</c:v>
                </c:pt>
                <c:pt idx="1">
                  <c:v>8.5712706848938836E-2</c:v>
                </c:pt>
                <c:pt idx="2">
                  <c:v>7.3870272812473034E-2</c:v>
                </c:pt>
                <c:pt idx="3">
                  <c:v>5.7576292752797444E-2</c:v>
                </c:pt>
                <c:pt idx="4">
                  <c:v>5.1052735866165704E-2</c:v>
                </c:pt>
                <c:pt idx="5">
                  <c:v>4.507057971994511E-2</c:v>
                </c:pt>
                <c:pt idx="6">
                  <c:v>3.2311438503089804E-2</c:v>
                </c:pt>
                <c:pt idx="7">
                  <c:v>2.3503140228396349E-2</c:v>
                </c:pt>
                <c:pt idx="8">
                  <c:v>3.1921001207989227E-2</c:v>
                </c:pt>
                <c:pt idx="9">
                  <c:v>3.539839026445267E-2</c:v>
                </c:pt>
              </c:numCache>
            </c:numRef>
          </c:val>
          <c:extLst>
            <c:ext xmlns:c16="http://schemas.microsoft.com/office/drawing/2014/chart" uri="{C3380CC4-5D6E-409C-BE32-E72D297353CC}">
              <c16:uniqueId val="{00000000-6C03-4502-8689-9A717AF96DE9}"/>
            </c:ext>
          </c:extLst>
        </c:ser>
        <c:dLbls>
          <c:showLegendKey val="0"/>
          <c:showVal val="0"/>
          <c:showCatName val="0"/>
          <c:showSerName val="0"/>
          <c:showPercent val="0"/>
          <c:showBubbleSize val="0"/>
        </c:dLbls>
        <c:gapWidth val="219"/>
        <c:overlap val="-27"/>
        <c:axId val="527924383"/>
        <c:axId val="527921055"/>
      </c:barChart>
      <c:lineChart>
        <c:grouping val="standard"/>
        <c:varyColors val="0"/>
        <c:ser>
          <c:idx val="1"/>
          <c:order val="1"/>
          <c:tx>
            <c:strRef>
              <c:f>'Վարկեր և երաշխիքներ (ՄԺԾԾ)'!$C$311</c:f>
              <c:strCache>
                <c:ptCount val="1"/>
                <c:pt idx="0">
                  <c:v>Սահմանային շեմ</c:v>
                </c:pt>
              </c:strCache>
            </c:strRef>
          </c:tx>
          <c:spPr>
            <a:ln w="28575" cap="rnd">
              <a:solidFill>
                <a:srgbClr val="C00000"/>
              </a:solidFill>
              <a:prstDash val="sysDash"/>
              <a:round/>
            </a:ln>
            <a:effectLst/>
          </c:spPr>
          <c:marker>
            <c:symbol val="none"/>
          </c:marker>
          <c:cat>
            <c:numRef>
              <c:f>'Վարկեր և երաշխիքներ (ՄԺԾԾ)'!$A$312:$A$321</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'Վարկեր և երաշխիքներ (ՄԺԾԾ)'!$C$312:$C$321</c:f>
              <c:numCache>
                <c:formatCode>0.00%</c:formatCode>
                <c:ptCount val="10"/>
                <c:pt idx="0">
                  <c:v>0.1</c:v>
                </c:pt>
                <c:pt idx="1">
                  <c:v>0.1</c:v>
                </c:pt>
                <c:pt idx="2">
                  <c:v>0.1</c:v>
                </c:pt>
                <c:pt idx="3">
                  <c:v>0.1</c:v>
                </c:pt>
                <c:pt idx="4">
                  <c:v>0.1</c:v>
                </c:pt>
                <c:pt idx="5">
                  <c:v>0.1</c:v>
                </c:pt>
                <c:pt idx="6">
                  <c:v>0.1</c:v>
                </c:pt>
                <c:pt idx="7">
                  <c:v>0.1</c:v>
                </c:pt>
                <c:pt idx="8">
                  <c:v>0.1</c:v>
                </c:pt>
                <c:pt idx="9">
                  <c:v>0.1</c:v>
                </c:pt>
              </c:numCache>
            </c:numRef>
          </c:val>
          <c:smooth val="0"/>
          <c:extLst>
            <c:ext xmlns:c16="http://schemas.microsoft.com/office/drawing/2014/chart" uri="{C3380CC4-5D6E-409C-BE32-E72D297353CC}">
              <c16:uniqueId val="{00000001-6C03-4502-8689-9A717AF96DE9}"/>
            </c:ext>
          </c:extLst>
        </c:ser>
        <c:dLbls>
          <c:showLegendKey val="0"/>
          <c:showVal val="0"/>
          <c:showCatName val="0"/>
          <c:showSerName val="0"/>
          <c:showPercent val="0"/>
          <c:showBubbleSize val="0"/>
        </c:dLbls>
        <c:marker val="1"/>
        <c:smooth val="0"/>
        <c:axId val="527924383"/>
        <c:axId val="527921055"/>
      </c:lineChart>
      <c:catAx>
        <c:axId val="527924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921055"/>
        <c:crosses val="autoZero"/>
        <c:auto val="1"/>
        <c:lblAlgn val="ctr"/>
        <c:lblOffset val="100"/>
        <c:noMultiLvlLbl val="0"/>
      </c:catAx>
      <c:valAx>
        <c:axId val="52792105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924383"/>
        <c:crosses val="autoZero"/>
        <c:crossBetween val="between"/>
        <c:majorUnit val="2.0000000000000004E-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1"/>
          <c:order val="0"/>
          <c:tx>
            <c:strRef>
              <c:f>'Transport volumes'!$C$3</c:f>
              <c:strCache>
                <c:ptCount val="1"/>
                <c:pt idx="0">
                  <c:v>Ուղևորափոխադրում, հազ․ մարդ</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'Transport volumes'!$D$1:$H$1</c:f>
              <c:numCache>
                <c:formatCode>General</c:formatCode>
                <c:ptCount val="5"/>
                <c:pt idx="0">
                  <c:v>2021</c:v>
                </c:pt>
                <c:pt idx="1">
                  <c:v>2022</c:v>
                </c:pt>
                <c:pt idx="2">
                  <c:v>2023</c:v>
                </c:pt>
                <c:pt idx="3">
                  <c:v>2024</c:v>
                </c:pt>
                <c:pt idx="4">
                  <c:v>2025</c:v>
                </c:pt>
              </c:numCache>
            </c:numRef>
          </c:cat>
          <c:val>
            <c:numRef>
              <c:f>'Transport volumes'!$D$3:$H$3</c:f>
              <c:numCache>
                <c:formatCode>General</c:formatCode>
                <c:ptCount val="5"/>
                <c:pt idx="0">
                  <c:v>434.6</c:v>
                </c:pt>
                <c:pt idx="1">
                  <c:v>500.7</c:v>
                </c:pt>
                <c:pt idx="2">
                  <c:v>538.29999999999995</c:v>
                </c:pt>
                <c:pt idx="3">
                  <c:v>563.6</c:v>
                </c:pt>
                <c:pt idx="4">
                  <c:v>511.4</c:v>
                </c:pt>
              </c:numCache>
            </c:numRef>
          </c:val>
          <c:smooth val="0"/>
          <c:extLst>
            <c:ext xmlns:c16="http://schemas.microsoft.com/office/drawing/2014/chart" uri="{C3380CC4-5D6E-409C-BE32-E72D297353CC}">
              <c16:uniqueId val="{00000000-7041-489C-A77C-77F3ACCBD06B}"/>
            </c:ext>
          </c:extLst>
        </c:ser>
        <c:dLbls>
          <c:showLegendKey val="0"/>
          <c:showVal val="0"/>
          <c:showCatName val="0"/>
          <c:showSerName val="0"/>
          <c:showPercent val="0"/>
          <c:showBubbleSize val="0"/>
        </c:dLbls>
        <c:marker val="1"/>
        <c:smooth val="0"/>
        <c:axId val="126996912"/>
        <c:axId val="126998832"/>
      </c:lineChart>
      <c:lineChart>
        <c:grouping val="standard"/>
        <c:varyColors val="0"/>
        <c:ser>
          <c:idx val="0"/>
          <c:order val="1"/>
          <c:tx>
            <c:strRef>
              <c:f>'Transport volumes'!$C$2</c:f>
              <c:strCache>
                <c:ptCount val="1"/>
                <c:pt idx="0">
                  <c:v>Բեռնախադրում, հազ․ տոննա (աջ առանցք)</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'Transport volumes'!$D$1:$H$1</c:f>
              <c:numCache>
                <c:formatCode>General</c:formatCode>
                <c:ptCount val="5"/>
                <c:pt idx="0">
                  <c:v>2021</c:v>
                </c:pt>
                <c:pt idx="1">
                  <c:v>2022</c:v>
                </c:pt>
                <c:pt idx="2">
                  <c:v>2023</c:v>
                </c:pt>
                <c:pt idx="3">
                  <c:v>2024</c:v>
                </c:pt>
                <c:pt idx="4">
                  <c:v>2025</c:v>
                </c:pt>
              </c:numCache>
            </c:numRef>
          </c:cat>
          <c:val>
            <c:numRef>
              <c:f>'Transport volumes'!$D$2:$H$2</c:f>
              <c:numCache>
                <c:formatCode>General</c:formatCode>
                <c:ptCount val="5"/>
                <c:pt idx="0">
                  <c:v>3124.7</c:v>
                </c:pt>
                <c:pt idx="1">
                  <c:v>3509.1</c:v>
                </c:pt>
                <c:pt idx="2">
                  <c:v>2103.3000000000002</c:v>
                </c:pt>
                <c:pt idx="3">
                  <c:v>1442.5</c:v>
                </c:pt>
                <c:pt idx="4">
                  <c:v>1852.5</c:v>
                </c:pt>
              </c:numCache>
            </c:numRef>
          </c:val>
          <c:smooth val="0"/>
          <c:extLst>
            <c:ext xmlns:c16="http://schemas.microsoft.com/office/drawing/2014/chart" uri="{C3380CC4-5D6E-409C-BE32-E72D297353CC}">
              <c16:uniqueId val="{00000001-7041-489C-A77C-77F3ACCBD06B}"/>
            </c:ext>
          </c:extLst>
        </c:ser>
        <c:dLbls>
          <c:showLegendKey val="0"/>
          <c:showVal val="0"/>
          <c:showCatName val="0"/>
          <c:showSerName val="0"/>
          <c:showPercent val="0"/>
          <c:showBubbleSize val="0"/>
        </c:dLbls>
        <c:marker val="1"/>
        <c:smooth val="0"/>
        <c:axId val="125380576"/>
        <c:axId val="125373856"/>
      </c:lineChart>
      <c:catAx>
        <c:axId val="126996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998832"/>
        <c:crosses val="autoZero"/>
        <c:auto val="1"/>
        <c:lblAlgn val="ctr"/>
        <c:lblOffset val="100"/>
        <c:noMultiLvlLbl val="0"/>
      </c:catAx>
      <c:valAx>
        <c:axId val="126998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996912"/>
        <c:crosses val="autoZero"/>
        <c:crossBetween val="between"/>
      </c:valAx>
      <c:valAx>
        <c:axId val="125373856"/>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380576"/>
        <c:crosses val="max"/>
        <c:crossBetween val="between"/>
      </c:valAx>
      <c:catAx>
        <c:axId val="125380576"/>
        <c:scaling>
          <c:orientation val="minMax"/>
        </c:scaling>
        <c:delete val="1"/>
        <c:axPos val="b"/>
        <c:numFmt formatCode="General" sourceLinked="1"/>
        <c:majorTickMark val="out"/>
        <c:minorTickMark val="none"/>
        <c:tickLblPos val="nextTo"/>
        <c:crossAx val="1253738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cat>
            <c:numRef>
              <c:f>Sheet1!$E$31:$J$31</c:f>
              <c:numCache>
                <c:formatCode>General</c:formatCode>
                <c:ptCount val="6"/>
                <c:pt idx="0">
                  <c:v>2020</c:v>
                </c:pt>
                <c:pt idx="1">
                  <c:v>2021</c:v>
                </c:pt>
                <c:pt idx="2">
                  <c:v>2022</c:v>
                </c:pt>
                <c:pt idx="3">
                  <c:v>2023</c:v>
                </c:pt>
                <c:pt idx="4">
                  <c:v>2024</c:v>
                </c:pt>
                <c:pt idx="5">
                  <c:v>2025</c:v>
                </c:pt>
              </c:numCache>
            </c:numRef>
          </c:cat>
          <c:val>
            <c:numRef>
              <c:f>Sheet1!$E$32:$J$32</c:f>
              <c:numCache>
                <c:formatCode>0.0</c:formatCode>
                <c:ptCount val="6"/>
                <c:pt idx="0">
                  <c:v>15200</c:v>
                </c:pt>
                <c:pt idx="1">
                  <c:v>14800</c:v>
                </c:pt>
                <c:pt idx="2">
                  <c:v>14200</c:v>
                </c:pt>
                <c:pt idx="3">
                  <c:v>13900</c:v>
                </c:pt>
                <c:pt idx="4">
                  <c:v>13572</c:v>
                </c:pt>
                <c:pt idx="5">
                  <c:v>18586</c:v>
                </c:pt>
              </c:numCache>
            </c:numRef>
          </c:val>
          <c:extLst>
            <c:ext xmlns:c16="http://schemas.microsoft.com/office/drawing/2014/chart" uri="{C3380CC4-5D6E-409C-BE32-E72D297353CC}">
              <c16:uniqueId val="{00000000-6721-4854-BECD-6838A1D21019}"/>
            </c:ext>
          </c:extLst>
        </c:ser>
        <c:dLbls>
          <c:showLegendKey val="0"/>
          <c:showVal val="0"/>
          <c:showCatName val="0"/>
          <c:showSerName val="0"/>
          <c:showPercent val="0"/>
          <c:showBubbleSize val="0"/>
        </c:dLbls>
        <c:gapWidth val="219"/>
        <c:overlap val="-27"/>
        <c:axId val="460866320"/>
        <c:axId val="460862992"/>
      </c:barChart>
      <c:catAx>
        <c:axId val="460866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862992"/>
        <c:crosses val="autoZero"/>
        <c:auto val="1"/>
        <c:lblAlgn val="ctr"/>
        <c:lblOffset val="100"/>
        <c:noMultiLvlLbl val="0"/>
      </c:catAx>
      <c:valAx>
        <c:axId val="46086299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866320"/>
        <c:crosses val="autoZero"/>
        <c:crossBetween val="between"/>
        <c:majorUnit val="5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Sheet1!$D$11</c:f>
              <c:strCache>
                <c:ptCount val="1"/>
                <c:pt idx="0">
                  <c:v>Տեխնածին արտակարգ դեպքեր</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Sheet1!$E$10:$J$10</c:f>
              <c:numCache>
                <c:formatCode>General</c:formatCode>
                <c:ptCount val="6"/>
                <c:pt idx="0">
                  <c:v>2020</c:v>
                </c:pt>
                <c:pt idx="1">
                  <c:v>2021</c:v>
                </c:pt>
                <c:pt idx="2">
                  <c:v>2022</c:v>
                </c:pt>
                <c:pt idx="3">
                  <c:v>2023</c:v>
                </c:pt>
                <c:pt idx="4">
                  <c:v>2024</c:v>
                </c:pt>
                <c:pt idx="5">
                  <c:v>2025</c:v>
                </c:pt>
              </c:numCache>
            </c:numRef>
          </c:cat>
          <c:val>
            <c:numRef>
              <c:f>Sheet1!$E$11:$J$11</c:f>
              <c:numCache>
                <c:formatCode>0.0%</c:formatCode>
                <c:ptCount val="6"/>
                <c:pt idx="0">
                  <c:v>0.70299999999999996</c:v>
                </c:pt>
                <c:pt idx="1">
                  <c:v>0.76700000000000002</c:v>
                </c:pt>
                <c:pt idx="2">
                  <c:v>0.74399999999999999</c:v>
                </c:pt>
                <c:pt idx="3">
                  <c:v>0.73899999999999999</c:v>
                </c:pt>
                <c:pt idx="4">
                  <c:v>0.73699999999999999</c:v>
                </c:pt>
                <c:pt idx="5">
                  <c:v>0.8</c:v>
                </c:pt>
              </c:numCache>
            </c:numRef>
          </c:val>
          <c:extLst>
            <c:ext xmlns:c16="http://schemas.microsoft.com/office/drawing/2014/chart" uri="{C3380CC4-5D6E-409C-BE32-E72D297353CC}">
              <c16:uniqueId val="{00000000-1B69-46DD-B409-9D45187A371C}"/>
            </c:ext>
          </c:extLst>
        </c:ser>
        <c:ser>
          <c:idx val="1"/>
          <c:order val="1"/>
          <c:tx>
            <c:strRef>
              <c:f>Sheet1!$D$12</c:f>
              <c:strCache>
                <c:ptCount val="1"/>
                <c:pt idx="0">
                  <c:v>Սոցիալ-կենսաբանական արտակարգ դեպքեր</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Sheet1!$E$10:$J$10</c:f>
              <c:numCache>
                <c:formatCode>General</c:formatCode>
                <c:ptCount val="6"/>
                <c:pt idx="0">
                  <c:v>2020</c:v>
                </c:pt>
                <c:pt idx="1">
                  <c:v>2021</c:v>
                </c:pt>
                <c:pt idx="2">
                  <c:v>2022</c:v>
                </c:pt>
                <c:pt idx="3">
                  <c:v>2023</c:v>
                </c:pt>
                <c:pt idx="4">
                  <c:v>2024</c:v>
                </c:pt>
                <c:pt idx="5">
                  <c:v>2025</c:v>
                </c:pt>
              </c:numCache>
            </c:numRef>
          </c:cat>
          <c:val>
            <c:numRef>
              <c:f>Sheet1!$E$12:$J$12</c:f>
              <c:numCache>
                <c:formatCode>0.0%</c:formatCode>
                <c:ptCount val="6"/>
                <c:pt idx="0">
                  <c:v>0.26400000000000001</c:v>
                </c:pt>
                <c:pt idx="1">
                  <c:v>0.191</c:v>
                </c:pt>
                <c:pt idx="2">
                  <c:v>0.20699999999999999</c:v>
                </c:pt>
                <c:pt idx="3">
                  <c:v>0.219</c:v>
                </c:pt>
                <c:pt idx="4">
                  <c:v>0.214</c:v>
                </c:pt>
                <c:pt idx="5">
                  <c:v>0.16400000000000001</c:v>
                </c:pt>
              </c:numCache>
            </c:numRef>
          </c:val>
          <c:extLst>
            <c:ext xmlns:c16="http://schemas.microsoft.com/office/drawing/2014/chart" uri="{C3380CC4-5D6E-409C-BE32-E72D297353CC}">
              <c16:uniqueId val="{00000001-1B69-46DD-B409-9D45187A371C}"/>
            </c:ext>
          </c:extLst>
        </c:ser>
        <c:ser>
          <c:idx val="2"/>
          <c:order val="2"/>
          <c:tx>
            <c:strRef>
              <c:f>Sheet1!$D$13</c:f>
              <c:strCache>
                <c:ptCount val="1"/>
                <c:pt idx="0">
                  <c:v>Տարերային վտանգավոր երևույթներ</c:v>
                </c:pt>
              </c:strCache>
            </c:strRef>
          </c:tx>
          <c:spPr>
            <a:solidFill>
              <a:schemeClr val="accent3"/>
            </a:solidFill>
            <a:ln>
              <a:noFill/>
            </a:ln>
            <a:effectLst/>
          </c:spPr>
          <c:invertIfNegative val="0"/>
          <c:dLbls>
            <c:dLbl>
              <c:idx val="0"/>
              <c:layout>
                <c:manualLayout>
                  <c:x val="0"/>
                  <c:y val="-1.918465227817745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5F6-4EFE-8907-24F2788301C3}"/>
                </c:ext>
              </c:extLst>
            </c:dLbl>
            <c:dLbl>
              <c:idx val="1"/>
              <c:layout>
                <c:manualLayout>
                  <c:x val="-3.637524116577141E-17"/>
                  <c:y val="-2.398081534772182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5F6-4EFE-8907-24F2788301C3}"/>
                </c:ext>
              </c:extLst>
            </c:dLbl>
            <c:dLbl>
              <c:idx val="2"/>
              <c:layout>
                <c:manualLayout>
                  <c:x val="7.9365079365079361E-3"/>
                  <c:y val="-2.398081534772182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5F6-4EFE-8907-24F2788301C3}"/>
                </c:ext>
              </c:extLst>
            </c:dLbl>
            <c:dLbl>
              <c:idx val="3"/>
              <c:layout>
                <c:manualLayout>
                  <c:x val="3.9682539682540409E-3"/>
                  <c:y val="-2.398081534772182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5F6-4EFE-8907-24F2788301C3}"/>
                </c:ext>
              </c:extLst>
            </c:dLbl>
            <c:dLbl>
              <c:idx val="4"/>
              <c:layout>
                <c:manualLayout>
                  <c:x val="0"/>
                  <c:y val="-2.877697841726618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5F6-4EFE-8907-24F2788301C3}"/>
                </c:ext>
              </c:extLst>
            </c:dLbl>
            <c:dLbl>
              <c:idx val="5"/>
              <c:layout>
                <c:manualLayout>
                  <c:x val="-7.9365079365079361E-3"/>
                  <c:y val="-2.398081534772182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5F6-4EFE-8907-24F2788301C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Sheet1!$E$10:$J$10</c:f>
              <c:numCache>
                <c:formatCode>General</c:formatCode>
                <c:ptCount val="6"/>
                <c:pt idx="0">
                  <c:v>2020</c:v>
                </c:pt>
                <c:pt idx="1">
                  <c:v>2021</c:v>
                </c:pt>
                <c:pt idx="2">
                  <c:v>2022</c:v>
                </c:pt>
                <c:pt idx="3">
                  <c:v>2023</c:v>
                </c:pt>
                <c:pt idx="4">
                  <c:v>2024</c:v>
                </c:pt>
                <c:pt idx="5">
                  <c:v>2025</c:v>
                </c:pt>
              </c:numCache>
            </c:numRef>
          </c:cat>
          <c:val>
            <c:numRef>
              <c:f>Sheet1!$E$13:$J$13</c:f>
              <c:numCache>
                <c:formatCode>0.0%</c:formatCode>
                <c:ptCount val="6"/>
                <c:pt idx="0">
                  <c:v>3.3000000000000002E-2</c:v>
                </c:pt>
                <c:pt idx="1">
                  <c:v>4.2000000000000003E-2</c:v>
                </c:pt>
                <c:pt idx="2">
                  <c:v>4.9000000000000002E-2</c:v>
                </c:pt>
                <c:pt idx="3">
                  <c:v>4.2000000000000003E-2</c:v>
                </c:pt>
                <c:pt idx="4">
                  <c:v>4.9000000000000002E-2</c:v>
                </c:pt>
                <c:pt idx="5">
                  <c:v>3.5999999999999997E-2</c:v>
                </c:pt>
              </c:numCache>
            </c:numRef>
          </c:val>
          <c:extLst>
            <c:ext xmlns:c16="http://schemas.microsoft.com/office/drawing/2014/chart" uri="{C3380CC4-5D6E-409C-BE32-E72D297353CC}">
              <c16:uniqueId val="{00000002-1B69-46DD-B409-9D45187A371C}"/>
            </c:ext>
          </c:extLst>
        </c:ser>
        <c:dLbls>
          <c:dLblPos val="ctr"/>
          <c:showLegendKey val="0"/>
          <c:showVal val="1"/>
          <c:showCatName val="0"/>
          <c:showSerName val="0"/>
          <c:showPercent val="0"/>
          <c:showBubbleSize val="0"/>
        </c:dLbls>
        <c:gapWidth val="150"/>
        <c:overlap val="100"/>
        <c:axId val="1022777776"/>
        <c:axId val="1022773200"/>
      </c:barChart>
      <c:catAx>
        <c:axId val="102277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2773200"/>
        <c:crosses val="autoZero"/>
        <c:auto val="1"/>
        <c:lblAlgn val="ctr"/>
        <c:lblOffset val="100"/>
        <c:noMultiLvlLbl val="0"/>
      </c:catAx>
      <c:valAx>
        <c:axId val="1022773200"/>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2777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1"/>
          <c:tx>
            <c:strRef>
              <c:f>Sheet1!$F$11</c:f>
              <c:strCache>
                <c:ptCount val="1"/>
                <c:pt idx="0">
                  <c:v>Վճարված գումար</c:v>
                </c:pt>
              </c:strCache>
            </c:strRef>
          </c:tx>
          <c:spPr>
            <a:solidFill>
              <a:schemeClr val="accent1">
                <a:lumMod val="75000"/>
              </a:schemeClr>
            </a:solidFill>
            <a:ln>
              <a:solidFill>
                <a:schemeClr val="accen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Sheet1!$D$12:$D$16</c:f>
              <c:numCache>
                <c:formatCode>General</c:formatCode>
                <c:ptCount val="5"/>
                <c:pt idx="0">
                  <c:v>2021</c:v>
                </c:pt>
                <c:pt idx="1">
                  <c:v>2022</c:v>
                </c:pt>
                <c:pt idx="2">
                  <c:v>2023</c:v>
                </c:pt>
                <c:pt idx="3">
                  <c:v>2024</c:v>
                </c:pt>
                <c:pt idx="4">
                  <c:v>2025</c:v>
                </c:pt>
              </c:numCache>
            </c:numRef>
          </c:cat>
          <c:val>
            <c:numRef>
              <c:f>Sheet1!$F$12:$F$16</c:f>
              <c:numCache>
                <c:formatCode>General</c:formatCode>
                <c:ptCount val="5"/>
                <c:pt idx="0">
                  <c:v>287.2</c:v>
                </c:pt>
                <c:pt idx="1">
                  <c:v>211.8</c:v>
                </c:pt>
                <c:pt idx="2">
                  <c:v>478.5</c:v>
                </c:pt>
                <c:pt idx="3">
                  <c:v>205.3</c:v>
                </c:pt>
                <c:pt idx="4">
                  <c:v>697.4</c:v>
                </c:pt>
              </c:numCache>
            </c:numRef>
          </c:val>
          <c:extLst>
            <c:ext xmlns:c16="http://schemas.microsoft.com/office/drawing/2014/chart" uri="{C3380CC4-5D6E-409C-BE32-E72D297353CC}">
              <c16:uniqueId val="{00000000-803D-480D-AB0B-07E897430F64}"/>
            </c:ext>
          </c:extLst>
        </c:ser>
        <c:dLbls>
          <c:showLegendKey val="0"/>
          <c:showVal val="0"/>
          <c:showCatName val="0"/>
          <c:showSerName val="0"/>
          <c:showPercent val="0"/>
          <c:showBubbleSize val="0"/>
        </c:dLbls>
        <c:gapWidth val="219"/>
        <c:overlap val="-27"/>
        <c:axId val="484176335"/>
        <c:axId val="484166351"/>
      </c:barChart>
      <c:lineChart>
        <c:grouping val="stacked"/>
        <c:varyColors val="0"/>
        <c:ser>
          <c:idx val="0"/>
          <c:order val="0"/>
          <c:tx>
            <c:strRef>
              <c:f>Sheet1!$E$11</c:f>
              <c:strCache>
                <c:ptCount val="1"/>
                <c:pt idx="0">
                  <c:v>Վճիռների քանակ</c:v>
                </c:pt>
              </c:strCache>
            </c:strRef>
          </c:tx>
          <c:spPr>
            <a:ln w="28575" cap="rnd">
              <a:solidFill>
                <a:schemeClr val="accent1"/>
              </a:solidFill>
              <a:round/>
            </a:ln>
            <a:effectLst/>
          </c:spPr>
          <c:marker>
            <c:symbol val="circle"/>
            <c:size val="5"/>
            <c:spPr>
              <a:solidFill>
                <a:schemeClr val="tx1"/>
              </a:solidFill>
              <a:ln w="9525">
                <a:solidFill>
                  <a:schemeClr val="accent1"/>
                </a:solidFill>
              </a:ln>
              <a:effectLst/>
            </c:spPr>
          </c:marker>
          <c:dLbls>
            <c:dLbl>
              <c:idx val="0"/>
              <c:layout>
                <c:manualLayout>
                  <c:x val="-1.6666666666666666E-2"/>
                  <c:y val="-3.24074074074074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03D-480D-AB0B-07E897430F64}"/>
                </c:ext>
              </c:extLst>
            </c:dLbl>
            <c:dLbl>
              <c:idx val="1"/>
              <c:layout>
                <c:manualLayout>
                  <c:x val="-3.0555555555555555E-2"/>
                  <c:y val="4.1666666666666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03D-480D-AB0B-07E897430F64}"/>
                </c:ext>
              </c:extLst>
            </c:dLbl>
            <c:dLbl>
              <c:idx val="2"/>
              <c:layout>
                <c:manualLayout>
                  <c:x val="-2.2222222222222223E-2"/>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03D-480D-AB0B-07E897430F6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Sheet1!$D$12:$D$16</c:f>
              <c:numCache>
                <c:formatCode>General</c:formatCode>
                <c:ptCount val="5"/>
                <c:pt idx="0">
                  <c:v>2021</c:v>
                </c:pt>
                <c:pt idx="1">
                  <c:v>2022</c:v>
                </c:pt>
                <c:pt idx="2">
                  <c:v>2023</c:v>
                </c:pt>
                <c:pt idx="3">
                  <c:v>2024</c:v>
                </c:pt>
                <c:pt idx="4">
                  <c:v>2025</c:v>
                </c:pt>
              </c:numCache>
            </c:numRef>
          </c:cat>
          <c:val>
            <c:numRef>
              <c:f>Sheet1!$E$12:$E$16</c:f>
              <c:numCache>
                <c:formatCode>General</c:formatCode>
                <c:ptCount val="5"/>
                <c:pt idx="0">
                  <c:v>23</c:v>
                </c:pt>
                <c:pt idx="1">
                  <c:v>22</c:v>
                </c:pt>
                <c:pt idx="2">
                  <c:v>25</c:v>
                </c:pt>
                <c:pt idx="3">
                  <c:v>15</c:v>
                </c:pt>
                <c:pt idx="4">
                  <c:v>24</c:v>
                </c:pt>
              </c:numCache>
            </c:numRef>
          </c:val>
          <c:smooth val="0"/>
          <c:extLst>
            <c:ext xmlns:c16="http://schemas.microsoft.com/office/drawing/2014/chart" uri="{C3380CC4-5D6E-409C-BE32-E72D297353CC}">
              <c16:uniqueId val="{00000004-803D-480D-AB0B-07E897430F64}"/>
            </c:ext>
          </c:extLst>
        </c:ser>
        <c:dLbls>
          <c:showLegendKey val="0"/>
          <c:showVal val="0"/>
          <c:showCatName val="0"/>
          <c:showSerName val="0"/>
          <c:showPercent val="0"/>
          <c:showBubbleSize val="0"/>
        </c:dLbls>
        <c:marker val="1"/>
        <c:smooth val="0"/>
        <c:axId val="699903983"/>
        <c:axId val="699908559"/>
      </c:lineChart>
      <c:catAx>
        <c:axId val="4841763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166351"/>
        <c:crosses val="autoZero"/>
        <c:auto val="1"/>
        <c:lblAlgn val="ctr"/>
        <c:lblOffset val="100"/>
        <c:noMultiLvlLbl val="0"/>
      </c:catAx>
      <c:valAx>
        <c:axId val="4841663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176335"/>
        <c:crosses val="autoZero"/>
        <c:crossBetween val="between"/>
      </c:valAx>
      <c:valAx>
        <c:axId val="699908559"/>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903983"/>
        <c:crosses val="max"/>
        <c:crossBetween val="between"/>
      </c:valAx>
      <c:catAx>
        <c:axId val="699903983"/>
        <c:scaling>
          <c:orientation val="minMax"/>
        </c:scaling>
        <c:delete val="1"/>
        <c:axPos val="b"/>
        <c:numFmt formatCode="General" sourceLinked="1"/>
        <c:majorTickMark val="out"/>
        <c:minorTickMark val="none"/>
        <c:tickLblPos val="nextTo"/>
        <c:crossAx val="69990855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tx2">
                <a:lumMod val="50000"/>
                <a:lumOff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Sheet1!$A$5:$A$9</c:f>
              <c:numCache>
                <c:formatCode>General</c:formatCode>
                <c:ptCount val="5"/>
                <c:pt idx="0">
                  <c:v>2021</c:v>
                </c:pt>
                <c:pt idx="1">
                  <c:v>2022</c:v>
                </c:pt>
                <c:pt idx="2">
                  <c:v>2023</c:v>
                </c:pt>
                <c:pt idx="3">
                  <c:v>2024</c:v>
                </c:pt>
                <c:pt idx="4">
                  <c:v>2025</c:v>
                </c:pt>
              </c:numCache>
            </c:numRef>
          </c:cat>
          <c:val>
            <c:numRef>
              <c:f>Sheet1!$B$5:$B$9</c:f>
              <c:numCache>
                <c:formatCode>General</c:formatCode>
                <c:ptCount val="5"/>
                <c:pt idx="0" formatCode="0.000">
                  <c:v>0.16</c:v>
                </c:pt>
                <c:pt idx="1">
                  <c:v>0.16200000000000001</c:v>
                </c:pt>
                <c:pt idx="2">
                  <c:v>0.13300000000000001</c:v>
                </c:pt>
                <c:pt idx="3">
                  <c:v>0.115</c:v>
                </c:pt>
                <c:pt idx="4">
                  <c:v>9.4200000000000006E-2</c:v>
                </c:pt>
              </c:numCache>
            </c:numRef>
          </c:val>
          <c:extLst>
            <c:ext xmlns:c16="http://schemas.microsoft.com/office/drawing/2014/chart" uri="{C3380CC4-5D6E-409C-BE32-E72D297353CC}">
              <c16:uniqueId val="{00000000-B591-4986-A1EE-AEFFFE3835B2}"/>
            </c:ext>
          </c:extLst>
        </c:ser>
        <c:dLbls>
          <c:showLegendKey val="0"/>
          <c:showVal val="0"/>
          <c:showCatName val="0"/>
          <c:showSerName val="0"/>
          <c:showPercent val="0"/>
          <c:showBubbleSize val="0"/>
        </c:dLbls>
        <c:gapWidth val="182"/>
        <c:axId val="1486921119"/>
        <c:axId val="1487811343"/>
      </c:barChart>
      <c:catAx>
        <c:axId val="148692111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487811343"/>
        <c:crosses val="autoZero"/>
        <c:auto val="1"/>
        <c:lblAlgn val="ctr"/>
        <c:lblOffset val="100"/>
        <c:noMultiLvlLbl val="0"/>
      </c:catAx>
      <c:valAx>
        <c:axId val="1487811343"/>
        <c:scaling>
          <c:orientation val="minMax"/>
        </c:scaling>
        <c:delete val="0"/>
        <c:axPos val="b"/>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4869211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withinLinearReversed" id="21">
  <a:schemeClr val="accent1"/>
</cs:colorStyle>
</file>

<file path=word/charts/colors17.xml><?xml version="1.0" encoding="utf-8"?>
<cs:colorStyle xmlns:cs="http://schemas.microsoft.com/office/drawing/2012/chartStyle" xmlns:a="http://schemas.openxmlformats.org/drawingml/2006/main" meth="withinLinear" id="14">
  <a:schemeClr val="accent1"/>
</cs:colorStyle>
</file>

<file path=word/charts/colors18.xml><?xml version="1.0" encoding="utf-8"?>
<cs:colorStyle xmlns:cs="http://schemas.microsoft.com/office/drawing/2012/chartStyle" xmlns:a="http://schemas.openxmlformats.org/drawingml/2006/main" meth="withinLinearReversed" id="21">
  <a:schemeClr val="accent1"/>
</cs:colorStyle>
</file>

<file path=word/charts/colors19.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withinLinear" id="14">
  <a:schemeClr val="accent1"/>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withinLinear" id="18">
  <a:schemeClr val="accent5"/>
</cs:colorStyle>
</file>

<file path=word/charts/colors26.xml><?xml version="1.0" encoding="utf-8"?>
<cs:colorStyle xmlns:cs="http://schemas.microsoft.com/office/drawing/2012/chartStyle" xmlns:a="http://schemas.openxmlformats.org/drawingml/2006/main" meth="withinLinear" id="14">
  <a:schemeClr val="accent1"/>
</cs:colorStyle>
</file>

<file path=word/charts/colors27.xml><?xml version="1.0" encoding="utf-8"?>
<cs:colorStyle xmlns:cs="http://schemas.microsoft.com/office/drawing/2012/chartStyle" xmlns:a="http://schemas.openxmlformats.org/drawingml/2006/main" meth="withinLinear" id="18">
  <a:schemeClr val="accent5"/>
</cs:colorStyle>
</file>

<file path=word/charts/colors28.xml><?xml version="1.0" encoding="utf-8"?>
<cs:colorStyle xmlns:cs="http://schemas.microsoft.com/office/drawing/2012/chartStyle" xmlns:a="http://schemas.openxmlformats.org/drawingml/2006/main" meth="withinLinear" id="14">
  <a:schemeClr val="accent1"/>
</cs:colorStyle>
</file>

<file path=word/charts/colors29.xml><?xml version="1.0" encoding="utf-8"?>
<cs:colorStyle xmlns:cs="http://schemas.microsoft.com/office/drawing/2012/chartStyle" xmlns:a="http://schemas.openxmlformats.org/drawingml/2006/main" meth="withinLinear" id="18">
  <a:schemeClr val="accent5"/>
</cs:colorStyle>
</file>

<file path=word/charts/colors30.xml><?xml version="1.0" encoding="utf-8"?>
<cs:colorStyle xmlns:cs="http://schemas.microsoft.com/office/drawing/2012/chartStyle" xmlns:a="http://schemas.openxmlformats.org/drawingml/2006/main" meth="withinLinear" id="18">
  <a:schemeClr val="accent5"/>
</cs:colorStyle>
</file>

<file path=word/charts/colors31.xml><?xml version="1.0" encoding="utf-8"?>
<cs:colorStyle xmlns:cs="http://schemas.microsoft.com/office/drawing/2012/chartStyle" xmlns:a="http://schemas.openxmlformats.org/drawingml/2006/main" meth="withinLinear" id="14">
  <a:schemeClr val="accent1"/>
</cs:colorStyle>
</file>

<file path=word/charts/colors3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withinLinear" id="18">
  <a:schemeClr val="accent5"/>
</cs:colorStyle>
</file>

<file path=word/charts/colors3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14.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15.xml><?xml version="1.0" encoding="utf-8"?>
<cs:chartStyle xmlns:cs="http://schemas.microsoft.com/office/drawing/2012/chartStyle" xmlns:a="http://schemas.openxmlformats.org/drawingml/2006/main" id="107">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mods="ignoreCSTransforms">
      <cs:styleClr val="0">
        <a:shade val="25000"/>
      </cs:styl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mods="ignoreCSTransforms">
      <cs:styleClr val="0">
        <a:tint val="25000"/>
      </cs:styl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16.xml><?xml version="1.0" encoding="utf-8"?>
<cs:chartStyle xmlns:cs="http://schemas.microsoft.com/office/drawing/2012/chartStyle" xmlns:a="http://schemas.openxmlformats.org/drawingml/2006/main" id="107">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mods="ignoreCSTransforms">
      <cs:styleClr val="0">
        <a:shade val="25000"/>
      </cs:styl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mods="ignoreCSTransforms">
      <cs:styleClr val="0">
        <a:tint val="25000"/>
      </cs:styl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3.xml><?xml version="1.0" encoding="utf-8"?>
<cs:chartStyle xmlns:cs="http://schemas.microsoft.com/office/drawing/2012/chartStyle" xmlns:a="http://schemas.openxmlformats.org/drawingml/2006/main" id="32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cap="flat" cmpd="sng" algn="ctr">
        <a:solidFill>
          <a:schemeClr val="tx1">
            <a:lumMod val="65000"/>
            <a:lumOff val="35000"/>
          </a:schemeClr>
        </a:solidFill>
        <a:round/>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15875" cap="flat" cmpd="sng" algn="ctr">
        <a:solidFill>
          <a:schemeClr val="tx1">
            <a:lumMod val="65000"/>
            <a:lumOff val="3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0.47941</cdr:x>
      <cdr:y>0</cdr:y>
    </cdr:from>
    <cdr:to>
      <cdr:x>0.97702</cdr:x>
      <cdr:y>0.79202</cdr:y>
    </cdr:to>
    <cdr:sp macro="" textlink="">
      <cdr:nvSpPr>
        <cdr:cNvPr id="2" name="Rectangle 1"/>
        <cdr:cNvSpPr/>
      </cdr:nvSpPr>
      <cdr:spPr>
        <a:xfrm xmlns:a="http://schemas.openxmlformats.org/drawingml/2006/main">
          <a:off x="1485900" y="0"/>
          <a:ext cx="1542310" cy="1658679"/>
        </a:xfrm>
        <a:prstGeom xmlns:a="http://schemas.openxmlformats.org/drawingml/2006/main" prst="rect">
          <a:avLst/>
        </a:prstGeom>
        <a:solidFill xmlns:a="http://schemas.openxmlformats.org/drawingml/2006/main">
          <a:schemeClr val="bg1">
            <a:lumMod val="85000"/>
            <a:alpha val="50000"/>
          </a:scheme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2.xml><?xml version="1.0" encoding="utf-8"?>
<c:userShapes xmlns:c="http://schemas.openxmlformats.org/drawingml/2006/chart">
  <cdr:relSizeAnchor xmlns:cdr="http://schemas.openxmlformats.org/drawingml/2006/chartDrawing">
    <cdr:from>
      <cdr:x>0.53596</cdr:x>
      <cdr:y>0.00706</cdr:y>
    </cdr:from>
    <cdr:to>
      <cdr:x>0.90189</cdr:x>
      <cdr:y>0.908</cdr:y>
    </cdr:to>
    <cdr:sp macro="" textlink="">
      <cdr:nvSpPr>
        <cdr:cNvPr id="2" name="Rectangle 1"/>
        <cdr:cNvSpPr/>
      </cdr:nvSpPr>
      <cdr:spPr>
        <a:xfrm xmlns:a="http://schemas.openxmlformats.org/drawingml/2006/main">
          <a:off x="1541720" y="14633"/>
          <a:ext cx="1052624" cy="1867330"/>
        </a:xfrm>
        <a:prstGeom xmlns:a="http://schemas.openxmlformats.org/drawingml/2006/main" prst="rect">
          <a:avLst/>
        </a:prstGeom>
        <a:solidFill xmlns:a="http://schemas.openxmlformats.org/drawingml/2006/main">
          <a:schemeClr val="bg1">
            <a:lumMod val="85000"/>
            <a:alpha val="50000"/>
          </a:scheme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3.xml><?xml version="1.0" encoding="utf-8"?>
<c:userShapes xmlns:c="http://schemas.openxmlformats.org/drawingml/2006/chart">
  <cdr:relSizeAnchor xmlns:cdr="http://schemas.openxmlformats.org/drawingml/2006/chartDrawing">
    <cdr:from>
      <cdr:x>0.45641</cdr:x>
      <cdr:y>0</cdr:y>
    </cdr:from>
    <cdr:to>
      <cdr:x>0.96835</cdr:x>
      <cdr:y>0.83436</cdr:y>
    </cdr:to>
    <cdr:sp macro="" textlink="">
      <cdr:nvSpPr>
        <cdr:cNvPr id="2" name="Rectangle 1"/>
        <cdr:cNvSpPr/>
      </cdr:nvSpPr>
      <cdr:spPr>
        <a:xfrm xmlns:a="http://schemas.openxmlformats.org/drawingml/2006/main">
          <a:off x="1392865" y="0"/>
          <a:ext cx="1562355" cy="1711842"/>
        </a:xfrm>
        <a:prstGeom xmlns:a="http://schemas.openxmlformats.org/drawingml/2006/main" prst="rect">
          <a:avLst/>
        </a:prstGeom>
        <a:solidFill xmlns:a="http://schemas.openxmlformats.org/drawingml/2006/main">
          <a:schemeClr val="bg1">
            <a:lumMod val="85000"/>
            <a:alpha val="50000"/>
          </a:scheme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4.xml><?xml version="1.0" encoding="utf-8"?>
<c:userShapes xmlns:c="http://schemas.openxmlformats.org/drawingml/2006/chart">
  <cdr:relSizeAnchor xmlns:cdr="http://schemas.openxmlformats.org/drawingml/2006/chartDrawing">
    <cdr:from>
      <cdr:x>0.83556</cdr:x>
      <cdr:y>0.02841</cdr:y>
    </cdr:from>
    <cdr:to>
      <cdr:x>0.95327</cdr:x>
      <cdr:y>0.90375</cdr:y>
    </cdr:to>
    <cdr:sp macro="" textlink="">
      <cdr:nvSpPr>
        <cdr:cNvPr id="2" name="Rectangle 1"/>
        <cdr:cNvSpPr/>
      </cdr:nvSpPr>
      <cdr:spPr>
        <a:xfrm xmlns:a="http://schemas.openxmlformats.org/drawingml/2006/main">
          <a:off x="5341355" y="56935"/>
          <a:ext cx="752466" cy="1754234"/>
        </a:xfrm>
        <a:prstGeom xmlns:a="http://schemas.openxmlformats.org/drawingml/2006/main" prst="rect">
          <a:avLst/>
        </a:prstGeom>
        <a:solidFill xmlns:a="http://schemas.openxmlformats.org/drawingml/2006/main">
          <a:srgbClr val="D8E2F4">
            <a:alpha val="4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solidFill>
              <a:schemeClr val="lt1">
                <a:alpha val="55000"/>
              </a:schemeClr>
            </a:solidFill>
          </a:endParaRPr>
        </a:p>
      </cdr:txBody>
    </cdr:sp>
  </cdr:relSizeAnchor>
</c:userShapes>
</file>

<file path=word/drawings/drawing5.xml><?xml version="1.0" encoding="utf-8"?>
<c:userShapes xmlns:c="http://schemas.openxmlformats.org/drawingml/2006/chart">
  <cdr:relSizeAnchor xmlns:cdr="http://schemas.openxmlformats.org/drawingml/2006/chartDrawing">
    <cdr:from>
      <cdr:x>0.49457</cdr:x>
      <cdr:y>0.02785</cdr:y>
    </cdr:from>
    <cdr:to>
      <cdr:x>0.94204</cdr:x>
      <cdr:y>0.81099</cdr:y>
    </cdr:to>
    <cdr:sp macro="" textlink="">
      <cdr:nvSpPr>
        <cdr:cNvPr id="3" name="Rectangle 2"/>
        <cdr:cNvSpPr/>
      </cdr:nvSpPr>
      <cdr:spPr>
        <a:xfrm xmlns:a="http://schemas.openxmlformats.org/drawingml/2006/main">
          <a:off x="1447145" y="47708"/>
          <a:ext cx="1309333" cy="1341699"/>
        </a:xfrm>
        <a:prstGeom xmlns:a="http://schemas.openxmlformats.org/drawingml/2006/main" prst="rect">
          <a:avLst/>
        </a:prstGeom>
        <a:solidFill xmlns:a="http://schemas.openxmlformats.org/drawingml/2006/main">
          <a:srgbClr val="D8E2F4">
            <a:alpha val="4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6.xml><?xml version="1.0" encoding="utf-8"?>
<c:userShapes xmlns:c="http://schemas.openxmlformats.org/drawingml/2006/chart">
  <cdr:relSizeAnchor xmlns:cdr="http://schemas.openxmlformats.org/drawingml/2006/chartDrawing">
    <cdr:from>
      <cdr:x>0.49043</cdr:x>
      <cdr:y>0.00936</cdr:y>
    </cdr:from>
    <cdr:to>
      <cdr:x>0.94447</cdr:x>
      <cdr:y>0.7925</cdr:y>
    </cdr:to>
    <cdr:sp macro="" textlink="">
      <cdr:nvSpPr>
        <cdr:cNvPr id="3" name="Rectangle 2"/>
        <cdr:cNvSpPr/>
      </cdr:nvSpPr>
      <cdr:spPr>
        <a:xfrm xmlns:a="http://schemas.openxmlformats.org/drawingml/2006/main">
          <a:off x="1435039" y="15902"/>
          <a:ext cx="1328557" cy="1330261"/>
        </a:xfrm>
        <a:prstGeom xmlns:a="http://schemas.openxmlformats.org/drawingml/2006/main" prst="rect">
          <a:avLst/>
        </a:prstGeom>
        <a:solidFill xmlns:a="http://schemas.openxmlformats.org/drawingml/2006/main">
          <a:srgbClr val="D8E2F4">
            <a:alpha val="4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7.xml><?xml version="1.0" encoding="utf-8"?>
<c:userShapes xmlns:c="http://schemas.openxmlformats.org/drawingml/2006/chart">
  <cdr:relSizeAnchor xmlns:cdr="http://schemas.openxmlformats.org/drawingml/2006/chartDrawing">
    <cdr:from>
      <cdr:x>0.47554</cdr:x>
      <cdr:y>0</cdr:y>
    </cdr:from>
    <cdr:to>
      <cdr:x>0.95514</cdr:x>
      <cdr:y>0.7769</cdr:y>
    </cdr:to>
    <cdr:sp macro="" textlink="">
      <cdr:nvSpPr>
        <cdr:cNvPr id="2" name="Rectangle 1"/>
        <cdr:cNvSpPr/>
      </cdr:nvSpPr>
      <cdr:spPr>
        <a:xfrm xmlns:a="http://schemas.openxmlformats.org/drawingml/2006/main">
          <a:off x="1391479" y="0"/>
          <a:ext cx="1403338" cy="1278715"/>
        </a:xfrm>
        <a:prstGeom xmlns:a="http://schemas.openxmlformats.org/drawingml/2006/main" prst="rect">
          <a:avLst/>
        </a:prstGeom>
        <a:solidFill xmlns:a="http://schemas.openxmlformats.org/drawingml/2006/main">
          <a:srgbClr val="D8E2F4">
            <a:alpha val="4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8.xml><?xml version="1.0" encoding="utf-8"?>
<c:userShapes xmlns:c="http://schemas.openxmlformats.org/drawingml/2006/chart">
  <cdr:relSizeAnchor xmlns:cdr="http://schemas.openxmlformats.org/drawingml/2006/chartDrawing">
    <cdr:from>
      <cdr:x>0.47554</cdr:x>
      <cdr:y>0</cdr:y>
    </cdr:from>
    <cdr:to>
      <cdr:x>0.95514</cdr:x>
      <cdr:y>0.7769</cdr:y>
    </cdr:to>
    <cdr:sp macro="" textlink="">
      <cdr:nvSpPr>
        <cdr:cNvPr id="2" name="Rectangle 1"/>
        <cdr:cNvSpPr/>
      </cdr:nvSpPr>
      <cdr:spPr>
        <a:xfrm xmlns:a="http://schemas.openxmlformats.org/drawingml/2006/main">
          <a:off x="1391479" y="0"/>
          <a:ext cx="1403338" cy="1278715"/>
        </a:xfrm>
        <a:prstGeom xmlns:a="http://schemas.openxmlformats.org/drawingml/2006/main" prst="rect">
          <a:avLst/>
        </a:prstGeom>
        <a:solidFill xmlns:a="http://schemas.openxmlformats.org/drawingml/2006/main">
          <a:srgbClr val="D8E2F4">
            <a:alpha val="4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9.xml><?xml version="1.0" encoding="utf-8"?>
<c:userShapes xmlns:c="http://schemas.openxmlformats.org/drawingml/2006/chart">
  <cdr:relSizeAnchor xmlns:cdr="http://schemas.openxmlformats.org/drawingml/2006/chartDrawing">
    <cdr:from>
      <cdr:x>0.45227</cdr:x>
      <cdr:y>0.09312</cdr:y>
    </cdr:from>
    <cdr:to>
      <cdr:x>0.92355</cdr:x>
      <cdr:y>0.86977</cdr:y>
    </cdr:to>
    <cdr:sp macro="" textlink="">
      <cdr:nvSpPr>
        <cdr:cNvPr id="2" name="Rectangle 1"/>
        <cdr:cNvSpPr/>
      </cdr:nvSpPr>
      <cdr:spPr>
        <a:xfrm xmlns:a="http://schemas.openxmlformats.org/drawingml/2006/main">
          <a:off x="2838615" y="221751"/>
          <a:ext cx="2957886" cy="1849398"/>
        </a:xfrm>
        <a:prstGeom xmlns:a="http://schemas.openxmlformats.org/drawingml/2006/main" prst="rect">
          <a:avLst/>
        </a:prstGeom>
        <a:solidFill xmlns:a="http://schemas.openxmlformats.org/drawingml/2006/main">
          <a:srgbClr val="D8E2F4">
            <a:alpha val="45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solidFill>
              <a:schemeClr val="lt1">
                <a:alpha val="40000"/>
              </a:schemeClr>
            </a:solidFill>
          </a:endParaRPr>
        </a:p>
      </cdr:txBody>
    </cdr:sp>
  </cdr:relSizeAnchor>
</c:userShapes>
</file>

<file path=word/drawings/drawing10.xml><?xml version="1.0" encoding="utf-8"?>
<c:userShapes xmlns:c="http://schemas.openxmlformats.org/drawingml/2006/chart">
  <cdr:relSizeAnchor xmlns:cdr="http://schemas.openxmlformats.org/drawingml/2006/chartDrawing">
    <cdr:from>
      <cdr:x>0.45429</cdr:x>
      <cdr:y>0.08682</cdr:y>
    </cdr:from>
    <cdr:to>
      <cdr:x>0.91238</cdr:x>
      <cdr:y>0.8471</cdr:y>
    </cdr:to>
    <cdr:sp macro="" textlink="">
      <cdr:nvSpPr>
        <cdr:cNvPr id="2" name="Rectangle 1"/>
        <cdr:cNvSpPr/>
      </cdr:nvSpPr>
      <cdr:spPr>
        <a:xfrm xmlns:a="http://schemas.openxmlformats.org/drawingml/2006/main">
          <a:off x="1350062" y="206734"/>
          <a:ext cx="1361352" cy="1810417"/>
        </a:xfrm>
        <a:prstGeom xmlns:a="http://schemas.openxmlformats.org/drawingml/2006/main" prst="rect">
          <a:avLst/>
        </a:prstGeom>
        <a:solidFill xmlns:a="http://schemas.openxmlformats.org/drawingml/2006/main">
          <a:srgbClr val="D8E2F4">
            <a:alpha val="45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solidFill>
              <a:schemeClr val="lt1">
                <a:alpha val="40000"/>
              </a:schemeClr>
            </a:solidFill>
          </a:endParaRPr>
        </a:p>
      </cdr:txBody>
    </cdr:sp>
  </cdr:relSizeAnchor>
</c:userShapes>
</file>

<file path=word/drawings/drawing11.xml><?xml version="1.0" encoding="utf-8"?>
<c:userShapes xmlns:c="http://schemas.openxmlformats.org/drawingml/2006/chart">
  <cdr:relSizeAnchor xmlns:cdr="http://schemas.openxmlformats.org/drawingml/2006/chartDrawing">
    <cdr:from>
      <cdr:x>0.45939</cdr:x>
      <cdr:y>0.01811</cdr:y>
    </cdr:from>
    <cdr:to>
      <cdr:x>0.91621</cdr:x>
      <cdr:y>0.81112</cdr:y>
    </cdr:to>
    <cdr:sp macro="" textlink="">
      <cdr:nvSpPr>
        <cdr:cNvPr id="2" name="Rectangle 1"/>
        <cdr:cNvSpPr/>
      </cdr:nvSpPr>
      <cdr:spPr>
        <a:xfrm xmlns:a="http://schemas.openxmlformats.org/drawingml/2006/main">
          <a:off x="1369007" y="39766"/>
          <a:ext cx="1361349" cy="1741326"/>
        </a:xfrm>
        <a:prstGeom xmlns:a="http://schemas.openxmlformats.org/drawingml/2006/main" prst="rect">
          <a:avLst/>
        </a:prstGeom>
        <a:solidFill xmlns:a="http://schemas.openxmlformats.org/drawingml/2006/main">
          <a:srgbClr val="D8E2F4">
            <a:alpha val="45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solidFill>
              <a:schemeClr val="lt1">
                <a:alpha val="40000"/>
              </a:schemeClr>
            </a:solidFill>
          </a:endParaRPr>
        </a:p>
      </cdr:txBody>
    </cdr:sp>
  </cdr:relSizeAnchor>
</c:userShapes>
</file>

<file path=word/drawings/drawing12.xml><?xml version="1.0" encoding="utf-8"?>
<c:userShapes xmlns:c="http://schemas.openxmlformats.org/drawingml/2006/chart">
  <cdr:relSizeAnchor xmlns:cdr="http://schemas.openxmlformats.org/drawingml/2006/chartDrawing">
    <cdr:from>
      <cdr:x>0.5203</cdr:x>
      <cdr:y>0</cdr:y>
    </cdr:from>
    <cdr:to>
      <cdr:x>1</cdr:x>
      <cdr:y>0.6691</cdr:y>
    </cdr:to>
    <cdr:sp macro="" textlink="">
      <cdr:nvSpPr>
        <cdr:cNvPr id="2" name="Rectangle 1"/>
        <cdr:cNvSpPr/>
      </cdr:nvSpPr>
      <cdr:spPr>
        <a:xfrm xmlns:a="http://schemas.openxmlformats.org/drawingml/2006/main">
          <a:off x="1562100" y="0"/>
          <a:ext cx="1440180" cy="1685918"/>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3.xml><?xml version="1.0" encoding="utf-8"?>
<c:userShapes xmlns:c="http://schemas.openxmlformats.org/drawingml/2006/chart">
  <cdr:relSizeAnchor xmlns:cdr="http://schemas.openxmlformats.org/drawingml/2006/chartDrawing">
    <cdr:from>
      <cdr:x>0.53944</cdr:x>
      <cdr:y>0</cdr:y>
    </cdr:from>
    <cdr:to>
      <cdr:x>1</cdr:x>
      <cdr:y>0.79245</cdr:y>
    </cdr:to>
    <cdr:sp macro="" textlink="">
      <cdr:nvSpPr>
        <cdr:cNvPr id="2" name="Rectangle 1"/>
        <cdr:cNvSpPr/>
      </cdr:nvSpPr>
      <cdr:spPr>
        <a:xfrm xmlns:a="http://schemas.openxmlformats.org/drawingml/2006/main">
          <a:off x="1615440" y="0"/>
          <a:ext cx="1379220" cy="1866893"/>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4.xml><?xml version="1.0" encoding="utf-8"?>
<c:userShapes xmlns:c="http://schemas.openxmlformats.org/drawingml/2006/chart">
  <cdr:relSizeAnchor xmlns:cdr="http://schemas.openxmlformats.org/drawingml/2006/chartDrawing">
    <cdr:from>
      <cdr:x>0.56559</cdr:x>
      <cdr:y>0</cdr:y>
    </cdr:from>
    <cdr:to>
      <cdr:x>0.98874</cdr:x>
      <cdr:y>0.71069</cdr:y>
    </cdr:to>
    <cdr:sp macro="" textlink="">
      <cdr:nvSpPr>
        <cdr:cNvPr id="2" name="Rectangle 1"/>
        <cdr:cNvSpPr/>
      </cdr:nvSpPr>
      <cdr:spPr>
        <a:xfrm xmlns:a="http://schemas.openxmlformats.org/drawingml/2006/main">
          <a:off x="1722120" y="0"/>
          <a:ext cx="1288420" cy="1821399"/>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5.xml><?xml version="1.0" encoding="utf-8"?>
<c:userShapes xmlns:c="http://schemas.openxmlformats.org/drawingml/2006/chart">
  <cdr:relSizeAnchor xmlns:cdr="http://schemas.openxmlformats.org/drawingml/2006/chartDrawing">
    <cdr:from>
      <cdr:x>0.5301</cdr:x>
      <cdr:y>0</cdr:y>
    </cdr:from>
    <cdr:to>
      <cdr:x>1</cdr:x>
      <cdr:y>0.785</cdr:y>
    </cdr:to>
    <cdr:sp macro="" textlink="">
      <cdr:nvSpPr>
        <cdr:cNvPr id="2" name="Rectangle 1"/>
        <cdr:cNvSpPr/>
      </cdr:nvSpPr>
      <cdr:spPr>
        <a:xfrm xmlns:a="http://schemas.openxmlformats.org/drawingml/2006/main">
          <a:off x="1638301" y="0"/>
          <a:ext cx="1452244" cy="1847847"/>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6.xml><?xml version="1.0" encoding="utf-8"?>
<c:userShapes xmlns:c="http://schemas.openxmlformats.org/drawingml/2006/chart">
  <cdr:relSizeAnchor xmlns:cdr="http://schemas.openxmlformats.org/drawingml/2006/chartDrawing">
    <cdr:from>
      <cdr:x>0.53981</cdr:x>
      <cdr:y>0.24286</cdr:y>
    </cdr:from>
    <cdr:to>
      <cdr:x>0.97907</cdr:x>
      <cdr:y>0.81429</cdr:y>
    </cdr:to>
    <cdr:sp macro="" textlink="">
      <cdr:nvSpPr>
        <cdr:cNvPr id="2" name="Rectangle 1"/>
        <cdr:cNvSpPr/>
      </cdr:nvSpPr>
      <cdr:spPr>
        <a:xfrm xmlns:a="http://schemas.openxmlformats.org/drawingml/2006/main">
          <a:off x="1657350" y="555178"/>
          <a:ext cx="1348615" cy="1306289"/>
        </a:xfrm>
        <a:prstGeom xmlns:a="http://schemas.openxmlformats.org/drawingml/2006/main" prst="rect">
          <a:avLst/>
        </a:prstGeom>
        <a:solidFill xmlns:a="http://schemas.openxmlformats.org/drawingml/2006/main">
          <a:schemeClr val="accent1">
            <a:lumMod val="40000"/>
            <a:lumOff val="60000"/>
            <a:alpha val="36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17.xml><?xml version="1.0" encoding="utf-8"?>
<c:userShapes xmlns:c="http://schemas.openxmlformats.org/drawingml/2006/chart">
  <cdr:relSizeAnchor xmlns:cdr="http://schemas.openxmlformats.org/drawingml/2006/chartDrawing">
    <cdr:from>
      <cdr:x>0.48503</cdr:x>
      <cdr:y>6.07563E-7</cdr:y>
    </cdr:from>
    <cdr:to>
      <cdr:x>1</cdr:x>
      <cdr:y>0.7393</cdr:y>
    </cdr:to>
    <cdr:sp macro="" textlink="">
      <cdr:nvSpPr>
        <cdr:cNvPr id="2" name="Rounded Rectangle 1"/>
        <cdr:cNvSpPr/>
      </cdr:nvSpPr>
      <cdr:spPr>
        <a:xfrm xmlns:a="http://schemas.openxmlformats.org/drawingml/2006/main">
          <a:off x="1419225" y="1"/>
          <a:ext cx="1506855" cy="1216828"/>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drawings/drawing18.xml><?xml version="1.0" encoding="utf-8"?>
<c:userShapes xmlns:c="http://schemas.openxmlformats.org/drawingml/2006/chart">
  <cdr:relSizeAnchor xmlns:cdr="http://schemas.openxmlformats.org/drawingml/2006/chartDrawing">
    <cdr:from>
      <cdr:x>0.48177</cdr:x>
      <cdr:y>6.07563E-7</cdr:y>
    </cdr:from>
    <cdr:to>
      <cdr:x>1</cdr:x>
      <cdr:y>0.7393</cdr:y>
    </cdr:to>
    <cdr:sp macro="" textlink="">
      <cdr:nvSpPr>
        <cdr:cNvPr id="2" name="Rounded Rectangle 1"/>
        <cdr:cNvSpPr/>
      </cdr:nvSpPr>
      <cdr:spPr>
        <a:xfrm xmlns:a="http://schemas.openxmlformats.org/drawingml/2006/main">
          <a:off x="1409701" y="1"/>
          <a:ext cx="1516379" cy="1216828"/>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9.xml><?xml version="1.0" encoding="utf-8"?>
<c:userShapes xmlns:c="http://schemas.openxmlformats.org/drawingml/2006/chart">
  <cdr:relSizeAnchor xmlns:cdr="http://schemas.openxmlformats.org/drawingml/2006/chartDrawing">
    <cdr:from>
      <cdr:x>0.37109</cdr:x>
      <cdr:y>0.20901</cdr:y>
    </cdr:from>
    <cdr:to>
      <cdr:x>0.70613</cdr:x>
      <cdr:y>0.95</cdr:y>
    </cdr:to>
    <cdr:sp macro="" textlink="">
      <cdr:nvSpPr>
        <cdr:cNvPr id="2" name="Rectangle 1"/>
        <cdr:cNvSpPr/>
      </cdr:nvSpPr>
      <cdr:spPr>
        <a:xfrm xmlns:a="http://schemas.openxmlformats.org/drawingml/2006/main">
          <a:off x="1085850" y="477796"/>
          <a:ext cx="980343" cy="1693903"/>
        </a:xfrm>
        <a:prstGeom xmlns:a="http://schemas.openxmlformats.org/drawingml/2006/main" prst="rect">
          <a:avLst/>
        </a:prstGeom>
        <a:solidFill xmlns:a="http://schemas.openxmlformats.org/drawingml/2006/main">
          <a:schemeClr val="bg1">
            <a:lumMod val="85000"/>
            <a:alpha val="25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drawings/drawing20.xml><?xml version="1.0" encoding="utf-8"?>
<c:userShapes xmlns:c="http://schemas.openxmlformats.org/drawingml/2006/chart">
  <cdr:relSizeAnchor xmlns:cdr="http://schemas.openxmlformats.org/drawingml/2006/chartDrawing">
    <cdr:from>
      <cdr:x>0.46875</cdr:x>
      <cdr:y>0.18018</cdr:y>
    </cdr:from>
    <cdr:to>
      <cdr:x>0.88152</cdr:x>
      <cdr:y>0.72333</cdr:y>
    </cdr:to>
    <cdr:sp macro="" textlink="">
      <cdr:nvSpPr>
        <cdr:cNvPr id="2" name="Rectangle 1"/>
        <cdr:cNvSpPr/>
      </cdr:nvSpPr>
      <cdr:spPr>
        <a:xfrm xmlns:a="http://schemas.openxmlformats.org/drawingml/2006/main">
          <a:off x="1371600" y="411891"/>
          <a:ext cx="1207797" cy="1241641"/>
        </a:xfrm>
        <a:prstGeom xmlns:a="http://schemas.openxmlformats.org/drawingml/2006/main" prst="rect">
          <a:avLst/>
        </a:prstGeom>
        <a:solidFill xmlns:a="http://schemas.openxmlformats.org/drawingml/2006/main">
          <a:schemeClr val="bg1">
            <a:lumMod val="85000"/>
            <a:alpha val="35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y-AM"/>
        </a:p>
      </cdr:txBody>
    </cdr:sp>
  </cdr:relSizeAnchor>
</c:userShapes>
</file>

<file path=word/drawings/drawing21.xml><?xml version="1.0" encoding="utf-8"?>
<c:userShapes xmlns:c="http://schemas.openxmlformats.org/drawingml/2006/chart">
  <cdr:relSizeAnchor xmlns:cdr="http://schemas.openxmlformats.org/drawingml/2006/chartDrawing">
    <cdr:from>
      <cdr:x>0.2555</cdr:x>
      <cdr:y>0.83077</cdr:y>
    </cdr:from>
    <cdr:to>
      <cdr:x>0.96447</cdr:x>
      <cdr:y>0.83385</cdr:y>
    </cdr:to>
    <cdr:cxnSp macro="">
      <cdr:nvCxnSpPr>
        <cdr:cNvPr id="2" name="Straight Arrow Connector 1"/>
        <cdr:cNvCxnSpPr/>
      </cdr:nvCxnSpPr>
      <cdr:spPr>
        <a:xfrm xmlns:a="http://schemas.openxmlformats.org/drawingml/2006/main" flipV="1">
          <a:off x="1438275" y="2571751"/>
          <a:ext cx="3990975" cy="9524"/>
        </a:xfrm>
        <a:prstGeom xmlns:a="http://schemas.openxmlformats.org/drawingml/2006/main" prst="straightConnector1">
          <a:avLst/>
        </a:prstGeom>
        <a:ln xmlns:a="http://schemas.openxmlformats.org/drawingml/2006/main" w="38100">
          <a:gradFill flip="none" rotWithShape="1">
            <a:gsLst>
              <a:gs pos="0">
                <a:srgbClr val="00B050"/>
              </a:gs>
              <a:gs pos="26000">
                <a:schemeClr val="accent4"/>
              </a:gs>
              <a:gs pos="74000">
                <a:srgbClr val="FF0000"/>
              </a:gs>
              <a:gs pos="50000">
                <a:schemeClr val="accent2"/>
              </a:gs>
              <a:gs pos="100000">
                <a:srgbClr val="C00000"/>
              </a:gs>
            </a:gsLst>
            <a:lin ang="0" scaled="1"/>
            <a:tileRect/>
          </a:gradFill>
          <a:headEnd type="triangle"/>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1.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9.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1.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3.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4.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5.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6.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1.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4.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5.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6.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7.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8.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9.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0.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1.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2.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3.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4.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6.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7.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8.xml><?xml version="1.0" encoding="utf-8"?>
<a:themeOverride xmlns:a="http://schemas.openxmlformats.org/drawingml/2006/main">
  <a:clrScheme name="Custom 10">
    <a:dk1>
      <a:sysClr val="windowText" lastClr="000000"/>
    </a:dk1>
    <a:lt1>
      <a:sysClr val="window" lastClr="FFFFFF"/>
    </a:lt1>
    <a:dk2>
      <a:srgbClr val="44546A"/>
    </a:dk2>
    <a:lt2>
      <a:srgbClr val="E7E6E6"/>
    </a:lt2>
    <a:accent1>
      <a:srgbClr val="5B9BD5"/>
    </a:accent1>
    <a:accent2>
      <a:srgbClr val="ED7D31"/>
    </a:accent2>
    <a:accent3>
      <a:srgbClr val="6B6C74"/>
    </a:accent3>
    <a:accent4>
      <a:srgbClr val="FFC000"/>
    </a:accent4>
    <a:accent5>
      <a:srgbClr val="4472C4"/>
    </a:accent5>
    <a:accent6>
      <a:srgbClr val="70AD47"/>
    </a:accent6>
    <a:hlink>
      <a:srgbClr val="0563C1"/>
    </a:hlink>
    <a:folHlink>
      <a:srgbClr val="954F72"/>
    </a:folHlink>
  </a:clrScheme>
  <a:fontScheme name="Custom 2">
    <a:majorFont>
      <a:latin typeface="GHEA Grapalat"/>
      <a:ea typeface=""/>
      <a:cs typeface=""/>
    </a:majorFont>
    <a:minorFont>
      <a:latin typeface="GHEA Grapal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F426C-93B4-4136-BDA7-CC80A3B17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170</Pages>
  <Words>36928</Words>
  <Characters>269105</Characters>
  <Application>Microsoft Office Word</Application>
  <DocSecurity>0</DocSecurity>
  <Lines>9043</Lines>
  <Paragraphs>4930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Gevorgyan</dc:creator>
  <cp:keywords>https://mul2-minfin.gov.am/tasks/1266133/oneclick?token=754ecac7cd325b4e5d144d9c435566da</cp:keywords>
  <dc:description/>
  <cp:lastModifiedBy>Vahan Sirunyan</cp:lastModifiedBy>
  <cp:revision>4</cp:revision>
  <cp:lastPrinted>2026-09-30T06:36:00Z</cp:lastPrinted>
  <dcterms:created xsi:type="dcterms:W3CDTF">2026-09-30T15:06:00Z</dcterms:created>
  <dcterms:modified xsi:type="dcterms:W3CDTF">2026-09-30T15:25:00Z</dcterms:modified>
</cp:coreProperties>
</file>