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72A17" w14:textId="77777777" w:rsidR="00E27916" w:rsidRPr="00E27916" w:rsidRDefault="00E27916" w:rsidP="00E27916">
      <w:pPr>
        <w:spacing w:after="0" w:line="240" w:lineRule="auto"/>
        <w:jc w:val="center"/>
        <w:outlineLvl w:val="0"/>
        <w:rPr>
          <w:rFonts w:ascii="GHEA Grapalat" w:eastAsia="Times New Roman" w:hAnsi="GHEA Grapalat" w:cs="Times New Roman"/>
          <w:b/>
          <w:bCs/>
          <w:kern w:val="36"/>
          <w14:ligatures w14:val="none"/>
        </w:rPr>
      </w:pPr>
      <w:r w:rsidRPr="00E27916">
        <w:rPr>
          <w:rFonts w:ascii="GHEA Grapalat" w:eastAsia="Times New Roman" w:hAnsi="GHEA Grapalat" w:cs="Sylfaen"/>
          <w:b/>
          <w:bCs/>
          <w:kern w:val="36"/>
          <w14:ligatures w14:val="none"/>
        </w:rPr>
        <w:t>ԱՄՓՈՓԱԹԵՐ</w:t>
      </w:r>
      <w:r w:rsidRPr="00E27916">
        <w:rPr>
          <w:rFonts w:ascii="GHEA Grapalat" w:eastAsia="Times New Roman" w:hAnsi="GHEA Grapalat" w:cs="Times New Roman"/>
          <w:b/>
          <w:bCs/>
          <w:kern w:val="36"/>
          <w14:ligatures w14:val="none"/>
        </w:rPr>
        <w:t>Թ</w:t>
      </w:r>
    </w:p>
    <w:p w14:paraId="53669FA7" w14:textId="42DA20E5" w:rsidR="00E27916" w:rsidRDefault="00B541D8" w:rsidP="00E27916">
      <w:pPr>
        <w:spacing w:after="0" w:line="240" w:lineRule="auto"/>
        <w:jc w:val="center"/>
        <w:rPr>
          <w:rFonts w:ascii="GHEA Grapalat" w:eastAsia="Times New Roman" w:hAnsi="GHEA Grapalat" w:cs="Times New Roman"/>
          <w:b/>
          <w:bCs/>
          <w:kern w:val="0"/>
          <w14:ligatures w14:val="none"/>
        </w:rPr>
      </w:pPr>
      <w:r>
        <w:rPr>
          <w:rFonts w:ascii="GHEA Grapalat" w:eastAsia="Times New Roman" w:hAnsi="GHEA Grapalat" w:cs="Times New Roman"/>
          <w:b/>
          <w:bCs/>
          <w:kern w:val="0"/>
          <w14:ligatures w14:val="none"/>
        </w:rPr>
        <w:t>«Հայաստանի Հանրապետության կառավարության 2006 թվականի մայիսի 18-ի N 912-Ն որոշման մեջ փոփոխություններ և լրացումներ կատարելու մասին» Կառավարության որոշման նախագծի վերաբերյալ ստացված դիտողությունների և առաջարկությունների</w:t>
      </w:r>
    </w:p>
    <w:p w14:paraId="5037C481" w14:textId="77777777" w:rsidR="00E27916" w:rsidRDefault="00E27916" w:rsidP="00E27916">
      <w:pPr>
        <w:spacing w:after="0" w:line="240" w:lineRule="auto"/>
        <w:jc w:val="center"/>
        <w:rPr>
          <w:rFonts w:ascii="GHEA Grapalat" w:eastAsia="Times New Roman" w:hAnsi="GHEA Grapalat" w:cs="Times New Roman"/>
          <w:kern w:val="0"/>
          <w14:ligatures w14:val="none"/>
        </w:rPr>
      </w:pPr>
    </w:p>
    <w:p w14:paraId="5EABF701" w14:textId="77777777" w:rsidR="00B541D8" w:rsidRDefault="00B541D8" w:rsidP="00E27916">
      <w:pPr>
        <w:spacing w:after="0" w:line="240" w:lineRule="auto"/>
        <w:jc w:val="center"/>
        <w:rPr>
          <w:rFonts w:ascii="GHEA Grapalat" w:eastAsia="Times New Roman" w:hAnsi="GHEA Grapalat" w:cs="Times New Roman"/>
          <w:kern w:val="0"/>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89"/>
        <w:gridCol w:w="6361"/>
      </w:tblGrid>
      <w:tr w:rsidR="00E27916" w:rsidRPr="00E27916" w14:paraId="5082D902" w14:textId="77777777" w:rsidTr="00A13C2E">
        <w:trPr>
          <w:tblCellSpacing w:w="15" w:type="dxa"/>
        </w:trPr>
        <w:tc>
          <w:tcPr>
            <w:tcW w:w="0" w:type="auto"/>
            <w:shd w:val="clear" w:color="auto" w:fill="ADADAD" w:themeFill="background2" w:themeFillShade="BF"/>
            <w:vAlign w:val="center"/>
            <w:hideMark/>
          </w:tcPr>
          <w:p w14:paraId="11E88892" w14:textId="0A2813B5" w:rsidR="00E27916" w:rsidRPr="00E27916" w:rsidRDefault="00E27916" w:rsidP="00E27916">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1. ՀՀ արդարադատության նախարարություն</w:t>
            </w:r>
          </w:p>
        </w:tc>
        <w:tc>
          <w:tcPr>
            <w:tcW w:w="0" w:type="auto"/>
            <w:shd w:val="clear" w:color="auto" w:fill="ADADAD" w:themeFill="background2" w:themeFillShade="BF"/>
            <w:vAlign w:val="center"/>
            <w:hideMark/>
          </w:tcPr>
          <w:p w14:paraId="05A7329B" w14:textId="77777777" w:rsidR="00E27916" w:rsidRPr="00F82534" w:rsidRDefault="00F82534" w:rsidP="00735704">
            <w:pPr>
              <w:keepNext/>
              <w:spacing w:after="60" w:line="240" w:lineRule="auto"/>
              <w:ind w:left="100" w:right="100"/>
              <w:jc w:val="center"/>
              <w:rPr>
                <w:rFonts w:ascii="GHEA Grapalat" w:eastAsia="Times New Roman" w:hAnsi="GHEA Grapalat" w:cs="Times New Roman"/>
                <w:b/>
                <w:bCs/>
                <w:kern w:val="0"/>
                <w14:ligatures w14:val="none"/>
              </w:rPr>
            </w:pPr>
            <w:r>
              <w:rPr>
                <w:rFonts w:ascii="GHEA Grapalat" w:eastAsia="Times New Roman" w:hAnsi="GHEA Grapalat" w:cs="Times New Roman"/>
                <w:b/>
                <w:bCs/>
                <w:color w:val="000000"/>
                <w:kern w:val="0"/>
                <w14:ligatures w14:val="none"/>
              </w:rPr>
              <w:t>06.10.2026 թ.</w:t>
            </w:r>
          </w:p>
          <w:p w14:paraId="010C3AAD" w14:textId="77777777" w:rsidR="00E27916" w:rsidRPr="00F82534" w:rsidRDefault="00F82534" w:rsidP="00735704">
            <w:pPr>
              <w:keepNext/>
              <w:spacing w:after="60" w:line="240" w:lineRule="auto"/>
              <w:ind w:left="100" w:right="100"/>
              <w:jc w:val="center"/>
              <w:rPr>
                <w:rFonts w:ascii="GHEA Grapalat" w:eastAsia="Times New Roman" w:hAnsi="GHEA Grapalat" w:cs="Times New Roman"/>
                <w:b/>
                <w:bCs/>
                <w:kern w:val="0"/>
                <w14:ligatures w14:val="none"/>
              </w:rPr>
            </w:pPr>
            <w:r>
              <w:rPr>
                <w:rFonts w:ascii="GHEA Grapalat" w:eastAsia="Times New Roman" w:hAnsi="GHEA Grapalat" w:cs="Times New Roman"/>
                <w:b/>
                <w:bCs/>
                <w:color w:val="000000"/>
                <w:kern w:val="0"/>
                <w14:ligatures w14:val="none"/>
              </w:rPr>
              <w:t>N /08.8/52698-2026</w:t>
            </w:r>
          </w:p>
        </w:tc>
      </w:tr>
      <w:tr w:rsidR="00E27916" w:rsidRPr="00E27916" w14:paraId="0578C80F" w14:textId="77777777" w:rsidTr="00A13C2E">
        <w:trPr>
          <w:tblCellSpacing w:w="15" w:type="dxa"/>
        </w:trPr>
        <w:tc>
          <w:tcPr>
            <w:tcW w:w="0" w:type="auto"/>
            <w:shd w:val="clear" w:color="auto" w:fill="D1D1D1" w:themeFill="background2" w:themeFillShade="E6"/>
            <w:vAlign w:val="center"/>
          </w:tcPr>
          <w:p w14:paraId="1D053FE0" w14:textId="77777777" w:rsidR="00E27916" w:rsidRPr="00E27916" w:rsidRDefault="00E27916" w:rsidP="00E27916">
            <w:pPr>
              <w:spacing w:after="0" w:line="240" w:lineRule="auto"/>
              <w:ind w:left="120" w:right="157"/>
              <w:rPr>
                <w:rFonts w:ascii="GHEA Grapalat" w:eastAsia="Times New Roman" w:hAnsi="GHEA Grapalat" w:cs="Times New Roman"/>
                <w:b/>
                <w:bCs/>
                <w:kern w:val="0"/>
                <w14:ligatures w14:val="none"/>
              </w:rPr>
            </w:pPr>
          </w:p>
        </w:tc>
        <w:tc>
          <w:tcPr>
            <w:tcW w:w="0" w:type="auto"/>
            <w:shd w:val="clear" w:color="auto" w:fill="D1D1D1" w:themeFill="background2" w:themeFillShade="E6"/>
            <w:vAlign w:val="center"/>
          </w:tcPr>
          <w:p w14:paraId="6D703A48" w14:textId="77777777" w:rsidR="00E27916" w:rsidRPr="00E27916" w:rsidRDefault="00E27916" w:rsidP="00735704">
            <w:pPr>
              <w:spacing w:after="0" w:line="240" w:lineRule="auto"/>
              <w:jc w:val="center"/>
              <w:rPr>
                <w:rFonts w:ascii="GHEA Grapalat" w:eastAsia="Times New Roman" w:hAnsi="GHEA Grapalat" w:cs="Times New Roman"/>
                <w:kern w:val="0"/>
                <w14:ligatures w14:val="none"/>
              </w:rPr>
            </w:pPr>
          </w:p>
        </w:tc>
      </w:tr>
      <w:tr w:rsidR="00E27916" w:rsidRPr="00E27916" w14:paraId="0F921C19" w14:textId="77777777" w:rsidTr="00E27916">
        <w:trPr>
          <w:tblCellSpacing w:w="15" w:type="dxa"/>
        </w:trPr>
        <w:tc>
          <w:tcPr>
            <w:tcW w:w="0" w:type="auto"/>
            <w:vAlign w:val="center"/>
            <w:hideMark/>
          </w:tcPr>
          <w:p w14:paraId="4679A3B1" w14:textId="5B8F75CF"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 xml:space="preserve">1. Նախագծի նախաբանում, ի թիվս «Նորմատիվ իրավական ակտերի մասին» օրենքի (այսուհետ՝ Օրենք) 33-րդ և 34-րդ հոդվածների և ««Հայաստանի Հանրապետության քաղաքացիական օրենսգրքում լրացումներ և փոփոխություններ կատարելու մասին» օրենքում փոփոխություններ և լրացումներ կատարելու մասին» 2026 թվականի հուլիսի 3-ի ՀՕ-331-Ն օրենքի (այսուհետ՝ ՀՕ-331-Ն օրենք) 2-րդ հոդվածի 4-րդ մասի, հղում է կատարվում նաև «Հայաստանի Հանրապետության քաղաքացիական օրենսգրքում լրացումներ և փոփոխություններ կատարելու մասին» 2021 թվականի դեկտեմբերի 16-ի ՀՕ-397-Ն օրենքի (այսուհետ՝ ՀՕ-397-Ն օրենք) 2-րդ հոդվածի 2-րդ, 3.1-ին և 3.2-րդ մասերին, ինչպես նաև «Քաղաքաշինության մասին» օրենքի 17-րդ հոդվածի 20-րդ մասին, որոնք թեև վերաբերելի են Նախագծով կարգավորվող հարաբերություններին, սակայն Կառավարության 2006 թվականի մայիսի 18-ի «Ինքնակամ կառույցների </w:t>
            </w:r>
            <w:r>
              <w:rPr>
                <w:rFonts w:ascii="GHEA Grapalat" w:eastAsia="Times New Roman" w:hAnsi="GHEA Grapalat" w:cs="Times New Roman"/>
                <w:color w:val="000000"/>
                <w:kern w:val="0"/>
                <w14:ligatures w14:val="none"/>
              </w:rPr>
              <w:lastRenderedPageBreak/>
              <w:t>օրինականացման և տնօրինման կարգը հաստատելու մասին» N 912-Ն որոշման (այսուհետ՝ Որոշում) մեջ փոփոխություններ և լրացումներ կատարելու համար վերջիններս չեն հանդիսանում լիազորող նորմեր: Ուստի, Նախագծի նախաբանից առաջարկվում է հանել վերոնշյալ նորմերին կատարված հղումները՝ նկատի ունենալով, որ Նախագծի ընդունման համար բավարար իրավական հիմք է հանդիսանում ՀՕ-331-Ն օրենքի 2-րդ հոդվածի 4-րդ մասը, որին արդեն իսկ նախաբանում հղում կատարված է:</w:t>
            </w:r>
          </w:p>
        </w:tc>
        <w:tc>
          <w:tcPr>
            <w:tcW w:w="0" w:type="auto"/>
            <w:vAlign w:val="center"/>
            <w:hideMark/>
          </w:tcPr>
          <w:p w14:paraId="43899125" w14:textId="20B2B588"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lastRenderedPageBreak/>
              <w:t>Ընդունվել է</w:t>
            </w:r>
            <w:r w:rsidR="00735704">
              <w:rPr>
                <w:rFonts w:ascii="GHEA Grapalat" w:eastAsia="Times New Roman" w:hAnsi="GHEA Grapalat" w:cs="Times New Roman"/>
                <w:b/>
                <w:color w:val="000000"/>
                <w:kern w:val="0"/>
                <w14:ligatures w14:val="none"/>
              </w:rPr>
              <w:t xml:space="preserve"> մասնակի</w:t>
            </w:r>
          </w:p>
          <w:p w14:paraId="4D339DCB" w14:textId="70EF994D"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 xml:space="preserve">Նախագծի նախաբանից հանվել </w:t>
            </w:r>
            <w:r w:rsidR="00735704">
              <w:rPr>
                <w:rFonts w:ascii="GHEA Grapalat" w:eastAsia="Times New Roman" w:hAnsi="GHEA Grapalat" w:cs="Times New Roman"/>
                <w:color w:val="000000"/>
                <w:kern w:val="0"/>
                <w14:ligatures w14:val="none"/>
              </w:rPr>
              <w:t>է</w:t>
            </w:r>
            <w:r>
              <w:rPr>
                <w:rFonts w:ascii="GHEA Grapalat" w:eastAsia="Times New Roman" w:hAnsi="GHEA Grapalat" w:cs="Times New Roman"/>
                <w:color w:val="000000"/>
                <w:kern w:val="0"/>
                <w14:ligatures w14:val="none"/>
              </w:rPr>
              <w:t xml:space="preserve"> «Քաղաքաշինության մասին» օրենքի 17-րդ հոդվածի 20-րդ մասին հղումները։ Պահպանվել են ՀՕ-331-Ն օրենքի 2-րդ հոդվածի 4-րդ մասը և «Նորմատիվ իրավական ակտերի մասին» օրենքի 33-րդ ու 34-րդ հոդվածները։</w:t>
            </w:r>
            <w:r w:rsidR="00735704">
              <w:rPr>
                <w:rFonts w:ascii="GHEA Grapalat" w:eastAsia="Times New Roman" w:hAnsi="GHEA Grapalat" w:cs="Times New Roman"/>
                <w:color w:val="000000"/>
                <w:kern w:val="0"/>
                <w14:ligatures w14:val="none"/>
              </w:rPr>
              <w:t xml:space="preserve"> ՀՕ-397-Ն օրենքի 2-րդ հոդվածի 2-րդ, 3.1-ին և 3.2-րդ մասերին հղումը պահվել է՝ համայնքային ու պետական հողերում կառուցված ինքնակամ կառույցների իրավական կարգավիճակի հստակությունն ապահովելու նպատակով։</w:t>
            </w:r>
          </w:p>
        </w:tc>
      </w:tr>
      <w:tr w:rsidR="00E27916" w:rsidRPr="00E27916" w14:paraId="39CCEF7D" w14:textId="77777777" w:rsidTr="00E27916">
        <w:trPr>
          <w:tblCellSpacing w:w="15" w:type="dxa"/>
        </w:trPr>
        <w:tc>
          <w:tcPr>
            <w:tcW w:w="0" w:type="auto"/>
            <w:vAlign w:val="center"/>
            <w:hideMark/>
          </w:tcPr>
          <w:p w14:paraId="50394F43"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lastRenderedPageBreak/>
              <w:t>2. Նախագծի 1-ին կետի 1-ին ենթակետով Որոշման նախաբանը նախատեսվում է շարադրել նոր խմբագրությամբ: Այս առումով հարկ է նկատել, որ Որոշման 1-ին կետով հաստատվում է ինքնակամ կառույցների օրինականացման և տնօրինման կարգը՝ համաձայն հավելվածի, մինչդեռ Որոշման նախաբանում որպես իրավական հիմքեր վկայակոչված՝ ՀՕ-397-Ն օրենքի 2-րդ հոդվածի 2-րդ, 3.1-ին և 3.2-րդ մասերը, ինչպես նաև Քաղաքաշինության մասին» օրենքի 17-րդ հոդվածի 20-րդ մասը, որոնցով Կառավարությանը վերապահված է քաղաքաշինական փաստաթղթերի մշակման, փորձաքննության, համաձայնեցման, հաստատման և փոփոխման կարգերը սահմանելու լիազորություն, ուղղակիորեն չեն նախատեսում ինքնակամ կառույցների օրինականացման և տնօրինման կարգը հաստատելու Կառավարության լիազորությունը:</w:t>
            </w:r>
          </w:p>
          <w:p w14:paraId="41A28C77"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lastRenderedPageBreak/>
              <w:t>Միաժամանակ, ՀՕ-397-Ն օրենքի 2-րդ հոդվածի 2-րդ մասի համաձայն՝ Կառավարության կողմից կարող են սահմանվել սույն մասով նախատեսված ինքնակամ կառույցների (կիսակառույց ինքնակամ կառույցների հատվածների) օրինականացման առանձնահատկություններ։ Հետևաբար, Որոշման նախաբանում նշված դրույթի վկայակոչումը կարող է հիմնավորված լինել այնքանով, որ Նախագծի 1-ին կետի 3-րդ ենթակետի «գ» պարբերությամբ լրացվող IV.1-ին բաժնի շրջանակներում նախատեսվում է կարգավորել ՀՕ-397-Ն օրենքի 2-րդ հոդվածի 3.2-րդ մասով նախատեսված կառույցների օրինականացման առանձնահատկությունները:</w:t>
            </w:r>
          </w:p>
          <w:p w14:paraId="13F383E1"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Ելնելով վերոգրյալից՝ առաջարկվում է վերանայել Նախագծի 1-ին կետի 1-ին ենթակետի դրույթները՝ նկատի ունենալով Սահմանադրության 6-րդ և Օրենքի 13-րդ հոդվածներում ամրագրված պահանջները:</w:t>
            </w:r>
          </w:p>
        </w:tc>
        <w:tc>
          <w:tcPr>
            <w:tcW w:w="0" w:type="auto"/>
            <w:vAlign w:val="center"/>
            <w:hideMark/>
          </w:tcPr>
          <w:p w14:paraId="00170FA1" w14:textId="7EA81D0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lastRenderedPageBreak/>
              <w:t>Ընդունվել է</w:t>
            </w:r>
            <w:r w:rsidR="00735704">
              <w:rPr>
                <w:rFonts w:ascii="GHEA Grapalat" w:eastAsia="Times New Roman" w:hAnsi="GHEA Grapalat" w:cs="Times New Roman"/>
                <w:b/>
                <w:color w:val="000000"/>
                <w:kern w:val="0"/>
                <w14:ligatures w14:val="none"/>
              </w:rPr>
              <w:t xml:space="preserve"> մասնակի</w:t>
            </w:r>
          </w:p>
          <w:p w14:paraId="0FBF5282" w14:textId="4BE5A20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 xml:space="preserve">Որոշման նախաբանը վերանայվել է։ Պահպանվել է ՀՕ-397-Ն օրենքի 2-րդ հոդվածի 2-րդ մասի հղումը, որով պահպանվում են նախկին կարգավորումները և նախատեսվում է առանձնահատկություններ սահմանելու լիազորություն։ Նոր կարգավորումների համար լրացվել է ՀՕ-331-Ն օրենքի 2-րդ հոդվածի 4-րդ մասի ուղղակի լիազորող հիմքը։ Հանվել </w:t>
            </w:r>
            <w:r w:rsidR="00735704">
              <w:rPr>
                <w:rFonts w:ascii="GHEA Grapalat" w:eastAsia="Times New Roman" w:hAnsi="GHEA Grapalat" w:cs="Times New Roman"/>
                <w:color w:val="000000"/>
                <w:kern w:val="0"/>
                <w14:ligatures w14:val="none"/>
              </w:rPr>
              <w:t xml:space="preserve">է </w:t>
            </w:r>
            <w:r>
              <w:rPr>
                <w:rFonts w:ascii="GHEA Grapalat" w:eastAsia="Times New Roman" w:hAnsi="GHEA Grapalat" w:cs="Times New Roman"/>
                <w:color w:val="000000"/>
                <w:kern w:val="0"/>
                <w14:ligatures w14:val="none"/>
              </w:rPr>
              <w:t>«Քաղաքաշինության մասին» օրենքի</w:t>
            </w:r>
            <w:r w:rsidR="00735704">
              <w:rPr>
                <w:rFonts w:ascii="GHEA Grapalat" w:eastAsia="Times New Roman" w:hAnsi="GHEA Grapalat" w:cs="Times New Roman"/>
                <w:color w:val="000000"/>
                <w:kern w:val="0"/>
                <w14:ligatures w14:val="none"/>
              </w:rPr>
              <w:t xml:space="preserve"> հղումը, իսկ</w:t>
            </w:r>
            <w:r>
              <w:rPr>
                <w:rFonts w:ascii="GHEA Grapalat" w:eastAsia="Times New Roman" w:hAnsi="GHEA Grapalat" w:cs="Times New Roman"/>
                <w:color w:val="000000"/>
                <w:kern w:val="0"/>
                <w14:ligatures w14:val="none"/>
              </w:rPr>
              <w:t xml:space="preserve"> ՀՕ-397-Ն օրենքի 2-րդ հոդվածի 3.1-ին ու 3.2-րդ մասերին հղումը</w:t>
            </w:r>
            <w:r w:rsidR="00735704">
              <w:rPr>
                <w:rFonts w:ascii="GHEA Grapalat" w:eastAsia="Times New Roman" w:hAnsi="GHEA Grapalat" w:cs="Times New Roman"/>
                <w:color w:val="000000"/>
                <w:kern w:val="0"/>
                <w14:ligatures w14:val="none"/>
              </w:rPr>
              <w:t xml:space="preserve"> պահպանվել է՝ համայնքային ու պետական հողերում կառուցված ինքնակամ կառույցների իրավական կարգավիճակի հստակությունն ապահովելու նպատակով</w:t>
            </w:r>
            <w:r>
              <w:rPr>
                <w:rFonts w:ascii="GHEA Grapalat" w:eastAsia="Times New Roman" w:hAnsi="GHEA Grapalat" w:cs="Times New Roman"/>
                <w:color w:val="000000"/>
                <w:kern w:val="0"/>
                <w14:ligatures w14:val="none"/>
              </w:rPr>
              <w:t>։</w:t>
            </w:r>
          </w:p>
        </w:tc>
      </w:tr>
      <w:tr w:rsidR="00E27916" w:rsidRPr="00E27916" w14:paraId="4776C9BF" w14:textId="77777777" w:rsidTr="00E27916">
        <w:trPr>
          <w:tblCellSpacing w:w="15" w:type="dxa"/>
        </w:trPr>
        <w:tc>
          <w:tcPr>
            <w:tcW w:w="0" w:type="auto"/>
            <w:vAlign w:val="center"/>
            <w:hideMark/>
          </w:tcPr>
          <w:p w14:paraId="060C60A1"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lastRenderedPageBreak/>
              <w:t>3. Նախագծի 1-ին կետի 3-րդ ենթակետի «ա» և «գ» պարբերություններից առաջարկվում է հանել համապատասխանաբար «1-ին կետից հետո» և «IV բաժնից հետո» բառերը, քանի որ համապատասխան կարգավորումները Որոշման հավելվածում լրացվում են՝ պահպանելով հավելվածի կառուցվածքային և տրամաբանական հաջորդականությունը:</w:t>
            </w:r>
          </w:p>
        </w:tc>
        <w:tc>
          <w:tcPr>
            <w:tcW w:w="0" w:type="auto"/>
            <w:vAlign w:val="center"/>
            <w:hideMark/>
          </w:tcPr>
          <w:p w14:paraId="23E3B610"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71CC58C7"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Նշված բառերը հանվել են։ Լրացումները ձևակերպվել են «լրացնել հետևյալ բովանդակությամբ» կառուցվածքով։ Լրամշակված նախագծում համապատասխան դրույթները ներառված են 1-ին կետի 4-րդ ենթակետում՝ Որոշման 5-րդ կետի փոփոխությունը որպես առանձին ենթակետ ավելացնելու հետևանքով։</w:t>
            </w:r>
          </w:p>
        </w:tc>
      </w:tr>
      <w:tr w:rsidR="00E27916" w:rsidRPr="00E27916" w14:paraId="56FEEAE2" w14:textId="77777777" w:rsidTr="00E27916">
        <w:trPr>
          <w:tblCellSpacing w:w="15" w:type="dxa"/>
        </w:trPr>
        <w:tc>
          <w:tcPr>
            <w:tcW w:w="0" w:type="auto"/>
            <w:vAlign w:val="center"/>
            <w:hideMark/>
          </w:tcPr>
          <w:p w14:paraId="33267D2E"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lastRenderedPageBreak/>
              <w:t>4. Նախագծի 1-ին կետի 3-րդ ենթակետի՝</w:t>
            </w:r>
          </w:p>
          <w:p w14:paraId="669D0A8D"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1) «ա» պարբերությամբ լրացվող՝ 1.1-ին կետում «սույն կարգի IV.1 բաժնի առանձնահատկություններով» ձևակերպումն առաջարկվում է փոխարինել «սույն կարգի IV.1 բաժնով սահմանված առանձնահատկությունների հաշվառմամբ» ձևակերպմամբ՝ նորմի բովանդակությունն առավել հստակ արտահայտելու նպատակով: Բացի այդ, նույն կետում առաջարկվում է վերանայել «Միայն Օրենքի 2-րդ հոդվածի 3.2-րդ մասով նախատեսված կառույցների նկատմամբ չեն կիրառվում» ձևակերպումը՝ նկատի ունենալով, որ «Միայն» բառի կիրառումը կարող է երկիմաստություն առաջացնել այն համատեքստում, որ նշված նորմով, մի կողմից, նախատեսվում է ՀՕ-397-Ն օրենքի 2-րդ հոդվածի 3.2-րդ մասով նախատեսված կառույցների նկատմամբ սույն կարգի IV.1-ին բաժնի առանձնահատկությունների կիրառումը, իսկ մյուս կողմից՝ այդ կառույցների նկատմամբ սույն կարգի առանձին դրույթների չկիրառումը.</w:t>
            </w:r>
          </w:p>
        </w:tc>
        <w:tc>
          <w:tcPr>
            <w:tcW w:w="0" w:type="auto"/>
            <w:vAlign w:val="center"/>
            <w:hideMark/>
          </w:tcPr>
          <w:p w14:paraId="31AAAFF2"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7C2C9FE4"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1.1-ին կետում կիրառվել է առաջարկված ձևակերպումը։ «Միայն» բառը հանվել է, և հստակ սահմանվել է, թե որ ընդհանուր դրույթների փոխարեն են 3.2-րդ մասի դեպքերում կիրառվում IV.1 բաժնի դրույթները։ Նախկին իրավակարգավորումների կիրառումը պահպանվել է դրանց համապատասխանող կառույցների համար։</w:t>
            </w:r>
          </w:p>
        </w:tc>
      </w:tr>
      <w:tr w:rsidR="00E27916" w:rsidRPr="00E27916" w14:paraId="2A22D5F0" w14:textId="77777777" w:rsidTr="00E27916">
        <w:trPr>
          <w:tblCellSpacing w:w="15" w:type="dxa"/>
        </w:trPr>
        <w:tc>
          <w:tcPr>
            <w:tcW w:w="0" w:type="auto"/>
            <w:vAlign w:val="center"/>
            <w:hideMark/>
          </w:tcPr>
          <w:p w14:paraId="0C85C017"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2) «ա» պարբերությամբ լրացվող՝ 1.2-րդ կետում «պետական կամ համայնքային հողամասերում առկա կառույցների ցանկում» ձևակերպումն անորոշ է, ուստի, հաշվի առնելով, որ Նախագծի տեքստում այն կիրառվում է առաջին անգամ, առաջարկվում է ընդգծել, թե արդյոք խոսքը Կառավարության կողմից հաստատվող օրինականացման ենթակա ինքնակամ շինությունների ցանկի մասին է: Միաժամանակ, նույն կետի առնչությամբ առաջարկվում է հստակեցնել «միայն նույն մասով թույլատրված դեպքերում» ձևակերպումը, քանի որ միանշանակ չի ընկալվում, թե որ դեպքերն են ՀՕ-397-Ն օրենքի 2-րդ հոդվածի 3.1-ին մասով նախատեսված՝ որպես թույլատրելի.</w:t>
            </w:r>
          </w:p>
        </w:tc>
        <w:tc>
          <w:tcPr>
            <w:tcW w:w="0" w:type="auto"/>
            <w:vAlign w:val="center"/>
            <w:hideMark/>
          </w:tcPr>
          <w:p w14:paraId="0226D99F"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27776322"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1.2-րդ կետում նշվել են ցանկը հաստատող մարմինը և ՀՕ-397-Ն օրենքի 2-րդ հոդվածի 3.1-ին մասի հիմքը։ Թույլատրելի դեպքերը թվարկվել են՝ պետությանը, համայնքին, հարյուր տոկոս պետական կամ համայնքային մասնակցությամբ կամ պետության և համայնքի հիմնադրած կազմակերպություններին օտարելը կամ այլ իրավունքով տրամադրելը։</w:t>
            </w:r>
          </w:p>
        </w:tc>
      </w:tr>
      <w:tr w:rsidR="00E27916" w:rsidRPr="00E27916" w14:paraId="36535F1F" w14:textId="77777777" w:rsidTr="00E27916">
        <w:trPr>
          <w:tblCellSpacing w:w="15" w:type="dxa"/>
        </w:trPr>
        <w:tc>
          <w:tcPr>
            <w:tcW w:w="0" w:type="auto"/>
            <w:vAlign w:val="center"/>
            <w:hideMark/>
          </w:tcPr>
          <w:p w14:paraId="157626B7"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3) «բ» պարբերությամբ լրացվող՝ 6-րդ կետի «ե» ենթակետում «օրենքով ազատվելու հիմքը հաստատող տվյալների հիման վրա» հասկացությունն անորոշ է, ուստի առաջարկվում է այն վերանայել և հստակեցնել.</w:t>
            </w:r>
          </w:p>
        </w:tc>
        <w:tc>
          <w:tcPr>
            <w:tcW w:w="0" w:type="auto"/>
            <w:vAlign w:val="center"/>
            <w:hideMark/>
          </w:tcPr>
          <w:p w14:paraId="70B7FBBE"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5D4189E1"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6-րդ կետի «ե» ենթակետում հղումը որոշակիացվել է՝ ՀՕ-397-Ն օրենքի 2-րդ հոդվածի 3.2-րդ մասով նախատեսված պետական բյուջեի միջոցներով ֆինանսավորման կամ համաֆինանսավորման հիմքով ազատում։ Ազատման տվյալները արտացոլվում են օրինականացման որոշման մեջ։</w:t>
            </w:r>
          </w:p>
        </w:tc>
      </w:tr>
      <w:tr w:rsidR="00E27916" w:rsidRPr="00E27916" w14:paraId="0639975C" w14:textId="77777777" w:rsidTr="00E27916">
        <w:trPr>
          <w:tblCellSpacing w:w="15" w:type="dxa"/>
        </w:trPr>
        <w:tc>
          <w:tcPr>
            <w:tcW w:w="0" w:type="auto"/>
            <w:vAlign w:val="center"/>
            <w:hideMark/>
          </w:tcPr>
          <w:p w14:paraId="3774EEB2"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5. Նախագծի 1-ին կետի 3-րդ ենթակետի «գ» պարբերությամբ լրացվող IV.1-ին բաժնի (այսուհետ՝ IV.1-ին բաժին) 43.3-րդ կետի վերաբերյալ հարկ է նշել հետևյալը.</w:t>
            </w:r>
          </w:p>
          <w:p w14:paraId="1BF5F29D"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Նշված կետի համաձայն՝ ինքնակամ կառույցն իրականացրած անձի կամ նրա ներկայացուցչի կողմից համայնքի ղեկավարին կամ Քաղաքաշինության, տեխնիկական և հրդեհային անվտանգության տեսչական մարմնին ներկայացվող դիմումում, ի թիվս այլնի, նշվում են «դիմողի անունը, ազգանունը կամ անվանումը, հասցեն, կապի տվյալները»: Այս առումով առաջարկվում է հստակեցնել դիմումում նշման ենթակա կապի տվյալներին վերաբերող դրույթները՝ դրանք սահմանելով առավել հստակ:</w:t>
            </w:r>
          </w:p>
        </w:tc>
        <w:tc>
          <w:tcPr>
            <w:tcW w:w="0" w:type="auto"/>
            <w:vAlign w:val="center"/>
            <w:hideMark/>
          </w:tcPr>
          <w:p w14:paraId="4569439B"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72537197"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43.3-րդ կետում նախատեսվել են ծանուցման հասցեն, հեռախոսահամարը և էլեկտրոնային փոստի հասցեն՝ առկայության դեպքում։</w:t>
            </w:r>
          </w:p>
        </w:tc>
      </w:tr>
      <w:tr w:rsidR="00E27916" w:rsidRPr="00E27916" w14:paraId="68C0CC1C" w14:textId="77777777" w:rsidTr="00E27916">
        <w:trPr>
          <w:tblCellSpacing w:w="15" w:type="dxa"/>
        </w:trPr>
        <w:tc>
          <w:tcPr>
            <w:tcW w:w="0" w:type="auto"/>
            <w:vAlign w:val="center"/>
            <w:hideMark/>
          </w:tcPr>
          <w:p w14:paraId="6A704E4E"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Նշված կետով սահմանվում է, որ կառույցի տեխնիկական վիճակի վերաբերյալ դրական եզրակացությունն առնվազն ներառում է կառույցի տեխնիկական վիճակի, կրող կոնստրուկցիաների հուսալիության և ամրության, սեյսմիկ անվտանգության ու անվտանգ շահագործման հնարավորության վերաբերյալ տվյալները և գնահատման հիմքերը՝ կիրառելի նորմերով պահանջվող հետազննությունների, փորձարկումների և հաշվարկների արդյունքներով։ Միաժամանակ, ՀՕ-397-Ն օրենքի 2-րդ հոդվածի 3.2-րդ մասի համաձայն՝ դրական եզրակացությունն առնվազն պետք է բովանդակի կառույցի տեխնիկական վիճակի, կրող կոնստրուկցիաների հուսալիության և ամրության, սեյսմիկ անվտանգության, անվտանգ շահագործման հնարավորության վերաբերյալ տվյալներ:</w:t>
            </w:r>
          </w:p>
          <w:p w14:paraId="7178F4C7"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Այս կապակցությամբ առաջարկվում է վերանայել IV.1-ին բաժնի 43.3-րդ կետի կարգավորումը՝ մասնավորապես «գնահատման հիմքերը՝ կիրառելի նորմերով պահանջվող հետազննությունների, փորձարկումների և հաշվարկների արդյունքներով» ձևակերպման մասով՝ նկատի ունենալով, որ օրենքով դրական եզրակացության մեջ ներառման ենթակա՝ որպես նվազագույն պահանջներ սահմանված տվյալների շարքում նման պահանջ ուղղակիորեն նախատեսված չէ, մինչդեռ Նախագծի վերոնշյալ կարգավորմամբ լրացուցիչ պարտադիր պահանջ է նախատեսվում:</w:t>
            </w:r>
          </w:p>
        </w:tc>
        <w:tc>
          <w:tcPr>
            <w:tcW w:w="0" w:type="auto"/>
            <w:vAlign w:val="center"/>
            <w:hideMark/>
          </w:tcPr>
          <w:p w14:paraId="48536C74"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Մասամբ է ընդունվել</w:t>
            </w:r>
          </w:p>
          <w:p w14:paraId="43748937"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Հանվել է հետազննությունների, փորձարկումների և հաշվարկների արդյունքներն ամբողջությամբ պարտադիր ներկայացնելու ձևակերպումը։ Եզրակացությունում պահպանվել են օրենքով սահմանված նվազագույն տվյալները, իսկ դրանց հիմնավորվածությունը ստուգելի դարձնելու համար նշվում են կիրառված նորմատիվատեխնիկական փաստաթղթերն ու կատարված հետազննությունների և հաշվարկների վերաբերյալ տվյալները։ Օրենքում «առնվազն» բառը չի սահմանափակում եզրակացության բովանդակությունը միայն թվարկված տվյալներով։ Առանձին ընդհանուր սեյսմիկ հետազոտության փաստաթուղթ բոլոր դիմողներից չի պահանջվում։ Կոնկրետ հետազննության անհրաժեշտությունը որոշվում է կիրառելի պարտադիր նորմերով։</w:t>
            </w:r>
          </w:p>
        </w:tc>
      </w:tr>
      <w:tr w:rsidR="00E27916" w:rsidRPr="00E27916" w14:paraId="51BA5348" w14:textId="77777777" w:rsidTr="00E27916">
        <w:trPr>
          <w:tblCellSpacing w:w="15" w:type="dxa"/>
        </w:trPr>
        <w:tc>
          <w:tcPr>
            <w:tcW w:w="0" w:type="auto"/>
            <w:vAlign w:val="center"/>
            <w:hideMark/>
          </w:tcPr>
          <w:p w14:paraId="476332CD"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Միաժամանակ, հարկ է նկատել, որ հիշյալ կետում առկա «Քաղաքացիական օրենսգրքով և «Բազմաբնակարան շենքի կառավարման մասին» օրենքով պահանջվող համաձայնությունները կամ որոշումները» հասկացությունն անորոշ է այն առումով, որ պարզ չէ, թե խոսքը նշված օրենքներով սահմանվող կոնկրետ որ պահանջների մասին է:</w:t>
            </w:r>
          </w:p>
          <w:p w14:paraId="43A0BA24"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Նշված կետում կիրառվող «ընդհանուր գույքի կամ դրա նկատմամբ իրավունքների փոփոխություն ենթադրող դեպքում» ձևակերպման առնչությամբ հարկ է նշել, որ մեկից ավելի դեպքեր նախատեսվելու պարագայում «դեպքում» բառի եզակի թվով կիրառումն անհրաժեշտ է վերանայել: Բացի այդ, նշված ձևակերպումից միանշանակ չի ընկալվում, թե որ դեպքերն են համարվում ընդհանուր գույքի կամ դրա նկատմամբ իրավունքների փոփոխություն ենթադրող, ուստի առաջարկվում է հստակեցնել նշված դեպքերի շրջանակը:</w:t>
            </w:r>
          </w:p>
        </w:tc>
        <w:tc>
          <w:tcPr>
            <w:tcW w:w="0" w:type="auto"/>
            <w:vAlign w:val="center"/>
            <w:hideMark/>
          </w:tcPr>
          <w:p w14:paraId="0811BE7D"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2BC578DC"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43.3-րդ կետում առանձնացվել են ընդհանուր գույքի տնօրինումը, դրա կազմի կամ բաժինների փոփոխությունը և կառավարման որոշման անհրաժեշտությունը։ Կատարվել են հղումներ Քաղաքացիական օրենսգրքի 192-րդ հոդվածին, 224-րդ հոդվածի 1-ին մասին և «Բազմաբնակարան շենքի կառավարման մասին» օրենքի 11-րդ հոդվածին։ «Դեպքում» բառը համապատասխան ձևակերպման մեջ փոխարինվել է «դեպքերում» բառով։</w:t>
            </w:r>
          </w:p>
        </w:tc>
      </w:tr>
      <w:tr w:rsidR="00E27916" w:rsidRPr="00E27916" w14:paraId="77789911" w14:textId="77777777" w:rsidTr="00E27916">
        <w:trPr>
          <w:tblCellSpacing w:w="15" w:type="dxa"/>
        </w:trPr>
        <w:tc>
          <w:tcPr>
            <w:tcW w:w="0" w:type="auto"/>
            <w:vAlign w:val="center"/>
            <w:hideMark/>
          </w:tcPr>
          <w:p w14:paraId="7419D64E"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Նույն կետում կիրառվում է նաև «Նոտարական վավերացում պահանջվում է միայն օրենքով նախատեսված դեպքերում։» ձևակերպումը՝ առանց հստակեցնելու, թե ինչ փաստաթղթի նոտարական վավերացման մասին է խոսքը: Ուստի, նախորդիվ նշված՝ ներկայացուցչի լիազորությունները հաստատող փաստաթղթի վերաբերյալ կարգավորման հետ բովանդակային կապ ապահովելու նպատակով առաջարկվում է նշված դրույթները շարադրել փոխկապակցված:</w:t>
            </w:r>
          </w:p>
        </w:tc>
        <w:tc>
          <w:tcPr>
            <w:tcW w:w="0" w:type="auto"/>
            <w:vAlign w:val="center"/>
            <w:hideMark/>
          </w:tcPr>
          <w:p w14:paraId="1E3F76C8"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03BCA7A8"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Նոտարական վավերացման պահանջը կապակցվել է ներկայացուցչի լիազորությունները հաստատող փաստաթղթին՝ միայն օրենքով նախատեսված դեպքերի համար։</w:t>
            </w:r>
          </w:p>
        </w:tc>
      </w:tr>
      <w:tr w:rsidR="00E27916" w:rsidRPr="00E27916" w14:paraId="291E3183" w14:textId="77777777" w:rsidTr="00E27916">
        <w:trPr>
          <w:tblCellSpacing w:w="15" w:type="dxa"/>
        </w:trPr>
        <w:tc>
          <w:tcPr>
            <w:tcW w:w="0" w:type="auto"/>
            <w:vAlign w:val="center"/>
            <w:hideMark/>
          </w:tcPr>
          <w:p w14:paraId="6895147D"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Վերոնշյալ դիտարկման համամասնությամբ վերանայման կարիք ունի նաև քննարկվող կետում կիրառվող հետևյալ ձևակերպումը՝ «Իրավունքի կամ սահմանափակման բովանդակությունը պարզելու անհրաժեշտության դեպքում դիմողը համայնքի ղեկավարի պատճառաբանված պահանջով ներկայացնում է այն սահմանող ակտը կամ պայմանագրի համապատասխան քաղվածքը՝ նույն կետի պահանջների պահպանմամբ։», քանի որ անհրաժեշտ է ապահովել դրա բովանդակային կապը նախորդիվ նախատեսված՝ հողամասի նկատմամբ գրանցված իրավունքների և սահմանափակումների վերաբերյալ միասնական տեղեկանքի ներկայացման պահանջի հետ:</w:t>
            </w:r>
          </w:p>
        </w:tc>
        <w:tc>
          <w:tcPr>
            <w:tcW w:w="0" w:type="auto"/>
            <w:vAlign w:val="center"/>
            <w:hideMark/>
          </w:tcPr>
          <w:p w14:paraId="3A3FEE3B"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41A319B6"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Լրացուցիչ ակտը կամ պայմանագրի քաղվածքը պահանջվում է միայն այն դեպքում, երբ միասնական տեղեկանքի տվյալները բավարար չեն գրանցված իրավունքի կամ սահմանափակման ազդեցությունը պարզելու համար։ Պահպանվել են պահանջի պատճառաբանման և 43.4-րդ կետի երաշխիքները։</w:t>
            </w:r>
          </w:p>
        </w:tc>
      </w:tr>
      <w:tr w:rsidR="00E27916" w:rsidRPr="00E27916" w14:paraId="39856ABF" w14:textId="77777777" w:rsidTr="00E27916">
        <w:trPr>
          <w:tblCellSpacing w:w="15" w:type="dxa"/>
        </w:trPr>
        <w:tc>
          <w:tcPr>
            <w:tcW w:w="0" w:type="auto"/>
            <w:vAlign w:val="center"/>
            <w:hideMark/>
          </w:tcPr>
          <w:p w14:paraId="065E32A1"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Քննարկվող նույն 43.3-րդ կետում անհրաժեշտ է նաև պարզաբանել «ճակատներով», «մասնագիտական իրավասություն ունեցող անձ», «նախնական տեխնիկական գնահատական», ինչպես նաև «առաջադրանք տրամադրելու իրավասություն ունեցող մարմին» եզրույթների իրավական բովանդակությունը: Բացի այդ, «Կառավարության 2015 թվականի մարտի 19-ի N 596-Ն որոշմամբ պահանջվող հայտը և փաստաթղթերը» ձևակերպումից պարզ չէ, թե կոնկրետ ինչ փաստաթղթերի մասին է խոսքը, ուստի այս իմաստով նույնպես առաջարկվում է հստակեցնել նորմը:</w:t>
            </w:r>
          </w:p>
        </w:tc>
        <w:tc>
          <w:tcPr>
            <w:tcW w:w="0" w:type="auto"/>
            <w:vAlign w:val="center"/>
            <w:hideMark/>
          </w:tcPr>
          <w:p w14:paraId="66C8FB44"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475C430F"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«Ճակատներով» բառը փոխարինվել է «ճակատների գծագրերով» ձևակերպմամբ։ Տեխնիկական գնահատում կատարողը նույնականացվել է պահանջվող լիցենզիայի և ներդիրի միջոցով։ Հստակեցվել են գնահատման առարկան և արդյունքների ներկայացման ձևը։ Առաջադրանք տրամադրող մարմնի իրավասությունը կապվել է N 596-Ն որոշման N 1 հավելվածին, հայտը՝ 47-րդ կետին և N 5 հավելվածի N 1-1 ձևին, փաստաթղթերը՝ 48-րդ կետին, իսկ առաջադրանք չպահանջող դեպքերը՝ 37-րդ կետին։</w:t>
            </w:r>
          </w:p>
        </w:tc>
      </w:tr>
      <w:tr w:rsidR="00E27916" w:rsidRPr="00E27916" w14:paraId="7A347FCE" w14:textId="77777777" w:rsidTr="00E27916">
        <w:trPr>
          <w:tblCellSpacing w:w="15" w:type="dxa"/>
        </w:trPr>
        <w:tc>
          <w:tcPr>
            <w:tcW w:w="0" w:type="auto"/>
            <w:vAlign w:val="center"/>
            <w:hideMark/>
          </w:tcPr>
          <w:p w14:paraId="4E5CE220"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Նույն կետում, ինչպես նաև Նախագծի ամբողջ տեքստում «գնահատություն» բառն առաջարկվում է փոխարինել «գնահատում» բառով:</w:t>
            </w:r>
          </w:p>
        </w:tc>
        <w:tc>
          <w:tcPr>
            <w:tcW w:w="0" w:type="auto"/>
            <w:vAlign w:val="center"/>
            <w:hideMark/>
          </w:tcPr>
          <w:p w14:paraId="5C5BBD11"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Մասամբ է ընդունվել</w:t>
            </w:r>
          </w:p>
          <w:p w14:paraId="46710E0A"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Տեխնիկական գնահատման վերաբերյալ ձևակերպումները միասնականացվել են։ «Գրավոր նախնական գնահատություն» անվանումը պահպանվել է, քանի որ այն հենց ՀՕ-397-Ն օրենքի 2-րդ հոդվածի 3.2-րդ մասով պահանջվող փաստաթղթի անվանումն է։ Դրա համատարած փոխարինումը կխախտեր օրենքի և ենթաօրենսդրական ակտի եզրույթների համապատասխանությունը։</w:t>
            </w:r>
          </w:p>
        </w:tc>
      </w:tr>
      <w:tr w:rsidR="00E27916" w:rsidRPr="00E27916" w14:paraId="269465ED" w14:textId="77777777" w:rsidTr="00E27916">
        <w:trPr>
          <w:tblCellSpacing w:w="15" w:type="dxa"/>
        </w:trPr>
        <w:tc>
          <w:tcPr>
            <w:tcW w:w="0" w:type="auto"/>
            <w:vAlign w:val="center"/>
            <w:hideMark/>
          </w:tcPr>
          <w:p w14:paraId="4B17EA6F"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Միաժամանակ, նույն կետի համաձայն՝ նախնական տեխնիկական գնահատականը կարող է ներառվել տեխնիկական վիճակի վերաբերյալ եզրակացության մեջ։ Նշվածի կապակցությամբ հարկ է նկատել, որ «կարող է ներառվել» ձևակերպումը պարտադիր պահանջ չի սահմանում և թողնում է հայեցողության հնարավորություն, ինչի հետևանքով ստացվում է, որ նախատեսվում է մի գործընթաց, որի ներառումը պարտադիր չէ: Նշվածն իր հերթին ձևավորում է ոչ կայուն գործընթացի տպավորություն, եթե վերջինիս ներառման անհրաժեշտությունը հայեցողական բնույթ է կրում՝ հատկապես այն հաշվառմամբ, որ սահմանված չէ, թե որ դեպքերում նախնական տեխնիկական գնահատականը կարող է ներառվել տեխնիկական վիճակի եզրակացության մեջ, իսկ որ դեպքերում՝ ոչ:</w:t>
            </w:r>
          </w:p>
        </w:tc>
        <w:tc>
          <w:tcPr>
            <w:tcW w:w="0" w:type="auto"/>
            <w:vAlign w:val="center"/>
            <w:hideMark/>
          </w:tcPr>
          <w:p w14:paraId="6F89940A"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0C013D2C"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43.3-րդ կետում ուղղակի ամրագրվել է տեխնիկական գնահատման արդյունքները ներկայացնելու պարտադիր պահանջը։ Դիմողի ընտրությունը վերաբերում է միայն ձևին՝ առանձին փաստաթուղթ կամ տեխնիկական վիճակի եզրակացության կազմում, և չի վերաբերում գնահատումը կատարելու անհրաժեշտությանը։</w:t>
            </w:r>
          </w:p>
        </w:tc>
      </w:tr>
      <w:tr w:rsidR="00E27916" w:rsidRPr="00E27916" w14:paraId="2E3FA773" w14:textId="77777777" w:rsidTr="00E27916">
        <w:trPr>
          <w:tblCellSpacing w:w="15" w:type="dxa"/>
        </w:trPr>
        <w:tc>
          <w:tcPr>
            <w:tcW w:w="0" w:type="auto"/>
            <w:vAlign w:val="center"/>
            <w:hideMark/>
          </w:tcPr>
          <w:p w14:paraId="2616FDA1"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6. IV.1-ին բաժնի 43.4-րդ կետի 5-րդ պարբերության 3-րդ նախադասության համաձայն՝ «Առաջադրանքը այլ իրավասու մարմնի կողմից տրամադրվելու դեպքում համայնքի ղեկավարը հաշվի է առնում այդ մարմնի ընդունած ակտը՝ չփոխարինելով դրա լիազորությունները։»: Նշված դրույթը պարզաբանման կարիք ունի. հատկապես պարզ չէ, թե ինչ է ենթադրում «համայնքի ղեկավարի կողմից այլ իրավասու մարմնի ընդունած ակտը հաշվի առնելը և «դրա» լիազորությունները չփոխարինելը»: Այս առումով իրավական որոշակիության ապահովման տեսանկյունից նաև առաջարկվում է հստակեցնել «այլ իրավասու մարմին» հասկացության շրջանակը:</w:t>
            </w:r>
          </w:p>
        </w:tc>
        <w:tc>
          <w:tcPr>
            <w:tcW w:w="0" w:type="auto"/>
            <w:vAlign w:val="center"/>
            <w:hideMark/>
          </w:tcPr>
          <w:p w14:paraId="5B0CDCBB"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177CEA92"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43.4-րդ կետով հստակեցվել է, որ N 596-Ն որոշմամբ այլ մարմնի իրավասությանը վերապահված առաջադրանքի տրամադրումը կամ կիրառելիության հաստատումն իրականացնում է հենց այդ մարմինը։ Համայնքի ղեկավարը նրա ընդունած փաստաթուղթը կցում է նախնական գնահատությանը՝ առանց այդ հարցը կրկին լուծելու։</w:t>
            </w:r>
          </w:p>
        </w:tc>
      </w:tr>
      <w:tr w:rsidR="00E27916" w:rsidRPr="00E27916" w14:paraId="444B6DDB" w14:textId="77777777" w:rsidTr="00E27916">
        <w:trPr>
          <w:tblCellSpacing w:w="15" w:type="dxa"/>
        </w:trPr>
        <w:tc>
          <w:tcPr>
            <w:tcW w:w="0" w:type="auto"/>
            <w:vAlign w:val="center"/>
            <w:hideMark/>
          </w:tcPr>
          <w:p w14:paraId="5B07BA65"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Միաժամանակ, նույն կետի համաձայն՝ գրանցված իրավունքի կամ սահմանափակման առկայությունն ինքնին մերժման հիմք չէ, եթե այն չի խոչընդոտում համապատասխան գործողությանը և չեն խախտվում իրավատիրոջ իրավունքներն ու օրենքով պահպանվող շահերը։ Այս կապակցությամբ հստակեցման կարիք ունի «եթե այն չի խոչընդոտում համապատասխան գործողությանը» ձևակերպումը՝ սահմանելով, թե ինչ չափանիշներով է որոշվում համապատասխան գործողությանը խոչընդոտելու կամ չխոչընդոտելու հանգամանքը:</w:t>
            </w:r>
          </w:p>
        </w:tc>
        <w:tc>
          <w:tcPr>
            <w:tcW w:w="0" w:type="auto"/>
            <w:vAlign w:val="center"/>
            <w:hideMark/>
          </w:tcPr>
          <w:p w14:paraId="5286A9CE"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132D1A02"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43.4-րդ կետում սահմանվել են ստուգելի չափանիշներ՝ օրենքով, իրավասու մարմնի ակտով կամ պայմանագրով սահմանված արգելք, պահանջվող իրավատիրոջ համաձայնության բացակայություն կամ իրավատիրոջ իրավունքների ու օրենքով պահպանվող շահերի խախտում։ Սահմանափակման գրանցված լինելու փաստն ինքնին մերժման հիմք չէ։</w:t>
            </w:r>
          </w:p>
        </w:tc>
      </w:tr>
      <w:tr w:rsidR="00E27916" w:rsidRPr="00E27916" w14:paraId="7CEEABBF" w14:textId="77777777" w:rsidTr="00E27916">
        <w:trPr>
          <w:tblCellSpacing w:w="15" w:type="dxa"/>
        </w:trPr>
        <w:tc>
          <w:tcPr>
            <w:tcW w:w="0" w:type="auto"/>
            <w:vAlign w:val="center"/>
            <w:hideMark/>
          </w:tcPr>
          <w:p w14:paraId="1CC24E11"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Վերոնշյալ կետով սահմանվում է նաև, որ առաջադրանքի կիրառելիությունը գնահատելիս ստուգվում են դրա գործողությունը, հողամասի և կառուցապատման նույնությունը, նախատեսվող նշանակությունն ու հարաչափերը, ինչպես նաև գործող պարտադիր պահանջներին համապատասխանությունը։ Նշվածի կապակցությամբ անհրաժեշտ է հստակեցնել «գործող պարտադիր պահանջներ» հասկացությունը՝ սահմանելով, թե կոնկրետ որ պարտադիր պահանջներն են ներառվում նշված հասկացության ներքո:</w:t>
            </w:r>
          </w:p>
        </w:tc>
        <w:tc>
          <w:tcPr>
            <w:tcW w:w="0" w:type="auto"/>
            <w:vAlign w:val="center"/>
            <w:hideMark/>
          </w:tcPr>
          <w:p w14:paraId="65399E0B"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6E70EADA"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Նշվել են քաղաքաշինական նորմատիվատեխնիկական և տարածական պլանավորման փաստաթղթերը, հողամասի նպատակային ու գործառնական նշանակությունը և օրենքով սահմանված սահմանափակումները։</w:t>
            </w:r>
          </w:p>
        </w:tc>
      </w:tr>
      <w:tr w:rsidR="00E27916" w:rsidRPr="00E27916" w14:paraId="4E6735F4" w14:textId="77777777" w:rsidTr="00E27916">
        <w:trPr>
          <w:tblCellSpacing w:w="15" w:type="dxa"/>
        </w:trPr>
        <w:tc>
          <w:tcPr>
            <w:tcW w:w="0" w:type="auto"/>
            <w:vAlign w:val="center"/>
            <w:hideMark/>
          </w:tcPr>
          <w:p w14:paraId="6B3FB6A5"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7. IV.1-ին բաժնի 43.7-րդ կետում հստակեցման կարիք ունի, թե խոսքն ինչ ցանկում ընդգրկվելու մասին է: Բացի այդ, առաջարկվում է պարզաբանել «իր տրամադրության տակ գտնվող փաստաթղթերը» հասկացությունն այն առումով, որ ստացվում է, եթե տրամադրման ենթակա փաստաթղթերը դիմողի տրամադրության տակ չեն գտնվում, ապա կարելի է և չներկայացնել, ինչի արդյունքում տրամադրման ենթակա փաստաթղթի չներկայացման հնարավորություն է սահմանվում: Բացի այդ, պարզ չէ՝ արդյոք որևէ կերպ ստուգվելու է այս կամ այն փաստաթղթի՝ տվյալ անձի տրամադրության տակ իրապես չգտնվելու հանգամանքը:</w:t>
            </w:r>
          </w:p>
          <w:p w14:paraId="064EC651"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Նույն կետի համաձայն՝ տեղական տուրքի վճարման պարտավորությունից ազատվելու հիմքի առկայության դեպքում դիմողը նշում է պետական բյուջեի միջոցներով շինարարության ֆինանսավորման կամ համաֆինանսավորման հիմքը, ֆինանսավորող մարմինը և ներկայացնում այն հաստատող՝ իր տրամադրության տակ գտնվող փաստաթղթերը՝ նույն կարգի 43.4-րդ կետի պահանջների պահպանմամբ։ Նշվածի կապակցությամբ առաջարկվում է հստակեցնել «իր տրամադրության տակ գտնվող փաստաթղթերը» ձևակերպումը:</w:t>
            </w:r>
          </w:p>
        </w:tc>
        <w:tc>
          <w:tcPr>
            <w:tcW w:w="0" w:type="auto"/>
            <w:vAlign w:val="center"/>
            <w:hideMark/>
          </w:tcPr>
          <w:p w14:paraId="171AB3F8"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767700D1"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43.7-րդ կետում ցանկը նույնականացվել է ՀՕ-397-Ն օրենքի 2-րդ հոդվածի 3.2-րդ մասով և Կառավարության կողմից հաստատվելու հանգամանքով։ «Իր տրամադրության տակ գտնվող» վերապահումը հանվել է։ Ֆինանսավորումը հաստատող փաստաթղթերի ներկայացումը պարտադիր է՝ 43.4-րդ կետով և օրենքով նախատեսված բացառությունների պահպանմամբ։</w:t>
            </w:r>
          </w:p>
        </w:tc>
      </w:tr>
      <w:tr w:rsidR="00E27916" w:rsidRPr="00E27916" w14:paraId="6869A019" w14:textId="77777777" w:rsidTr="00E27916">
        <w:trPr>
          <w:tblCellSpacing w:w="15" w:type="dxa"/>
        </w:trPr>
        <w:tc>
          <w:tcPr>
            <w:tcW w:w="0" w:type="auto"/>
            <w:vAlign w:val="center"/>
            <w:hideMark/>
          </w:tcPr>
          <w:p w14:paraId="688DBE5C"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8. IV.1-ին բաժնի 43.8-րդ կետում առաջարկվում է հստակեցնել, թե դիմողն ինչ եղանակով է ծանուցվում քննարկման արդյունքների մասին:</w:t>
            </w:r>
          </w:p>
        </w:tc>
        <w:tc>
          <w:tcPr>
            <w:tcW w:w="0" w:type="auto"/>
            <w:vAlign w:val="center"/>
            <w:hideMark/>
          </w:tcPr>
          <w:p w14:paraId="20CCBEC4"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69BF3BE5"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43.8-րդ կետում սահմանվել է առձեռն կամ պատվիրված փոստով ծանուցումը, իսկ օրենքով նախատեսված դեպքերում՝ էլեկտրոնային ծանուցումը՝ «Վարչարարության հիմունքների և վարչական վարույթի մասին» օրենքի պահանջներով։ Հանձնումը կամ ստացումը հաստատող տվյալները պահվում են վարույթի նյութերում։ Նույն կանոնը տարածվել է ցանկը հաստատելու մասին ծանուցման վրա։</w:t>
            </w:r>
          </w:p>
        </w:tc>
      </w:tr>
      <w:tr w:rsidR="00E27916" w:rsidRPr="00E27916" w14:paraId="79686C1D" w14:textId="77777777" w:rsidTr="00E27916">
        <w:trPr>
          <w:tblCellSpacing w:w="15" w:type="dxa"/>
        </w:trPr>
        <w:tc>
          <w:tcPr>
            <w:tcW w:w="0" w:type="auto"/>
            <w:vAlign w:val="center"/>
            <w:hideMark/>
          </w:tcPr>
          <w:p w14:paraId="372FCC1B"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9. IV.1-ին բաժնի 43.9-րդ կետում «ինքնակամ կառույցն իրականացրած անձի» բառերից հետո առաջարկվում է լրացնել «կամ նրա ներկայացուցչի» բառերը՝ նկատի ունենալով, որ նույն բաժնի 43.7-րդ կետի համաձայն՝ ցանկում ընդգրկվելու մասին դիմում ներկայացնելու իրավասություն ունի ինչպես ինքնակամ կառույցն իրականացրած անձը, այնպես էլ վերջինիս ներկայացուցիչը:</w:t>
            </w:r>
          </w:p>
        </w:tc>
        <w:tc>
          <w:tcPr>
            <w:tcW w:w="0" w:type="auto"/>
            <w:vAlign w:val="center"/>
            <w:hideMark/>
          </w:tcPr>
          <w:p w14:paraId="3FB5E64D"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Մասամբ է ընդունվել</w:t>
            </w:r>
          </w:p>
          <w:p w14:paraId="4050DE2E"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43.9-րդ կետում լրացվել է ներկայացուցչի տվյալները նշելու պահանջը՝ ներկայացուցչի միջոցով դիմելու դեպքում։ «Կամ» բառով այլընտրանք չի սահմանվել, քանի որ ներկայացուցչի տվյալները չեն կարող փոխարինել կառույցն իրականացրած անձի տվյալներին։ Պահպանվում է կառույցի և իրավատիրոջ պատշաճ նույնականացումը։</w:t>
            </w:r>
          </w:p>
        </w:tc>
      </w:tr>
      <w:tr w:rsidR="00E27916" w:rsidRPr="00E27916" w14:paraId="2553644A" w14:textId="77777777" w:rsidTr="00E27916">
        <w:trPr>
          <w:tblCellSpacing w:w="15" w:type="dxa"/>
        </w:trPr>
        <w:tc>
          <w:tcPr>
            <w:tcW w:w="0" w:type="auto"/>
            <w:vAlign w:val="center"/>
            <w:hideMark/>
          </w:tcPr>
          <w:p w14:paraId="360899D5"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10. IV.1-ին բաժնի 43.11-րդ կետով սահմանվում է, որ մինչև օրինականացման մասին որոշման ընդունումը համայնքի ղեկավարը Կադաստրի կոմիտեից ստացված արդիական պաշտոնական տեղեկատվությամբ ստուգում է հողամասի նկատմամբ գրանցված իրավունքներն ու սահմանափակումները և դրանց փոփոխությունները։ Ստուգման արդյունքներն ու օգտագործված տեղեկատվության ամսաթիվը ներառվում են վարույթի նյութերում։</w:t>
            </w:r>
          </w:p>
          <w:p w14:paraId="03025F9E"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Վերոգրյալի կապակցությամբ անհրաժեշտ է պարզաբանել «արդիական պաշտոնական տեղեկատվությամբ» և «օգտագործված տեղեկատվության ամսաթիվը» հասկացությունների իրավական բովանդակությունը, մասնավորապես՝ սահմանելով, թե որ տեղեկատվությունն է համարվում «արդիական պաշտոնական», ինչպես նաև ինչ ամսաթիվ է ենթակա նշման՝ որպես օգտագործված տեղեկատվության ամսաթիվ:</w:t>
            </w:r>
          </w:p>
        </w:tc>
        <w:tc>
          <w:tcPr>
            <w:tcW w:w="0" w:type="auto"/>
            <w:vAlign w:val="center"/>
            <w:hideMark/>
          </w:tcPr>
          <w:p w14:paraId="0D1ADEB5"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5ADE82F9"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43.11-րդ կետում սահմանվել են հարցումն ուղարկողը՝ համայնքի ղեկավարը, ստացողը՝ Կադաստրի կոմիտեն, էլեկտրոնային հարցման և պատասխանի բովանդակությունը։ Օգտագործվում են պատասխանի տրամադրման պահի դրությամբ գրանցված տվյալները՝ տեղեկատվության ձևավորման ամսաթվով։ Նոր փոփոխության մասին տեղեկանալու դեպքում տվյալները ճշտվում են մինչև որոշումն ընդունելը։</w:t>
            </w:r>
          </w:p>
        </w:tc>
      </w:tr>
      <w:tr w:rsidR="00E27916" w:rsidRPr="00E27916" w14:paraId="24330BC0" w14:textId="77777777" w:rsidTr="00E27916">
        <w:trPr>
          <w:tblCellSpacing w:w="15" w:type="dxa"/>
        </w:trPr>
        <w:tc>
          <w:tcPr>
            <w:tcW w:w="0" w:type="auto"/>
            <w:vAlign w:val="center"/>
            <w:hideMark/>
          </w:tcPr>
          <w:p w14:paraId="0B3B2D46"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11. IV.1-ին բաժնի 43.14-րդ կետի վերջին նախադասությամբ սահմանվում է, որ սույն կետը չի փոփոխում ինքնակամ կառույցների հաշվառման, գույքի նկատմամբ իրավունքների պետական գրանցման և քաղաքաշինական թույլտվությունների տրամադրման՝ օրենսդրությամբ սահմանված եղանակները, սակայն նշված նորմից միանշանակ չի ընկալվում, թե «եղանակներ» ասելով կոնկրետ ինչ կարգավորումներ են հաշվի առնվում: Ուստի, առաջարկվում է այն հստակեցնել՝ պարզաբանելով, թե նշված դրույթն ինչ առնչություն ունի նույն կետով նախատեսված՝ դիմումների ներկայացման և վարույթների իրականացման թղթային կամ էլեկտրոնային եղանակների հետ:</w:t>
            </w:r>
          </w:p>
        </w:tc>
        <w:tc>
          <w:tcPr>
            <w:tcW w:w="0" w:type="auto"/>
            <w:vAlign w:val="center"/>
            <w:hideMark/>
          </w:tcPr>
          <w:p w14:paraId="7844875B"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78099F59"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43.14-րդ կետում հստակ տարանջատվել են հատուկ օրինականացման ընթացակարգի անցումը էլեկտրոնային գործառույթի և հաշվառման, իրավունքների պետական գրանցման ու N 596-Ն որոշմամբ թույլտվությունների տրամադրման գործող ընթացակարգերը։ Վերջիններիս թղթային կամ էլեկտրոնային կարգերը տվյալ անցումային դրույթով չեն փոխարինվում։</w:t>
            </w:r>
          </w:p>
        </w:tc>
      </w:tr>
      <w:tr w:rsidR="00E27916" w:rsidRPr="00E27916" w14:paraId="4AA3CAED" w14:textId="77777777" w:rsidTr="00E27916">
        <w:trPr>
          <w:tblCellSpacing w:w="15" w:type="dxa"/>
        </w:trPr>
        <w:tc>
          <w:tcPr>
            <w:tcW w:w="0" w:type="auto"/>
            <w:vAlign w:val="center"/>
            <w:hideMark/>
          </w:tcPr>
          <w:p w14:paraId="55568650"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12. Նախագծին կից ներկայացված հիմնավորման կապակցությամբ հարկ է նկատել, որ ի թիվս հիմնական դրույթների, առկա են առանձին կետերով թվարկված լրացուցիչ դրույթներ, մասնավորապես՝ «Կարգավորման բացառիկ և սահմանափակ բնույթը», «Կիսակառույցները և բազմաբնակարան շենքերը», «Համայնքային և պետական հողի սահմանափակումները», «Թղթայինից էլեկտրոնային ընթացակարգին անցումը», «Նախագծի ընդունման իրավական հիմքերը»: Այս կապակցությամբ առաջարկվում է վերանայել հիմնավորման դրույթները՝ ներկայացնելով Օրենքի 6-րդ հոդվածի 5-րդ մասի պահանջներին համապատասխան հիմնավորում:</w:t>
            </w:r>
          </w:p>
        </w:tc>
        <w:tc>
          <w:tcPr>
            <w:tcW w:w="0" w:type="auto"/>
            <w:vAlign w:val="center"/>
            <w:hideMark/>
          </w:tcPr>
          <w:p w14:paraId="736B826D"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7E7787DB"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Հիմնավորումը վերակառուցվել է «Նորմատիվ իրավական ակտերի մասին» օրենքի 6-րդ հոդվածի 5-րդ մասի տարրերով՝ խնդիր և առկա իրավիճակ, նպատակներ, ակնկալվող արդյունք և նորմատիվ բնույթի հիմնավորվածություն։ Թեմատիկ մանրամասները ներառվել են այդ բաժիններում։ Ֆինանսական տեղեկատվությունը պահպանվել է նաև Կառավարության N 252-Լ որոշմամբ հաստատված աշխատակարգի 20-րդ կետի 2-րդ ենթակետի պահանջով։</w:t>
            </w:r>
          </w:p>
        </w:tc>
      </w:tr>
      <w:tr w:rsidR="00E27916" w:rsidRPr="00E27916" w14:paraId="45E5BD0A" w14:textId="77777777" w:rsidTr="00A13C2E">
        <w:trPr>
          <w:tblCellSpacing w:w="15" w:type="dxa"/>
        </w:trPr>
        <w:tc>
          <w:tcPr>
            <w:tcW w:w="0" w:type="auto"/>
            <w:shd w:val="clear" w:color="auto" w:fill="ADADAD" w:themeFill="background2" w:themeFillShade="BF"/>
            <w:vAlign w:val="center"/>
            <w:hideMark/>
          </w:tcPr>
          <w:p w14:paraId="08ACD55F" w14:textId="77777777" w:rsidR="00E27916" w:rsidRPr="00E27916" w:rsidRDefault="00E27916" w:rsidP="00E27916">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2. ՀՀ կադաստրի կոմիտե</w:t>
            </w:r>
          </w:p>
        </w:tc>
        <w:tc>
          <w:tcPr>
            <w:tcW w:w="0" w:type="auto"/>
            <w:shd w:val="clear" w:color="auto" w:fill="ADADAD" w:themeFill="background2" w:themeFillShade="BF"/>
            <w:vAlign w:val="center"/>
            <w:hideMark/>
          </w:tcPr>
          <w:p w14:paraId="2A7EC03E" w14:textId="101BD525" w:rsidR="006E02BD" w:rsidRPr="006E02BD" w:rsidRDefault="006E02BD" w:rsidP="00735704">
            <w:pPr>
              <w:keepNext/>
              <w:spacing w:after="60" w:line="240" w:lineRule="auto"/>
              <w:ind w:left="100" w:right="100"/>
              <w:jc w:val="center"/>
              <w:rPr>
                <w:rFonts w:ascii="GHEA Grapalat" w:eastAsia="Times New Roman" w:hAnsi="GHEA Grapalat" w:cs="Times New Roman"/>
                <w:b/>
                <w:bCs/>
                <w:color w:val="000000"/>
                <w:kern w:val="0"/>
                <w:lang w:val="hy-AM"/>
                <w14:ligatures w14:val="none"/>
              </w:rPr>
            </w:pPr>
            <w:r w:rsidRPr="006E02BD">
              <w:rPr>
                <w:rFonts w:ascii="GHEA Grapalat" w:eastAsia="Times New Roman" w:hAnsi="GHEA Grapalat" w:cs="Times New Roman"/>
                <w:b/>
                <w:bCs/>
                <w:color w:val="000000"/>
                <w:kern w:val="0"/>
                <w:lang w:val="hy-AM"/>
                <w14:ligatures w14:val="none"/>
              </w:rPr>
              <w:t>01</w:t>
            </w:r>
            <w:r w:rsidRPr="006E02BD">
              <w:rPr>
                <w:rFonts w:ascii="Cambria Math" w:eastAsia="Times New Roman" w:hAnsi="Cambria Math" w:cs="Cambria Math"/>
                <w:b/>
                <w:bCs/>
                <w:color w:val="000000"/>
                <w:kern w:val="0"/>
                <w:lang w:val="hy-AM"/>
                <w14:ligatures w14:val="none"/>
              </w:rPr>
              <w:t>․</w:t>
            </w:r>
            <w:r w:rsidRPr="006E02BD">
              <w:rPr>
                <w:rFonts w:ascii="GHEA Grapalat" w:eastAsia="Times New Roman" w:hAnsi="GHEA Grapalat" w:cs="Times New Roman"/>
                <w:b/>
                <w:bCs/>
                <w:color w:val="000000"/>
                <w:kern w:val="0"/>
                <w:lang w:val="hy-AM"/>
                <w14:ligatures w14:val="none"/>
              </w:rPr>
              <w:t>10</w:t>
            </w:r>
            <w:r w:rsidRPr="006E02BD">
              <w:rPr>
                <w:rFonts w:ascii="Cambria Math" w:eastAsia="Times New Roman" w:hAnsi="Cambria Math" w:cs="Cambria Math"/>
                <w:b/>
                <w:bCs/>
                <w:color w:val="000000"/>
                <w:kern w:val="0"/>
                <w:lang w:val="hy-AM"/>
                <w14:ligatures w14:val="none"/>
              </w:rPr>
              <w:t>․</w:t>
            </w:r>
            <w:r w:rsidRPr="006E02BD">
              <w:rPr>
                <w:rFonts w:ascii="GHEA Grapalat" w:eastAsia="Times New Roman" w:hAnsi="GHEA Grapalat" w:cs="Times New Roman"/>
                <w:b/>
                <w:bCs/>
                <w:color w:val="000000"/>
                <w:kern w:val="0"/>
                <w:lang w:val="hy-AM"/>
                <w14:ligatures w14:val="none"/>
              </w:rPr>
              <w:t>2026</w:t>
            </w:r>
            <w:r>
              <w:rPr>
                <w:rFonts w:ascii="GHEA Grapalat" w:eastAsia="Times New Roman" w:hAnsi="GHEA Grapalat" w:cs="Times New Roman"/>
                <w:b/>
                <w:bCs/>
                <w:color w:val="000000"/>
                <w:kern w:val="0"/>
                <w:lang w:val="hy-AM"/>
                <w14:ligatures w14:val="none"/>
              </w:rPr>
              <w:t xml:space="preserve"> </w:t>
            </w:r>
            <w:bookmarkStart w:id="0" w:name="_GoBack"/>
            <w:bookmarkEnd w:id="0"/>
            <w:r w:rsidRPr="006E02BD">
              <w:rPr>
                <w:rFonts w:ascii="GHEA Grapalat" w:eastAsia="Times New Roman" w:hAnsi="GHEA Grapalat" w:cs="GHEA Grapalat"/>
                <w:b/>
                <w:bCs/>
                <w:color w:val="000000"/>
                <w:kern w:val="0"/>
                <w:lang w:val="hy-AM"/>
                <w14:ligatures w14:val="none"/>
              </w:rPr>
              <w:t>թ</w:t>
            </w:r>
            <w:r w:rsidRPr="006E02BD">
              <w:rPr>
                <w:rFonts w:ascii="Cambria Math" w:eastAsia="Times New Roman" w:hAnsi="Cambria Math" w:cs="Cambria Math"/>
                <w:b/>
                <w:bCs/>
                <w:color w:val="000000"/>
                <w:kern w:val="0"/>
                <w:lang w:val="hy-AM"/>
                <w14:ligatures w14:val="none"/>
              </w:rPr>
              <w:t>․</w:t>
            </w:r>
          </w:p>
          <w:p w14:paraId="698246DF" w14:textId="2EB9D720" w:rsidR="00E27916" w:rsidRPr="00F82534" w:rsidRDefault="00F82534" w:rsidP="00735704">
            <w:pPr>
              <w:keepNext/>
              <w:spacing w:after="60" w:line="240" w:lineRule="auto"/>
              <w:ind w:left="100" w:right="100"/>
              <w:jc w:val="center"/>
              <w:rPr>
                <w:rFonts w:ascii="GHEA Grapalat" w:eastAsia="Times New Roman" w:hAnsi="GHEA Grapalat" w:cs="Times New Roman"/>
                <w:b/>
                <w:bCs/>
                <w:kern w:val="0"/>
                <w14:ligatures w14:val="none"/>
              </w:rPr>
            </w:pPr>
            <w:r>
              <w:rPr>
                <w:rFonts w:ascii="GHEA Grapalat" w:eastAsia="Times New Roman" w:hAnsi="GHEA Grapalat" w:cs="Times New Roman"/>
                <w:b/>
                <w:bCs/>
                <w:color w:val="000000"/>
                <w:kern w:val="0"/>
                <w14:ligatures w14:val="none"/>
              </w:rPr>
              <w:t>N ՍԹ/21211-2026</w:t>
            </w:r>
          </w:p>
        </w:tc>
      </w:tr>
      <w:tr w:rsidR="00E27916" w:rsidRPr="00E27916" w14:paraId="099CA570" w14:textId="77777777" w:rsidTr="00A13C2E">
        <w:trPr>
          <w:tblCellSpacing w:w="15" w:type="dxa"/>
        </w:trPr>
        <w:tc>
          <w:tcPr>
            <w:tcW w:w="0" w:type="auto"/>
            <w:shd w:val="clear" w:color="auto" w:fill="D1D1D1" w:themeFill="background2" w:themeFillShade="E6"/>
            <w:vAlign w:val="center"/>
          </w:tcPr>
          <w:p w14:paraId="19921548" w14:textId="77777777" w:rsidR="00E27916" w:rsidRPr="00E27916" w:rsidRDefault="00E27916" w:rsidP="00E27916">
            <w:pPr>
              <w:spacing w:after="0" w:line="240" w:lineRule="auto"/>
              <w:ind w:left="120" w:right="157"/>
              <w:rPr>
                <w:rFonts w:ascii="GHEA Grapalat" w:eastAsia="Times New Roman" w:hAnsi="GHEA Grapalat" w:cs="Times New Roman"/>
                <w:b/>
                <w:bCs/>
                <w:kern w:val="0"/>
                <w14:ligatures w14:val="none"/>
              </w:rPr>
            </w:pPr>
          </w:p>
        </w:tc>
        <w:tc>
          <w:tcPr>
            <w:tcW w:w="0" w:type="auto"/>
            <w:shd w:val="clear" w:color="auto" w:fill="D1D1D1" w:themeFill="background2" w:themeFillShade="E6"/>
            <w:vAlign w:val="center"/>
          </w:tcPr>
          <w:p w14:paraId="14472D2C" w14:textId="77777777" w:rsidR="00E27916" w:rsidRPr="00E27916" w:rsidRDefault="00E27916" w:rsidP="00735704">
            <w:pPr>
              <w:spacing w:after="0" w:line="240" w:lineRule="auto"/>
              <w:jc w:val="center"/>
              <w:rPr>
                <w:rFonts w:ascii="GHEA Grapalat" w:eastAsia="Times New Roman" w:hAnsi="GHEA Grapalat" w:cs="Times New Roman"/>
                <w:kern w:val="0"/>
                <w14:ligatures w14:val="none"/>
              </w:rPr>
            </w:pPr>
          </w:p>
        </w:tc>
      </w:tr>
      <w:tr w:rsidR="00E27916" w:rsidRPr="00E27916" w14:paraId="2F4CFCD5" w14:textId="77777777" w:rsidTr="00E27916">
        <w:trPr>
          <w:tblCellSpacing w:w="15" w:type="dxa"/>
        </w:trPr>
        <w:tc>
          <w:tcPr>
            <w:tcW w:w="0" w:type="auto"/>
            <w:vAlign w:val="center"/>
            <w:hideMark/>
          </w:tcPr>
          <w:p w14:paraId="598372DB"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Նախագծի 1-ին կետի 2-րդ ենթակետով առաջարկվող դրույթը լրացուցիչ հստակեցման կարիք ունի։ Մասնավորապես, անհրաժեշտ է հիմնավորել, թե ինչու ՀՀ կառավարության 2006 թվականի մայիսի 18-ի «Ինքնակամ կառույցների օրինականացման և տնօրինման կարգը հաստատելու մասին» N 912-Ն որոշման 3-րդ կետով սահմանված կարգավորումը չի կարող կիրառվել նաև Օրենքի 2-րդ հոդվածի 3.2-րդ մասով նախատեսված ինքնակամ կառույցների օրինականացման գործընթացում։</w:t>
            </w:r>
          </w:p>
        </w:tc>
        <w:tc>
          <w:tcPr>
            <w:tcW w:w="0" w:type="auto"/>
            <w:vAlign w:val="center"/>
            <w:hideMark/>
          </w:tcPr>
          <w:p w14:paraId="22DA2C1A"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26DAB48B"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Բացառության հիմնավորումը լրացվել է հիմնավորման մեջ։ ՀՕ-397-Ն օրենքի 2-րդ հոդվածի 3.2-րդ մասը պահանջում է մինչև ցանկում ընդգրկելը գնահատել քաղաքաշինական խոչընդոտների բացակայությունը։ Հողամասի գործառնական նշանակությունը միայն օրինականացման որոշմամբ ինքնաբերաբար փոխելը կարող է անորոշ դարձնել այդ նախնական գնահատման ելակետը։ Ուստի հատուկ ընթացակարգում անհրաժեշտ փոփոխությունը կատարվում է նախապես՝ դրա համար գործող կարգով։ Հին ընթացակարգերի համար N 912-Ն որոշման 3-րդ կետի կիրառումը պահպանվում է։</w:t>
            </w:r>
          </w:p>
        </w:tc>
      </w:tr>
      <w:tr w:rsidR="00E27916" w:rsidRPr="00E27916" w14:paraId="62FC1479" w14:textId="77777777" w:rsidTr="00E27916">
        <w:trPr>
          <w:tblCellSpacing w:w="15" w:type="dxa"/>
        </w:trPr>
        <w:tc>
          <w:tcPr>
            <w:tcW w:w="0" w:type="auto"/>
            <w:vAlign w:val="center"/>
            <w:hideMark/>
          </w:tcPr>
          <w:p w14:paraId="378C4408"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 xml:space="preserve">Նախագծի 1-ին կետի 3-րդ ենթակետի «գ» պարբերությամբ առաջարկվում է լրացնել նոր IV.1-ին բաժին (այսուհետ՝ Բաժին), որով նախատեսվում է կարգավորել «Հայաստանի Հանրապետության քաղաքացիական օրենսգրքում լրացումներ և փոփոխություններ կատարելու մասին» 2021 թվականի դեկտեմբերի 16-ի ՀՕ-397-Ն օրենքի (այսուհետ՝ Օրենք) 2-րդ հոդվածի 3.2-րդ մասով նախատեսված ինքնակամ կառույցների օրինականացման առանձնահատկությունները։ Մինչդեռ Բաժնի43.2-րդ կետով սահմանվում է, որ Բաժնի կարգավորումները կիրառվում են նաև կիսակառույց ինքնակամ շինությունների հատվածների նկատմամբ։ Այս առումով հարկ է նկատի ունենալ, որ Օրենքի 2-րդ հոդվածի 3.2-րդ մասը վերաբերում է բացառապես ֆիզիկական կամ իրավաբանական անձանց՝ սեփականության իրավունքով պատկանող հողամասերում առկա ամբողջությամբ ինքնակամ հանդիսացող կառույցներին և չի տարածվում կիսակառույց ինքնակամ շինությունների կամ դրանց հատվածների վրա։ </w:t>
            </w:r>
          </w:p>
          <w:p w14:paraId="1B1AB9C8"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 xml:space="preserve">   Հաշվի առնելով վերոգրյալը՝ առաջարկում ենք Նախագծից հանել կիսակառույց ինքնակամ շինություններին կամ դրանց հատվածներին վերաբերող բոլոր կարգավորումները։ Նույն դիտարկումը վերաբերում է նաև Բաժնի 43.3-43.5-րդ,43.11-րդ և 43.13-րդ կետերին։</w:t>
            </w:r>
          </w:p>
        </w:tc>
        <w:tc>
          <w:tcPr>
            <w:tcW w:w="0" w:type="auto"/>
            <w:vAlign w:val="center"/>
            <w:hideMark/>
          </w:tcPr>
          <w:p w14:paraId="6B55DD15"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Չի ընդունվել</w:t>
            </w:r>
          </w:p>
          <w:p w14:paraId="580F6E01"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«Ամբողջությամբ ինքնակամ» բնորոշումը վերաբերում է կառույցի իրավական կարգավիճակին, ոչ թե շինարարության ավարտվածությանը։ ՀՕ-397-Ն օրենքի 2-րդ հոդվածի 4-րդ մասում կիսակառույցի չհաշվառված հատվածի օրինականացման ընդհանուր արգելքից ուղղակի բացառություն է նախատեսված նույն հոդվածի 3.2-րդ մասի դեպքերի համար։ Համակարգային մեկնաբանությամբ կիսակառույցների ամբողջական բացառումը հիմնավորված չէ։ Պահպանվել է միայն ամբողջությամբ ինքնակամ կիսակառույցի հաշվառված փաստացի հատվածի օրինականացումը՝ օրենքով պահանջվող բոլոր դրական եզրակացությունների առկայությամբ։ Չկառուցված ծավալը չի օրինականացվում, իսկ օրինական շենքին կից ինքնակամ հատվածը դրանով հատուկ ընթացակարգի մեջ չի ընդգրկվում։ 43.5-րդ կետը բացառում է անվտանգության պահանջները հետագայում կատարելու պայմանով դրական եզրակացությունը, իսկ հետագա շինարարությունը 43.13-րդ կետով ենթարկվում է N 596-Ն որոշմանը։</w:t>
            </w:r>
          </w:p>
        </w:tc>
      </w:tr>
      <w:tr w:rsidR="00E27916" w:rsidRPr="00E27916" w14:paraId="066DFC1A" w14:textId="77777777" w:rsidTr="00E27916">
        <w:trPr>
          <w:tblCellSpacing w:w="15" w:type="dxa"/>
        </w:trPr>
        <w:tc>
          <w:tcPr>
            <w:tcW w:w="0" w:type="auto"/>
            <w:vAlign w:val="center"/>
            <w:hideMark/>
          </w:tcPr>
          <w:p w14:paraId="7BAA4650" w14:textId="4A19F72E"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Բաժնի 43․2-րդ կետով սահմանվում է, որ Օրենքի 2-րդ հոդվածի 2-րդ կամ</w:t>
            </w:r>
            <w:r w:rsidR="00933EAB">
              <w:rPr>
                <w:rFonts w:ascii="GHEA Grapalat" w:eastAsia="Times New Roman" w:hAnsi="GHEA Grapalat" w:cs="Times New Roman"/>
                <w:color w:val="000000"/>
                <w:kern w:val="0"/>
                <w14:ligatures w14:val="none"/>
              </w:rPr>
              <w:t xml:space="preserve"> </w:t>
            </w:r>
            <w:r>
              <w:rPr>
                <w:rFonts w:ascii="GHEA Grapalat" w:eastAsia="Times New Roman" w:hAnsi="GHEA Grapalat" w:cs="Times New Roman"/>
                <w:color w:val="000000"/>
                <w:kern w:val="0"/>
                <w14:ligatures w14:val="none"/>
              </w:rPr>
              <w:t>3.1-ին մասի պայմաններին համապատասխանող ինքնակամ ձևափոխումների, վերակառուցումների և կից կառույցների նկատմամբ կիրառվում են սույն կարգի համապատասխան բաժինները։ Միաժամանակ, նշված կարգավորումն անմիջականորեն չի բխում Բաժնով կարգավորվող իրավահարաբերությունների շրջանակից։ Հետևաբար անհրաժեշտ է լրացուցիչ հիմնավորել Օրենքի 2-րդ հոդվածի 2-րդ և 3.1-ին մասերով նախատեսված դեպքերին վերաբերող կարգավորումները հենց սույն Բաժնում ներառելու անհրաժեշտությունն ու իրավական նպատակահարմարությունը։</w:t>
            </w:r>
          </w:p>
        </w:tc>
        <w:tc>
          <w:tcPr>
            <w:tcW w:w="0" w:type="auto"/>
            <w:vAlign w:val="center"/>
            <w:hideMark/>
          </w:tcPr>
          <w:p w14:paraId="4E585B88"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2EBC3C9C"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Նախկին իրավակարգավորումներին վերաբերող նախադասությունը 43.2-րդ կետից տեղափոխվել է ընդհանուր դրույթների 1.1-ին կետ։ IV.1 բաժնում պահպանվել են միայն հատուկ ընթացակարգի կիրառման սահմանները։</w:t>
            </w:r>
          </w:p>
        </w:tc>
      </w:tr>
      <w:tr w:rsidR="00E27916" w:rsidRPr="00E27916" w14:paraId="7E83DC49" w14:textId="77777777" w:rsidTr="00E27916">
        <w:trPr>
          <w:tblCellSpacing w:w="15" w:type="dxa"/>
        </w:trPr>
        <w:tc>
          <w:tcPr>
            <w:tcW w:w="0" w:type="auto"/>
            <w:vAlign w:val="center"/>
            <w:hideMark/>
          </w:tcPr>
          <w:p w14:paraId="446D133D"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Բաժնի 43.10-րդ կետի համաձայն՝ դիմումը մուտքագրվելու օրվանից հինգ աշխատանքային օրվա ընթացքում համայնքի ղեկավարը դիմողին հայտնում է օրենքով սահմանված կարգով հաշվարկված տեղական տուրքի չափը և դրա վճարման համար անհրաժեշտ տվյալները կամ տուրքի վճարման պարտավորությունից ազատվելու հիմքը։ Նույն կետով սահմանվում է նաև, որ մինչև օրինականացման մասին որոշման ընդունումը դիմողը վճարում է տեղական տուրքը և ներկայացնում վճարումը հաստատող փաստաթուղթը, եթե ազատված չէ տուրքի վճարման պարտավորությունից։ Միաժամանակ, Բաժնի 43.11-րդ կետի համաձայն՝ համայնքի ղեկավարը դիմումը մուտքագրվելու օրվանից առավելագույնը 30-օրյա ժամկետում ընդունում է կառույցն օրինականացնելու կամ օրինականացումը մերժելու մասին որոշում։</w:t>
            </w:r>
          </w:p>
          <w:p w14:paraId="2787E1EE"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Նշված կարգավորումների համադրման արդյունքում կարող է առաջանալ իրավիճակ, երբ դիմողը, մինչև վերջնական որոշման ընդունումը, վճարում է տեղական տուրքը, սակայն հետագայում համայնքի ղեկավարը ընդունում է կառույցի օրինականացումը մերժելու մասին որոշում։ Այս համատեքստում հարկ է ընդգծել, որ Բաժնով որևէ կարգավորում նախատեսված չէ նման դեպքում նախապես վճարված տեղական տուրքի վերադարձման կարգի և պայմանների վերաբերյալ։ Հետևաբար անհրաժեշտ է նախատեսել համապատասխան կարգավորում՝ օրինականացումը մերժելու դեպքում վճարված տեղական տուրքի վերադարձման ընթացակարգը հստակեցնելու նպատակով։</w:t>
            </w:r>
          </w:p>
        </w:tc>
        <w:tc>
          <w:tcPr>
            <w:tcW w:w="0" w:type="auto"/>
            <w:vAlign w:val="center"/>
            <w:hideMark/>
          </w:tcPr>
          <w:p w14:paraId="22F327FA"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6551645B"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43.12-րդ կետում լրացվել է «Տեղական տուրքերի և վճարների մասին» օրենքի 17-րդ հոդվածի ուղղակի հղումը։ Մերժելու դեպքում տուրքը վերադարձվում է վճարողի՝ համայնքի ղեկավարին ներկայացրած դիմումին հաջորդող 30 աշխատանքային օրվա ընթացքում։ Մերժման որոշմամբ դիմողը տեղեկացվում է վերադարձի համար դիմելու իրավունքի և կարգի մասին։ Նոր կամ օրենքից տարբերվող վերադարձի ռեժիմ չի ստեղծվում։</w:t>
            </w:r>
          </w:p>
        </w:tc>
      </w:tr>
      <w:tr w:rsidR="00E27916" w:rsidRPr="00E27916" w14:paraId="42860D96" w14:textId="77777777" w:rsidTr="00E27916">
        <w:trPr>
          <w:tblCellSpacing w:w="15" w:type="dxa"/>
        </w:trPr>
        <w:tc>
          <w:tcPr>
            <w:tcW w:w="0" w:type="auto"/>
            <w:vAlign w:val="center"/>
            <w:hideMark/>
          </w:tcPr>
          <w:p w14:paraId="23A6C592"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5․ Բաժնի 43.12-րդ կետով սահմանված են ինքնակամ կառույցի օրինականացումը մերժելու հիմքերը։ Մասնավորապես, նույն կետի 4-րդ ենթակետի համաձայն՝ օրինականացումը մերժվում է, եթե կառույցն ընդգրկված չէ Օրենքի 2-րդ հոդվածի3.2-րդ մասով նախատեսված ցանկում։</w:t>
            </w:r>
          </w:p>
          <w:p w14:paraId="4FF63ED7"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Մինչդեռ մերժման նշված հիմքը չի համադրվում Բաժնով նախատեսված ընթացակարգային հաջորդականության հետ։ Մասնավորապես, Բաժնի 43.10-րդ կետի համաձայն՝ դիմումը մուտքագրվելու օրվանից հինգ աշխատանքային օրվա ընթացքում համայնքի ղեկավարը դիմողին հայտնում է օրենքով սահմանված կարգով հաշվարկված տեղական տուրքի չափը և դրա վճարման համար անհրաժեշտ տվյալները, մինչդեռ հետագայում նույն դիմումը կարող է մերժվել միայն այն հիմքով, որ համապատասխան կառույցն ընդգրկված չէ Օրենքի 2-րդ հոդվածի 3.2-րդ մասով նախատեսված ցանկում։</w:t>
            </w:r>
          </w:p>
          <w:p w14:paraId="34D59EEA"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Նման կարգավորման պայմաններում ստեղծվում է ընթացակարգային անհստակություն, քանի որ ցանկում ընդգրկված չլինելու հանգամանքը, որպես մերժման ինքնուրույն հիմք, տրամաբանորեն պետք է պարզվի մինչև դիմողին տեղական տուրքի չափի և վճարման տվյալների տրամադրումը։</w:t>
            </w:r>
          </w:p>
          <w:p w14:paraId="023E4490"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Հաշվի առնելով վերոգրյալը՝ առաջարկում ենք հստակեցնել նշված կարգավորումների կիրառման հաջորդականությունը և փոխկապակցվածությունը։</w:t>
            </w:r>
          </w:p>
        </w:tc>
        <w:tc>
          <w:tcPr>
            <w:tcW w:w="0" w:type="auto"/>
            <w:vAlign w:val="center"/>
            <w:hideMark/>
          </w:tcPr>
          <w:p w14:paraId="29D8FBB7"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043D6631"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43.10-րդ կետում ամրագրվել է հերթականությունը՝ նախ ստուգվում են ցանկում ընդգրկված լինելը և դիմողի լիազորությունը, ապա հաղորդվում են տուրքի հաշվարկն ու վճարման տվյալները։ Ցանկում չընդգրկված կառույցի համար տուրքի վճարում չի պահանջվում։</w:t>
            </w:r>
          </w:p>
        </w:tc>
      </w:tr>
      <w:tr w:rsidR="00E27916" w:rsidRPr="00E27916" w14:paraId="4E574519" w14:textId="77777777" w:rsidTr="00E27916">
        <w:trPr>
          <w:tblCellSpacing w:w="15" w:type="dxa"/>
        </w:trPr>
        <w:tc>
          <w:tcPr>
            <w:tcW w:w="0" w:type="auto"/>
            <w:vAlign w:val="center"/>
            <w:hideMark/>
          </w:tcPr>
          <w:p w14:paraId="2BC41EA4"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6․ Բաժնի 43.11-րդ կետով նախատեսվում է, որ մինչև օրինականացման մասին որոշման ընդունումը համայնքի ղեկավարը Կադաստրի կոմիտեից ստացված արդիական պաշտոնական տեղեկատվության հիման վրա ստուգում է հողամասի նկատմամբ գրանցված իրավունքներն ու սահմանափակումները։ Այս առումով անհրաժեշտ է հստակեցնել, թե Կադաստրի կոմիտեից ստացվող «արդիական պաշտոնական տեղեկատվություն» ձևակերպմամբ ինչ տեղեկատվություն է նախատեսվում։ Եթե նշված տեղեկատվության ներքո նախատեսվում է անշարժ գույքի վերաբերյալ միասնական տեղեկանքի տրամադրումը, ապա անհրաժեշտ է նաև հստակեցնել, թե որ սուբյեկտն է դիմում Կադաստրի կոմիտե՝ այն ստանալու համար։</w:t>
            </w:r>
          </w:p>
        </w:tc>
        <w:tc>
          <w:tcPr>
            <w:tcW w:w="0" w:type="auto"/>
            <w:vAlign w:val="center"/>
            <w:hideMark/>
          </w:tcPr>
          <w:p w14:paraId="1DD849AE"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0D8F525C"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43.11-րդ կետով վերջնական ստուգման համար հարցումը կատարում է համայնքի ղեկավարը։ Սահմանվել են պաշտոնական էլեկտրոնային պատասխանում ներառվող տվյալները, դրանց արդիականության պահը և վարույթի նյութերում պահպանումը։ Սա վարչական մարմնի ստուգում է․ դիմողից երկրորդ միասնական տեղեկանք չի պահանջվում։ Նախնական դիմումին կից միասնական տեղեկանքի ներկայացման պահանջը պահպանվել է։</w:t>
            </w:r>
          </w:p>
        </w:tc>
      </w:tr>
      <w:tr w:rsidR="00E27916" w:rsidRPr="00E27916" w14:paraId="73C7899D" w14:textId="77777777" w:rsidTr="00E27916">
        <w:trPr>
          <w:tblCellSpacing w:w="15" w:type="dxa"/>
        </w:trPr>
        <w:tc>
          <w:tcPr>
            <w:tcW w:w="0" w:type="auto"/>
            <w:vAlign w:val="center"/>
            <w:hideMark/>
          </w:tcPr>
          <w:p w14:paraId="0502BA56" w14:textId="4A51475E"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7. Բաժնի 43․13-րդ կետով նախատեսվում է, որ օրինականացման կամ մերժման մասին որոշումը կադաստր վարող մարմին տրամադրվում է սույն որոշման 5-րդ կետով սահմանված կարգով։ Այս կապակցությամբ, հաշվի առնելով գործող օրենսդրական կարգավորումները, մասնավորապես՝ «Գույքի նկատմամբ իրավունքների պետական գրանցման մասին» օրենքի 8-րդ հոդվածի 2.1-ին մասի պահանջը, համաձայն որի՝ եթե օրենքով այլ բան նախատեսված չէ, նույն հոդվածի</w:t>
            </w:r>
            <w:r w:rsidR="00577C62">
              <w:rPr>
                <w:rFonts w:ascii="GHEA Grapalat" w:eastAsia="Times New Roman" w:hAnsi="GHEA Grapalat" w:cs="Times New Roman"/>
                <w:color w:val="000000"/>
                <w:kern w:val="0"/>
                <w14:ligatures w14:val="none"/>
              </w:rPr>
              <w:t xml:space="preserve"> </w:t>
            </w:r>
            <w:r>
              <w:rPr>
                <w:rFonts w:ascii="GHEA Grapalat" w:eastAsia="Times New Roman" w:hAnsi="GHEA Grapalat" w:cs="Times New Roman"/>
                <w:color w:val="000000"/>
                <w:kern w:val="0"/>
                <w14:ligatures w14:val="none"/>
              </w:rPr>
              <w:t>2-րդ մասում նշված մարմինները և նոտարները պետական գրանցման համար անհրաժեշտ փաստաթղթերը ներկայացնում են էլեկտրոնային եղանակով, անհրաժեշտ է Որոշման 5-րդ կետով նախատեսված կարգավորումը համապատասխանեցնել նշված օրենսդրական պահանջին։</w:t>
            </w:r>
          </w:p>
        </w:tc>
        <w:tc>
          <w:tcPr>
            <w:tcW w:w="0" w:type="auto"/>
            <w:vAlign w:val="center"/>
            <w:hideMark/>
          </w:tcPr>
          <w:p w14:paraId="54B31815"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75AFC939" w14:textId="73404293"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 xml:space="preserve">Նախագծի 1-ին կետում ավելացվել է Որոշման 5-րդ կետը նոր խմբագրությամբ շարադրող 3-րդ ենթակետը։ Ամրագրվել են էլեկտրոնային տրամադրումը և «Գույքի նկատմամբ իրավունքների պետական գրանցման մասին» օրենքի 8-րդ հոդվածի 2.1-ին մասի հղումը։ Պահպանվել են </w:t>
            </w:r>
            <w:r w:rsidR="0066553C">
              <w:rPr>
                <w:rFonts w:ascii="GHEA Grapalat" w:eastAsia="Times New Roman" w:hAnsi="GHEA Grapalat" w:cs="Times New Roman"/>
                <w:color w:val="000000"/>
                <w:kern w:val="0"/>
                <w14:ligatures w14:val="none"/>
              </w:rPr>
              <w:t>«Գույքի նկատմամբ իրավունքների պետական գրանցման մասին» օրենքի 8-րդ հոդվածի 2.1-ին մասի պահանջը</w:t>
            </w:r>
            <w:r>
              <w:rPr>
                <w:rFonts w:ascii="GHEA Grapalat" w:eastAsia="Times New Roman" w:hAnsi="GHEA Grapalat" w:cs="Times New Roman"/>
                <w:color w:val="000000"/>
                <w:kern w:val="0"/>
                <w14:ligatures w14:val="none"/>
              </w:rPr>
              <w:t xml:space="preserve"> և համապատասխան դեպքերում շենքի կառավարման մարմնին 15-օրյա իրազեկման ժամկետները։</w:t>
            </w:r>
          </w:p>
        </w:tc>
      </w:tr>
      <w:tr w:rsidR="00E27916" w:rsidRPr="00E27916" w14:paraId="63CB0BE1" w14:textId="77777777" w:rsidTr="00A13C2E">
        <w:trPr>
          <w:tblCellSpacing w:w="15" w:type="dxa"/>
        </w:trPr>
        <w:tc>
          <w:tcPr>
            <w:tcW w:w="0" w:type="auto"/>
            <w:shd w:val="clear" w:color="auto" w:fill="ADADAD" w:themeFill="background2" w:themeFillShade="BF"/>
            <w:vAlign w:val="center"/>
            <w:hideMark/>
          </w:tcPr>
          <w:p w14:paraId="48F73A41" w14:textId="77777777" w:rsidR="00E27916" w:rsidRPr="00E27916" w:rsidRDefault="00E27916" w:rsidP="00E27916">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3. Երևանի քաղաքապետարան</w:t>
            </w:r>
          </w:p>
        </w:tc>
        <w:tc>
          <w:tcPr>
            <w:tcW w:w="0" w:type="auto"/>
            <w:shd w:val="clear" w:color="auto" w:fill="ADADAD" w:themeFill="background2" w:themeFillShade="BF"/>
            <w:vAlign w:val="center"/>
            <w:hideMark/>
          </w:tcPr>
          <w:p w14:paraId="0AE36AC1" w14:textId="0F1E1517" w:rsidR="006E02BD" w:rsidRPr="006E02BD" w:rsidRDefault="006E02BD" w:rsidP="00735704">
            <w:pPr>
              <w:keepNext/>
              <w:spacing w:after="60" w:line="240" w:lineRule="auto"/>
              <w:ind w:left="100" w:right="100"/>
              <w:jc w:val="center"/>
              <w:rPr>
                <w:rFonts w:ascii="GHEA Grapalat" w:eastAsia="Times New Roman" w:hAnsi="GHEA Grapalat" w:cs="Times New Roman"/>
                <w:b/>
                <w:bCs/>
                <w:color w:val="000000"/>
                <w:kern w:val="0"/>
                <w:lang w:val="hy-AM"/>
                <w14:ligatures w14:val="none"/>
              </w:rPr>
            </w:pPr>
            <w:r w:rsidRPr="006E02BD">
              <w:rPr>
                <w:rFonts w:ascii="GHEA Grapalat" w:eastAsia="Times New Roman" w:hAnsi="GHEA Grapalat" w:cs="Times New Roman"/>
                <w:b/>
                <w:bCs/>
                <w:color w:val="000000"/>
                <w:kern w:val="0"/>
                <w:lang w:val="hy-AM"/>
                <w14:ligatures w14:val="none"/>
              </w:rPr>
              <w:t>05</w:t>
            </w:r>
            <w:r w:rsidRPr="006E02BD">
              <w:rPr>
                <w:rFonts w:ascii="Cambria Math" w:eastAsia="Times New Roman" w:hAnsi="Cambria Math" w:cs="Cambria Math"/>
                <w:b/>
                <w:bCs/>
                <w:color w:val="000000"/>
                <w:kern w:val="0"/>
                <w:lang w:val="hy-AM"/>
                <w14:ligatures w14:val="none"/>
              </w:rPr>
              <w:t>․</w:t>
            </w:r>
            <w:r w:rsidRPr="006E02BD">
              <w:rPr>
                <w:rFonts w:ascii="GHEA Grapalat" w:eastAsia="Times New Roman" w:hAnsi="GHEA Grapalat" w:cs="Times New Roman"/>
                <w:b/>
                <w:bCs/>
                <w:color w:val="000000"/>
                <w:kern w:val="0"/>
                <w:lang w:val="hy-AM"/>
                <w14:ligatures w14:val="none"/>
              </w:rPr>
              <w:t>10</w:t>
            </w:r>
            <w:r w:rsidRPr="006E02BD">
              <w:rPr>
                <w:rFonts w:ascii="Cambria Math" w:eastAsia="Times New Roman" w:hAnsi="Cambria Math" w:cs="Cambria Math"/>
                <w:b/>
                <w:bCs/>
                <w:color w:val="000000"/>
                <w:kern w:val="0"/>
                <w:lang w:val="hy-AM"/>
                <w14:ligatures w14:val="none"/>
              </w:rPr>
              <w:t>․</w:t>
            </w:r>
            <w:r w:rsidRPr="006E02BD">
              <w:rPr>
                <w:rFonts w:ascii="GHEA Grapalat" w:eastAsia="Times New Roman" w:hAnsi="GHEA Grapalat" w:cs="Times New Roman"/>
                <w:b/>
                <w:bCs/>
                <w:color w:val="000000"/>
                <w:kern w:val="0"/>
                <w:lang w:val="hy-AM"/>
                <w14:ligatures w14:val="none"/>
              </w:rPr>
              <w:t>2026</w:t>
            </w:r>
            <w:r>
              <w:rPr>
                <w:rFonts w:ascii="GHEA Grapalat" w:eastAsia="Times New Roman" w:hAnsi="GHEA Grapalat" w:cs="Times New Roman"/>
                <w:b/>
                <w:bCs/>
                <w:color w:val="000000"/>
                <w:kern w:val="0"/>
                <w:lang w:val="hy-AM"/>
                <w14:ligatures w14:val="none"/>
              </w:rPr>
              <w:t xml:space="preserve"> </w:t>
            </w:r>
            <w:r w:rsidRPr="006E02BD">
              <w:rPr>
                <w:rFonts w:ascii="GHEA Grapalat" w:eastAsia="Times New Roman" w:hAnsi="GHEA Grapalat" w:cs="GHEA Grapalat"/>
                <w:b/>
                <w:bCs/>
                <w:color w:val="000000"/>
                <w:kern w:val="0"/>
                <w:lang w:val="hy-AM"/>
                <w14:ligatures w14:val="none"/>
              </w:rPr>
              <w:t>թ</w:t>
            </w:r>
            <w:r w:rsidRPr="006E02BD">
              <w:rPr>
                <w:rFonts w:ascii="Cambria Math" w:eastAsia="Times New Roman" w:hAnsi="Cambria Math" w:cs="Cambria Math"/>
                <w:b/>
                <w:bCs/>
                <w:color w:val="000000"/>
                <w:kern w:val="0"/>
                <w:lang w:val="hy-AM"/>
                <w14:ligatures w14:val="none"/>
              </w:rPr>
              <w:t>․</w:t>
            </w:r>
          </w:p>
          <w:p w14:paraId="4F82B0F2" w14:textId="38F7862E" w:rsidR="00E27916" w:rsidRPr="00F82534" w:rsidRDefault="00F82534" w:rsidP="00735704">
            <w:pPr>
              <w:keepNext/>
              <w:spacing w:after="60" w:line="240" w:lineRule="auto"/>
              <w:ind w:left="100" w:right="100"/>
              <w:jc w:val="center"/>
              <w:rPr>
                <w:rFonts w:ascii="GHEA Grapalat" w:eastAsia="Times New Roman" w:hAnsi="GHEA Grapalat" w:cs="Times New Roman"/>
                <w:b/>
                <w:bCs/>
                <w:kern w:val="0"/>
                <w14:ligatures w14:val="none"/>
              </w:rPr>
            </w:pPr>
            <w:r>
              <w:rPr>
                <w:rFonts w:ascii="GHEA Grapalat" w:eastAsia="Times New Roman" w:hAnsi="GHEA Grapalat" w:cs="Times New Roman"/>
                <w:b/>
                <w:bCs/>
                <w:color w:val="000000"/>
                <w:kern w:val="0"/>
                <w14:ligatures w14:val="none"/>
              </w:rPr>
              <w:t>N 01/137489-26</w:t>
            </w:r>
          </w:p>
        </w:tc>
      </w:tr>
      <w:tr w:rsidR="00E27916" w:rsidRPr="00E27916" w14:paraId="7B82734C" w14:textId="77777777" w:rsidTr="00A13C2E">
        <w:trPr>
          <w:tblCellSpacing w:w="15" w:type="dxa"/>
        </w:trPr>
        <w:tc>
          <w:tcPr>
            <w:tcW w:w="0" w:type="auto"/>
            <w:shd w:val="clear" w:color="auto" w:fill="D1D1D1" w:themeFill="background2" w:themeFillShade="E6"/>
            <w:vAlign w:val="center"/>
          </w:tcPr>
          <w:p w14:paraId="7F939A04" w14:textId="77777777" w:rsidR="00E27916" w:rsidRPr="00E27916" w:rsidRDefault="00E27916" w:rsidP="00E27916">
            <w:pPr>
              <w:spacing w:after="0" w:line="240" w:lineRule="auto"/>
              <w:ind w:left="120" w:right="157"/>
              <w:rPr>
                <w:rFonts w:ascii="GHEA Grapalat" w:eastAsia="Times New Roman" w:hAnsi="GHEA Grapalat" w:cs="Times New Roman"/>
                <w:b/>
                <w:bCs/>
                <w:kern w:val="0"/>
                <w14:ligatures w14:val="none"/>
              </w:rPr>
            </w:pPr>
          </w:p>
        </w:tc>
        <w:tc>
          <w:tcPr>
            <w:tcW w:w="0" w:type="auto"/>
            <w:shd w:val="clear" w:color="auto" w:fill="D1D1D1" w:themeFill="background2" w:themeFillShade="E6"/>
            <w:vAlign w:val="center"/>
          </w:tcPr>
          <w:p w14:paraId="5C887F24" w14:textId="77777777" w:rsidR="00E27916" w:rsidRPr="00E27916" w:rsidRDefault="00E27916" w:rsidP="00735704">
            <w:pPr>
              <w:spacing w:after="0" w:line="240" w:lineRule="auto"/>
              <w:jc w:val="center"/>
              <w:rPr>
                <w:rFonts w:ascii="GHEA Grapalat" w:eastAsia="Times New Roman" w:hAnsi="GHEA Grapalat" w:cs="Times New Roman"/>
                <w:kern w:val="0"/>
                <w14:ligatures w14:val="none"/>
              </w:rPr>
            </w:pPr>
          </w:p>
        </w:tc>
      </w:tr>
      <w:tr w:rsidR="00E27916" w:rsidRPr="00E27916" w14:paraId="568E70D8" w14:textId="77777777" w:rsidTr="00E27916">
        <w:trPr>
          <w:tblCellSpacing w:w="15" w:type="dxa"/>
        </w:trPr>
        <w:tc>
          <w:tcPr>
            <w:tcW w:w="0" w:type="auto"/>
            <w:vAlign w:val="center"/>
            <w:hideMark/>
          </w:tcPr>
          <w:p w14:paraId="568E280A"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1. Նախագծով Հայաստանի Հանրապետության կառավարության 2006 թվականի մայիսի 18-ի N 912-Ն որոշման հավելվածում լրացվող նոր 43.2-րդ կետով նախատեսվում է, որ բազմաբնակարան կամ ստորաբաժանված շենքի նկատմամբ նույն բաժինը կիրառվում է, եթե շենքն ամբողջությամբ ինքնակամ կառույց է և համապատասխանում է Օրենքի 2-րդ հոդվածի 3.2-րդ մասի պահանջներին:</w:t>
            </w:r>
          </w:p>
          <w:p w14:paraId="26A2E405"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Միաժամանակ, Նախագծով որոշման հավելվածում լրացվող նոր 43.11-ին կետում նշվում է, որ բազմաբնակարան կամ ստորաբաժանված շենքի դեպքում նշվում է օրինականացվող շենքի կամ հաշվառված հատվածի կազմը՝ ըստ ներկայացված հատակագծի:</w:t>
            </w:r>
          </w:p>
          <w:p w14:paraId="52126C3B"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Այս առումով հայտնում ենք, որ առաջարկվող կարգավորումները հակասում են միմյանց և պարզ չէ թե բազմաբնակարան կամ ստորաբաժանված շենքի դեպքում որ հատվածն է ենթակա օրինականացման:</w:t>
            </w:r>
          </w:p>
          <w:p w14:paraId="27CEFA29"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Տվյալ պարագայում առաջարկվող կարգավորումներն անհրաժեշտ է համապատասխանեցնել միմյանց՝ դիտարկելով «Հայաստանի Հանրապետության քաղաքացիական օրենսգրքում լրացումներ և փոփոխություններ կատարելու մասին» 2021 թվականի դեկտեմբերի 16-ի ՀՕ-397-Ն օրենքով նախատեսված պահանջների համատեքստում:</w:t>
            </w:r>
          </w:p>
        </w:tc>
        <w:tc>
          <w:tcPr>
            <w:tcW w:w="0" w:type="auto"/>
            <w:vAlign w:val="center"/>
            <w:hideMark/>
          </w:tcPr>
          <w:p w14:paraId="4A5FD1DB"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5902AC07"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43.2-րդ և 43.11-րդ կետերը համադրվել են։ Օրինականացվում է ամբողջությամբ ինքնակամ շենքի հաշվառված փաստացի ծավալը։ Կիսակառույցի դեպքում դրա փաստացի կառուցված հատվածն ընդգրկում է օրինականացման առարկան, սակայն չի ներառում չկառուցված ծավալը կամ օրինական շենքի ինքնակամ ձևափոխությունները։</w:t>
            </w:r>
          </w:p>
        </w:tc>
      </w:tr>
      <w:tr w:rsidR="00E27916" w:rsidRPr="00E27916" w14:paraId="5DCBDB9A" w14:textId="77777777" w:rsidTr="00E27916">
        <w:trPr>
          <w:tblCellSpacing w:w="15" w:type="dxa"/>
        </w:trPr>
        <w:tc>
          <w:tcPr>
            <w:tcW w:w="0" w:type="auto"/>
            <w:vAlign w:val="center"/>
            <w:hideMark/>
          </w:tcPr>
          <w:p w14:paraId="318BE251"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2. Նախագծով որոշման հավելվածում լրացվող նոր 43.4-րդ կետով նախատեսվում է, որ գրանցված իրավունքի կամ սահմանափակման առկայությունն ինքնին մերժման հիմք չէ, եթե այն չի խոչընդոտում համապատասխան գործողությունը և չեն խախտվում իրավատիրոջ իրավունքներն ու օրենքով պաշտպանվող շահերը:</w:t>
            </w:r>
          </w:p>
          <w:p w14:paraId="5E75FAB7"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 xml:space="preserve">Միաժամանակ, Նախագծով որոշման հավելվածում լրացվող նոր 43.11-ին կետում նշվում է, որ հաշվառումից կամ ցանկի հաստատումից հետո տեղի ունեցած իրավական կամ փաստական փոփոխությունները գնահատվում են նույն կարգի 43.12-րդ կետով նախատեսված հիմքերի տեսանկյունից: Մինչև օրինականացման մասին որոշման ընդունումը համայնքի ղեկավարը Կադաստրի կոմիտեից ստացված արդիական պաշտոնական տեղեկատվությամբ ստուգում է հողամասի նկատմամբ գրանցված իրավունքներն </w:t>
            </w:r>
            <w:proofErr w:type="gramStart"/>
            <w:r>
              <w:rPr>
                <w:rFonts w:ascii="GHEA Grapalat" w:eastAsia="Times New Roman" w:hAnsi="GHEA Grapalat" w:cs="Times New Roman"/>
                <w:color w:val="000000"/>
                <w:kern w:val="0"/>
                <w14:ligatures w14:val="none"/>
              </w:rPr>
              <w:t>ու  սահմանափակումները</w:t>
            </w:r>
            <w:proofErr w:type="gramEnd"/>
            <w:r>
              <w:rPr>
                <w:rFonts w:ascii="GHEA Grapalat" w:eastAsia="Times New Roman" w:hAnsi="GHEA Grapalat" w:cs="Times New Roman"/>
                <w:color w:val="000000"/>
                <w:kern w:val="0"/>
                <w14:ligatures w14:val="none"/>
              </w:rPr>
              <w:t xml:space="preserve"> և դրանց փոփոխությունները:</w:t>
            </w:r>
          </w:p>
          <w:p w14:paraId="6F202EA5"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 xml:space="preserve">Այս առումով հայտնում ենք, որ Նախագծից պարզ չէ թե գրանցված իրավունքի կամ սահմանափակումների փոփոխությունները հիմք են արդյոք մերժման համար, թե ոչ: </w:t>
            </w:r>
          </w:p>
          <w:p w14:paraId="40AA6CEC"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Բացի այդ, պարզ չէ թե Հայաստանի Հանրապետության կառավարության ցանկի հաստատումից հետո տեղի ունեցած ինչ իրավական կամ փաստական փոփոխությունների մասին է խոսքը, դրանք ինչ ազդեցություն կարող են ունենալ օրինականացման գործընթացի վրա, ով է գնահատելու դրանք և ինչպես, ինչ հետևանք է ունենալու:</w:t>
            </w:r>
          </w:p>
        </w:tc>
        <w:tc>
          <w:tcPr>
            <w:tcW w:w="0" w:type="auto"/>
            <w:vAlign w:val="center"/>
            <w:hideMark/>
          </w:tcPr>
          <w:p w14:paraId="652172AC"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p>
          <w:p w14:paraId="4F3921A0"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43.11-րդ կետում թվարկվել են վերջնական փուլում ստուգվող փոփոխությունները՝ սեփականատիրոջ, գրանցված իրավունքների և սահմանափակումների, փաստացի ծավալի կամ անվտանգության վիճակի փոփոխություն։ Դրանց իրավական նշանակությունը գնահատում է համայնքի ղեկավարը՝ 43.4-րդ և 43.12-րդ կետերով։ Մերժման համար անհրաժեշտ է կոնկրետ խոչընդոտող պահանջ կամ արգելք, իսկ դիմողը նախապես լսվում է։ Իրավունքի փոխանցումը կամ սահմանափակման գրանցումն ինքնաբերաբար մերժում չի առաջացնում։</w:t>
            </w:r>
          </w:p>
        </w:tc>
      </w:tr>
      <w:tr w:rsidR="00E27916" w:rsidRPr="00E27916" w14:paraId="21B29B2F" w14:textId="77777777" w:rsidTr="00E27916">
        <w:trPr>
          <w:tblCellSpacing w:w="15" w:type="dxa"/>
        </w:trPr>
        <w:tc>
          <w:tcPr>
            <w:tcW w:w="0" w:type="auto"/>
            <w:vAlign w:val="center"/>
            <w:hideMark/>
          </w:tcPr>
          <w:p w14:paraId="70B49309"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 xml:space="preserve">3.  Նախագծի որոշման հավելվածի 43.12-րդ կետով սահմանվում են կառուցյի օրինականացումը մերժելու հիմքերը, այն է՝ </w:t>
            </w:r>
          </w:p>
          <w:p w14:paraId="5A79B648"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1) չեն կատարվել Օրենքի 2-րդ հոդվածի 3.2-րդ մասով կառույցին և հողամասին ներկայացվող պահանջները կամ նույն մասով սահմանված հաշվառման կամ փաստաթղթերը ներկայացնելու ժամկետային պահանջները.</w:t>
            </w:r>
          </w:p>
          <w:p w14:paraId="0A52C54C"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2) նույն մասով պահանջվող փաստաթուղթը բացակայում է կամ չի հաստատում օրենքով պահանջվող հանգամանքը, և դիմողը սահմանված կարգով թերությունը վերացնելու հնարավորություն ստանալուց հետո այն չի վերացրել՝ հաշվի առնելով սույն կարգի 43.4-րդ կետը։ Թերության վերացումը չի կարող շրջանցել Օրենքով սահմանված ժամկետային պահանջները.</w:t>
            </w:r>
          </w:p>
          <w:p w14:paraId="24679F9F"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3) առկա է սույն որոշման 2-րդ կետով նախատեսված օրինականացման արգելք, Օրենքի 2-րդ հոդվածի 3.2-րդ մասով նախատեսված քաղաքաշինական նորմերի և կանոնների էական խախտում, երրորդ անձանց, պետության կամ համայնքի իրավունքների և օրենքով պահպանվող շահերի խախտում կամ նման խախտում ստեղծող վտանգ, կամ բացակայում է սույն կարգի 43.3-րդ կետով պահանջվող եզրակացությունները, նախնական գնահատությունը կամ այլ պարտադիր տվյալները (փաստաթղթերը).</w:t>
            </w:r>
          </w:p>
          <w:p w14:paraId="36635447"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 կառույցն ընդգրկված չէ Օրենքի 2-րդ հոդվածի 3.2-րդ մասով նախատեսված ցանկում.</w:t>
            </w:r>
          </w:p>
          <w:p w14:paraId="1BA50681"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5) մինչև որոշման ընդունումը չի վճարվել օրենքով սահմանված տեղական տուրքը, և բացակայում է դրա վճարման պարտավորությունից ազատվելու՝ օրենքով նախատեսված հիմքը։</w:t>
            </w:r>
          </w:p>
          <w:p w14:paraId="24F74D1F"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Այս առումով հայտնում ենք, որ համայնքի ղեկավարի կողմից օրինականացման ենթակա են այն կառույցները, որոնք արդեն իսկ սահմանված ընթացակարգի պահպանմամբ և ստուգմամբ ներառվել են Հայաստանի Հանրապետության կառավարության կողմից հաստատված ցանկում:</w:t>
            </w:r>
          </w:p>
          <w:p w14:paraId="3E5651F6"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Ուստի, նախատեսված մերժման հիմքերը (օրինակ՝ 1-3-րդ ենթակետերով նախատեսված) օրինականացման փուլում համայնքի ղեկավարի կողմից այլևս քննարկման առակա դառնալ չեն կարող:</w:t>
            </w:r>
          </w:p>
          <w:p w14:paraId="109330F2"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Նկատի ունենալով վերոգրյալը՝ հայտնում ենք, որ կառույցն օրինականացնելու մերժման հիմքերը անհասկանալի են և վերանայման կարիք ունեն:</w:t>
            </w:r>
          </w:p>
        </w:tc>
        <w:tc>
          <w:tcPr>
            <w:tcW w:w="0" w:type="auto"/>
            <w:vAlign w:val="center"/>
            <w:hideMark/>
          </w:tcPr>
          <w:p w14:paraId="79C980F0" w14:textId="7777777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Մասամբ է ընդունվել</w:t>
            </w:r>
          </w:p>
          <w:p w14:paraId="42646CE6" w14:textId="77777777" w:rsidR="00E27916" w:rsidRPr="00E77A0F" w:rsidRDefault="00E77A0F" w:rsidP="00735704">
            <w:pPr>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43.12-րդ կետի նախկին 1-3-րդ ենթակետերը վերանայվել են։ 43.11-րդ կետով արգելվել է ցանկը հաստատելիս գնահատված և չփոփոխված հանգամանքների կրկնակի գնահատումը։ Վերջնական փուլում պահպանվել են կառույցի նույնության, դիմողի իրավասության, տուրքի և հետագա փոփոխությունների ստուգումները։ Նոր հանգամանքով առաջացած արգելքը չի կարող անտեսվել միայն ցանկում ներառված լինելու պատճառով։ Ցանկի հիմքում դրված ոչ հավաստի փաստաթղթերի կամ վարչական ակտի իրավաչափության հարցը ներկայացվում է նախարարություն՝ իրավասու մարմնի կողմից օրենքով սահմանված վերանայման համար․ համայնքի ղեկավարը չի վերացնում Կառավարության որոշման գործողությունը։ Վարույթի կասեցումն էլ թույլատրվում է միայն օրենքով նախատեսված հիմքով։</w:t>
            </w:r>
          </w:p>
        </w:tc>
      </w:tr>
      <w:tr w:rsidR="00E27916" w:rsidRPr="00E27916" w14:paraId="14B82D0E" w14:textId="77777777" w:rsidTr="00E27916">
        <w:trPr>
          <w:tblCellSpacing w:w="15" w:type="dxa"/>
        </w:trPr>
        <w:tc>
          <w:tcPr>
            <w:tcW w:w="0" w:type="auto"/>
            <w:vAlign w:val="center"/>
            <w:hideMark/>
          </w:tcPr>
          <w:p w14:paraId="5BF81591"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Հայտնում ենք նաև, որ Նախագծում կարգավորումները շարադրված են անորոշ և ոչ իրավական ձևակերպումներով, այդ թվում՝ փաստաթղթերի անվանումները, իրավական տերմինները և այլ հասկացություններ, ինչը խոչընդոտում է դրանց միանշանակ ընկալմանը, ճիշտ մեկնաբանմանը և գործնականում պատշաճ կիրառմանը։ Հաշվի առնելով դրանց ծավալը՝ առանձին հնարավոր չէ անդրադարձ կատարել, քանի որ դրանք վերաբերվում են գրեթե բոլոր կարգավորումներին:</w:t>
            </w:r>
          </w:p>
        </w:tc>
        <w:tc>
          <w:tcPr>
            <w:tcW w:w="0" w:type="auto"/>
            <w:vAlign w:val="center"/>
            <w:hideMark/>
          </w:tcPr>
          <w:p w14:paraId="42B10115" w14:textId="2BAB1838" w:rsidR="00431B06" w:rsidRPr="00431B06" w:rsidRDefault="00431B06" w:rsidP="00431B06">
            <w:pPr>
              <w:keepNext/>
              <w:spacing w:after="60" w:line="240" w:lineRule="auto"/>
              <w:ind w:left="100" w:right="100"/>
              <w:jc w:val="center"/>
              <w:rPr>
                <w:rFonts w:ascii="GHEA Grapalat" w:eastAsia="Times New Roman" w:hAnsi="GHEA Grapalat" w:cs="Times New Roman"/>
                <w:b/>
                <w:color w:val="000000"/>
                <w:kern w:val="0"/>
                <w14:ligatures w14:val="none"/>
              </w:rPr>
            </w:pPr>
            <w:r>
              <w:rPr>
                <w:rFonts w:ascii="GHEA Grapalat" w:eastAsia="Times New Roman" w:hAnsi="GHEA Grapalat" w:cs="Times New Roman"/>
                <w:b/>
                <w:color w:val="000000"/>
                <w:kern w:val="0"/>
                <w14:ligatures w14:val="none"/>
              </w:rPr>
              <w:t>Ընդունվել է ի գիտություն</w:t>
            </w:r>
          </w:p>
          <w:p w14:paraId="5C21B019" w14:textId="77777777" w:rsidR="00AB10B2" w:rsidRPr="00AB10B2" w:rsidRDefault="00AB10B2" w:rsidP="00AB10B2">
            <w:pPr>
              <w:keepNext/>
              <w:spacing w:after="60" w:line="240" w:lineRule="auto"/>
              <w:ind w:left="100" w:right="100"/>
              <w:jc w:val="center"/>
              <w:rPr>
                <w:rFonts w:ascii="GHEA Grapalat" w:eastAsia="Times New Roman" w:hAnsi="GHEA Grapalat" w:cs="Times New Roman"/>
                <w:bCs/>
                <w:color w:val="000000"/>
                <w:kern w:val="0"/>
                <w14:ligatures w14:val="none"/>
              </w:rPr>
            </w:pPr>
            <w:r w:rsidRPr="00AB10B2">
              <w:rPr>
                <w:rFonts w:ascii="GHEA Grapalat" w:eastAsia="Times New Roman" w:hAnsi="GHEA Grapalat" w:cs="Times New Roman"/>
                <w:bCs/>
                <w:color w:val="000000"/>
                <w:kern w:val="0"/>
                <w14:ligatures w14:val="none"/>
              </w:rPr>
              <w:t>Կատարվել են առանձին լեզվախմբագրական ճշգրտումներ։</w:t>
            </w:r>
          </w:p>
          <w:p w14:paraId="136D8A6C" w14:textId="77777777" w:rsidR="00AB10B2" w:rsidRPr="00AB10B2" w:rsidRDefault="00AB10B2" w:rsidP="00AB10B2">
            <w:pPr>
              <w:keepNext/>
              <w:spacing w:after="60" w:line="240" w:lineRule="auto"/>
              <w:ind w:left="100" w:right="100"/>
              <w:jc w:val="center"/>
              <w:rPr>
                <w:rFonts w:ascii="GHEA Grapalat" w:eastAsia="Times New Roman" w:hAnsi="GHEA Grapalat" w:cs="Times New Roman"/>
                <w:bCs/>
                <w:color w:val="000000"/>
                <w:kern w:val="0"/>
                <w14:ligatures w14:val="none"/>
              </w:rPr>
            </w:pPr>
            <w:r w:rsidRPr="00AB10B2">
              <w:rPr>
                <w:rFonts w:ascii="GHEA Grapalat" w:eastAsia="Times New Roman" w:hAnsi="GHEA Grapalat" w:cs="Times New Roman"/>
                <w:bCs/>
                <w:color w:val="000000"/>
                <w:kern w:val="0"/>
                <w14:ligatures w14:val="none"/>
              </w:rPr>
              <w:t>Նախագծի գրեթե բոլոր կարգավորումներն «անորոշ և ոչ իրավական ձևակերպումներով» շարադրված լինելու գնահատականը չի ընդունվում՝ որպես չհիմնավորված ընդհանրացում։ Դիտարկումը չի պարունակում վիճարկվող դրույթների հղումներ, անհստակ համարվող ձևակերպումների օրինակներ կամ դրանց իրավական թերությունների հիմնավորում։ Հետևաբար այն չի ապահովում մասնագիտական դիտարկման համար անհրաժեշտ որոշակիությունն ու ստուգելիությունը։</w:t>
            </w:r>
          </w:p>
          <w:p w14:paraId="22398BE2" w14:textId="253C7014" w:rsidR="00E27916" w:rsidRPr="00AB10B2" w:rsidRDefault="00AB10B2" w:rsidP="006E02BD">
            <w:pPr>
              <w:keepNext/>
              <w:spacing w:after="60" w:line="240" w:lineRule="auto"/>
              <w:ind w:left="100" w:right="100"/>
              <w:jc w:val="center"/>
              <w:rPr>
                <w:rFonts w:ascii="GHEA Grapalat" w:eastAsia="Times New Roman" w:hAnsi="GHEA Grapalat" w:cs="Times New Roman"/>
                <w:bCs/>
                <w:color w:val="000000"/>
                <w:kern w:val="0"/>
                <w14:ligatures w14:val="none"/>
              </w:rPr>
            </w:pPr>
            <w:r w:rsidRPr="00AB10B2">
              <w:rPr>
                <w:rFonts w:ascii="GHEA Grapalat" w:eastAsia="Times New Roman" w:hAnsi="GHEA Grapalat" w:cs="Times New Roman"/>
                <w:bCs/>
                <w:color w:val="000000"/>
                <w:kern w:val="0"/>
                <w14:ligatures w14:val="none"/>
              </w:rPr>
              <w:t>Դիտարկումների ծավալին հղումով դրանք չկոնկրետացնելը</w:t>
            </w:r>
            <w:r w:rsidR="006E02BD">
              <w:rPr>
                <w:rFonts w:ascii="GHEA Grapalat" w:eastAsia="Times New Roman" w:hAnsi="GHEA Grapalat" w:cs="Times New Roman"/>
                <w:bCs/>
                <w:color w:val="000000"/>
                <w:kern w:val="0"/>
                <w:lang w:val="hy-AM"/>
                <w14:ligatures w14:val="none"/>
              </w:rPr>
              <w:t>,</w:t>
            </w:r>
            <w:r w:rsidRPr="00AB10B2">
              <w:rPr>
                <w:rFonts w:ascii="GHEA Grapalat" w:eastAsia="Times New Roman" w:hAnsi="GHEA Grapalat" w:cs="Times New Roman"/>
                <w:bCs/>
                <w:color w:val="000000"/>
                <w:kern w:val="0"/>
                <w14:ligatures w14:val="none"/>
              </w:rPr>
              <w:t xml:space="preserve"> </w:t>
            </w:r>
            <w:r w:rsidR="006E02BD">
              <w:rPr>
                <w:rFonts w:ascii="GHEA Grapalat" w:eastAsia="Times New Roman" w:hAnsi="GHEA Grapalat" w:cs="Times New Roman"/>
                <w:bCs/>
                <w:color w:val="000000"/>
                <w:kern w:val="0"/>
                <w:lang w:val="hy-AM"/>
                <w14:ligatures w14:val="none"/>
              </w:rPr>
              <w:t>ա</w:t>
            </w:r>
            <w:r w:rsidRPr="00AB10B2">
              <w:rPr>
                <w:rFonts w:ascii="GHEA Grapalat" w:eastAsia="Times New Roman" w:hAnsi="GHEA Grapalat" w:cs="Times New Roman"/>
                <w:bCs/>
                <w:color w:val="000000"/>
                <w:kern w:val="0"/>
                <w14:ligatures w14:val="none"/>
              </w:rPr>
              <w:t>ռանց համապատասխան դրույթներն ու դրանց թերությունները մատնանշելու՝ նախագծի գրեթե բոլոր կարգավորումների պատշաճությ</w:t>
            </w:r>
            <w:r>
              <w:rPr>
                <w:rFonts w:ascii="GHEA Grapalat" w:eastAsia="Times New Roman" w:hAnsi="GHEA Grapalat" w:cs="Times New Roman"/>
                <w:bCs/>
                <w:color w:val="000000"/>
                <w:kern w:val="0"/>
                <w14:ligatures w14:val="none"/>
              </w:rPr>
              <w:t>ան վերաբերյալ նշումն անչափելի է</w:t>
            </w:r>
            <w:r w:rsidRPr="00AB10B2">
              <w:rPr>
                <w:rFonts w:ascii="GHEA Grapalat" w:eastAsia="Times New Roman" w:hAnsi="GHEA Grapalat" w:cs="Times New Roman"/>
                <w:bCs/>
                <w:color w:val="000000"/>
                <w:kern w:val="0"/>
                <w14:ligatures w14:val="none"/>
              </w:rPr>
              <w:t>։</w:t>
            </w:r>
          </w:p>
        </w:tc>
      </w:tr>
      <w:tr w:rsidR="00E27916" w:rsidRPr="00E27916" w14:paraId="09FC3B9F" w14:textId="77777777" w:rsidTr="00A13C2E">
        <w:trPr>
          <w:tblCellSpacing w:w="15" w:type="dxa"/>
        </w:trPr>
        <w:tc>
          <w:tcPr>
            <w:tcW w:w="0" w:type="auto"/>
            <w:shd w:val="clear" w:color="auto" w:fill="ADADAD" w:themeFill="background2" w:themeFillShade="BF"/>
            <w:vAlign w:val="center"/>
            <w:hideMark/>
          </w:tcPr>
          <w:p w14:paraId="78A51E4A" w14:textId="77777777" w:rsidR="00E27916" w:rsidRPr="00E27916" w:rsidRDefault="00E27916" w:rsidP="00E27916">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4. ՀՀ քաղաքաշինության, տեխնիկական և հրդեհային անվտանգության տեսչական մարմին</w:t>
            </w:r>
          </w:p>
        </w:tc>
        <w:tc>
          <w:tcPr>
            <w:tcW w:w="0" w:type="auto"/>
            <w:shd w:val="clear" w:color="auto" w:fill="ADADAD" w:themeFill="background2" w:themeFillShade="BF"/>
            <w:vAlign w:val="center"/>
            <w:hideMark/>
          </w:tcPr>
          <w:p w14:paraId="06417531" w14:textId="19F9CD75" w:rsidR="00E27916" w:rsidRPr="006E02BD" w:rsidRDefault="006E02BD" w:rsidP="00735704">
            <w:pPr>
              <w:keepNext/>
              <w:spacing w:after="60" w:line="240" w:lineRule="auto"/>
              <w:ind w:left="100" w:right="100"/>
              <w:jc w:val="center"/>
              <w:rPr>
                <w:rFonts w:ascii="GHEA Grapalat" w:eastAsia="Times New Roman" w:hAnsi="GHEA Grapalat" w:cs="Times New Roman"/>
                <w:b/>
                <w:bCs/>
                <w:kern w:val="0"/>
                <w:lang w:val="hy-AM"/>
                <w14:ligatures w14:val="none"/>
              </w:rPr>
            </w:pPr>
            <w:r w:rsidRPr="006E02BD">
              <w:rPr>
                <w:rFonts w:ascii="GHEA Grapalat" w:eastAsia="Times New Roman" w:hAnsi="GHEA Grapalat" w:cs="Times New Roman"/>
                <w:b/>
                <w:bCs/>
                <w:kern w:val="0"/>
                <w:lang w:val="hy-AM"/>
                <w14:ligatures w14:val="none"/>
              </w:rPr>
              <w:t>29</w:t>
            </w:r>
            <w:r w:rsidRPr="006E02BD">
              <w:rPr>
                <w:rFonts w:ascii="Cambria Math" w:eastAsia="Times New Roman" w:hAnsi="Cambria Math" w:cs="Cambria Math"/>
                <w:b/>
                <w:bCs/>
                <w:kern w:val="0"/>
                <w:lang w:val="hy-AM"/>
                <w14:ligatures w14:val="none"/>
              </w:rPr>
              <w:t>․</w:t>
            </w:r>
            <w:r w:rsidRPr="006E02BD">
              <w:rPr>
                <w:rFonts w:ascii="GHEA Grapalat" w:eastAsia="Times New Roman" w:hAnsi="GHEA Grapalat" w:cs="Times New Roman"/>
                <w:b/>
                <w:bCs/>
                <w:kern w:val="0"/>
                <w:lang w:val="hy-AM"/>
                <w14:ligatures w14:val="none"/>
              </w:rPr>
              <w:t>09</w:t>
            </w:r>
            <w:r w:rsidRPr="006E02BD">
              <w:rPr>
                <w:rFonts w:ascii="Cambria Math" w:eastAsia="Times New Roman" w:hAnsi="Cambria Math" w:cs="Cambria Math"/>
                <w:b/>
                <w:bCs/>
                <w:kern w:val="0"/>
                <w:lang w:val="hy-AM"/>
                <w14:ligatures w14:val="none"/>
              </w:rPr>
              <w:t>․</w:t>
            </w:r>
            <w:r w:rsidRPr="006E02BD">
              <w:rPr>
                <w:rFonts w:ascii="GHEA Grapalat" w:eastAsia="Times New Roman" w:hAnsi="GHEA Grapalat" w:cs="Times New Roman"/>
                <w:b/>
                <w:bCs/>
                <w:kern w:val="0"/>
                <w:lang w:val="hy-AM"/>
                <w14:ligatures w14:val="none"/>
              </w:rPr>
              <w:t>2026</w:t>
            </w:r>
            <w:r>
              <w:rPr>
                <w:rFonts w:ascii="GHEA Grapalat" w:eastAsia="Times New Roman" w:hAnsi="GHEA Grapalat" w:cs="Times New Roman"/>
                <w:b/>
                <w:bCs/>
                <w:kern w:val="0"/>
                <w:lang w:val="hy-AM"/>
                <w14:ligatures w14:val="none"/>
              </w:rPr>
              <w:t xml:space="preserve"> </w:t>
            </w:r>
            <w:r w:rsidRPr="006E02BD">
              <w:rPr>
                <w:rFonts w:ascii="GHEA Grapalat" w:eastAsia="Times New Roman" w:hAnsi="GHEA Grapalat" w:cs="GHEA Grapalat"/>
                <w:b/>
                <w:bCs/>
                <w:kern w:val="0"/>
                <w:lang w:val="hy-AM"/>
                <w14:ligatures w14:val="none"/>
              </w:rPr>
              <w:t>թ</w:t>
            </w:r>
            <w:r w:rsidRPr="006E02BD">
              <w:rPr>
                <w:rFonts w:ascii="Cambria Math" w:eastAsia="Times New Roman" w:hAnsi="Cambria Math" w:cs="Cambria Math"/>
                <w:b/>
                <w:bCs/>
                <w:kern w:val="0"/>
                <w:lang w:val="hy-AM"/>
                <w14:ligatures w14:val="none"/>
              </w:rPr>
              <w:t>․</w:t>
            </w:r>
          </w:p>
          <w:p w14:paraId="71880387" w14:textId="20600C9F" w:rsidR="006E02BD" w:rsidRPr="006E02BD" w:rsidRDefault="006E02BD" w:rsidP="00735704">
            <w:pPr>
              <w:keepNext/>
              <w:spacing w:after="60" w:line="240" w:lineRule="auto"/>
              <w:ind w:left="100" w:right="100"/>
              <w:jc w:val="center"/>
              <w:rPr>
                <w:rFonts w:ascii="Cambria Math" w:eastAsia="Times New Roman" w:hAnsi="Cambria Math" w:cs="Times New Roman"/>
                <w:b/>
                <w:bCs/>
                <w:kern w:val="0"/>
                <w:lang w:val="hy-AM"/>
                <w14:ligatures w14:val="none"/>
              </w:rPr>
            </w:pPr>
            <w:r w:rsidRPr="006E02BD">
              <w:rPr>
                <w:rFonts w:ascii="GHEA Grapalat" w:eastAsia="Times New Roman" w:hAnsi="GHEA Grapalat" w:cs="Times New Roman"/>
                <w:b/>
                <w:bCs/>
                <w:kern w:val="0"/>
                <w:lang w:val="hy-AM"/>
                <w14:ligatures w14:val="none"/>
              </w:rPr>
              <w:t>ՔՏՄ/13.5/27774-26</w:t>
            </w:r>
          </w:p>
        </w:tc>
      </w:tr>
      <w:tr w:rsidR="00E27916" w:rsidRPr="00E27916" w14:paraId="7088DB7C" w14:textId="77777777" w:rsidTr="00A13C2E">
        <w:trPr>
          <w:tblCellSpacing w:w="15" w:type="dxa"/>
        </w:trPr>
        <w:tc>
          <w:tcPr>
            <w:tcW w:w="0" w:type="auto"/>
            <w:shd w:val="clear" w:color="auto" w:fill="D1D1D1" w:themeFill="background2" w:themeFillShade="E6"/>
            <w:vAlign w:val="center"/>
          </w:tcPr>
          <w:p w14:paraId="2C87F3B1" w14:textId="77777777" w:rsidR="00E27916" w:rsidRPr="00E27916" w:rsidRDefault="00E27916" w:rsidP="00E27916">
            <w:pPr>
              <w:spacing w:after="0" w:line="240" w:lineRule="auto"/>
              <w:ind w:left="120" w:right="157"/>
              <w:rPr>
                <w:rFonts w:ascii="GHEA Grapalat" w:eastAsia="Times New Roman" w:hAnsi="GHEA Grapalat" w:cs="Times New Roman"/>
                <w:b/>
                <w:bCs/>
                <w:kern w:val="0"/>
                <w14:ligatures w14:val="none"/>
              </w:rPr>
            </w:pPr>
          </w:p>
        </w:tc>
        <w:tc>
          <w:tcPr>
            <w:tcW w:w="0" w:type="auto"/>
            <w:shd w:val="clear" w:color="auto" w:fill="D1D1D1" w:themeFill="background2" w:themeFillShade="E6"/>
            <w:vAlign w:val="center"/>
          </w:tcPr>
          <w:p w14:paraId="769C983A" w14:textId="77777777" w:rsidR="00E27916" w:rsidRPr="00E27916" w:rsidRDefault="00E27916" w:rsidP="00735704">
            <w:pPr>
              <w:spacing w:after="0" w:line="240" w:lineRule="auto"/>
              <w:jc w:val="center"/>
              <w:rPr>
                <w:rFonts w:ascii="GHEA Grapalat" w:eastAsia="Times New Roman" w:hAnsi="GHEA Grapalat" w:cs="Times New Roman"/>
                <w:kern w:val="0"/>
                <w14:ligatures w14:val="none"/>
              </w:rPr>
            </w:pPr>
          </w:p>
        </w:tc>
      </w:tr>
      <w:tr w:rsidR="00E27916" w:rsidRPr="00E27916" w14:paraId="1FADD90C" w14:textId="77777777" w:rsidTr="00E27916">
        <w:trPr>
          <w:tblCellSpacing w:w="15" w:type="dxa"/>
        </w:trPr>
        <w:tc>
          <w:tcPr>
            <w:tcW w:w="0" w:type="auto"/>
            <w:vAlign w:val="center"/>
            <w:hideMark/>
          </w:tcPr>
          <w:p w14:paraId="4D590BF9"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Ի կատարումն ՀՀ փոխվարչապետի գրասենյակի ղեկավարի թիվ /03․67/33473-2026 հանձնարարականի՝ տեղեկացվում է, որ «Հայաստանի Հանրապետության կառավարության 2006 թվականի մայիսի 18-ի N 912-Ն որոշման մեջ փոփոխություններ և լրացումներ կատարելու մասին» Հայաստանի Հանրապետության կառավարության որոշման նախագծի վերաբերյալ ՀՀ քաղաքաշինության, տեխնիկական և հրդեհային անվտանգության տեսչական մարմինը դիտողություններ և առաջարկություններ չունի։</w:t>
            </w:r>
          </w:p>
        </w:tc>
        <w:tc>
          <w:tcPr>
            <w:tcW w:w="0" w:type="auto"/>
            <w:vAlign w:val="center"/>
            <w:hideMark/>
          </w:tcPr>
          <w:p w14:paraId="6C2D26E5" w14:textId="110150F7" w:rsidR="00E27916" w:rsidRPr="00E77A0F" w:rsidRDefault="00E77A0F"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w:t>
            </w:r>
            <w:r w:rsidR="000557D4">
              <w:rPr>
                <w:rFonts w:ascii="GHEA Grapalat" w:eastAsia="Times New Roman" w:hAnsi="GHEA Grapalat" w:cs="Times New Roman"/>
                <w:b/>
                <w:color w:val="000000"/>
                <w:kern w:val="0"/>
                <w14:ligatures w14:val="none"/>
              </w:rPr>
              <w:t xml:space="preserve"> ի գիտություն</w:t>
            </w:r>
          </w:p>
          <w:p w14:paraId="1B3A1E6C" w14:textId="7A8BBD9D" w:rsidR="00E27916" w:rsidRPr="00E77A0F" w:rsidRDefault="00E27916" w:rsidP="00735704">
            <w:pPr>
              <w:spacing w:after="60" w:line="240" w:lineRule="auto"/>
              <w:ind w:left="100" w:right="100"/>
              <w:jc w:val="center"/>
              <w:rPr>
                <w:rFonts w:ascii="GHEA Grapalat" w:eastAsia="Times New Roman" w:hAnsi="GHEA Grapalat" w:cs="Times New Roman"/>
                <w:kern w:val="0"/>
                <w14:ligatures w14:val="none"/>
              </w:rPr>
            </w:pPr>
          </w:p>
        </w:tc>
      </w:tr>
      <w:tr w:rsidR="00E27916" w:rsidRPr="00E27916" w14:paraId="7E5EA36E" w14:textId="77777777" w:rsidTr="00A13C2E">
        <w:trPr>
          <w:tblCellSpacing w:w="15" w:type="dxa"/>
        </w:trPr>
        <w:tc>
          <w:tcPr>
            <w:tcW w:w="0" w:type="auto"/>
            <w:shd w:val="clear" w:color="auto" w:fill="ADADAD" w:themeFill="background2" w:themeFillShade="BF"/>
            <w:vAlign w:val="center"/>
            <w:hideMark/>
          </w:tcPr>
          <w:p w14:paraId="6B6C6398" w14:textId="77777777" w:rsidR="00E27916" w:rsidRPr="00E27916" w:rsidRDefault="00E27916" w:rsidP="00E27916">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5. ՀՀ տարածքային կառավարման և ենթակառուցվածքների նախարարություն</w:t>
            </w:r>
          </w:p>
        </w:tc>
        <w:tc>
          <w:tcPr>
            <w:tcW w:w="0" w:type="auto"/>
            <w:shd w:val="clear" w:color="auto" w:fill="ADADAD" w:themeFill="background2" w:themeFillShade="BF"/>
            <w:vAlign w:val="center"/>
            <w:hideMark/>
          </w:tcPr>
          <w:p w14:paraId="2B5EF955" w14:textId="772D2538" w:rsidR="006E02BD" w:rsidRPr="006E02BD" w:rsidRDefault="006E02BD" w:rsidP="00735704">
            <w:pPr>
              <w:keepNext/>
              <w:spacing w:after="60" w:line="240" w:lineRule="auto"/>
              <w:ind w:left="100" w:right="100"/>
              <w:jc w:val="center"/>
              <w:rPr>
                <w:rFonts w:ascii="GHEA Grapalat" w:eastAsia="Times New Roman" w:hAnsi="GHEA Grapalat" w:cs="Times New Roman"/>
                <w:b/>
                <w:bCs/>
                <w:color w:val="000000"/>
                <w:kern w:val="0"/>
                <w:lang w:val="hy-AM"/>
                <w14:ligatures w14:val="none"/>
              </w:rPr>
            </w:pPr>
            <w:r w:rsidRPr="006E02BD">
              <w:rPr>
                <w:rFonts w:ascii="GHEA Grapalat" w:eastAsia="Times New Roman" w:hAnsi="GHEA Grapalat" w:cs="Times New Roman"/>
                <w:b/>
                <w:bCs/>
                <w:color w:val="000000"/>
                <w:kern w:val="0"/>
                <w:lang w:val="hy-AM"/>
                <w14:ligatures w14:val="none"/>
              </w:rPr>
              <w:t>30</w:t>
            </w:r>
            <w:r w:rsidRPr="006E02BD">
              <w:rPr>
                <w:rFonts w:ascii="Cambria Math" w:eastAsia="Times New Roman" w:hAnsi="Cambria Math" w:cs="Cambria Math"/>
                <w:b/>
                <w:bCs/>
                <w:color w:val="000000"/>
                <w:kern w:val="0"/>
                <w:lang w:val="hy-AM"/>
                <w14:ligatures w14:val="none"/>
              </w:rPr>
              <w:t>․</w:t>
            </w:r>
            <w:r w:rsidRPr="006E02BD">
              <w:rPr>
                <w:rFonts w:ascii="GHEA Grapalat" w:eastAsia="Times New Roman" w:hAnsi="GHEA Grapalat" w:cs="Times New Roman"/>
                <w:b/>
                <w:bCs/>
                <w:color w:val="000000"/>
                <w:kern w:val="0"/>
                <w:lang w:val="hy-AM"/>
                <w14:ligatures w14:val="none"/>
              </w:rPr>
              <w:t>09</w:t>
            </w:r>
            <w:r w:rsidRPr="006E02BD">
              <w:rPr>
                <w:rFonts w:ascii="Cambria Math" w:eastAsia="Times New Roman" w:hAnsi="Cambria Math" w:cs="Cambria Math"/>
                <w:b/>
                <w:bCs/>
                <w:color w:val="000000"/>
                <w:kern w:val="0"/>
                <w:lang w:val="hy-AM"/>
                <w14:ligatures w14:val="none"/>
              </w:rPr>
              <w:t>․</w:t>
            </w:r>
            <w:r w:rsidRPr="006E02BD">
              <w:rPr>
                <w:rFonts w:ascii="GHEA Grapalat" w:eastAsia="Times New Roman" w:hAnsi="GHEA Grapalat" w:cs="Times New Roman"/>
                <w:b/>
                <w:bCs/>
                <w:color w:val="000000"/>
                <w:kern w:val="0"/>
                <w:lang w:val="hy-AM"/>
                <w14:ligatures w14:val="none"/>
              </w:rPr>
              <w:t xml:space="preserve">2026 </w:t>
            </w:r>
            <w:r w:rsidRPr="006E02BD">
              <w:rPr>
                <w:rFonts w:ascii="GHEA Grapalat" w:eastAsia="Times New Roman" w:hAnsi="GHEA Grapalat" w:cs="GHEA Grapalat"/>
                <w:b/>
                <w:bCs/>
                <w:color w:val="000000"/>
                <w:kern w:val="0"/>
                <w:lang w:val="hy-AM"/>
                <w14:ligatures w14:val="none"/>
              </w:rPr>
              <w:t>թ</w:t>
            </w:r>
            <w:r w:rsidRPr="006E02BD">
              <w:rPr>
                <w:rFonts w:ascii="Cambria Math" w:eastAsia="Times New Roman" w:hAnsi="Cambria Math" w:cs="Cambria Math"/>
                <w:b/>
                <w:bCs/>
                <w:color w:val="000000"/>
                <w:kern w:val="0"/>
                <w:lang w:val="hy-AM"/>
                <w14:ligatures w14:val="none"/>
              </w:rPr>
              <w:t>․</w:t>
            </w:r>
          </w:p>
          <w:p w14:paraId="3835ADF0" w14:textId="65774355" w:rsidR="00E27916" w:rsidRPr="00F82534" w:rsidRDefault="00F82534" w:rsidP="00735704">
            <w:pPr>
              <w:keepNext/>
              <w:spacing w:after="60" w:line="240" w:lineRule="auto"/>
              <w:ind w:left="100" w:right="100"/>
              <w:jc w:val="center"/>
              <w:rPr>
                <w:rFonts w:ascii="GHEA Grapalat" w:eastAsia="Times New Roman" w:hAnsi="GHEA Grapalat" w:cs="Times New Roman"/>
                <w:b/>
                <w:bCs/>
                <w:kern w:val="0"/>
                <w14:ligatures w14:val="none"/>
              </w:rPr>
            </w:pPr>
            <w:r>
              <w:rPr>
                <w:rFonts w:ascii="GHEA Grapalat" w:eastAsia="Times New Roman" w:hAnsi="GHEA Grapalat" w:cs="Times New Roman"/>
                <w:b/>
                <w:bCs/>
                <w:color w:val="000000"/>
                <w:kern w:val="0"/>
                <w14:ligatures w14:val="none"/>
              </w:rPr>
              <w:t>N ԴԽ/14.1/36885-2026</w:t>
            </w:r>
          </w:p>
        </w:tc>
      </w:tr>
      <w:tr w:rsidR="00E27916" w:rsidRPr="00E27916" w14:paraId="186573E5" w14:textId="77777777" w:rsidTr="00A13C2E">
        <w:trPr>
          <w:tblCellSpacing w:w="15" w:type="dxa"/>
        </w:trPr>
        <w:tc>
          <w:tcPr>
            <w:tcW w:w="0" w:type="auto"/>
            <w:shd w:val="clear" w:color="auto" w:fill="D1D1D1" w:themeFill="background2" w:themeFillShade="E6"/>
            <w:vAlign w:val="center"/>
          </w:tcPr>
          <w:p w14:paraId="0FB0AB99" w14:textId="77777777" w:rsidR="00E27916" w:rsidRPr="00E27916" w:rsidRDefault="00E27916" w:rsidP="00E27916">
            <w:pPr>
              <w:spacing w:after="0" w:line="240" w:lineRule="auto"/>
              <w:ind w:left="120" w:right="157"/>
              <w:rPr>
                <w:rFonts w:ascii="GHEA Grapalat" w:eastAsia="Times New Roman" w:hAnsi="GHEA Grapalat" w:cs="Times New Roman"/>
                <w:b/>
                <w:bCs/>
                <w:kern w:val="0"/>
                <w14:ligatures w14:val="none"/>
              </w:rPr>
            </w:pPr>
          </w:p>
        </w:tc>
        <w:tc>
          <w:tcPr>
            <w:tcW w:w="0" w:type="auto"/>
            <w:shd w:val="clear" w:color="auto" w:fill="D1D1D1" w:themeFill="background2" w:themeFillShade="E6"/>
            <w:vAlign w:val="center"/>
          </w:tcPr>
          <w:p w14:paraId="07B3D0FF" w14:textId="77777777" w:rsidR="00E27916" w:rsidRPr="00E27916" w:rsidRDefault="00E27916" w:rsidP="00735704">
            <w:pPr>
              <w:spacing w:after="0" w:line="240" w:lineRule="auto"/>
              <w:jc w:val="center"/>
              <w:rPr>
                <w:rFonts w:ascii="GHEA Grapalat" w:eastAsia="Times New Roman" w:hAnsi="GHEA Grapalat" w:cs="Times New Roman"/>
                <w:kern w:val="0"/>
                <w14:ligatures w14:val="none"/>
              </w:rPr>
            </w:pPr>
          </w:p>
        </w:tc>
      </w:tr>
      <w:tr w:rsidR="00E27916" w:rsidRPr="00E27916" w14:paraId="4348D7BF" w14:textId="77777777" w:rsidTr="00E27916">
        <w:trPr>
          <w:tblCellSpacing w:w="15" w:type="dxa"/>
        </w:trPr>
        <w:tc>
          <w:tcPr>
            <w:tcW w:w="0" w:type="auto"/>
            <w:vAlign w:val="center"/>
            <w:hideMark/>
          </w:tcPr>
          <w:p w14:paraId="071BE6F2" w14:textId="77777777" w:rsidR="00E27916" w:rsidRPr="00E27916" w:rsidRDefault="00E77A0F" w:rsidP="00E27916">
            <w:pPr>
              <w:spacing w:after="60" w:line="240" w:lineRule="auto"/>
              <w:ind w:left="100" w:right="100"/>
              <w:jc w:val="both"/>
              <w:rPr>
                <w:rFonts w:ascii="GHEA Grapalat" w:eastAsia="Times New Roman" w:hAnsi="GHEA Grapalat" w:cs="Times New Roman"/>
                <w:kern w:val="0"/>
                <w14:ligatures w14:val="none"/>
              </w:rPr>
            </w:pPr>
            <w:r>
              <w:rPr>
                <w:rFonts w:ascii="GHEA Grapalat" w:eastAsia="Times New Roman" w:hAnsi="GHEA Grapalat" w:cs="Times New Roman"/>
                <w:color w:val="000000"/>
                <w:kern w:val="0"/>
                <w14:ligatures w14:val="none"/>
              </w:rPr>
              <w:t>ՀՀ տարածքային կառավարման և ենթակառուցվածքների նախարարությունը  քննարկում է «Հայաստանի Հանրապետության կառավարության 2006 թվականի մայիսի 18-ի N 912-Ն որոշման մեջ փոփոխություններ և լրացումներ կատարելու մասին»  Կառավարության որոշման նախագիծը և հայտնում է, որ նախագծի վերաբերյալ դիրքորոշում կներկայացնի լրացուցիչ։</w:t>
            </w:r>
          </w:p>
        </w:tc>
        <w:tc>
          <w:tcPr>
            <w:tcW w:w="0" w:type="auto"/>
            <w:vAlign w:val="center"/>
            <w:hideMark/>
          </w:tcPr>
          <w:p w14:paraId="547781B8" w14:textId="4396AD2F" w:rsidR="00E27916" w:rsidRPr="00E77A0F" w:rsidRDefault="000557D4" w:rsidP="00735704">
            <w:pPr>
              <w:keepNext/>
              <w:spacing w:after="60" w:line="240" w:lineRule="auto"/>
              <w:ind w:left="100" w:right="100"/>
              <w:jc w:val="center"/>
              <w:rPr>
                <w:rFonts w:ascii="GHEA Grapalat" w:eastAsia="Times New Roman" w:hAnsi="GHEA Grapalat" w:cs="Times New Roman"/>
                <w:kern w:val="0"/>
                <w14:ligatures w14:val="none"/>
              </w:rPr>
            </w:pPr>
            <w:r>
              <w:rPr>
                <w:rFonts w:ascii="GHEA Grapalat" w:eastAsia="Times New Roman" w:hAnsi="GHEA Grapalat" w:cs="Times New Roman"/>
                <w:b/>
                <w:color w:val="000000"/>
                <w:kern w:val="0"/>
                <w14:ligatures w14:val="none"/>
              </w:rPr>
              <w:t>Ընդունվել է ի գիտություն</w:t>
            </w:r>
          </w:p>
          <w:p w14:paraId="07B84557" w14:textId="067EAC3C" w:rsidR="00E27916" w:rsidRPr="00E77A0F" w:rsidRDefault="00E27916" w:rsidP="000557D4">
            <w:pPr>
              <w:spacing w:after="60" w:line="240" w:lineRule="auto"/>
              <w:ind w:right="100"/>
              <w:rPr>
                <w:rFonts w:ascii="GHEA Grapalat" w:eastAsia="Times New Roman" w:hAnsi="GHEA Grapalat" w:cs="Times New Roman"/>
                <w:kern w:val="0"/>
                <w14:ligatures w14:val="none"/>
              </w:rPr>
            </w:pPr>
          </w:p>
        </w:tc>
      </w:tr>
    </w:tbl>
    <w:p w14:paraId="6D43BF71" w14:textId="77777777" w:rsidR="00E27916" w:rsidRPr="00E27916" w:rsidRDefault="00E27916" w:rsidP="00E27916">
      <w:pPr>
        <w:spacing w:after="0"/>
        <w:rPr>
          <w:rFonts w:ascii="GHEA Grapalat" w:hAnsi="GHEA Grapalat"/>
        </w:rPr>
      </w:pPr>
    </w:p>
    <w:sectPr w:rsidR="00E27916" w:rsidRPr="00E27916" w:rsidSect="00A13C2E">
      <w:pgSz w:w="15840" w:h="12240" w:orient="landscape"/>
      <w:pgMar w:top="1440" w:right="1440" w:bottom="132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916"/>
    <w:rsid w:val="000557D4"/>
    <w:rsid w:val="00150C92"/>
    <w:rsid w:val="002A1792"/>
    <w:rsid w:val="003C35C6"/>
    <w:rsid w:val="00431B06"/>
    <w:rsid w:val="00577C62"/>
    <w:rsid w:val="00665405"/>
    <w:rsid w:val="0066553C"/>
    <w:rsid w:val="00697116"/>
    <w:rsid w:val="006E02BD"/>
    <w:rsid w:val="00735704"/>
    <w:rsid w:val="00865FFC"/>
    <w:rsid w:val="00933EAB"/>
    <w:rsid w:val="009C506E"/>
    <w:rsid w:val="00A13C2E"/>
    <w:rsid w:val="00AB10B2"/>
    <w:rsid w:val="00B541D8"/>
    <w:rsid w:val="00D26E01"/>
    <w:rsid w:val="00E27916"/>
    <w:rsid w:val="00E77A0F"/>
    <w:rsid w:val="00F82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1A475"/>
  <w15:chartTrackingRefBased/>
  <w15:docId w15:val="{76DAAC75-E66A-CB4F-A96A-1B7A64E2F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79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9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9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9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9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9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9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9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9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9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9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9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9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9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9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9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9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916"/>
    <w:rPr>
      <w:rFonts w:eastAsiaTheme="majorEastAsia" w:cstheme="majorBidi"/>
      <w:color w:val="272727" w:themeColor="text1" w:themeTint="D8"/>
    </w:rPr>
  </w:style>
  <w:style w:type="paragraph" w:styleId="Title">
    <w:name w:val="Title"/>
    <w:basedOn w:val="Normal"/>
    <w:next w:val="Normal"/>
    <w:link w:val="TitleChar"/>
    <w:uiPriority w:val="10"/>
    <w:qFormat/>
    <w:rsid w:val="00E27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9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9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9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916"/>
    <w:pPr>
      <w:spacing w:before="160"/>
      <w:jc w:val="center"/>
    </w:pPr>
    <w:rPr>
      <w:i/>
      <w:iCs/>
      <w:color w:val="404040" w:themeColor="text1" w:themeTint="BF"/>
    </w:rPr>
  </w:style>
  <w:style w:type="character" w:customStyle="1" w:styleId="QuoteChar">
    <w:name w:val="Quote Char"/>
    <w:basedOn w:val="DefaultParagraphFont"/>
    <w:link w:val="Quote"/>
    <w:uiPriority w:val="29"/>
    <w:rsid w:val="00E27916"/>
    <w:rPr>
      <w:i/>
      <w:iCs/>
      <w:color w:val="404040" w:themeColor="text1" w:themeTint="BF"/>
    </w:rPr>
  </w:style>
  <w:style w:type="paragraph" w:styleId="ListParagraph">
    <w:name w:val="List Paragraph"/>
    <w:basedOn w:val="Normal"/>
    <w:uiPriority w:val="34"/>
    <w:qFormat/>
    <w:rsid w:val="00E27916"/>
    <w:pPr>
      <w:ind w:left="720"/>
      <w:contextualSpacing/>
    </w:pPr>
  </w:style>
  <w:style w:type="character" w:styleId="IntenseEmphasis">
    <w:name w:val="Intense Emphasis"/>
    <w:basedOn w:val="DefaultParagraphFont"/>
    <w:uiPriority w:val="21"/>
    <w:qFormat/>
    <w:rsid w:val="00E27916"/>
    <w:rPr>
      <w:i/>
      <w:iCs/>
      <w:color w:val="0F4761" w:themeColor="accent1" w:themeShade="BF"/>
    </w:rPr>
  </w:style>
  <w:style w:type="paragraph" w:styleId="IntenseQuote">
    <w:name w:val="Intense Quote"/>
    <w:basedOn w:val="Normal"/>
    <w:next w:val="Normal"/>
    <w:link w:val="IntenseQuoteChar"/>
    <w:uiPriority w:val="30"/>
    <w:qFormat/>
    <w:rsid w:val="00E27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916"/>
    <w:rPr>
      <w:i/>
      <w:iCs/>
      <w:color w:val="0F4761" w:themeColor="accent1" w:themeShade="BF"/>
    </w:rPr>
  </w:style>
  <w:style w:type="character" w:styleId="IntenseReference">
    <w:name w:val="Intense Reference"/>
    <w:basedOn w:val="DefaultParagraphFont"/>
    <w:uiPriority w:val="32"/>
    <w:qFormat/>
    <w:rsid w:val="00E27916"/>
    <w:rPr>
      <w:b/>
      <w:bCs/>
      <w:smallCaps/>
      <w:color w:val="0F4761" w:themeColor="accent1" w:themeShade="BF"/>
      <w:spacing w:val="5"/>
    </w:rPr>
  </w:style>
  <w:style w:type="paragraph" w:styleId="NormalWeb">
    <w:name w:val="Normal (Web)"/>
    <w:basedOn w:val="Normal"/>
    <w:uiPriority w:val="99"/>
    <w:semiHidden/>
    <w:unhideWhenUsed/>
    <w:rsid w:val="00E2791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279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TotalTime>
  <Pages>25</Pages>
  <Words>4576</Words>
  <Characters>33089</Characters>
  <Application>Microsoft Office Word</Application>
  <DocSecurity>0</DocSecurity>
  <Lines>958</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Babayan</dc:creator>
  <cp:keywords>https://mul2-mud.gov.am/tasks/924501/oneclick?token=679a7276ff3eb1116ec3a1bca4ccba27</cp:keywords>
  <dc:description/>
  <cp:lastModifiedBy>Narine Babayan</cp:lastModifiedBy>
  <cp:revision>12</cp:revision>
  <dcterms:created xsi:type="dcterms:W3CDTF">2026-06-16T14:01:00Z</dcterms:created>
  <dcterms:modified xsi:type="dcterms:W3CDTF">2026-10-07T14:24:00Z</dcterms:modified>
</cp:coreProperties>
</file>