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D7CA5" w14:textId="77777777" w:rsidR="00237FC7" w:rsidRDefault="00237FC7" w:rsidP="00237FC7">
      <w:pPr>
        <w:tabs>
          <w:tab w:val="left" w:pos="8424"/>
        </w:tabs>
        <w:autoSpaceDE w:val="0"/>
        <w:autoSpaceDN w:val="0"/>
        <w:adjustRightInd w:val="0"/>
        <w:spacing w:line="360" w:lineRule="auto"/>
        <w:jc w:val="center"/>
        <w:rPr>
          <w:rFonts w:ascii="GHEA Grapalat" w:hAnsi="GHEA Grapalat" w:cs="DejaVuSans-Bold"/>
          <w:b/>
          <w:bCs/>
          <w:sz w:val="24"/>
          <w:szCs w:val="24"/>
          <w:lang w:val="hy-AM" w:eastAsia="en-US"/>
        </w:rPr>
      </w:pPr>
      <w:r>
        <w:rPr>
          <w:rFonts w:ascii="GHEA Grapalat" w:hAnsi="GHEA Grapalat" w:cs="DejaVuSans-Bold"/>
          <w:b/>
          <w:bCs/>
          <w:sz w:val="24"/>
          <w:szCs w:val="24"/>
          <w:lang w:val="hy-AM"/>
        </w:rPr>
        <w:t>ՀԻՄՆԱՎՈՐՈՒՄ</w:t>
      </w:r>
    </w:p>
    <w:p w14:paraId="4B03901F" w14:textId="77777777" w:rsidR="00237FC7" w:rsidRDefault="00237FC7" w:rsidP="00237FC7">
      <w:pPr>
        <w:ind w:firstLine="375"/>
        <w:jc w:val="center"/>
        <w:rPr>
          <w:rFonts w:ascii="Times New Roman" w:hAnsi="Times New Roman"/>
          <w:b/>
          <w:sz w:val="24"/>
          <w:szCs w:val="24"/>
          <w:lang w:val="hy-AM" w:eastAsia="en-US"/>
        </w:rPr>
      </w:pPr>
      <w:r>
        <w:rPr>
          <w:rFonts w:ascii="GHEA Grapalat" w:hAnsi="GHEA Grapalat"/>
          <w:b/>
          <w:sz w:val="24"/>
          <w:szCs w:val="24"/>
          <w:lang w:val="hy-AM"/>
        </w:rPr>
        <w:t>«ՀԱՅԱՍՏԱՆԻ ՀԱՆՐԱՊԵՏՈՒԹՅԱՆ ԿԱՌԱՎԱՐՈՒԹՅԱՆ 2026 ԹՎԱԿԱՆԻ ԱՊՐԻԼԻ 2-Ի ԹԻՎ 420-Ա ՈՐՈՇՄԱՆ ՄԵՋ ՓՈՓՈԽՈՒԹՅՈՒՆ ԿԱՏԱՐԵԼՈՒ ՄԱՍԻՆ</w:t>
      </w:r>
      <w:r>
        <w:rPr>
          <w:rFonts w:ascii="Times New Roman" w:hAnsi="Times New Roman"/>
          <w:b/>
          <w:sz w:val="24"/>
          <w:szCs w:val="24"/>
          <w:lang w:val="hy-AM" w:eastAsia="en-US"/>
        </w:rPr>
        <w:t> »</w:t>
      </w:r>
    </w:p>
    <w:p w14:paraId="62BCC85B" w14:textId="77777777" w:rsidR="00237FC7" w:rsidRDefault="00237FC7" w:rsidP="00237FC7">
      <w:pPr>
        <w:jc w:val="center"/>
        <w:rPr>
          <w:rFonts w:ascii="GHEA Grapalat" w:hAnsi="GHEA Grapalat" w:cs="DejaVuSans-Bold"/>
          <w:b/>
          <w:bCs/>
          <w:sz w:val="24"/>
          <w:szCs w:val="24"/>
          <w:lang w:val="hy-AM"/>
        </w:rPr>
      </w:pPr>
      <w:r>
        <w:rPr>
          <w:rFonts w:ascii="GHEA Grapalat" w:hAnsi="GHEA Grapalat" w:cs="DejaVuSans-Bold"/>
          <w:b/>
          <w:bCs/>
          <w:sz w:val="24"/>
          <w:szCs w:val="24"/>
          <w:lang w:val="hy-AM"/>
        </w:rPr>
        <w:t xml:space="preserve"> ՀՀ ԿԱՌԱՎԱՐՈՒԹՅԱՆ ՈՐՈՇՄԱՆ ՆԱԽԱԳԾԻ ԸՆԴՈՒՆՄԱՆ</w:t>
      </w:r>
    </w:p>
    <w:p w14:paraId="7F5F35C1" w14:textId="77777777" w:rsidR="00237FC7" w:rsidRDefault="00237FC7" w:rsidP="00237FC7">
      <w:pPr>
        <w:tabs>
          <w:tab w:val="left" w:pos="8424"/>
        </w:tabs>
        <w:autoSpaceDE w:val="0"/>
        <w:autoSpaceDN w:val="0"/>
        <w:adjustRightInd w:val="0"/>
        <w:spacing w:line="360" w:lineRule="auto"/>
        <w:ind w:firstLine="567"/>
        <w:jc w:val="both"/>
        <w:rPr>
          <w:rFonts w:ascii="Calibri" w:hAnsi="Calibri" w:cs="Calibri"/>
          <w:b/>
          <w:bCs/>
          <w:sz w:val="24"/>
          <w:szCs w:val="24"/>
          <w:lang w:val="hy-AM"/>
        </w:rPr>
      </w:pPr>
      <w:r>
        <w:rPr>
          <w:rFonts w:ascii="Calibri" w:hAnsi="Calibri" w:cs="Calibri"/>
          <w:b/>
          <w:bCs/>
          <w:sz w:val="24"/>
          <w:szCs w:val="24"/>
          <w:lang w:val="hy-AM"/>
        </w:rPr>
        <w:t> </w:t>
      </w:r>
    </w:p>
    <w:p w14:paraId="029E2022" w14:textId="77777777" w:rsidR="00237FC7" w:rsidRDefault="00237FC7" w:rsidP="00237FC7">
      <w:pPr>
        <w:tabs>
          <w:tab w:val="left" w:pos="8424"/>
        </w:tabs>
        <w:autoSpaceDE w:val="0"/>
        <w:autoSpaceDN w:val="0"/>
        <w:adjustRightInd w:val="0"/>
        <w:spacing w:line="360" w:lineRule="auto"/>
        <w:ind w:firstLine="567"/>
        <w:jc w:val="both"/>
        <w:rPr>
          <w:rFonts w:ascii="Calibri" w:hAnsi="Calibri" w:cs="Calibri"/>
          <w:b/>
          <w:bCs/>
          <w:sz w:val="24"/>
          <w:szCs w:val="24"/>
          <w:lang w:val="hy-AM"/>
        </w:rPr>
      </w:pPr>
    </w:p>
    <w:p w14:paraId="074364F0"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DejaVuSans-Bold"/>
          <w:b/>
          <w:bCs/>
          <w:sz w:val="24"/>
          <w:szCs w:val="24"/>
          <w:lang w:val="hy-AM"/>
        </w:rPr>
        <w:t>1. Ընթացիկ իրավիճակը և իրավական ակտի ընդունման անհրաժեշտությունը</w:t>
      </w:r>
    </w:p>
    <w:p w14:paraId="3F840197"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DejaVuSans-Bold"/>
          <w:sz w:val="24"/>
          <w:szCs w:val="24"/>
          <w:lang w:val="hy-AM"/>
        </w:rPr>
        <w:t xml:space="preserve">Նախագծի ընդունման անհրաժեշտությունը պայմանավորված է Հայաստանի Հանրապետության վարչապետի կողմից ստացվող մրցանակների տնօրինման համար անհրաժեշտ իրավական հիմքերի ստեղծմամբ։ </w:t>
      </w:r>
    </w:p>
    <w:p w14:paraId="463DC361"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DejaVuSans-Bold"/>
          <w:sz w:val="24"/>
          <w:szCs w:val="24"/>
          <w:lang w:val="hy-AM"/>
        </w:rPr>
        <w:t xml:space="preserve">Մասնավորապես, Հայաստանի Հանրապետության վարչապետը «Զայեդ» մարդկային եղբայրության 2026 մրցանակաբաշխության շրջանակներում ստացել էր 500,000.00 ԱՄՆ դոլար մրցանակ, որի բյուջետավորման հետ կապված հարաբերությունները կարգավորվել են ՀՀ կառավարության 02.04.2026 թվականի թիվ 420-Ա որոշմամբ: Ներկայումս առկա է անհրաժեշտություն՝ ապահովելու նաև </w:t>
      </w:r>
      <w:r>
        <w:rPr>
          <w:rFonts w:ascii="GHEA Grapalat" w:hAnsi="GHEA Grapalat" w:cs="Arial"/>
          <w:sz w:val="24"/>
          <w:szCs w:val="24"/>
          <w:lang w:val="hy-AM" w:eastAsia="en-US"/>
        </w:rPr>
        <w:t>Վիսբադենում՝</w:t>
      </w:r>
      <w:r>
        <w:rPr>
          <w:rFonts w:ascii="GHEA Grapalat" w:hAnsi="GHEA Grapalat"/>
          <w:sz w:val="24"/>
          <w:szCs w:val="24"/>
          <w:lang w:val="hy-AM" w:eastAsia="en-US"/>
        </w:rPr>
        <w:t xml:space="preserve"> </w:t>
      </w:r>
      <w:r>
        <w:rPr>
          <w:rFonts w:ascii="GHEA Grapalat" w:hAnsi="GHEA Grapalat" w:cs="Arial"/>
          <w:sz w:val="24"/>
          <w:szCs w:val="24"/>
          <w:lang w:val="hy-AM" w:eastAsia="en-US"/>
        </w:rPr>
        <w:t>Հեսսենի</w:t>
      </w:r>
      <w:r>
        <w:rPr>
          <w:rFonts w:ascii="GHEA Grapalat" w:hAnsi="GHEA Grapalat"/>
          <w:sz w:val="24"/>
          <w:szCs w:val="24"/>
          <w:lang w:val="hy-AM" w:eastAsia="en-US"/>
        </w:rPr>
        <w:t xml:space="preserve"> </w:t>
      </w:r>
      <w:r>
        <w:rPr>
          <w:rFonts w:ascii="GHEA Grapalat" w:hAnsi="GHEA Grapalat" w:cs="Arial"/>
          <w:sz w:val="24"/>
          <w:szCs w:val="24"/>
          <w:lang w:val="hy-AM" w:eastAsia="en-US"/>
        </w:rPr>
        <w:t>դաշնային</w:t>
      </w:r>
      <w:r>
        <w:rPr>
          <w:rFonts w:ascii="GHEA Grapalat" w:hAnsi="GHEA Grapalat"/>
          <w:sz w:val="24"/>
          <w:szCs w:val="24"/>
          <w:lang w:val="hy-AM" w:eastAsia="en-US"/>
        </w:rPr>
        <w:t xml:space="preserve"> </w:t>
      </w:r>
      <w:r>
        <w:rPr>
          <w:rFonts w:ascii="GHEA Grapalat" w:hAnsi="GHEA Grapalat" w:cs="Arial"/>
          <w:sz w:val="24"/>
          <w:szCs w:val="24"/>
          <w:lang w:val="hy-AM" w:eastAsia="en-US"/>
        </w:rPr>
        <w:t>երկրամասային</w:t>
      </w:r>
      <w:r>
        <w:rPr>
          <w:rFonts w:ascii="GHEA Grapalat" w:hAnsi="GHEA Grapalat"/>
          <w:sz w:val="24"/>
          <w:szCs w:val="24"/>
          <w:lang w:val="hy-AM" w:eastAsia="en-US"/>
        </w:rPr>
        <w:t xml:space="preserve"> </w:t>
      </w:r>
      <w:r>
        <w:rPr>
          <w:rFonts w:ascii="GHEA Grapalat" w:hAnsi="GHEA Grapalat" w:cs="Arial"/>
          <w:sz w:val="24"/>
          <w:szCs w:val="24"/>
          <w:lang w:val="hy-AM" w:eastAsia="en-US"/>
        </w:rPr>
        <w:t>խորհրդարանում</w:t>
      </w:r>
      <w:r>
        <w:rPr>
          <w:rFonts w:ascii="GHEA Grapalat" w:hAnsi="GHEA Grapalat"/>
          <w:sz w:val="24"/>
          <w:szCs w:val="24"/>
          <w:lang w:val="hy-AM" w:eastAsia="en-US"/>
        </w:rPr>
        <w:t xml:space="preserve"> </w:t>
      </w:r>
      <w:r>
        <w:rPr>
          <w:rFonts w:ascii="GHEA Grapalat" w:hAnsi="GHEA Grapalat" w:cs="Arial"/>
          <w:sz w:val="24"/>
          <w:szCs w:val="24"/>
          <w:lang w:val="hy-AM" w:eastAsia="en-US"/>
        </w:rPr>
        <w:t>տեղի</w:t>
      </w:r>
      <w:r>
        <w:rPr>
          <w:rFonts w:ascii="GHEA Grapalat" w:hAnsi="GHEA Grapalat"/>
          <w:sz w:val="24"/>
          <w:szCs w:val="24"/>
          <w:lang w:val="hy-AM" w:eastAsia="en-US"/>
        </w:rPr>
        <w:t xml:space="preserve"> </w:t>
      </w:r>
      <w:r>
        <w:rPr>
          <w:rFonts w:ascii="GHEA Grapalat" w:hAnsi="GHEA Grapalat" w:cs="Arial"/>
          <w:sz w:val="24"/>
          <w:szCs w:val="24"/>
          <w:lang w:val="hy-AM" w:eastAsia="en-US"/>
        </w:rPr>
        <w:t>ունեցած Հեսսեյան</w:t>
      </w:r>
      <w:r>
        <w:rPr>
          <w:rFonts w:ascii="GHEA Grapalat" w:hAnsi="GHEA Grapalat"/>
          <w:sz w:val="24"/>
          <w:szCs w:val="24"/>
          <w:lang w:val="hy-AM" w:eastAsia="en-US"/>
        </w:rPr>
        <w:t xml:space="preserve"> </w:t>
      </w:r>
      <w:r>
        <w:rPr>
          <w:rFonts w:ascii="GHEA Grapalat" w:hAnsi="GHEA Grapalat" w:cs="Arial"/>
          <w:sz w:val="24"/>
          <w:szCs w:val="24"/>
          <w:lang w:val="hy-AM" w:eastAsia="en-US"/>
        </w:rPr>
        <w:t>խաղաղության</w:t>
      </w:r>
      <w:r>
        <w:rPr>
          <w:rFonts w:ascii="GHEA Grapalat" w:hAnsi="GHEA Grapalat"/>
          <w:sz w:val="24"/>
          <w:szCs w:val="24"/>
          <w:lang w:val="hy-AM" w:eastAsia="en-US"/>
        </w:rPr>
        <w:t xml:space="preserve"> </w:t>
      </w:r>
      <w:r>
        <w:rPr>
          <w:rFonts w:ascii="GHEA Grapalat" w:hAnsi="GHEA Grapalat" w:cs="Arial"/>
          <w:sz w:val="24"/>
          <w:szCs w:val="24"/>
          <w:lang w:val="hy-AM" w:eastAsia="en-US"/>
        </w:rPr>
        <w:t>մրցանա</w:t>
      </w:r>
      <w:r>
        <w:rPr>
          <w:rFonts w:ascii="GHEA Grapalat" w:hAnsi="GHEA Grapalat"/>
          <w:sz w:val="24"/>
          <w:szCs w:val="24"/>
          <w:lang w:val="hy-AM" w:eastAsia="en-US"/>
        </w:rPr>
        <w:t xml:space="preserve">կի շնորհման շրջանակներում </w:t>
      </w:r>
      <w:r>
        <w:rPr>
          <w:rFonts w:ascii="GHEA Grapalat" w:hAnsi="GHEA Grapalat" w:cs="DejaVuSans-Bold"/>
          <w:sz w:val="24"/>
          <w:szCs w:val="24"/>
          <w:lang w:val="hy-AM"/>
        </w:rPr>
        <w:t>25,000.00 եվրո մրցանակի բյուջետային մուտքերի և դրանց հաշվին կատարվող ելքերի կատարումն ու առանձնացված հաշվառումը։</w:t>
      </w:r>
    </w:p>
    <w:p w14:paraId="4A7D405F"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DejaVuSans-Bold"/>
          <w:b/>
          <w:bCs/>
          <w:sz w:val="24"/>
          <w:szCs w:val="24"/>
          <w:lang w:val="hy-AM"/>
        </w:rPr>
        <w:t>2.</w:t>
      </w:r>
      <w:r>
        <w:rPr>
          <w:rFonts w:ascii="GHEA Grapalat" w:hAnsi="GHEA Grapalat" w:cs="DejaVuSans-Bold"/>
          <w:sz w:val="24"/>
          <w:szCs w:val="24"/>
          <w:lang w:val="hy-AM"/>
        </w:rPr>
        <w:t xml:space="preserve"> </w:t>
      </w:r>
      <w:r>
        <w:rPr>
          <w:rFonts w:ascii="GHEA Grapalat" w:hAnsi="GHEA Grapalat" w:cs="DejaVuSans-Bold"/>
          <w:b/>
          <w:bCs/>
          <w:sz w:val="24"/>
          <w:szCs w:val="24"/>
          <w:lang w:val="hy-AM"/>
        </w:rPr>
        <w:t>Առաջարկվող կարգավորման բնույթը</w:t>
      </w:r>
      <w:r>
        <w:rPr>
          <w:rFonts w:ascii="GHEA Grapalat" w:hAnsi="GHEA Grapalat" w:cs="DejaVuSans-Bold"/>
          <w:sz w:val="24"/>
          <w:szCs w:val="24"/>
          <w:lang w:val="hy-AM"/>
        </w:rPr>
        <w:t xml:space="preserve"> </w:t>
      </w:r>
    </w:p>
    <w:p w14:paraId="421B5813" w14:textId="742A6956"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DejaVuSans-Bold"/>
          <w:sz w:val="24"/>
          <w:szCs w:val="24"/>
          <w:lang w:val="hy-AM"/>
        </w:rPr>
        <w:t xml:space="preserve">Նախագծով առաջարկվում է փոփոխություն կատարել </w:t>
      </w:r>
      <w:r>
        <w:rPr>
          <w:rFonts w:ascii="GHEA Grapalat" w:hAnsi="GHEA Grapalat"/>
          <w:bCs/>
          <w:sz w:val="24"/>
          <w:szCs w:val="24"/>
          <w:lang w:val="hy-AM"/>
        </w:rPr>
        <w:t xml:space="preserve">Հայաստանի Հանրապետության կառավարության 2026 թվականի ապրիլի 2-ի թիվ 420-Ա </w:t>
      </w:r>
      <w:r>
        <w:rPr>
          <w:rFonts w:ascii="GHEA Grapalat" w:hAnsi="GHEA Grapalat" w:cs="DejaVuSans-Bold"/>
          <w:sz w:val="24"/>
          <w:szCs w:val="24"/>
          <w:lang w:val="hy-AM"/>
        </w:rPr>
        <w:t xml:space="preserve">որոշման մեջ` հնարավորություն տալով Վարչապետի կողմից ստացված </w:t>
      </w:r>
      <w:r>
        <w:rPr>
          <w:rFonts w:ascii="GHEA Grapalat" w:hAnsi="GHEA Grapalat" w:cs="Arial"/>
          <w:sz w:val="24"/>
          <w:szCs w:val="24"/>
          <w:lang w:val="hy-AM" w:eastAsia="en-US"/>
        </w:rPr>
        <w:t>Հեսսեյան</w:t>
      </w:r>
      <w:r>
        <w:rPr>
          <w:rFonts w:ascii="GHEA Grapalat" w:hAnsi="GHEA Grapalat"/>
          <w:sz w:val="24"/>
          <w:szCs w:val="24"/>
          <w:lang w:val="hy-AM" w:eastAsia="en-US"/>
        </w:rPr>
        <w:t xml:space="preserve"> </w:t>
      </w:r>
      <w:r>
        <w:rPr>
          <w:rFonts w:ascii="GHEA Grapalat" w:hAnsi="GHEA Grapalat" w:cs="Arial"/>
          <w:sz w:val="24"/>
          <w:szCs w:val="24"/>
          <w:lang w:val="hy-AM" w:eastAsia="en-US"/>
        </w:rPr>
        <w:t>խաղաղության</w:t>
      </w:r>
      <w:r>
        <w:rPr>
          <w:rFonts w:ascii="GHEA Grapalat" w:hAnsi="GHEA Grapalat"/>
          <w:sz w:val="24"/>
          <w:szCs w:val="24"/>
          <w:lang w:val="hy-AM" w:eastAsia="en-US"/>
        </w:rPr>
        <w:t xml:space="preserve"> </w:t>
      </w:r>
      <w:r>
        <w:rPr>
          <w:rFonts w:ascii="GHEA Grapalat" w:hAnsi="GHEA Grapalat" w:cs="Arial"/>
          <w:sz w:val="24"/>
          <w:szCs w:val="24"/>
          <w:lang w:val="hy-AM" w:eastAsia="en-US"/>
        </w:rPr>
        <w:t>մրցանա</w:t>
      </w:r>
      <w:r>
        <w:rPr>
          <w:rFonts w:ascii="GHEA Grapalat" w:hAnsi="GHEA Grapalat"/>
          <w:sz w:val="24"/>
          <w:szCs w:val="24"/>
          <w:lang w:val="hy-AM" w:eastAsia="en-US"/>
        </w:rPr>
        <w:t xml:space="preserve">կի շնորհման շրջանակներում </w:t>
      </w:r>
      <w:r>
        <w:rPr>
          <w:rFonts w:ascii="GHEA Grapalat" w:hAnsi="GHEA Grapalat" w:cs="DejaVuSans-Bold"/>
          <w:sz w:val="24"/>
          <w:szCs w:val="24"/>
          <w:lang w:val="hy-AM"/>
        </w:rPr>
        <w:t>25,000.00 եվրո մրցանակի և հետայսու ստացվող մյուս դրամային (այդ թվում՝ արտարժութային) մրցանակային միջոցների</w:t>
      </w:r>
      <w:r w:rsidR="00E4775B">
        <w:rPr>
          <w:rFonts w:ascii="GHEA Grapalat" w:hAnsi="GHEA Grapalat" w:cs="DejaVuSans-Bold"/>
          <w:sz w:val="24"/>
          <w:szCs w:val="24"/>
          <w:lang w:val="hy-AM"/>
        </w:rPr>
        <w:t xml:space="preserve"> </w:t>
      </w:r>
      <w:r w:rsidR="00E4775B">
        <w:rPr>
          <w:rFonts w:ascii="GHEA Grapalat" w:hAnsi="GHEA Grapalat" w:cs="DejaVuSans-Bold"/>
          <w:sz w:val="24"/>
          <w:szCs w:val="24"/>
          <w:lang w:val="hy-AM"/>
        </w:rPr>
        <w:t>(</w:t>
      </w:r>
      <w:r w:rsidR="00E4775B" w:rsidRPr="00E4775B">
        <w:rPr>
          <w:rFonts w:ascii="GHEA Grapalat" w:hAnsi="GHEA Grapalat" w:cs="Arial"/>
          <w:color w:val="222222"/>
          <w:sz w:val="24"/>
          <w:szCs w:val="24"/>
          <w:shd w:val="clear" w:color="auto" w:fill="FFFFFF"/>
          <w:lang w:val="hy-AM"/>
        </w:rPr>
        <w:t>այդ թվում՝ օրենքով սահմանված դրամական արտահայտմամբ նվերների)</w:t>
      </w:r>
      <w:r>
        <w:rPr>
          <w:rFonts w:ascii="GHEA Grapalat" w:hAnsi="GHEA Grapalat" w:cs="DejaVuSans-Bold"/>
          <w:sz w:val="24"/>
          <w:szCs w:val="24"/>
          <w:lang w:val="hy-AM"/>
        </w:rPr>
        <w:t xml:space="preserve"> ավանդադրումը` որոշման հիմքով բացված </w:t>
      </w:r>
      <w:r>
        <w:rPr>
          <w:rFonts w:ascii="GHEA Grapalat" w:hAnsi="GHEA Grapalat"/>
          <w:sz w:val="24"/>
          <w:szCs w:val="24"/>
          <w:lang w:val="hy-AM" w:eastAsia="en-US"/>
        </w:rPr>
        <w:t>արտաբյուջետային ավանդային հաշվի միջոցով</w:t>
      </w:r>
      <w:r>
        <w:rPr>
          <w:rFonts w:ascii="GHEA Grapalat" w:hAnsi="GHEA Grapalat" w:cs="DejaVuSans-Bold"/>
          <w:sz w:val="24"/>
          <w:szCs w:val="24"/>
          <w:lang w:val="hy-AM"/>
        </w:rPr>
        <w:t>։</w:t>
      </w:r>
    </w:p>
    <w:p w14:paraId="2E0EA965"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DejaVuSans-Bold"/>
          <w:b/>
          <w:bCs/>
          <w:sz w:val="24"/>
          <w:szCs w:val="24"/>
          <w:lang w:val="hy-AM"/>
        </w:rPr>
        <w:t>3.</w:t>
      </w:r>
      <w:r>
        <w:rPr>
          <w:rFonts w:ascii="GHEA Grapalat" w:hAnsi="GHEA Grapalat" w:cs="DejaVuSans-Bold"/>
          <w:sz w:val="24"/>
          <w:szCs w:val="24"/>
          <w:lang w:val="hy-AM"/>
        </w:rPr>
        <w:t xml:space="preserve"> </w:t>
      </w:r>
      <w:r>
        <w:rPr>
          <w:rFonts w:ascii="GHEA Grapalat" w:hAnsi="GHEA Grapalat" w:cs="DejaVuSans-Bold"/>
          <w:b/>
          <w:bCs/>
          <w:sz w:val="24"/>
          <w:szCs w:val="24"/>
          <w:lang w:val="hy-AM"/>
        </w:rPr>
        <w:t>Նախագծի մշակման գործընթացում ներգրավված ինստիտուտները</w:t>
      </w:r>
      <w:r>
        <w:rPr>
          <w:rFonts w:ascii="GHEA Grapalat" w:hAnsi="GHEA Grapalat" w:cs="DejaVuSans-Bold"/>
          <w:sz w:val="24"/>
          <w:szCs w:val="24"/>
          <w:lang w:val="hy-AM"/>
        </w:rPr>
        <w:t xml:space="preserve"> </w:t>
      </w:r>
      <w:bookmarkStart w:id="0" w:name="_GoBack"/>
      <w:bookmarkEnd w:id="0"/>
    </w:p>
    <w:p w14:paraId="03854F07"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DejaVuSans-Bold"/>
          <w:sz w:val="24"/>
          <w:szCs w:val="24"/>
          <w:lang w:val="hy-AM"/>
        </w:rPr>
        <w:t>Նախագիծը մշակվել է ՀՀ ֆինանսների նախարարության կողմից։</w:t>
      </w:r>
    </w:p>
    <w:p w14:paraId="2C357006"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DejaVuSans-Bold"/>
          <w:b/>
          <w:bCs/>
          <w:sz w:val="24"/>
          <w:szCs w:val="24"/>
          <w:lang w:val="hy-AM"/>
        </w:rPr>
        <w:t>4.</w:t>
      </w:r>
      <w:r>
        <w:rPr>
          <w:rFonts w:ascii="GHEA Grapalat" w:hAnsi="GHEA Grapalat" w:cs="DejaVuSans-Bold"/>
          <w:sz w:val="24"/>
          <w:szCs w:val="24"/>
          <w:lang w:val="hy-AM"/>
        </w:rPr>
        <w:t xml:space="preserve"> </w:t>
      </w:r>
      <w:r>
        <w:rPr>
          <w:rFonts w:ascii="GHEA Grapalat" w:hAnsi="GHEA Grapalat" w:cs="DejaVuSans-Bold"/>
          <w:b/>
          <w:bCs/>
          <w:sz w:val="24"/>
          <w:szCs w:val="24"/>
          <w:lang w:val="hy-AM"/>
        </w:rPr>
        <w:t>Ակնկալվող արդյունքը</w:t>
      </w:r>
      <w:r>
        <w:rPr>
          <w:rFonts w:ascii="GHEA Grapalat" w:hAnsi="GHEA Grapalat" w:cs="DejaVuSans-Bold"/>
          <w:sz w:val="24"/>
          <w:szCs w:val="24"/>
          <w:lang w:val="hy-AM"/>
        </w:rPr>
        <w:t xml:space="preserve"> </w:t>
      </w:r>
    </w:p>
    <w:p w14:paraId="19175DAA"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DejaVuSans-Bold"/>
          <w:sz w:val="24"/>
          <w:szCs w:val="24"/>
          <w:lang w:val="hy-AM"/>
        </w:rPr>
        <w:t xml:space="preserve">Որոշման ընդունմամբ կապահովվի մրցանակային միջոցների կառավարման թափանցիկությունը և դրանց նպատակային օգտագործման հնարավորությունը՝ իրականացնելով մուտքերի և ելքերի առանձնացված հաշվառում պետական </w:t>
      </w:r>
      <w:r>
        <w:rPr>
          <w:rFonts w:ascii="GHEA Grapalat" w:hAnsi="GHEA Grapalat" w:cs="DejaVuSans-Bold"/>
          <w:sz w:val="24"/>
          <w:szCs w:val="24"/>
          <w:lang w:val="hy-AM"/>
        </w:rPr>
        <w:lastRenderedPageBreak/>
        <w:t>գանձապետական համակարգի միջոցով։ Կապահովվեն նաև «Պետական գույքի կառավարման» մասին ՀՀ օրենքի 25.1-րդ հոդվածի 1-ին մասի 1-ին կետի պահանջները, որոնք սահմանում են, որ «Հանրային ծառայության մասին» ՀՀ օրենքի 29-րդ հոդվածի 6-րդ մասի հիման վրա Հայաստանի Հանրապետությանը հանձնված գույքը կարող է տնօրինվել համապատասխան պետական մարմնի օգտագործմանը հանձնելով:</w:t>
      </w:r>
    </w:p>
    <w:p w14:paraId="3071012D"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DejaVuSans-Bold"/>
          <w:b/>
          <w:bCs/>
          <w:sz w:val="24"/>
          <w:szCs w:val="24"/>
          <w:lang w:val="hy-AM"/>
        </w:rPr>
        <w:t>5.</w:t>
      </w:r>
      <w:r>
        <w:rPr>
          <w:rFonts w:ascii="GHEA Grapalat" w:hAnsi="GHEA Grapalat" w:cs="DejaVuSans-Bold"/>
          <w:sz w:val="24"/>
          <w:szCs w:val="24"/>
          <w:lang w:val="hy-AM"/>
        </w:rPr>
        <w:t xml:space="preserve"> </w:t>
      </w:r>
      <w:r>
        <w:rPr>
          <w:rFonts w:ascii="GHEA Grapalat" w:hAnsi="GHEA Grapalat" w:cs="GHEAGrapalat-Bold"/>
          <w:b/>
          <w:bCs/>
          <w:sz w:val="24"/>
          <w:szCs w:val="24"/>
          <w:lang w:val="hy-AM"/>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14:paraId="7A46DA95"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GHEAGrapalat-Bold"/>
          <w:sz w:val="24"/>
          <w:szCs w:val="24"/>
          <w:lang w:val="hy-AM"/>
        </w:rPr>
        <w:t>Նախագծի ընդունումը պետական բյուջեի եկամուտներում և ծախսերում փոփոխությունների չի հանգեցնի:</w:t>
      </w:r>
    </w:p>
    <w:p w14:paraId="0B3C9206"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GHEAGrapalat-Bold"/>
          <w:b/>
          <w:bCs/>
          <w:sz w:val="24"/>
          <w:szCs w:val="24"/>
          <w:lang w:val="hy-AM"/>
        </w:rPr>
        <w:t>6.</w:t>
      </w:r>
      <w:r>
        <w:rPr>
          <w:rFonts w:ascii="GHEA Grapalat" w:hAnsi="GHEA Grapalat" w:cs="GHEAGrapalat-Bold"/>
          <w:sz w:val="24"/>
          <w:szCs w:val="24"/>
          <w:lang w:val="hy-AM"/>
        </w:rPr>
        <w:t xml:space="preserve"> </w:t>
      </w:r>
      <w:r>
        <w:rPr>
          <w:rFonts w:ascii="GHEA Grapalat" w:hAnsi="GHEA Grapalat" w:cs="GHEAGrapalat-Bold"/>
          <w:b/>
          <w:bCs/>
          <w:sz w:val="24"/>
          <w:szCs w:val="24"/>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2DBAA874" w14:textId="77777777" w:rsidR="00237FC7" w:rsidRDefault="00237FC7" w:rsidP="00237FC7">
      <w:pPr>
        <w:autoSpaceDE w:val="0"/>
        <w:autoSpaceDN w:val="0"/>
        <w:adjustRightInd w:val="0"/>
        <w:spacing w:line="360" w:lineRule="auto"/>
        <w:ind w:firstLine="360"/>
        <w:jc w:val="both"/>
        <w:rPr>
          <w:rFonts w:ascii="GHEA Grapalat" w:hAnsi="GHEA Grapalat" w:cs="DejaVuSans-Bold"/>
          <w:sz w:val="24"/>
          <w:szCs w:val="24"/>
          <w:lang w:val="hy-AM"/>
        </w:rPr>
      </w:pPr>
      <w:r>
        <w:rPr>
          <w:rFonts w:ascii="GHEA Grapalat" w:hAnsi="GHEA Grapalat" w:cs="GHEAGrapalat-Bold"/>
          <w:sz w:val="24"/>
          <w:szCs w:val="24"/>
          <w:lang w:val="hy-AM"/>
        </w:rPr>
        <w:t>Նախագծի ընդունման կապակցությամբ այլ իրավական ակտերի ընդունման անհրաժեշտությունը բացակայում է:</w:t>
      </w:r>
    </w:p>
    <w:p w14:paraId="6CDD2D6C" w14:textId="77777777" w:rsidR="00237FC7" w:rsidRDefault="00237FC7" w:rsidP="00237FC7">
      <w:pPr>
        <w:autoSpaceDE w:val="0"/>
        <w:autoSpaceDN w:val="0"/>
        <w:adjustRightInd w:val="0"/>
        <w:spacing w:line="360" w:lineRule="auto"/>
        <w:jc w:val="both"/>
        <w:rPr>
          <w:rFonts w:ascii="GHEA Grapalat" w:hAnsi="GHEA Grapalat" w:cs="GHEAGrapalat-Bold"/>
          <w:b/>
          <w:bCs/>
          <w:sz w:val="24"/>
          <w:szCs w:val="24"/>
          <w:u w:val="single"/>
          <w:lang w:val="hy-AM"/>
        </w:rPr>
      </w:pPr>
    </w:p>
    <w:p w14:paraId="7C248CC7" w14:textId="77777777" w:rsidR="00237FC7" w:rsidRDefault="00237FC7" w:rsidP="00237FC7">
      <w:pPr>
        <w:pStyle w:val="mechtex0"/>
        <w:jc w:val="left"/>
        <w:rPr>
          <w:rFonts w:ascii="GHEA Grapalat" w:hAnsi="GHEA Grapalat"/>
          <w:spacing w:val="-8"/>
          <w:sz w:val="18"/>
          <w:szCs w:val="18"/>
        </w:rPr>
      </w:pPr>
    </w:p>
    <w:p w14:paraId="0C04B29F" w14:textId="1B7A616E" w:rsidR="00747A9E" w:rsidRPr="00237FC7" w:rsidRDefault="00747A9E" w:rsidP="00237FC7">
      <w:pPr>
        <w:rPr>
          <w:lang w:val="hy-AM"/>
        </w:rPr>
      </w:pPr>
    </w:p>
    <w:sectPr w:rsidR="00747A9E" w:rsidRPr="00237FC7" w:rsidSect="000B2D2E">
      <w:pgSz w:w="11906" w:h="16838"/>
      <w:pgMar w:top="360" w:right="746" w:bottom="1134" w:left="117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auto"/>
    <w:pitch w:val="variable"/>
    <w:sig w:usb0="A00006AF" w:usb1="5000204B" w:usb2="00000000" w:usb3="00000000" w:csb0="0000009F" w:csb1="00000000"/>
  </w:font>
  <w:font w:name="DejaVuSans-Bold">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919F6"/>
    <w:multiLevelType w:val="hybridMultilevel"/>
    <w:tmpl w:val="49440404"/>
    <w:lvl w:ilvl="0" w:tplc="042B0001">
      <w:start w:val="1"/>
      <w:numFmt w:val="bullet"/>
      <w:lvlText w:val=""/>
      <w:lvlJc w:val="left"/>
      <w:pPr>
        <w:ind w:left="720" w:hanging="360"/>
      </w:pPr>
      <w:rPr>
        <w:rFonts w:ascii="Symbol" w:hAnsi="Symbol" w:hint="default"/>
      </w:rPr>
    </w:lvl>
    <w:lvl w:ilvl="1" w:tplc="042B0003">
      <w:start w:val="1"/>
      <w:numFmt w:val="bullet"/>
      <w:lvlText w:val="o"/>
      <w:lvlJc w:val="left"/>
      <w:pPr>
        <w:ind w:left="1440" w:hanging="360"/>
      </w:pPr>
      <w:rPr>
        <w:rFonts w:ascii="Courier New" w:hAnsi="Courier New" w:cs="Courier New" w:hint="default"/>
      </w:rPr>
    </w:lvl>
    <w:lvl w:ilvl="2" w:tplc="042B0005">
      <w:start w:val="1"/>
      <w:numFmt w:val="bullet"/>
      <w:lvlText w:val=""/>
      <w:lvlJc w:val="left"/>
      <w:pPr>
        <w:ind w:left="2160" w:hanging="360"/>
      </w:pPr>
      <w:rPr>
        <w:rFonts w:ascii="Wingdings" w:hAnsi="Wingdings" w:hint="default"/>
      </w:rPr>
    </w:lvl>
    <w:lvl w:ilvl="3" w:tplc="042B0001">
      <w:start w:val="1"/>
      <w:numFmt w:val="bullet"/>
      <w:lvlText w:val=""/>
      <w:lvlJc w:val="left"/>
      <w:pPr>
        <w:ind w:left="2880" w:hanging="360"/>
      </w:pPr>
      <w:rPr>
        <w:rFonts w:ascii="Symbol" w:hAnsi="Symbol" w:hint="default"/>
      </w:rPr>
    </w:lvl>
    <w:lvl w:ilvl="4" w:tplc="042B0003">
      <w:start w:val="1"/>
      <w:numFmt w:val="bullet"/>
      <w:lvlText w:val="o"/>
      <w:lvlJc w:val="left"/>
      <w:pPr>
        <w:ind w:left="3600" w:hanging="360"/>
      </w:pPr>
      <w:rPr>
        <w:rFonts w:ascii="Courier New" w:hAnsi="Courier New" w:cs="Courier New" w:hint="default"/>
      </w:rPr>
    </w:lvl>
    <w:lvl w:ilvl="5" w:tplc="042B0005">
      <w:start w:val="1"/>
      <w:numFmt w:val="bullet"/>
      <w:lvlText w:val=""/>
      <w:lvlJc w:val="left"/>
      <w:pPr>
        <w:ind w:left="4320" w:hanging="360"/>
      </w:pPr>
      <w:rPr>
        <w:rFonts w:ascii="Wingdings" w:hAnsi="Wingdings" w:hint="default"/>
      </w:rPr>
    </w:lvl>
    <w:lvl w:ilvl="6" w:tplc="042B0001">
      <w:start w:val="1"/>
      <w:numFmt w:val="bullet"/>
      <w:lvlText w:val=""/>
      <w:lvlJc w:val="left"/>
      <w:pPr>
        <w:ind w:left="5040" w:hanging="360"/>
      </w:pPr>
      <w:rPr>
        <w:rFonts w:ascii="Symbol" w:hAnsi="Symbol" w:hint="default"/>
      </w:rPr>
    </w:lvl>
    <w:lvl w:ilvl="7" w:tplc="042B0003">
      <w:start w:val="1"/>
      <w:numFmt w:val="bullet"/>
      <w:lvlText w:val="o"/>
      <w:lvlJc w:val="left"/>
      <w:pPr>
        <w:ind w:left="5760" w:hanging="360"/>
      </w:pPr>
      <w:rPr>
        <w:rFonts w:ascii="Courier New" w:hAnsi="Courier New" w:cs="Courier New" w:hint="default"/>
      </w:rPr>
    </w:lvl>
    <w:lvl w:ilvl="8" w:tplc="042B0005">
      <w:start w:val="1"/>
      <w:numFmt w:val="bullet"/>
      <w:lvlText w:val=""/>
      <w:lvlJc w:val="left"/>
      <w:pPr>
        <w:ind w:left="6480" w:hanging="360"/>
      </w:pPr>
      <w:rPr>
        <w:rFonts w:ascii="Wingdings" w:hAnsi="Wingdings" w:hint="default"/>
      </w:rPr>
    </w:lvl>
  </w:abstractNum>
  <w:abstractNum w:abstractNumId="1" w15:restartNumberingAfterBreak="0">
    <w:nsid w:val="64EF01A7"/>
    <w:multiLevelType w:val="hybridMultilevel"/>
    <w:tmpl w:val="342CCCA8"/>
    <w:lvl w:ilvl="0" w:tplc="042B0001">
      <w:start w:val="1"/>
      <w:numFmt w:val="bullet"/>
      <w:lvlText w:val=""/>
      <w:lvlJc w:val="left"/>
      <w:pPr>
        <w:ind w:left="720" w:hanging="360"/>
      </w:pPr>
      <w:rPr>
        <w:rFonts w:ascii="Symbol" w:hAnsi="Symbol" w:hint="default"/>
      </w:rPr>
    </w:lvl>
    <w:lvl w:ilvl="1" w:tplc="042B0003">
      <w:start w:val="1"/>
      <w:numFmt w:val="bullet"/>
      <w:lvlText w:val="o"/>
      <w:lvlJc w:val="left"/>
      <w:pPr>
        <w:ind w:left="1440" w:hanging="360"/>
      </w:pPr>
      <w:rPr>
        <w:rFonts w:ascii="Courier New" w:hAnsi="Courier New" w:cs="Courier New" w:hint="default"/>
      </w:rPr>
    </w:lvl>
    <w:lvl w:ilvl="2" w:tplc="042B0005">
      <w:start w:val="1"/>
      <w:numFmt w:val="bullet"/>
      <w:lvlText w:val=""/>
      <w:lvlJc w:val="left"/>
      <w:pPr>
        <w:ind w:left="2160" w:hanging="360"/>
      </w:pPr>
      <w:rPr>
        <w:rFonts w:ascii="Wingdings" w:hAnsi="Wingdings" w:hint="default"/>
      </w:rPr>
    </w:lvl>
    <w:lvl w:ilvl="3" w:tplc="042B0001">
      <w:start w:val="1"/>
      <w:numFmt w:val="bullet"/>
      <w:lvlText w:val=""/>
      <w:lvlJc w:val="left"/>
      <w:pPr>
        <w:ind w:left="2880" w:hanging="360"/>
      </w:pPr>
      <w:rPr>
        <w:rFonts w:ascii="Symbol" w:hAnsi="Symbol" w:hint="default"/>
      </w:rPr>
    </w:lvl>
    <w:lvl w:ilvl="4" w:tplc="042B0003">
      <w:start w:val="1"/>
      <w:numFmt w:val="bullet"/>
      <w:lvlText w:val="o"/>
      <w:lvlJc w:val="left"/>
      <w:pPr>
        <w:ind w:left="3600" w:hanging="360"/>
      </w:pPr>
      <w:rPr>
        <w:rFonts w:ascii="Courier New" w:hAnsi="Courier New" w:cs="Courier New" w:hint="default"/>
      </w:rPr>
    </w:lvl>
    <w:lvl w:ilvl="5" w:tplc="042B0005">
      <w:start w:val="1"/>
      <w:numFmt w:val="bullet"/>
      <w:lvlText w:val=""/>
      <w:lvlJc w:val="left"/>
      <w:pPr>
        <w:ind w:left="4320" w:hanging="360"/>
      </w:pPr>
      <w:rPr>
        <w:rFonts w:ascii="Wingdings" w:hAnsi="Wingdings" w:hint="default"/>
      </w:rPr>
    </w:lvl>
    <w:lvl w:ilvl="6" w:tplc="042B0001">
      <w:start w:val="1"/>
      <w:numFmt w:val="bullet"/>
      <w:lvlText w:val=""/>
      <w:lvlJc w:val="left"/>
      <w:pPr>
        <w:ind w:left="5040" w:hanging="360"/>
      </w:pPr>
      <w:rPr>
        <w:rFonts w:ascii="Symbol" w:hAnsi="Symbol" w:hint="default"/>
      </w:rPr>
    </w:lvl>
    <w:lvl w:ilvl="7" w:tplc="042B0003">
      <w:start w:val="1"/>
      <w:numFmt w:val="bullet"/>
      <w:lvlText w:val="o"/>
      <w:lvlJc w:val="left"/>
      <w:pPr>
        <w:ind w:left="5760" w:hanging="360"/>
      </w:pPr>
      <w:rPr>
        <w:rFonts w:ascii="Courier New" w:hAnsi="Courier New" w:cs="Courier New" w:hint="default"/>
      </w:rPr>
    </w:lvl>
    <w:lvl w:ilvl="8" w:tplc="042B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6C8"/>
    <w:rsid w:val="000B2D2E"/>
    <w:rsid w:val="00140E7E"/>
    <w:rsid w:val="0016549D"/>
    <w:rsid w:val="001876C8"/>
    <w:rsid w:val="001E0CB0"/>
    <w:rsid w:val="00237FC7"/>
    <w:rsid w:val="004D59A8"/>
    <w:rsid w:val="00650FC2"/>
    <w:rsid w:val="006F4FFF"/>
    <w:rsid w:val="0073763E"/>
    <w:rsid w:val="00747A9E"/>
    <w:rsid w:val="0075023E"/>
    <w:rsid w:val="009759B0"/>
    <w:rsid w:val="009A2504"/>
    <w:rsid w:val="00A164D9"/>
    <w:rsid w:val="00B51516"/>
    <w:rsid w:val="00BE62EB"/>
    <w:rsid w:val="00D16914"/>
    <w:rsid w:val="00E4775B"/>
  </w:rsids>
  <m:mathPr>
    <m:mathFont m:val="Cambria Math"/>
    <m:brkBin m:val="before"/>
    <m:brkBinSub m:val="--"/>
    <m:smallFrac m:val="0"/>
    <m:dispDef/>
    <m:lMargin m:val="0"/>
    <m:rMargin m:val="0"/>
    <m:defJc m:val="centerGroup"/>
    <m:wrapIndent m:val="1440"/>
    <m:intLim m:val="subSup"/>
    <m:naryLim m:val="undOvr"/>
  </m:mathPr>
  <w:themeFontLang w:val="hy-AM"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C3D00"/>
  <w15:chartTrackingRefBased/>
  <w15:docId w15:val="{7320B9B4-B892-4790-9BEF-0DF6E0FA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A9E"/>
    <w:pPr>
      <w:spacing w:after="0" w:line="240" w:lineRule="auto"/>
    </w:pPr>
    <w:rPr>
      <w:rFonts w:ascii="Arial Armenian" w:eastAsia="Times New Roman" w:hAnsi="Arial Armenian" w:cs="Times New Roman"/>
      <w:sz w:val="20"/>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747A9E"/>
    <w:rPr>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747A9E"/>
    <w:pPr>
      <w:ind w:left="720"/>
      <w:contextualSpacing/>
    </w:pPr>
    <w:rPr>
      <w:rFonts w:asciiTheme="minorHAnsi" w:eastAsiaTheme="minorHAnsi" w:hAnsiTheme="minorHAnsi" w:cstheme="minorBidi"/>
      <w:sz w:val="24"/>
      <w:szCs w:val="24"/>
      <w:lang w:val="ru-RU"/>
    </w:rPr>
  </w:style>
  <w:style w:type="character" w:customStyle="1" w:styleId="mechtex">
    <w:name w:val="mechtex Знак"/>
    <w:link w:val="mechtex0"/>
    <w:locked/>
    <w:rsid w:val="00747A9E"/>
    <w:rPr>
      <w:rFonts w:ascii="Arial Armenian" w:hAnsi="Arial Armenian"/>
      <w:lang w:eastAsia="ru-RU"/>
    </w:rPr>
  </w:style>
  <w:style w:type="paragraph" w:customStyle="1" w:styleId="mechtex0">
    <w:name w:val="mechtex"/>
    <w:basedOn w:val="Normal"/>
    <w:link w:val="mechtex"/>
    <w:qFormat/>
    <w:rsid w:val="00747A9E"/>
    <w:pPr>
      <w:jc w:val="center"/>
    </w:pPr>
    <w:rPr>
      <w:rFonts w:eastAsiaTheme="minorHAnsi" w:cstheme="minorBidi"/>
      <w:sz w:val="22"/>
      <w:szCs w:val="22"/>
      <w:lang w:val="hy-AM"/>
    </w:rPr>
  </w:style>
  <w:style w:type="character" w:styleId="CommentReference">
    <w:name w:val="annotation reference"/>
    <w:basedOn w:val="DefaultParagraphFont"/>
    <w:semiHidden/>
    <w:unhideWhenUsed/>
    <w:rsid w:val="00747A9E"/>
    <w:rPr>
      <w:sz w:val="16"/>
      <w:szCs w:val="16"/>
    </w:rPr>
  </w:style>
  <w:style w:type="table" w:styleId="TableGrid">
    <w:name w:val="Table Grid"/>
    <w:basedOn w:val="TableNormal"/>
    <w:uiPriority w:val="39"/>
    <w:rsid w:val="00747A9E"/>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47A9E"/>
    <w:rPr>
      <w:b/>
      <w:bCs/>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Arial Armenian" w:eastAsia="Times New Roman" w:hAnsi="Arial Armenian" w:cs="Times New Roman"/>
      <w:sz w:val="20"/>
      <w:szCs w:val="20"/>
      <w:lang w:val="en-US" w:eastAsia="ru-RU"/>
    </w:rPr>
  </w:style>
  <w:style w:type="paragraph" w:customStyle="1" w:styleId="isselectedend">
    <w:name w:val="isselectedend"/>
    <w:basedOn w:val="Normal"/>
    <w:rsid w:val="00BE62EB"/>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047698">
      <w:bodyDiv w:val="1"/>
      <w:marLeft w:val="0"/>
      <w:marRight w:val="0"/>
      <w:marTop w:val="0"/>
      <w:marBottom w:val="0"/>
      <w:divBdr>
        <w:top w:val="none" w:sz="0" w:space="0" w:color="auto"/>
        <w:left w:val="none" w:sz="0" w:space="0" w:color="auto"/>
        <w:bottom w:val="none" w:sz="0" w:space="0" w:color="auto"/>
        <w:right w:val="none" w:sz="0" w:space="0" w:color="auto"/>
      </w:divBdr>
    </w:div>
    <w:div w:id="633563590">
      <w:bodyDiv w:val="1"/>
      <w:marLeft w:val="0"/>
      <w:marRight w:val="0"/>
      <w:marTop w:val="0"/>
      <w:marBottom w:val="0"/>
      <w:divBdr>
        <w:top w:val="none" w:sz="0" w:space="0" w:color="auto"/>
        <w:left w:val="none" w:sz="0" w:space="0" w:color="auto"/>
        <w:bottom w:val="none" w:sz="0" w:space="0" w:color="auto"/>
        <w:right w:val="none" w:sz="0" w:space="0" w:color="auto"/>
      </w:divBdr>
    </w:div>
    <w:div w:id="899897693">
      <w:bodyDiv w:val="1"/>
      <w:marLeft w:val="0"/>
      <w:marRight w:val="0"/>
      <w:marTop w:val="0"/>
      <w:marBottom w:val="0"/>
      <w:divBdr>
        <w:top w:val="none" w:sz="0" w:space="0" w:color="auto"/>
        <w:left w:val="none" w:sz="0" w:space="0" w:color="auto"/>
        <w:bottom w:val="none" w:sz="0" w:space="0" w:color="auto"/>
        <w:right w:val="none" w:sz="0" w:space="0" w:color="auto"/>
      </w:divBdr>
    </w:div>
    <w:div w:id="1217280818">
      <w:bodyDiv w:val="1"/>
      <w:marLeft w:val="0"/>
      <w:marRight w:val="0"/>
      <w:marTop w:val="0"/>
      <w:marBottom w:val="0"/>
      <w:divBdr>
        <w:top w:val="none" w:sz="0" w:space="0" w:color="auto"/>
        <w:left w:val="none" w:sz="0" w:space="0" w:color="auto"/>
        <w:bottom w:val="none" w:sz="0" w:space="0" w:color="auto"/>
        <w:right w:val="none" w:sz="0" w:space="0" w:color="auto"/>
      </w:divBdr>
    </w:div>
    <w:div w:id="181752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4A9F8-34CD-495A-8C1E-5811A9736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303</Words>
  <Characters>2362</Characters>
  <Application>Microsoft Office Word</Application>
  <DocSecurity>0</DocSecurity>
  <Lines>49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Iravaban-pet-tegh</dc:creator>
  <cp:keywords>https://mul2-minfin.gov.am/tasks/1272133/oneclick?token=4d7deeb462448ef92e1afb714fccac97</cp:keywords>
  <dc:description/>
  <cp:lastModifiedBy>hasmik zakaryan</cp:lastModifiedBy>
  <cp:revision>20</cp:revision>
  <dcterms:created xsi:type="dcterms:W3CDTF">2026-05-06T07:33:00Z</dcterms:created>
  <dcterms:modified xsi:type="dcterms:W3CDTF">2026-10-13T11:37:00Z</dcterms:modified>
</cp:coreProperties>
</file>