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AC342" w14:textId="77777777"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14:paraId="24F1AB39" w14:textId="34E45AB0" w:rsidR="002A2158" w:rsidRPr="00C04282" w:rsidRDefault="00AF44F6" w:rsidP="00C04282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AF44F6">
        <w:rPr>
          <w:rFonts w:ascii="GHEA Grapalat" w:hAnsi="GHEA Grapalat" w:cs="Sylfaen"/>
          <w:b/>
          <w:bCs/>
          <w:sz w:val="24"/>
          <w:szCs w:val="24"/>
          <w:lang w:eastAsia="ru-RU"/>
        </w:rPr>
        <w:t>«ՀԱՅԱՍՏԱՆԻ ՀԱՆՐԱՊԵՏՈՒԹՅԱՆ 2026 ԹՎԱԿԱՆԻ ՊԵՏԱԿԱՆ ԲՅՈՒՋԵԻ ՄԱՍԻՆ» ՕՐԵՆՔՈՒՄ ՎԵՐԱԲԱՇԽՈՒՄ, ՓՈՓՈԽՈՒԹՅՈՒՆ, ՀԱՅԱՍՏԱՆԻ ՀԱՆՐԱՊԵՏՈՒԹՅԱՆ ԿԱՌԱՎԱՐՈՒԹՅԱՆ 2025 ԹՎԱԿԱՆԻ ԴԵԿՏԵՄԲԵՐԻ 25-Ի N 1910-Ն ՈՐՈՇՄԱՆ ՄԵՋ ՓՈՓՈԽՈՒԹՅՈՒՆՆԵՐ ԵՎ ԼՐԱՑՈՒՄՆԵՐ ԿԱՏԱՐԵԼՈՒ ՄԱՍԻՆ</w:t>
      </w:r>
      <w:r w:rsidR="00C04282"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 w:rsidR="00C0428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14:paraId="1B8D5F48" w14:textId="77777777" w:rsidR="007B5450" w:rsidRPr="007B5450" w:rsidRDefault="002A2158" w:rsidP="001F4A56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60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14:paraId="2C9E53AA" w14:textId="77777777" w:rsidR="00844B65" w:rsidRPr="00844B65" w:rsidRDefault="00844B65" w:rsidP="00844B65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44B6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Հայաստանի Հանրապետության արդարադատության նախարարության պատվերով մշակվել և ներդրվել են վարչական և սնանկության դատավարությունների էլեկտրոնային համակարգերը, որոնց միջոցով իրականացվում են համապատասխան դատավարությունների շրջանակներում փաստաթղթերի էլեկտրոնային ներկայացումը, ստացումը և շրջանառությունը, ինչպես նաև օրենքով նախատեսված այլ դատավարական գործողություններ։</w:t>
      </w:r>
    </w:p>
    <w:p w14:paraId="50FC658B" w14:textId="77777777" w:rsidR="00844B65" w:rsidRPr="00844B65" w:rsidRDefault="00844B65" w:rsidP="00844B65">
      <w:pPr>
        <w:pStyle w:val="ListParagraph"/>
        <w:tabs>
          <w:tab w:val="left" w:pos="567"/>
          <w:tab w:val="left" w:pos="851"/>
          <w:tab w:val="left" w:pos="993"/>
        </w:tabs>
        <w:spacing w:before="60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44B6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Նշված համակարգերի մշակման պայմանագրերով նախատեսված երաշխիքային սպասարկման ժամկետների ավարտով պայմանավորված՝ անհրաժեշտություն է առաջացել ձեռք բերել հետերաշխիքային սպասարկման ծառայություններ՝ ապահովելու դրանց տեխնիկական սպասարկման շարունակականությունը։ Սպասարկման բացակայությունը կարող է հանգեցնել համակարգերի աշխատանքի ընդհատումների, դատավարական փաստաթղթերի ներկայացման կամ ստացման անհնարինության, դատավարական ժամկետների պահպանման խնդիրների, ինչպես նաև տվյալների ամբողջականության և տեղեկատվական անվտանգության ռիսկերի։</w:t>
      </w:r>
    </w:p>
    <w:p w14:paraId="7DD05597" w14:textId="77777777" w:rsidR="00844B65" w:rsidRPr="00844B65" w:rsidRDefault="00844B65" w:rsidP="00844B65">
      <w:pPr>
        <w:pStyle w:val="ListParagraph"/>
        <w:tabs>
          <w:tab w:val="left" w:pos="567"/>
          <w:tab w:val="left" w:pos="851"/>
          <w:tab w:val="left" w:pos="993"/>
        </w:tabs>
        <w:spacing w:before="60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44B6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Միաժամանակ անհրաժեշտ է իրականացնել սնանկության դատավարության գործող էլեկտրոնային համակարգի բարելավումներ՝ այն 2026 թվականի հունիսի 18-ին ընդունված Հայաստանի Հանրապետության սնանկության օրենսգրքով (ՀՕ-252-Ն) նախատեսված նոր իրավական կարգավորումներին և դրանցից բխող բիզնես գործընթացներին համապատասխանեցնելու նպատակով։ </w:t>
      </w:r>
    </w:p>
    <w:p w14:paraId="3C7088BA" w14:textId="3E877841" w:rsidR="00844B65" w:rsidRPr="00844B65" w:rsidRDefault="00844B65" w:rsidP="00844B65">
      <w:pPr>
        <w:pStyle w:val="ListParagraph"/>
        <w:tabs>
          <w:tab w:val="left" w:pos="567"/>
          <w:tab w:val="left" w:pos="851"/>
          <w:tab w:val="left" w:pos="993"/>
        </w:tabs>
        <w:spacing w:before="60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44B6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lastRenderedPageBreak/>
        <w:t>Վարչական և սնանկության դատավարությունների էլեկտրոնային համակարգերի բարելավման, տեխնիկական շարունակականության և աշխատանքի կայունության ապահովման հարցը քննարկվել է նաև Տեղեկատվական համակարգերի կառավարման խորհրդի՝ 2026 թվականի օգոստոսի 8-ին կայացած նիստում։ N ԽԱ/21-2026 արձանագրության 4.1-ին կետով Խորհուրդը հավանություն է տվել մինչև 150.0 մլն դրամ բյուջետային ֆինանսավորման հատկացմանը՝ վարչական դատավարության և սնանկության էլեկտրոնային համակարգերի անհրաժեշտ բարելավումների, գործող իրավական ու տեխնիկական պահանջներին</w:t>
      </w:r>
      <w:r w:rsidR="00FC3E86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  <w:r w:rsidRPr="00844B6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C3E86" w:rsidRPr="00FC3E86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այդ թվում՝ «Հենակետ» ստանդարտին համապատասխանեցման և ADEL պետական տեղեկատվական համակարգի տվյալների փոխանակման շերտին միացման, ինչպես նաև համակարգերի աշխատանքի կայունության ապահովման </w:t>
      </w:r>
      <w:r w:rsidR="00B0614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և համապատասխանեցման </w:t>
      </w:r>
      <w:r w:rsidR="00FC3E86" w:rsidRPr="00FC3E86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նպատակով։</w:t>
      </w:r>
    </w:p>
    <w:p w14:paraId="443A1F9C" w14:textId="77777777" w:rsidR="00844B65" w:rsidRPr="00844B65" w:rsidRDefault="00844B65" w:rsidP="00844B65">
      <w:pPr>
        <w:pStyle w:val="ListParagraph"/>
        <w:tabs>
          <w:tab w:val="left" w:pos="567"/>
          <w:tab w:val="left" w:pos="851"/>
          <w:tab w:val="left" w:pos="993"/>
        </w:tabs>
        <w:spacing w:before="60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44B6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Նախատեսվող ծառայությունների ընդհանուր արժեքը կազմում է 135,000.0 հազար դրամ, որից՝</w:t>
      </w:r>
    </w:p>
    <w:p w14:paraId="04DB8DED" w14:textId="46194CA8" w:rsidR="00844B65" w:rsidRPr="00844B65" w:rsidRDefault="00844B65" w:rsidP="00844B65">
      <w:pPr>
        <w:pStyle w:val="ListParagraph"/>
        <w:tabs>
          <w:tab w:val="left" w:pos="567"/>
          <w:tab w:val="left" w:pos="851"/>
          <w:tab w:val="left" w:pos="993"/>
        </w:tabs>
        <w:spacing w:before="60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44B6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1) </w:t>
      </w:r>
      <w:r w:rsidR="00AF1D2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վ</w:t>
      </w:r>
      <w:r w:rsidR="00AF1D2E" w:rsidRPr="00AF1D2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արչական դատավարության էլեկտրոնային համակարգի հետերաշխիքային սպասարկման ծառայություններ՝ 45,000.0 հազար դրամ, որից՝ 11,250.0 հազար դրամ</w:t>
      </w:r>
      <w:r w:rsidR="00D038C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ը</w:t>
      </w:r>
      <w:r w:rsidR="00AF1D2E" w:rsidRPr="00AF1D2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2026 թվականի համար</w:t>
      </w:r>
      <w:r w:rsidR="00AF1D2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.</w:t>
      </w:r>
    </w:p>
    <w:p w14:paraId="0FE8EC2C" w14:textId="539E989B" w:rsidR="00C4749E" w:rsidRDefault="00844B65" w:rsidP="00844B65">
      <w:pPr>
        <w:pStyle w:val="ListParagraph"/>
        <w:tabs>
          <w:tab w:val="left" w:pos="567"/>
          <w:tab w:val="left" w:pos="851"/>
          <w:tab w:val="left" w:pos="993"/>
        </w:tabs>
        <w:spacing w:before="60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44B6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2) </w:t>
      </w:r>
      <w:r w:rsidR="005A4F6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ս</w:t>
      </w:r>
      <w:r w:rsidR="00AF1D2E" w:rsidRPr="00AF1D2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նանկության դատավարության էլեկտրոնային համակարգի հետերաշխիքային սպասարկման ծառայություններ՝ 45,000.0 հազար դրամ, որից՝ 11,250.0 հազար դրամ</w:t>
      </w:r>
      <w:r w:rsidR="00D038C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ը</w:t>
      </w:r>
      <w:r w:rsidR="00AF1D2E" w:rsidRPr="00AF1D2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2026 թվականի</w:t>
      </w:r>
      <w:r w:rsidR="00D038C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համար</w:t>
      </w:r>
      <w:r w:rsidR="00AF1D2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.</w:t>
      </w:r>
    </w:p>
    <w:p w14:paraId="3BCD65C9" w14:textId="77479340" w:rsidR="00844B65" w:rsidRPr="00844B65" w:rsidRDefault="00844B65" w:rsidP="00844B65">
      <w:pPr>
        <w:pStyle w:val="ListParagraph"/>
        <w:tabs>
          <w:tab w:val="left" w:pos="567"/>
          <w:tab w:val="left" w:pos="851"/>
          <w:tab w:val="left" w:pos="993"/>
        </w:tabs>
        <w:spacing w:before="60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44B6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3) սնանկության դատավարության էլեկտրոնային համակարգի բարելավման ծառայություններ՝ 45,000.0 հազար դրամ։</w:t>
      </w:r>
    </w:p>
    <w:p w14:paraId="2F8AD962" w14:textId="7FF39426" w:rsidR="005B64B2" w:rsidRDefault="00844B65" w:rsidP="00844B65">
      <w:pPr>
        <w:pStyle w:val="ListParagraph"/>
        <w:tabs>
          <w:tab w:val="left" w:pos="567"/>
          <w:tab w:val="left" w:pos="851"/>
          <w:tab w:val="left" w:pos="993"/>
        </w:tabs>
        <w:spacing w:before="60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44B6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Ծառայությունները նախատեսվում է ձեռք բերել «Հարմոնիա» տեղեկատվական տեխնոլոգիաների և կրթության զարգացման հիմնադրամից՝ մեկ անձից գնման ընթացակարգով՝ «Գնումների մասին» օրենքի 23-րդ հոդվածի 1-ին մասի 1-ին կետի և Հայաստանի Հանրապետության կառավարության 2017 թվականի մայիսի 4-ի N 526-Ն որոշմամբ հաստատված կարգի 23-րդ կետի 4-րդ ենթակետի 15.1-ին կետի հիման վրա՝ հաշվի առնելով, որ ծառայությունների իրականացումն այլ կազմակերպության կողմից կարող է առաջացնել գործող համակարգերի տեխնիկական շարունակականության խաթարման և </w:t>
      </w:r>
      <w:r w:rsidRPr="00844B6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lastRenderedPageBreak/>
        <w:t>դրանց բաղադրիչների ու ինտեգրացիոն կապերի անհամատեղելիության ռիսկեր։</w:t>
      </w:r>
      <w:r w:rsidR="00AB23D6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5B64B2" w:rsidRPr="005B64B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Նշված մոտեցումը պայմանավորված է գործող համակարգերի ծրագրային ճարտարապետության, տվյալների կառուցվածքների, փոխկապակցված ծրագրային բաղադրիչների և ինտեգրացիոն մեխանիզմների առանձնահատկություններով, որոնց պահպանումը կարևոր է համակարգերի անխափան աշխատանքի և տվյալների ամբողջականության ապահովման համար։ Միաժամանակ, սնանկության դատավարության էլեկտրոնային համակարգի նոր իրավական կարգավորումներին համապատասխանեցման շրջանակում փոփոխությունները պետք է իրականացվեն՝ հաշվի առնելով գործող գործառույթների և փոխկապակցված բաղադրիչների ազդեցությունը համակարգի ընդհանուր աշխատանքի վրա։ Այս հանգամանքները պայմանավորում են համակարգերի առանձնահատկություններին լիովին տիրապետելու և դրանց շարունակական սպասարկումն ու բարելավումն ապահովելու կարևորությունը՝ նվազեցնելով տեխնիկական անհամատեղելիության, աշխատանքի խափանումների և լրացուցիչ ծախսերի առաջացման ռիսկերը։</w:t>
      </w:r>
    </w:p>
    <w:p w14:paraId="012A58C1" w14:textId="71C86300" w:rsidR="008D6161" w:rsidRPr="00AB23D6" w:rsidRDefault="008D6161" w:rsidP="00844B65">
      <w:pPr>
        <w:pStyle w:val="ListParagraph"/>
        <w:tabs>
          <w:tab w:val="left" w:pos="567"/>
          <w:tab w:val="left" w:pos="851"/>
          <w:tab w:val="left" w:pos="993"/>
        </w:tabs>
        <w:spacing w:before="600"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D616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Հարկ է նշել նաև, որ նախատեսվող ծառայությունների շրջանակը տարանջատված է «UNICOURT» ծրագրով նախատեսվող աշխատանքներից։ Մասնավորապես, «UNICOURT» ծրագրի շրջանակում նախատեսվում է մշակել բոլոր դատարանների համար նախատեսված միասնական բազային ծրագրային մոդուլները և էլեկտրոնային քրեական դատավարության համակարգը։ Ընդ որում, վարչական դատարանի էլեկտրոնային համակարգի նախագծի շրջանակում արդեն իսկ մշակված միասնական ծրագրային մոդուլները ներկայումս կիրառվում են վարչական և սնանկության դատավարությունների էլեկտրոնային համակարգերում և նախատեսվում է օգտագործել նաև «UNICOURT» համակարգում։ </w:t>
      </w:r>
      <w:r w:rsidR="00BC7697" w:rsidRPr="00BC769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Հետևաբար նախատեսվող </w:t>
      </w:r>
      <w:r w:rsidR="00BC769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ծառայությունները</w:t>
      </w:r>
      <w:r w:rsidR="00BC7697" w:rsidRPr="00BC769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չեն հատվում «UNICOURT» ծրագրի շրջանակում նախատեսվող աշխատանքների հետ։</w:t>
      </w:r>
    </w:p>
    <w:p w14:paraId="70428BAA" w14:textId="21F6B7FA" w:rsidR="00844B65" w:rsidRPr="00313EFA" w:rsidRDefault="00844B65" w:rsidP="00844B65">
      <w:pPr>
        <w:pStyle w:val="ListParagraph"/>
        <w:tabs>
          <w:tab w:val="left" w:pos="567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13EFA">
        <w:rPr>
          <w:rFonts w:ascii="GHEA Grapalat" w:hAnsi="GHEA Grapalat"/>
          <w:sz w:val="24"/>
          <w:szCs w:val="24"/>
          <w:lang w:val="hy-AM"/>
        </w:rPr>
        <w:t>Ելնելով վերոնշյալից՝ անհրաժեշտություն է առաջացել իրականացնելու վերաբաշխում, մասնավորապես, 1235 ծրագրի «31001</w:t>
      </w:r>
      <w:r w:rsidRPr="00313EFA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313EFA">
        <w:rPr>
          <w:rFonts w:ascii="GHEA Grapalat" w:hAnsi="GHEA Grapalat"/>
          <w:sz w:val="24"/>
          <w:szCs w:val="24"/>
          <w:lang w:val="hy-AM"/>
        </w:rPr>
        <w:t xml:space="preserve">Միասնական թվային միջավայրի ձևավորում» միջոցառման գումարների վերաբաշխման միջոցով նախատեսվում է </w:t>
      </w:r>
      <w:r>
        <w:rPr>
          <w:rFonts w:ascii="GHEA Grapalat" w:hAnsi="GHEA Grapalat"/>
          <w:sz w:val="24"/>
          <w:szCs w:val="24"/>
          <w:lang w:val="hy-AM"/>
        </w:rPr>
        <w:t>45</w:t>
      </w:r>
      <w:r w:rsidRPr="00313EFA">
        <w:rPr>
          <w:rFonts w:ascii="GHEA Grapalat" w:hAnsi="GHEA Grapalat"/>
          <w:sz w:val="24"/>
          <w:szCs w:val="24"/>
          <w:lang w:val="hy-AM"/>
        </w:rPr>
        <w:t>,000</w:t>
      </w:r>
      <w:r w:rsidRPr="00313EFA">
        <w:rPr>
          <w:rFonts w:ascii="Cambria Math" w:hAnsi="Cambria Math" w:cs="Cambria Math"/>
          <w:sz w:val="24"/>
          <w:szCs w:val="24"/>
          <w:lang w:val="hy-AM"/>
        </w:rPr>
        <w:t>․</w:t>
      </w:r>
      <w:r w:rsidRPr="00313EFA">
        <w:rPr>
          <w:rFonts w:ascii="GHEA Grapalat" w:hAnsi="GHEA Grapalat"/>
          <w:sz w:val="24"/>
          <w:szCs w:val="24"/>
          <w:lang w:val="hy-AM"/>
        </w:rPr>
        <w:t>հազ</w:t>
      </w:r>
      <w:r w:rsidRPr="00313EFA">
        <w:rPr>
          <w:rFonts w:ascii="Cambria Math" w:hAnsi="Cambria Math" w:cs="Cambria Math"/>
          <w:sz w:val="24"/>
          <w:szCs w:val="24"/>
          <w:lang w:val="hy-AM"/>
        </w:rPr>
        <w:t>․</w:t>
      </w:r>
      <w:r w:rsidRPr="00313EFA">
        <w:rPr>
          <w:rFonts w:ascii="GHEA Grapalat" w:hAnsi="GHEA Grapalat"/>
          <w:sz w:val="24"/>
          <w:szCs w:val="24"/>
          <w:lang w:val="hy-AM"/>
        </w:rPr>
        <w:t xml:space="preserve"> դրամ հատկացնել Արդարադատության նախարարությանը՝ </w:t>
      </w:r>
      <w:r>
        <w:rPr>
          <w:rFonts w:ascii="GHEA Grapalat" w:hAnsi="GHEA Grapalat"/>
          <w:sz w:val="24"/>
          <w:szCs w:val="24"/>
          <w:lang w:val="hy-AM"/>
        </w:rPr>
        <w:t xml:space="preserve">սնանկության </w:t>
      </w:r>
      <w:r w:rsidRPr="00313EFA">
        <w:rPr>
          <w:rFonts w:ascii="GHEA Grapalat" w:hAnsi="GHEA Grapalat"/>
          <w:sz w:val="24"/>
          <w:szCs w:val="24"/>
          <w:lang w:val="hy-AM"/>
        </w:rPr>
        <w:t xml:space="preserve">դատավարության թվայնացման ծառայությունների </w:t>
      </w:r>
      <w:r>
        <w:rPr>
          <w:rFonts w:ascii="GHEA Grapalat" w:hAnsi="GHEA Grapalat"/>
          <w:sz w:val="24"/>
          <w:szCs w:val="24"/>
          <w:lang w:val="hy-AM"/>
        </w:rPr>
        <w:t xml:space="preserve">բարելավման </w:t>
      </w:r>
      <w:r w:rsidRPr="00313EF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E658B1">
        <w:rPr>
          <w:rFonts w:ascii="GHEA Grapalat" w:hAnsi="GHEA Grapalat"/>
          <w:sz w:val="24"/>
          <w:szCs w:val="24"/>
          <w:lang w:val="hy-AM"/>
        </w:rPr>
        <w:t>22</w:t>
      </w:r>
      <w:r w:rsidRPr="00313EFA">
        <w:rPr>
          <w:rFonts w:ascii="GHEA Grapalat" w:hAnsi="GHEA Grapalat"/>
          <w:sz w:val="24"/>
          <w:szCs w:val="24"/>
          <w:lang w:val="hy-AM"/>
        </w:rPr>
        <w:t>,</w:t>
      </w:r>
      <w:r w:rsidR="00E658B1">
        <w:rPr>
          <w:rFonts w:ascii="GHEA Grapalat" w:hAnsi="GHEA Grapalat"/>
          <w:sz w:val="24"/>
          <w:szCs w:val="24"/>
          <w:lang w:val="hy-AM"/>
        </w:rPr>
        <w:t>500</w:t>
      </w:r>
      <w:r w:rsidRPr="00313EFA">
        <w:rPr>
          <w:rFonts w:ascii="Cambria Math" w:hAnsi="Cambria Math" w:cs="Cambria Math"/>
          <w:sz w:val="24"/>
          <w:szCs w:val="24"/>
          <w:lang w:val="hy-AM"/>
        </w:rPr>
        <w:t>․</w:t>
      </w:r>
      <w:r w:rsidRPr="00313EFA">
        <w:rPr>
          <w:rFonts w:ascii="GHEA Grapalat" w:hAnsi="GHEA Grapalat"/>
          <w:sz w:val="24"/>
          <w:szCs w:val="24"/>
          <w:lang w:val="hy-AM"/>
        </w:rPr>
        <w:t>0 հազ</w:t>
      </w:r>
      <w:r w:rsidRPr="00313EFA">
        <w:rPr>
          <w:rFonts w:ascii="Cambria Math" w:hAnsi="Cambria Math" w:cs="Cambria Math"/>
          <w:sz w:val="24"/>
          <w:szCs w:val="24"/>
          <w:lang w:val="hy-AM"/>
        </w:rPr>
        <w:t>․</w:t>
      </w:r>
      <w:r w:rsidRPr="00313EFA">
        <w:rPr>
          <w:rFonts w:ascii="GHEA Grapalat" w:hAnsi="GHEA Grapalat"/>
          <w:sz w:val="24"/>
          <w:szCs w:val="24"/>
          <w:lang w:val="hy-AM"/>
        </w:rPr>
        <w:t xml:space="preserve"> դրամ՝ </w:t>
      </w:r>
      <w:r>
        <w:rPr>
          <w:rFonts w:ascii="GHEA Grapalat" w:hAnsi="GHEA Grapalat"/>
          <w:sz w:val="24"/>
          <w:szCs w:val="24"/>
          <w:lang w:val="hy-AM"/>
        </w:rPr>
        <w:t xml:space="preserve">2026թվականի </w:t>
      </w:r>
      <w:r w:rsidR="00E658B1">
        <w:rPr>
          <w:rFonts w:ascii="GHEA Grapalat" w:hAnsi="GHEA Grapalat"/>
          <w:sz w:val="24"/>
          <w:szCs w:val="24"/>
          <w:lang w:val="hy-AM"/>
        </w:rPr>
        <w:lastRenderedPageBreak/>
        <w:t>հոկտեմբեր</w:t>
      </w:r>
      <w:r>
        <w:rPr>
          <w:rFonts w:ascii="GHEA Grapalat" w:hAnsi="GHEA Grapalat"/>
          <w:sz w:val="24"/>
          <w:szCs w:val="24"/>
          <w:lang w:val="hy-AM"/>
        </w:rPr>
        <w:t xml:space="preserve">-դեկտեմբեր ժամանակահատվածում </w:t>
      </w:r>
      <w:r w:rsidRPr="00844B6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վարչական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և սնանկության </w:t>
      </w:r>
      <w:r w:rsidRPr="00844B6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դատավարության էլեկտրոնային համակարգ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երի</w:t>
      </w:r>
      <w:r w:rsidRPr="00844B6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հետերաշխիքային սպասարկման ծառայություններ</w:t>
      </w:r>
      <w:r w:rsidRPr="00313EFA">
        <w:rPr>
          <w:rFonts w:ascii="GHEA Grapalat" w:hAnsi="GHEA Grapalat"/>
          <w:sz w:val="24"/>
          <w:szCs w:val="24"/>
          <w:lang w:val="hy-AM"/>
        </w:rPr>
        <w:t>ի ձեռքբերման նպատակով։</w:t>
      </w:r>
    </w:p>
    <w:p w14:paraId="3D7314DC" w14:textId="77777777" w:rsidR="00844B65" w:rsidRDefault="00844B65" w:rsidP="00844B65">
      <w:pPr>
        <w:pStyle w:val="ListParagraph"/>
        <w:tabs>
          <w:tab w:val="left" w:pos="567"/>
          <w:tab w:val="left" w:pos="851"/>
          <w:tab w:val="left" w:pos="993"/>
        </w:tabs>
        <w:spacing w:before="60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FB3196A" w14:textId="39144ACB" w:rsidR="002A2158" w:rsidRPr="004F3081" w:rsidRDefault="002A2158" w:rsidP="00D4136F">
      <w:pPr>
        <w:pStyle w:val="ListParagraph"/>
        <w:tabs>
          <w:tab w:val="left" w:pos="567"/>
          <w:tab w:val="left" w:pos="851"/>
          <w:tab w:val="left" w:pos="993"/>
        </w:tabs>
        <w:spacing w:before="60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14:paraId="3B8ACDA3" w14:textId="11A281C8" w:rsidR="00D4136F" w:rsidRDefault="00D4136F" w:rsidP="007A2899">
      <w:pPr>
        <w:pStyle w:val="ListParagraph"/>
        <w:tabs>
          <w:tab w:val="left" w:pos="0"/>
        </w:tabs>
        <w:spacing w:before="480" w:after="0"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Կառավարության որոշման նախագծի ընդունմամբ կապահովվի </w:t>
      </w:r>
      <w:r w:rsidR="00844B65" w:rsidRPr="00844B65">
        <w:rPr>
          <w:rFonts w:ascii="GHEA Grapalat" w:hAnsi="GHEA Grapalat"/>
          <w:sz w:val="24"/>
          <w:szCs w:val="24"/>
          <w:lang w:val="hy-AM"/>
        </w:rPr>
        <w:t>վարչական և սնանկության դատավարությունների էլեկտրոնային համակարգեր</w:t>
      </w:r>
      <w:r w:rsidR="00844B65">
        <w:rPr>
          <w:rFonts w:ascii="GHEA Grapalat" w:hAnsi="GHEA Grapalat"/>
          <w:sz w:val="24"/>
          <w:szCs w:val="24"/>
          <w:lang w:val="hy-AM"/>
        </w:rPr>
        <w:t xml:space="preserve">ի հետերաշխիքային սպասարկումը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="008B5337" w:rsidRPr="008B5337">
        <w:rPr>
          <w:rFonts w:ascii="GHEA Grapalat" w:hAnsi="GHEA Grapalat"/>
          <w:sz w:val="24"/>
          <w:szCs w:val="24"/>
          <w:lang w:val="hy-AM"/>
        </w:rPr>
        <w:t>սնանկության դատավարության էլեկտրոնային համակարգի բարելավ</w:t>
      </w:r>
      <w:r w:rsidR="008B5337">
        <w:rPr>
          <w:rFonts w:ascii="GHEA Grapalat" w:hAnsi="GHEA Grapalat"/>
          <w:sz w:val="24"/>
          <w:szCs w:val="24"/>
          <w:lang w:val="hy-AM"/>
        </w:rPr>
        <w:t>ու</w:t>
      </w:r>
      <w:r w:rsidR="008B5337" w:rsidRPr="008B5337">
        <w:rPr>
          <w:rFonts w:ascii="GHEA Grapalat" w:hAnsi="GHEA Grapalat"/>
          <w:sz w:val="24"/>
          <w:szCs w:val="24"/>
          <w:lang w:val="hy-AM"/>
        </w:rPr>
        <w:t>մ</w:t>
      </w:r>
      <w:r w:rsidR="008B5337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2A7AE1A6" w14:textId="77777777" w:rsidR="00D4136F" w:rsidRDefault="00D4136F" w:rsidP="007A2899">
      <w:pPr>
        <w:pStyle w:val="ListParagraph"/>
        <w:tabs>
          <w:tab w:val="left" w:pos="0"/>
        </w:tabs>
        <w:spacing w:before="480" w:after="0"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DCE3613" w14:textId="56FFB2CA" w:rsidR="002A2158" w:rsidRPr="000B6275" w:rsidRDefault="002A2158" w:rsidP="007A2899">
      <w:pPr>
        <w:pStyle w:val="ListParagraph"/>
        <w:tabs>
          <w:tab w:val="left" w:pos="0"/>
        </w:tabs>
        <w:spacing w:before="48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0B6275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0B627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2AFD444E" w14:textId="77777777"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14:paraId="5132302A" w14:textId="77777777" w:rsidR="007B5450" w:rsidRDefault="007B5450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D6E8E35" w14:textId="77777777"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14:paraId="65523DA6" w14:textId="77777777"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14:paraId="1F140490" w14:textId="77777777" w:rsidR="007B5450" w:rsidRDefault="007B5450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14:paraId="438DCD25" w14:textId="77777777" w:rsidR="007A2899" w:rsidRDefault="002A2158" w:rsidP="007A2899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14:paraId="5494C120" w14:textId="77777777" w:rsidR="002E7B8A" w:rsidRPr="002E7B8A" w:rsidRDefault="002E7B8A" w:rsidP="002E7B8A">
      <w:pPr>
        <w:tabs>
          <w:tab w:val="left" w:pos="0"/>
        </w:tabs>
        <w:spacing w:after="0" w:line="360" w:lineRule="auto"/>
        <w:ind w:right="175" w:firstLine="567"/>
        <w:jc w:val="both"/>
        <w:rPr>
          <w:rFonts w:ascii="Calibri" w:eastAsia="Calibri" w:hAnsi="Calibri"/>
          <w:sz w:val="24"/>
          <w:szCs w:val="24"/>
          <w:lang w:eastAsia="en-US"/>
        </w:rPr>
      </w:pPr>
      <w:r w:rsidRPr="002E7B8A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eastAsia="en-US"/>
        </w:rPr>
        <w:t>Նախագիծն առնչվում է Հայաստանի Հանրապետության կառավարության  2021-2026թթ. ծրագրի 5.3 կետին, մասնավորապես, ապահովում է էլեկտրոնային արդարադատության ներդրման աշխատանքները։</w:t>
      </w:r>
    </w:p>
    <w:p w14:paraId="3E356CE3" w14:textId="56995D15" w:rsidR="001F4A56" w:rsidRPr="001F4A56" w:rsidRDefault="001F4A56" w:rsidP="002E7B8A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sectPr w:rsidR="001F4A56" w:rsidRPr="001F4A56" w:rsidSect="00D4136F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1A2C8" w14:textId="77777777" w:rsidR="00AE1CAC" w:rsidRDefault="00AE1CAC">
      <w:pPr>
        <w:spacing w:after="0" w:line="240" w:lineRule="auto"/>
      </w:pPr>
      <w:r>
        <w:separator/>
      </w:r>
    </w:p>
  </w:endnote>
  <w:endnote w:type="continuationSeparator" w:id="0">
    <w:p w14:paraId="2885ADDD" w14:textId="77777777" w:rsidR="00AE1CAC" w:rsidRDefault="00AE1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14247" w14:textId="01747229" w:rsidR="00826BE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3E9E">
      <w:rPr>
        <w:noProof/>
      </w:rPr>
      <w:t>5</w:t>
    </w:r>
    <w:r>
      <w:fldChar w:fldCharType="end"/>
    </w:r>
  </w:p>
  <w:p w14:paraId="0118602F" w14:textId="77777777" w:rsidR="00826BED" w:rsidRDefault="00826B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F2070" w14:textId="77777777" w:rsidR="00AE1CAC" w:rsidRDefault="00AE1CAC">
      <w:pPr>
        <w:spacing w:after="0" w:line="240" w:lineRule="auto"/>
      </w:pPr>
      <w:r>
        <w:separator/>
      </w:r>
    </w:p>
  </w:footnote>
  <w:footnote w:type="continuationSeparator" w:id="0">
    <w:p w14:paraId="18E31957" w14:textId="77777777" w:rsidR="00AE1CAC" w:rsidRDefault="00AE1C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158"/>
    <w:rsid w:val="0003372A"/>
    <w:rsid w:val="00070C20"/>
    <w:rsid w:val="00076E61"/>
    <w:rsid w:val="00076F4A"/>
    <w:rsid w:val="000778CC"/>
    <w:rsid w:val="000B1BAE"/>
    <w:rsid w:val="000B6275"/>
    <w:rsid w:val="000C46BD"/>
    <w:rsid w:val="000C6EB5"/>
    <w:rsid w:val="000D22DE"/>
    <w:rsid w:val="001154F9"/>
    <w:rsid w:val="001215FD"/>
    <w:rsid w:val="00123F2E"/>
    <w:rsid w:val="00143D9C"/>
    <w:rsid w:val="001704FC"/>
    <w:rsid w:val="001733CB"/>
    <w:rsid w:val="00190AD0"/>
    <w:rsid w:val="001F4A56"/>
    <w:rsid w:val="00215DE0"/>
    <w:rsid w:val="00224A34"/>
    <w:rsid w:val="002313C8"/>
    <w:rsid w:val="00236CCF"/>
    <w:rsid w:val="00265D59"/>
    <w:rsid w:val="00272A02"/>
    <w:rsid w:val="00280B2F"/>
    <w:rsid w:val="002A2158"/>
    <w:rsid w:val="002B0883"/>
    <w:rsid w:val="002E7B8A"/>
    <w:rsid w:val="00341D1E"/>
    <w:rsid w:val="00365113"/>
    <w:rsid w:val="003863A0"/>
    <w:rsid w:val="003948CE"/>
    <w:rsid w:val="003A08FA"/>
    <w:rsid w:val="003C06E8"/>
    <w:rsid w:val="00421251"/>
    <w:rsid w:val="0042607E"/>
    <w:rsid w:val="00471DE2"/>
    <w:rsid w:val="00490A23"/>
    <w:rsid w:val="004E3C49"/>
    <w:rsid w:val="00514687"/>
    <w:rsid w:val="005358BF"/>
    <w:rsid w:val="0054734B"/>
    <w:rsid w:val="00574636"/>
    <w:rsid w:val="0059319F"/>
    <w:rsid w:val="005A4F68"/>
    <w:rsid w:val="005B64B2"/>
    <w:rsid w:val="005C41AE"/>
    <w:rsid w:val="005E05C1"/>
    <w:rsid w:val="005F33C3"/>
    <w:rsid w:val="00610B6A"/>
    <w:rsid w:val="00627CDE"/>
    <w:rsid w:val="006817F9"/>
    <w:rsid w:val="006F3E45"/>
    <w:rsid w:val="00713721"/>
    <w:rsid w:val="007272FC"/>
    <w:rsid w:val="007452E5"/>
    <w:rsid w:val="007929CD"/>
    <w:rsid w:val="007A2899"/>
    <w:rsid w:val="007A3AA5"/>
    <w:rsid w:val="007B5450"/>
    <w:rsid w:val="007C266E"/>
    <w:rsid w:val="007D0A34"/>
    <w:rsid w:val="007D3E70"/>
    <w:rsid w:val="007E60A4"/>
    <w:rsid w:val="00800EDB"/>
    <w:rsid w:val="00803A67"/>
    <w:rsid w:val="00821349"/>
    <w:rsid w:val="00826BED"/>
    <w:rsid w:val="00844B65"/>
    <w:rsid w:val="00844FA2"/>
    <w:rsid w:val="00853E9E"/>
    <w:rsid w:val="00856E47"/>
    <w:rsid w:val="00860C08"/>
    <w:rsid w:val="00861E61"/>
    <w:rsid w:val="00895DD1"/>
    <w:rsid w:val="008B5337"/>
    <w:rsid w:val="008D6161"/>
    <w:rsid w:val="008F26AF"/>
    <w:rsid w:val="00907C94"/>
    <w:rsid w:val="00932FEB"/>
    <w:rsid w:val="009B42B4"/>
    <w:rsid w:val="009C1D9A"/>
    <w:rsid w:val="009C2194"/>
    <w:rsid w:val="009E7984"/>
    <w:rsid w:val="009F6274"/>
    <w:rsid w:val="00A14AD0"/>
    <w:rsid w:val="00A34FD6"/>
    <w:rsid w:val="00A67393"/>
    <w:rsid w:val="00AA5224"/>
    <w:rsid w:val="00AA5874"/>
    <w:rsid w:val="00AB23D6"/>
    <w:rsid w:val="00AC6A70"/>
    <w:rsid w:val="00AD57E2"/>
    <w:rsid w:val="00AE1CAC"/>
    <w:rsid w:val="00AF0160"/>
    <w:rsid w:val="00AF1560"/>
    <w:rsid w:val="00AF1D2E"/>
    <w:rsid w:val="00AF44F6"/>
    <w:rsid w:val="00B01C60"/>
    <w:rsid w:val="00B06144"/>
    <w:rsid w:val="00B10476"/>
    <w:rsid w:val="00B50B6F"/>
    <w:rsid w:val="00BC7697"/>
    <w:rsid w:val="00C04282"/>
    <w:rsid w:val="00C10706"/>
    <w:rsid w:val="00C20DC7"/>
    <w:rsid w:val="00C4749E"/>
    <w:rsid w:val="00C57882"/>
    <w:rsid w:val="00C86AF4"/>
    <w:rsid w:val="00CC01E5"/>
    <w:rsid w:val="00CC5D0C"/>
    <w:rsid w:val="00D038CB"/>
    <w:rsid w:val="00D4136F"/>
    <w:rsid w:val="00D65578"/>
    <w:rsid w:val="00DC1B14"/>
    <w:rsid w:val="00DC50BC"/>
    <w:rsid w:val="00DD6499"/>
    <w:rsid w:val="00DE19D9"/>
    <w:rsid w:val="00DF3E21"/>
    <w:rsid w:val="00DF6D67"/>
    <w:rsid w:val="00E4441A"/>
    <w:rsid w:val="00E658B1"/>
    <w:rsid w:val="00E7238B"/>
    <w:rsid w:val="00E851AC"/>
    <w:rsid w:val="00E85804"/>
    <w:rsid w:val="00EA4DB1"/>
    <w:rsid w:val="00EB60CA"/>
    <w:rsid w:val="00ED56A5"/>
    <w:rsid w:val="00EF4C65"/>
    <w:rsid w:val="00F22980"/>
    <w:rsid w:val="00F46507"/>
    <w:rsid w:val="00F6050B"/>
    <w:rsid w:val="00F73987"/>
    <w:rsid w:val="00FA09F1"/>
    <w:rsid w:val="00FC3E86"/>
    <w:rsid w:val="00FD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211A6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6172F-3C22-4833-9F25-D64DE23EF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911</TotalTime>
  <Pages>4</Pages>
  <Words>971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https://mul2.gov.am/tasks/1400451/oneclick?token=61aebc7bd427ecb64514ae1a19cd4341</cp:keywords>
  <dc:description/>
  <cp:lastModifiedBy>Armen Sargsyan</cp:lastModifiedBy>
  <cp:revision>52</cp:revision>
  <cp:lastPrinted>2024-01-26T10:59:00Z</cp:lastPrinted>
  <dcterms:created xsi:type="dcterms:W3CDTF">2024-02-05T05:24:00Z</dcterms:created>
  <dcterms:modified xsi:type="dcterms:W3CDTF">2026-10-14T11:10:00Z</dcterms:modified>
</cp:coreProperties>
</file>