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3773" w:rsidRPr="00F33773" w:rsidRDefault="00F33773" w:rsidP="00F33773">
      <w:pPr>
        <w:jc w:val="center"/>
        <w:rPr>
          <w:rFonts w:ascii="GHEA Grapalat" w:hAnsi="GHEA Grapalat"/>
          <w:b/>
          <w:sz w:val="24"/>
          <w:szCs w:val="24"/>
        </w:rPr>
      </w:pPr>
      <w:r w:rsidRPr="00F33773">
        <w:rPr>
          <w:rFonts w:ascii="GHEA Grapalat" w:hAnsi="GHEA Grapalat"/>
          <w:b/>
          <w:sz w:val="24"/>
          <w:szCs w:val="24"/>
        </w:rPr>
        <w:t>ԱՄՓՈՓԱԹԵՐԹ</w:t>
      </w:r>
    </w:p>
    <w:p w:rsidR="00F33773" w:rsidRPr="00F33773" w:rsidRDefault="00F33773" w:rsidP="00F33773">
      <w:pPr>
        <w:ind w:left="5664"/>
        <w:jc w:val="center"/>
        <w:rPr>
          <w:rFonts w:ascii="GHEA Grapalat" w:hAnsi="GHEA Grapalat"/>
          <w:b/>
          <w:sz w:val="24"/>
          <w:szCs w:val="24"/>
        </w:rPr>
      </w:pPr>
    </w:p>
    <w:p w:rsidR="00F33773" w:rsidRPr="00F33773" w:rsidRDefault="00F33773" w:rsidP="00F33773">
      <w:pPr>
        <w:pStyle w:val="Heading3"/>
        <w:numPr>
          <w:ilvl w:val="0"/>
          <w:numId w:val="0"/>
        </w:numPr>
        <w:jc w:val="center"/>
        <w:rPr>
          <w:rFonts w:ascii="GHEA Grapalat" w:hAnsi="GHEA Grapalat"/>
          <w:color w:val="000000"/>
          <w:lang w:val="hy-AM"/>
        </w:rPr>
      </w:pPr>
      <w:r w:rsidRPr="00F33773">
        <w:rPr>
          <w:rFonts w:ascii="GHEA Grapalat" w:hAnsi="GHEA Grapalat"/>
          <w:b/>
          <w:lang w:val="hy-AM"/>
        </w:rPr>
        <w:t xml:space="preserve">«ՍԱՀՄԱՆԱԴՐԱԿԱՆ ԴԱՏԱՐԱՆԻ ՄԱՍԻՆ» ՀԱՅԱՍՏԱՆԻ ՀԱՆՐԱՊԵՏՈՒԹՅԱՆ ՍԱՀՄԱՆԱԴՐԱԿԱՆ ՕՐԵՆՔՈՒՄ ԼՐԱՑՈՒՄ ԿԱՏԱՐԵԼՈՒ ՄԱՍԻՆ» </w:t>
      </w:r>
      <w:r w:rsidRPr="00F33773">
        <w:rPr>
          <w:rFonts w:ascii="GHEA Grapalat" w:hAnsi="GHEA Grapalat"/>
          <w:b/>
          <w:lang w:val="en-US"/>
        </w:rPr>
        <w:t xml:space="preserve">ՍԱՀՄԱՆԱԴՐԱԿԱՆ ՕՐԵՆՔԻ </w:t>
      </w:r>
      <w:r w:rsidRPr="00F33773">
        <w:rPr>
          <w:rFonts w:ascii="GHEA Grapalat" w:hAnsi="GHEA Grapalat"/>
          <w:b/>
        </w:rPr>
        <w:t xml:space="preserve">ԵՎ </w:t>
      </w:r>
      <w:r w:rsidRPr="00F33773">
        <w:rPr>
          <w:rStyle w:val="Strong"/>
          <w:rFonts w:ascii="GHEA Grapalat" w:hAnsi="GHEA Grapalat"/>
          <w:color w:val="000000"/>
          <w:lang w:val="hy-AM"/>
        </w:rPr>
        <w:t>«</w:t>
      </w:r>
      <w:r w:rsidRPr="00F33773">
        <w:rPr>
          <w:rFonts w:ascii="GHEA Grapalat" w:hAnsi="GHEA Grapalat" w:cs="Tahoma"/>
          <w:b/>
          <w:iCs/>
          <w:color w:val="000000"/>
          <w:lang w:val="hy-AM"/>
        </w:rPr>
        <w:t>ՊԱՇՏՈՆԱՏԱՐ ԱՆՁԱՆՑ ԳՈՐԾՈՒՆԵՈՒԹՅԱՆ ԱՊԱՀՈՎՄԱՆ, ՍՊԱՍԱՐԿՄԱՆ ԵՎ ՍՈՑԻԱԼԱԿԱՆ ԵՐԱՇԽԻՔՆԵՐԻ ՄԱՍԻՆ</w:t>
      </w:r>
      <w:r w:rsidRPr="00F33773">
        <w:rPr>
          <w:rStyle w:val="Strong"/>
          <w:rFonts w:ascii="GHEA Grapalat" w:hAnsi="GHEA Grapalat"/>
          <w:color w:val="000000"/>
          <w:lang w:val="hy-AM"/>
        </w:rPr>
        <w:t>»</w:t>
      </w:r>
      <w:r w:rsidRPr="00F33773">
        <w:rPr>
          <w:rFonts w:ascii="GHEA Grapalat" w:hAnsi="GHEA Grapalat" w:cs="Tahoma"/>
          <w:iCs/>
          <w:lang w:val="hy-AM"/>
        </w:rPr>
        <w:t xml:space="preserve"> </w:t>
      </w:r>
      <w:r w:rsidRPr="00F33773">
        <w:rPr>
          <w:rStyle w:val="Strong"/>
          <w:rFonts w:ascii="GHEA Grapalat" w:hAnsi="GHEA Grapalat" w:cs="Tahoma"/>
          <w:color w:val="000000"/>
          <w:lang w:val="hy-AM"/>
        </w:rPr>
        <w:t>ՕՐԵՆՔՈՒՄ</w:t>
      </w:r>
      <w:r w:rsidRPr="00F33773">
        <w:rPr>
          <w:rStyle w:val="Strong"/>
          <w:rFonts w:ascii="GHEA Grapalat" w:hAnsi="GHEA Grapalat"/>
          <w:color w:val="000000"/>
          <w:lang w:val="hy-AM"/>
        </w:rPr>
        <w:t xml:space="preserve"> </w:t>
      </w:r>
      <w:r w:rsidRPr="00F33773">
        <w:rPr>
          <w:rStyle w:val="Strong"/>
          <w:rFonts w:ascii="GHEA Grapalat" w:hAnsi="GHEA Grapalat" w:cs="Tahoma"/>
          <w:color w:val="000000"/>
          <w:lang w:val="hy-AM"/>
        </w:rPr>
        <w:t>ԼՐԱՑՈՒՄ ԿԱՏԱՐԵԼՈՒ</w:t>
      </w:r>
      <w:r w:rsidRPr="00F33773">
        <w:rPr>
          <w:rStyle w:val="Strong"/>
          <w:rFonts w:ascii="GHEA Grapalat" w:hAnsi="GHEA Grapalat"/>
          <w:color w:val="000000"/>
          <w:lang w:val="hy-AM"/>
        </w:rPr>
        <w:t xml:space="preserve"> </w:t>
      </w:r>
      <w:r w:rsidRPr="00F33773">
        <w:rPr>
          <w:rStyle w:val="Strong"/>
          <w:rFonts w:ascii="GHEA Grapalat" w:hAnsi="GHEA Grapalat" w:cs="Tahoma"/>
          <w:color w:val="000000"/>
          <w:lang w:val="hy-AM"/>
        </w:rPr>
        <w:t>ՄԱՍԻՆ</w:t>
      </w:r>
      <w:r w:rsidRPr="00F33773">
        <w:rPr>
          <w:rStyle w:val="Strong"/>
          <w:rFonts w:ascii="GHEA Grapalat" w:hAnsi="GHEA Grapalat" w:cs="Tahoma"/>
          <w:bCs/>
          <w:color w:val="000000"/>
          <w:lang w:val="hy-AM"/>
        </w:rPr>
        <w:t>»</w:t>
      </w:r>
    </w:p>
    <w:p w:rsidR="00F33773" w:rsidRPr="00F33773" w:rsidRDefault="00F33773" w:rsidP="00F33773">
      <w:pPr>
        <w:spacing w:line="360" w:lineRule="auto"/>
        <w:jc w:val="center"/>
        <w:rPr>
          <w:rFonts w:ascii="GHEA Grapalat" w:hAnsi="GHEA Grapalat"/>
          <w:b/>
          <w:sz w:val="24"/>
          <w:szCs w:val="24"/>
          <w:lang w:val="hy-AM"/>
        </w:rPr>
      </w:pPr>
      <w:r w:rsidRPr="00F33773">
        <w:rPr>
          <w:rFonts w:ascii="GHEA Grapalat" w:hAnsi="GHEA Grapalat"/>
          <w:b/>
          <w:sz w:val="24"/>
          <w:szCs w:val="24"/>
          <w:lang w:val="hy-AM"/>
        </w:rPr>
        <w:t>ՕՐԵՆՔԻ ՆԱԽԱԳԾ</w:t>
      </w:r>
      <w:r w:rsidRPr="00F33773">
        <w:rPr>
          <w:rFonts w:ascii="GHEA Grapalat" w:hAnsi="GHEA Grapalat"/>
          <w:b/>
          <w:sz w:val="24"/>
          <w:szCs w:val="24"/>
        </w:rPr>
        <w:t>ԵՐ</w:t>
      </w:r>
      <w:r w:rsidRPr="00F33773">
        <w:rPr>
          <w:rFonts w:ascii="GHEA Grapalat" w:hAnsi="GHEA Grapalat"/>
          <w:b/>
          <w:sz w:val="24"/>
          <w:szCs w:val="24"/>
          <w:lang w:val="hy-AM"/>
        </w:rPr>
        <w:t>Ի</w:t>
      </w:r>
    </w:p>
    <w:p w:rsidR="00F33773" w:rsidRPr="00F33773" w:rsidRDefault="00F33773" w:rsidP="00F33773">
      <w:pPr>
        <w:tabs>
          <w:tab w:val="left" w:pos="-180"/>
          <w:tab w:val="left" w:pos="7065"/>
        </w:tabs>
        <w:jc w:val="center"/>
        <w:rPr>
          <w:rFonts w:ascii="GHEA Grapalat" w:hAnsi="GHEA Grapalat"/>
          <w:b/>
          <w:sz w:val="24"/>
          <w:szCs w:val="24"/>
        </w:rPr>
      </w:pPr>
      <w:r w:rsidRPr="00F33773">
        <w:rPr>
          <w:rFonts w:ascii="GHEA Grapalat" w:eastAsia="Times New Roman" w:hAnsi="GHEA Grapalat" w:cs="Times New Roman"/>
          <w:b/>
          <w:bCs/>
          <w:position w:val="-1"/>
          <w:sz w:val="24"/>
          <w:szCs w:val="24"/>
          <w:lang w:val="hy-AM" w:eastAsia="zh-CN"/>
        </w:rPr>
        <w:t>ՎԵՐԱԲԵՐՅԱԼ ԴԻՏՈՂՈՒԹՅՈՒՆՆԵՐԻ ԵՎ ԱՌԱՋԱՐԿՈՒԹՅՈՒՆՆԵՐԻ</w:t>
      </w:r>
    </w:p>
    <w:p w:rsidR="00813262" w:rsidRPr="00F33773" w:rsidRDefault="00813262" w:rsidP="00F33773">
      <w:pPr>
        <w:jc w:val="center"/>
        <w:rPr>
          <w:sz w:val="24"/>
          <w:szCs w:val="24"/>
        </w:rPr>
      </w:pPr>
    </w:p>
    <w:p w:rsidR="00813262" w:rsidRDefault="00813262"/>
    <w:tbl>
      <w:tblPr>
        <w:tblW w:w="0" w:type="auto"/>
        <w:tblCellMar>
          <w:left w:w="10" w:type="dxa"/>
          <w:right w:w="10" w:type="dxa"/>
        </w:tblCellMar>
        <w:tblLook w:val="04A0"/>
      </w:tblPr>
      <w:tblGrid>
        <w:gridCol w:w="290"/>
        <w:gridCol w:w="1852"/>
        <w:gridCol w:w="6527"/>
        <w:gridCol w:w="1723"/>
        <w:gridCol w:w="3535"/>
      </w:tblGrid>
      <w:tr w:rsidR="00813262" w:rsidTr="00DD7B74">
        <w:tc>
          <w:tcPr>
            <w:tcW w:w="290" w:type="dxa"/>
            <w:tcBorders>
              <w:top w:val="single" w:sz="1" w:space="0" w:color="000000"/>
              <w:left w:val="single" w:sz="1" w:space="0" w:color="000000"/>
              <w:bottom w:val="single" w:sz="1" w:space="0" w:color="000000"/>
              <w:right w:val="single" w:sz="1" w:space="0" w:color="000000"/>
            </w:tcBorders>
          </w:tcPr>
          <w:p w:rsidR="00813262" w:rsidRDefault="00C51046">
            <w:pPr>
              <w:jc w:val="center"/>
            </w:pPr>
            <w:r>
              <w:rPr>
                <w:rFonts w:ascii="GHEA Grapalat" w:eastAsia="GHEA Grapalat" w:hAnsi="GHEA Grapalat" w:cs="GHEA Grapalat"/>
                <w:color w:val="000000"/>
                <w:sz w:val="22"/>
                <w:szCs w:val="22"/>
              </w:rPr>
              <w:t>հ/</w:t>
            </w:r>
          </w:p>
          <w:p w:rsidR="00813262" w:rsidRDefault="00C51046">
            <w:pPr>
              <w:jc w:val="center"/>
            </w:pPr>
            <w:r>
              <w:rPr>
                <w:rFonts w:ascii="GHEA Grapalat" w:eastAsia="GHEA Grapalat" w:hAnsi="GHEA Grapalat" w:cs="GHEA Grapalat"/>
                <w:color w:val="000000"/>
                <w:sz w:val="22"/>
                <w:szCs w:val="22"/>
              </w:rPr>
              <w:t>հ</w:t>
            </w:r>
          </w:p>
        </w:tc>
        <w:tc>
          <w:tcPr>
            <w:tcW w:w="1852" w:type="dxa"/>
            <w:tcBorders>
              <w:top w:val="single" w:sz="1" w:space="0" w:color="000000"/>
              <w:left w:val="single" w:sz="1" w:space="0" w:color="000000"/>
              <w:bottom w:val="single" w:sz="1" w:space="0" w:color="000000"/>
              <w:right w:val="single" w:sz="1" w:space="0" w:color="000000"/>
            </w:tcBorders>
          </w:tcPr>
          <w:p w:rsidR="00813262" w:rsidRDefault="00C51046">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6527" w:type="dxa"/>
            <w:tcBorders>
              <w:top w:val="single" w:sz="1" w:space="0" w:color="000000"/>
              <w:left w:val="single" w:sz="1" w:space="0" w:color="000000"/>
              <w:bottom w:val="single" w:sz="1" w:space="0" w:color="000000"/>
              <w:right w:val="single" w:sz="1" w:space="0" w:color="000000"/>
            </w:tcBorders>
          </w:tcPr>
          <w:p w:rsidR="00813262" w:rsidRDefault="00C51046">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1723" w:type="dxa"/>
            <w:tcBorders>
              <w:top w:val="single" w:sz="1" w:space="0" w:color="000000"/>
              <w:left w:val="single" w:sz="1" w:space="0" w:color="000000"/>
              <w:bottom w:val="single" w:sz="1" w:space="0" w:color="000000"/>
              <w:right w:val="single" w:sz="1" w:space="0" w:color="000000"/>
            </w:tcBorders>
          </w:tcPr>
          <w:p w:rsidR="00813262" w:rsidRDefault="00C51046">
            <w:pPr>
              <w:jc w:val="center"/>
            </w:pPr>
            <w:r>
              <w:rPr>
                <w:rFonts w:ascii="GHEA Grapalat" w:eastAsia="GHEA Grapalat" w:hAnsi="GHEA Grapalat" w:cs="GHEA Grapalat"/>
                <w:color w:val="000000"/>
                <w:sz w:val="22"/>
                <w:szCs w:val="22"/>
              </w:rPr>
              <w:t>Եզրակացություն</w:t>
            </w:r>
          </w:p>
        </w:tc>
        <w:tc>
          <w:tcPr>
            <w:tcW w:w="3535" w:type="dxa"/>
            <w:tcBorders>
              <w:top w:val="single" w:sz="1" w:space="0" w:color="000000"/>
              <w:left w:val="single" w:sz="1" w:space="0" w:color="000000"/>
              <w:bottom w:val="single" w:sz="1" w:space="0" w:color="000000"/>
              <w:right w:val="single" w:sz="1" w:space="0" w:color="000000"/>
            </w:tcBorders>
          </w:tcPr>
          <w:p w:rsidR="00813262" w:rsidRDefault="00C51046">
            <w:pPr>
              <w:jc w:val="center"/>
            </w:pPr>
            <w:r>
              <w:rPr>
                <w:rFonts w:ascii="GHEA Grapalat" w:eastAsia="GHEA Grapalat" w:hAnsi="GHEA Grapalat" w:cs="GHEA Grapalat"/>
                <w:color w:val="000000"/>
                <w:sz w:val="22"/>
                <w:szCs w:val="22"/>
              </w:rPr>
              <w:t>Կատարված փոփոխությունը</w:t>
            </w:r>
          </w:p>
        </w:tc>
      </w:tr>
      <w:tr w:rsidR="00813262" w:rsidTr="00DD7B74">
        <w:tc>
          <w:tcPr>
            <w:tcW w:w="290" w:type="dxa"/>
            <w:tcBorders>
              <w:top w:val="single" w:sz="1" w:space="0" w:color="000000"/>
              <w:left w:val="single" w:sz="1" w:space="0" w:color="000000"/>
              <w:bottom w:val="single" w:sz="1" w:space="0" w:color="000000"/>
              <w:right w:val="single" w:sz="1" w:space="0" w:color="000000"/>
            </w:tcBorders>
            <w:vAlign w:val="center"/>
          </w:tcPr>
          <w:p w:rsidR="00813262" w:rsidRDefault="00813262">
            <w:pPr>
              <w:jc w:val="center"/>
            </w:pPr>
          </w:p>
        </w:tc>
        <w:tc>
          <w:tcPr>
            <w:tcW w:w="1852" w:type="dxa"/>
            <w:tcBorders>
              <w:top w:val="single" w:sz="1" w:space="0" w:color="000000"/>
              <w:left w:val="single" w:sz="1" w:space="0" w:color="000000"/>
              <w:bottom w:val="single" w:sz="1" w:space="0" w:color="000000"/>
              <w:right w:val="single" w:sz="1" w:space="0" w:color="000000"/>
            </w:tcBorders>
            <w:vAlign w:val="center"/>
          </w:tcPr>
          <w:p w:rsidR="00813262" w:rsidRDefault="00C51046">
            <w:pPr>
              <w:jc w:val="center"/>
            </w:pPr>
            <w:r>
              <w:rPr>
                <w:rFonts w:ascii="GHEA Grapalat" w:eastAsia="GHEA Grapalat" w:hAnsi="GHEA Grapalat" w:cs="GHEA Grapalat"/>
                <w:color w:val="000000"/>
                <w:sz w:val="22"/>
                <w:szCs w:val="22"/>
              </w:rPr>
              <w:t>1</w:t>
            </w:r>
          </w:p>
        </w:tc>
        <w:tc>
          <w:tcPr>
            <w:tcW w:w="6527" w:type="dxa"/>
            <w:tcBorders>
              <w:top w:val="single" w:sz="1" w:space="0" w:color="000000"/>
              <w:left w:val="single" w:sz="1" w:space="0" w:color="000000"/>
              <w:bottom w:val="single" w:sz="1" w:space="0" w:color="000000"/>
              <w:right w:val="single" w:sz="1" w:space="0" w:color="000000"/>
            </w:tcBorders>
            <w:vAlign w:val="center"/>
          </w:tcPr>
          <w:p w:rsidR="00813262" w:rsidRDefault="00C51046">
            <w:pPr>
              <w:jc w:val="center"/>
            </w:pPr>
            <w:r>
              <w:rPr>
                <w:rFonts w:ascii="GHEA Grapalat" w:eastAsia="GHEA Grapalat" w:hAnsi="GHEA Grapalat" w:cs="GHEA Grapalat"/>
                <w:color w:val="000000"/>
                <w:sz w:val="22"/>
                <w:szCs w:val="22"/>
              </w:rPr>
              <w:t>2</w:t>
            </w:r>
          </w:p>
        </w:tc>
        <w:tc>
          <w:tcPr>
            <w:tcW w:w="1723" w:type="dxa"/>
            <w:tcBorders>
              <w:top w:val="single" w:sz="1" w:space="0" w:color="000000"/>
              <w:left w:val="single" w:sz="1" w:space="0" w:color="000000"/>
              <w:bottom w:val="single" w:sz="1" w:space="0" w:color="000000"/>
              <w:right w:val="single" w:sz="1" w:space="0" w:color="000000"/>
            </w:tcBorders>
            <w:vAlign w:val="center"/>
          </w:tcPr>
          <w:p w:rsidR="00813262" w:rsidRDefault="00C51046">
            <w:pPr>
              <w:jc w:val="center"/>
            </w:pPr>
            <w:r>
              <w:rPr>
                <w:rFonts w:ascii="GHEA Grapalat" w:eastAsia="GHEA Grapalat" w:hAnsi="GHEA Grapalat" w:cs="GHEA Grapalat"/>
                <w:color w:val="000000"/>
                <w:sz w:val="22"/>
                <w:szCs w:val="22"/>
              </w:rPr>
              <w:t>3</w:t>
            </w:r>
          </w:p>
        </w:tc>
        <w:tc>
          <w:tcPr>
            <w:tcW w:w="3535" w:type="dxa"/>
            <w:tcBorders>
              <w:top w:val="single" w:sz="1" w:space="0" w:color="000000"/>
              <w:left w:val="single" w:sz="1" w:space="0" w:color="000000"/>
              <w:bottom w:val="single" w:sz="1" w:space="0" w:color="000000"/>
              <w:right w:val="single" w:sz="1" w:space="0" w:color="000000"/>
            </w:tcBorders>
            <w:vAlign w:val="center"/>
          </w:tcPr>
          <w:p w:rsidR="00813262" w:rsidRDefault="00C51046">
            <w:pPr>
              <w:jc w:val="center"/>
            </w:pPr>
            <w:r>
              <w:rPr>
                <w:rFonts w:ascii="GHEA Grapalat" w:eastAsia="GHEA Grapalat" w:hAnsi="GHEA Grapalat" w:cs="GHEA Grapalat"/>
                <w:color w:val="000000"/>
                <w:sz w:val="22"/>
                <w:szCs w:val="22"/>
              </w:rPr>
              <w:t>4</w:t>
            </w:r>
          </w:p>
        </w:tc>
      </w:tr>
      <w:tr w:rsidR="00813262" w:rsidTr="00DD7B74">
        <w:tc>
          <w:tcPr>
            <w:tcW w:w="290" w:type="dxa"/>
            <w:tcBorders>
              <w:top w:val="single" w:sz="1" w:space="0" w:color="000000"/>
              <w:left w:val="single" w:sz="1" w:space="0" w:color="000000"/>
              <w:bottom w:val="single" w:sz="1" w:space="0" w:color="000000"/>
              <w:right w:val="single" w:sz="1" w:space="0" w:color="000000"/>
            </w:tcBorders>
          </w:tcPr>
          <w:p w:rsidR="00813262" w:rsidRDefault="00B70B9B">
            <w:pPr>
              <w:jc w:val="center"/>
            </w:pPr>
            <w:r>
              <w:rPr>
                <w:rFonts w:ascii="GHEA Grapalat" w:eastAsia="GHEA Grapalat" w:hAnsi="GHEA Grapalat" w:cs="GHEA Grapalat"/>
                <w:color w:val="000000"/>
                <w:sz w:val="22"/>
                <w:szCs w:val="22"/>
              </w:rPr>
              <w:t>1</w:t>
            </w:r>
            <w:r w:rsidR="00DD7B74">
              <w:rPr>
                <w:rFonts w:ascii="GHEA Grapalat" w:eastAsia="GHEA Grapalat" w:hAnsi="GHEA Grapalat" w:cs="GHEA Grapalat"/>
                <w:color w:val="000000"/>
                <w:sz w:val="22"/>
                <w:szCs w:val="22"/>
              </w:rPr>
              <w:t>.</w:t>
            </w:r>
          </w:p>
        </w:tc>
        <w:tc>
          <w:tcPr>
            <w:tcW w:w="1852" w:type="dxa"/>
            <w:tcBorders>
              <w:top w:val="single" w:sz="1" w:space="0" w:color="000000"/>
              <w:left w:val="single" w:sz="1" w:space="0" w:color="000000"/>
              <w:bottom w:val="single" w:sz="1" w:space="0" w:color="000000"/>
              <w:right w:val="single" w:sz="1" w:space="0" w:color="000000"/>
            </w:tcBorders>
          </w:tcPr>
          <w:p w:rsidR="00813262" w:rsidRDefault="00C51046">
            <w:pPr>
              <w:jc w:val="center"/>
            </w:pPr>
            <w:r>
              <w:rPr>
                <w:rFonts w:ascii="GHEA Grapalat" w:eastAsia="GHEA Grapalat" w:hAnsi="GHEA Grapalat" w:cs="GHEA Grapalat"/>
                <w:color w:val="000000"/>
                <w:sz w:val="22"/>
                <w:szCs w:val="22"/>
              </w:rPr>
              <w:t>"Իրավական ուղի" ՀԿ</w:t>
            </w:r>
          </w:p>
          <w:p w:rsidR="00813262" w:rsidRDefault="00C51046">
            <w:pPr>
              <w:jc w:val="center"/>
            </w:pPr>
            <w:r>
              <w:rPr>
                <w:rFonts w:ascii="GHEA Grapalat" w:eastAsia="GHEA Grapalat" w:hAnsi="GHEA Grapalat" w:cs="GHEA Grapalat"/>
                <w:color w:val="000000"/>
                <w:sz w:val="22"/>
                <w:szCs w:val="22"/>
              </w:rPr>
              <w:t xml:space="preserve">26.08.2019 </w:t>
            </w:r>
            <w:r>
              <w:rPr>
                <w:rFonts w:ascii="GHEA Grapalat" w:eastAsia="GHEA Grapalat" w:hAnsi="GHEA Grapalat" w:cs="GHEA Grapalat"/>
                <w:color w:val="000000"/>
                <w:sz w:val="22"/>
                <w:szCs w:val="22"/>
              </w:rPr>
              <w:lastRenderedPageBreak/>
              <w:t>18:39:26</w:t>
            </w:r>
          </w:p>
        </w:tc>
        <w:tc>
          <w:tcPr>
            <w:tcW w:w="6527" w:type="dxa"/>
            <w:tcBorders>
              <w:top w:val="single" w:sz="1" w:space="0" w:color="000000"/>
              <w:left w:val="single" w:sz="1" w:space="0" w:color="000000"/>
              <w:bottom w:val="single" w:sz="1" w:space="0" w:color="000000"/>
              <w:right w:val="single" w:sz="1" w:space="0" w:color="000000"/>
            </w:tcBorders>
          </w:tcPr>
          <w:p w:rsidR="00813262" w:rsidRDefault="00C51046">
            <w:pPr>
              <w:jc w:val="center"/>
            </w:pPr>
            <w:r>
              <w:rPr>
                <w:rFonts w:ascii="GHEA Grapalat" w:eastAsia="GHEA Grapalat" w:hAnsi="GHEA Grapalat" w:cs="GHEA Grapalat"/>
                <w:color w:val="000000"/>
                <w:sz w:val="22"/>
                <w:szCs w:val="22"/>
              </w:rPr>
              <w:lastRenderedPageBreak/>
              <w:t xml:space="preserve">Քննարկելով առաջարկվող փոփոխությունը միջազգային չափանիշներին համապատասխանության շրջանակում, հարկ է մեջբերել խնդրո առարկայի վերաբերյալ միջազգային </w:t>
            </w:r>
            <w:r>
              <w:rPr>
                <w:rFonts w:ascii="GHEA Grapalat" w:eastAsia="GHEA Grapalat" w:hAnsi="GHEA Grapalat" w:cs="GHEA Grapalat"/>
                <w:color w:val="000000"/>
                <w:sz w:val="22"/>
                <w:szCs w:val="22"/>
              </w:rPr>
              <w:lastRenderedPageBreak/>
              <w:t xml:space="preserve">փաստաթղթերով սահմանված որոշ ստանդարտներ։ Այսպես․  Նույն Արդարադատության նախարարության մեջբերած Եվրոպայի Խորհրդի նախարարների կոմիտեի 2010թ․-ի նոյեմբերի 17-ի հանձնարարականի 49-րդ կետում ընդգծվել է, որ. «Անփոփոխելիությունը և պաշտոնի պահպանման երաշխիքը դատավորների անկախության առանցքային տարրերից են, դատավորին պետք է երաշխավորեն պաշտոնավարման ժամկետը մինչև կենսաթոշակային տարիքի լրանալը, եթե այդպիսին հաստատված է»։ Իսկ ահա 50-րդ կետում նշվում է հետևյալը․ «Դատավորների պաշտոնավարման ժամկետները պետք է սահմանվեն օրենքով։ Մշտական նշանակումը պետք է դադարեցվի միայն օրենքով սահմանված կարգապահական և քրեական նորմերի լուրջ խախտումների դեպքում, կամ եթե դատավորը այլևս չի կարող իրականացնել դատական գործառույթները։ Վաղաժամկետ դադարեցումը հնարավոր է միայն շահագրգիռ դատավորի խնդրանքով կամ բժշկական հիմունքներով»։ ՄԱԿ-ի Գլխավոր վեհաժողովի 1985թ․-ի նոյեմբերի 29-ի և դեկտեմբերի 13-ի  40/32 և 40/146 բանաձևերով նշվում է, որ․ «Նշանակված կամ ընտրված դատավորների պաշտոնավարման ժամկետը երաշխավորված է մինչև պարտադիր կենսաթոշակային տարիքի լրանալը կամ լիազորությունների ժամկետի լրանալը, եթե այդպիսին սահմանված է։ Դատավորները կարող են ժամանակավորապես հեռացվել պաշտոնից կամ դադարեցվել նրանց լիազորությունները միայն իրենց պարտականությունների կատարման անկարողության կամ իրենց պաշտոնին ոչ հարիր </w:t>
            </w:r>
            <w:r>
              <w:rPr>
                <w:rFonts w:ascii="GHEA Grapalat" w:eastAsia="GHEA Grapalat" w:hAnsi="GHEA Grapalat" w:cs="GHEA Grapalat"/>
                <w:color w:val="000000"/>
                <w:sz w:val="22"/>
                <w:szCs w:val="22"/>
              </w:rPr>
              <w:lastRenderedPageBreak/>
              <w:t xml:space="preserve">վարքագիծ դրսևորելու պատճառով»։ ՄԱԿ-ի Մարդու իրավունքների կոմիտեն 2007 թվականի օգոստոսի 23-ին Քաղաքացիական և քաղաքական իրավունքների մասին միջազգային դաշնագրի 14-րդ հոդվածի վերաբերյալ  թիվ 32 ընդհանուր կարգի նկատառումներում նշում է հետևյալը․ «14-րդ հոդվածի 1-ին կետով նախատեսված դատարանի անկողմնակալության, անկախության և կոմպետենտության պահանջները բացարձակ իրավունք են, որոնք չեն կարող ենթարկվել որևէ նահանջի։ Անկախության պահանջը մասնավորապես վերաբերում է դատավորների նշանակման կարգին և պայմաններին և անփոփոխելիության երաշխիքներին մինչև օրենքով սահմանված պաշտոնավարման տարիքը կամ լիազորությունների դադարեցման ժամկետը լրանալը, եթե այդպիսի ժամկետներ նախատեսված են(․․․)։ Դատավորների լիազորությունները կարող են դադարեցվել միայն ոչ պատշաճ վարքագծի կամ ոչ կոմպետենտության լուրջ պատճառների առկայության դեպքում»։ 1998 թվականի հուլիսի 8-10 դատավորի կարգավիճակի վերաբերյալ եվրոպական խարտիայում նշվում է, որ «7․1․ Դատավորը վերջնականապես դադարեցնում է իր լիազորությունները հրաժարականի, բժշկական փորձաքննությամբ հաստատված ֆիզիկական անկարողության, կենսաթոշակային տարիքի լրանալու, օրենքով սահմանված պաշտոնավարման ժամկետի լրանալու կամ 5․1 կետով սահմանված ընթացակարգի դեպքերում»։ Վենետիկի հանձնաժողովը 99-րդ լիակազմ նստաշրջանում (13–14 հունիսի 2014 թ․,) Հայաստանի Հանրապետության դատական </w:t>
            </w:r>
            <w:r>
              <w:rPr>
                <w:rFonts w:ascii="GHEA Grapalat" w:eastAsia="GHEA Grapalat" w:hAnsi="GHEA Grapalat" w:cs="GHEA Grapalat"/>
                <w:color w:val="000000"/>
                <w:sz w:val="22"/>
                <w:szCs w:val="22"/>
              </w:rPr>
              <w:lastRenderedPageBreak/>
              <w:t xml:space="preserve">օրենսգրքում փոփոխություններ և լրացումներ կատարելու օրենքի նախագծով առաջարկվող անորոշ ժամկետով նշանակված դատարանների նախագահների լիազորությունները դադարեցնելու մասով նշում է հետևյալը․ «Օրենքի փոփոխությամբ առաջարկվող դատարանների նախագահների լիազորությունների դադարեցումը, որոնք նշանակված են անորոշ ժամկետով, առաջացնում է որոշակի մտահոգություններ։ Նոր կանոնի հետադարձ ներգործունեությունը խնդրահարույց է ամբողջությամբ։ Եթե այն շոշափում է օրենքով նախատեսված իրավունք կամ օրինական ակնկալիքներ, որոնք առկա էին մինչև փոփոխությունների ուժի մեջ մտնելը, ապա պետք է լինեն անհետաձգելի պատճառներ այդպիսի փոփոխությունը արդարացնելու համար (…)։ Կարելի է պնդել, որ դատարանների նախագահներն ունեին օրինական ակնկալիք առ այն, որ իրենց նշանակումները չեն դադարեցվի մինչև կենսաթոշակային տարիքը լրանալը։ Այդպիսի ակնկալիք կարող է հետևել Դատական օրենսգրքի 4-րդ (Դատարանների նախագահները դատավորներ են) և 14․2-րդ (դատավորները պաշտոնավարում են մինչև 65 տարեկանը) հոդվածներից (…)։ Վենետիկի հանձնաժողովը ընդգծում է, որ եթե չեն կարող բերվել անհաղթահարելի պատճառներ, ապա իրավական որոշակիության սկզբունքը օրինական ակնկալիքների, դատական մարմինների անկախության և արդյունավետ արդարադատության իրականացման պաշտպանության սկզբունքների հետ միասին պահանջում են շատ ավելի երկարատև ժամանակ դատարանների նախագահներին իրենց </w:t>
            </w:r>
            <w:r>
              <w:rPr>
                <w:rFonts w:ascii="GHEA Grapalat" w:eastAsia="GHEA Grapalat" w:hAnsi="GHEA Grapalat" w:cs="GHEA Grapalat"/>
                <w:color w:val="000000"/>
                <w:sz w:val="22"/>
                <w:szCs w:val="22"/>
              </w:rPr>
              <w:lastRenderedPageBreak/>
              <w:t>պաշտոններից հեռացնելու համար»։ Դատավորների միջազգային միության կողմից 1999 թվականի նոյեմբերի 17-ին ընդունվել է Դատավորների համընդհանուր խարտիան, որի 8-րդ հոդվածում ամրագրվել է հետևյալը․ «Դատավորը կարող է տեղափոխվել, ժամանակավորապես հեռացվել պաշտոնից կամ լիազորությունները դադարեցվել միայն օրենքով նախատեսված դեպքերում և միայն որոշմամբ, որն ընդունվել է պատշաճ կարգապահական ընթացակարգերով։ Դատավորը պետք է նշանակվի ցմահ կամ այնպիսի ժամանակահատվածով կամ այնպիսի պայմաններով, որով դատական իշխանության անկախությունը չի կարող ենթարկվել վտանգի։ Դատավորի պարտադիր կենսաթոշակային տարիքի ցանկացած փոփոխություն չպետք է ունենա հետադարձ ուժ»։ Վերոգրյալ միջազգային փաստաթղթերի հիման վրա համապատասխանաբար եզրակացնում ենք, որ՝ 1․</w:t>
            </w:r>
            <w:r>
              <w:rPr>
                <w:rFonts w:ascii="GHEA Grapalat" w:eastAsia="GHEA Grapalat" w:hAnsi="GHEA Grapalat" w:cs="GHEA Grapalat"/>
                <w:color w:val="000000"/>
                <w:sz w:val="22"/>
                <w:szCs w:val="22"/>
              </w:rPr>
              <w:tab/>
              <w:t>Դատավորների լիազորությունները կարող են դադարեցվել միայն օրենքով սահմանված կարգապահական և քրեական նորմերի լուրջ խախտումների դեպքում, կամ եթե դատավորը այլևս չի կարող իրականացնել դատական գործառույթները, 2․</w:t>
            </w:r>
            <w:r>
              <w:rPr>
                <w:rFonts w:ascii="GHEA Grapalat" w:eastAsia="GHEA Grapalat" w:hAnsi="GHEA Grapalat" w:cs="GHEA Grapalat"/>
                <w:color w:val="000000"/>
                <w:sz w:val="22"/>
                <w:szCs w:val="22"/>
              </w:rPr>
              <w:tab/>
              <w:t>դատավորի լիազորությունները կարող են դադարեցվել շահագրգիռ դատավորի խնդրանքով կամ բժշկական հիմունքներով, եթե պետությունը չի խաղացել ակտիվ կամ ապօրինի դեր դիմումատուներին իրենց կամքին հակառակ կենսաթոշակի ուղարկելու հարցում, 3․</w:t>
            </w:r>
            <w:r>
              <w:rPr>
                <w:rFonts w:ascii="GHEA Grapalat" w:eastAsia="GHEA Grapalat" w:hAnsi="GHEA Grapalat" w:cs="GHEA Grapalat"/>
                <w:color w:val="000000"/>
                <w:sz w:val="22"/>
                <w:szCs w:val="22"/>
              </w:rPr>
              <w:tab/>
              <w:t>Դատավորի պարտադիր կենսաթոշակային տարիքի ցանկացած փոփոխություն չպետք է ունենա հետադարձ ուժ,  4․</w:t>
            </w:r>
            <w:r>
              <w:rPr>
                <w:rFonts w:ascii="GHEA Grapalat" w:eastAsia="GHEA Grapalat" w:hAnsi="GHEA Grapalat" w:cs="GHEA Grapalat"/>
                <w:color w:val="000000"/>
                <w:sz w:val="22"/>
                <w:szCs w:val="22"/>
              </w:rPr>
              <w:lastRenderedPageBreak/>
              <w:tab/>
              <w:t>Ցանկացած Սահմանադրական կամ օրենսդրական փոփոխություն, որով սահմանվում է դատարանակազմության նոր մոդել, ինքնին չի կարող ունենալ հետադարձ ուժ և խախտել դատավորների անփոփոխելիության սկզբունքը։ Ուստի Արդարադատության նախարարության հռչակած 2015 թվականի սահմանադրական փոփոխություններով ամրագրված՝ Սահմանադրական դատարանի կազմավորման մոդելը կյանքի կոչելու նպատակը չի կարող լինել իրավաչափ գործող դատավորների լիազորությունները վաղաժամ դադարեցնելու համար, այն ուղղակիորեն հակասում է վերոգրյալ միջազգային չափանիշներով սահմանված դատավորների անփոփոխելիության, անկախության, օրինական ակնկալիքների պաշտպանության, անձի վիճակը վատթարացնող օրենքի հետադարձ ուժի կիրառման արգելքի սահմանադրական սկզբունքներին, ուստի առաջարկում ենք հանել առաջարկվող սույն փոփոխությունը։</w:t>
            </w:r>
          </w:p>
        </w:tc>
        <w:tc>
          <w:tcPr>
            <w:tcW w:w="1723" w:type="dxa"/>
            <w:tcBorders>
              <w:top w:val="single" w:sz="1" w:space="0" w:color="000000"/>
              <w:left w:val="single" w:sz="1" w:space="0" w:color="000000"/>
              <w:bottom w:val="single" w:sz="1" w:space="0" w:color="000000"/>
              <w:right w:val="single" w:sz="1" w:space="0" w:color="000000"/>
            </w:tcBorders>
          </w:tcPr>
          <w:p w:rsidR="00813262" w:rsidRDefault="00C51046">
            <w:pPr>
              <w:jc w:val="center"/>
            </w:pPr>
            <w:r>
              <w:rPr>
                <w:rFonts w:ascii="GHEA Grapalat" w:eastAsia="GHEA Grapalat" w:hAnsi="GHEA Grapalat" w:cs="GHEA Grapalat"/>
                <w:color w:val="000000"/>
                <w:sz w:val="22"/>
                <w:szCs w:val="22"/>
              </w:rPr>
              <w:lastRenderedPageBreak/>
              <w:t>Չի ընդունվել:</w:t>
            </w:r>
          </w:p>
        </w:tc>
        <w:tc>
          <w:tcPr>
            <w:tcW w:w="3535" w:type="dxa"/>
            <w:tcBorders>
              <w:top w:val="single" w:sz="1" w:space="0" w:color="000000"/>
              <w:left w:val="single" w:sz="1" w:space="0" w:color="000000"/>
              <w:bottom w:val="single" w:sz="1" w:space="0" w:color="000000"/>
              <w:right w:val="single" w:sz="1" w:space="0" w:color="000000"/>
            </w:tcBorders>
          </w:tcPr>
          <w:p w:rsidR="00813262" w:rsidRDefault="00C51046">
            <w:pPr>
              <w:jc w:val="center"/>
            </w:pPr>
            <w:r>
              <w:rPr>
                <w:rFonts w:ascii="GHEA Grapalat" w:eastAsia="GHEA Grapalat" w:hAnsi="GHEA Grapalat" w:cs="GHEA Grapalat"/>
                <w:color w:val="000000"/>
                <w:sz w:val="22"/>
                <w:szCs w:val="22"/>
              </w:rPr>
              <w:t xml:space="preserve">Բերված հիմնավորումները վերաբերում են դատավորի լիազորությունների </w:t>
            </w:r>
            <w:r>
              <w:rPr>
                <w:rFonts w:ascii="GHEA Grapalat" w:eastAsia="GHEA Grapalat" w:hAnsi="GHEA Grapalat" w:cs="GHEA Grapalat"/>
                <w:color w:val="000000"/>
                <w:sz w:val="22"/>
                <w:szCs w:val="22"/>
              </w:rPr>
              <w:lastRenderedPageBreak/>
              <w:t xml:space="preserve">հարկադրական դադարեցման դեպքին, մինչդեռ Նախագծով առաջարկվող կարգավորումը հիմնված է կամավորության սկզբունքի վրա, ինչը հենց առաջարկում վկայակոչված Եվրոպայի Խորհրդի նախարարների կոմիտեի 2010թ․-ի նոյեմբերի 17-ի հանձնարարականի 50-րդ կետով թույլատրվում է (Մշտական նշանակումը պետք է դադարեցվի միայն օրենքով սահմանված կարգապահական և քրեական նորմերի լուրջ խախտումների դեպքում, կամ եթե դատավորը այլևս չի կարող իրականացնել դատական գործառույթները։ Վաղաժամկետ դադարեցումը հնարավոր է միայն շահագրգիռ դատավորի խնդրանքով կամ բժշկական հիմունքներով): Հետադարձ ուժի արգելքի մասին փաստարկը վերաբերելի չէ, որովհետև առաջարկվող կարգավորմամբ դատավորների </w:t>
            </w:r>
            <w:r>
              <w:rPr>
                <w:rFonts w:ascii="GHEA Grapalat" w:eastAsia="GHEA Grapalat" w:hAnsi="GHEA Grapalat" w:cs="GHEA Grapalat"/>
                <w:color w:val="000000"/>
                <w:sz w:val="22"/>
                <w:szCs w:val="22"/>
              </w:rPr>
              <w:lastRenderedPageBreak/>
              <w:t>կենսաթոշակի տարիքը չի փոխվում, հետևաբար հետադարձ ուժի մասին խոսելն ավելորդ է: Նախագծով հնարավորություն է տրվում կամավոր հիմունքներով մինչև պաշտոնավարման տարիքը լրանալը վաղ կենսաթոշակի անցնել՝ պահպանելով բոլոր սոցիալական երաշխիքները:</w:t>
            </w:r>
          </w:p>
        </w:tc>
      </w:tr>
      <w:tr w:rsidR="00813262" w:rsidTr="00DD7B74">
        <w:tc>
          <w:tcPr>
            <w:tcW w:w="290" w:type="dxa"/>
            <w:tcBorders>
              <w:top w:val="single" w:sz="1" w:space="0" w:color="000000"/>
              <w:left w:val="single" w:sz="1" w:space="0" w:color="000000"/>
              <w:bottom w:val="single" w:sz="1" w:space="0" w:color="000000"/>
              <w:right w:val="single" w:sz="1" w:space="0" w:color="000000"/>
            </w:tcBorders>
          </w:tcPr>
          <w:p w:rsidR="00813262" w:rsidRDefault="00B70B9B">
            <w:pPr>
              <w:jc w:val="center"/>
            </w:pPr>
            <w:r>
              <w:rPr>
                <w:rFonts w:ascii="GHEA Grapalat" w:eastAsia="GHEA Grapalat" w:hAnsi="GHEA Grapalat" w:cs="GHEA Grapalat"/>
                <w:color w:val="000000"/>
                <w:sz w:val="22"/>
                <w:szCs w:val="22"/>
              </w:rPr>
              <w:lastRenderedPageBreak/>
              <w:t>2.</w:t>
            </w:r>
          </w:p>
        </w:tc>
        <w:tc>
          <w:tcPr>
            <w:tcW w:w="1852" w:type="dxa"/>
            <w:tcBorders>
              <w:top w:val="single" w:sz="1" w:space="0" w:color="000000"/>
              <w:left w:val="single" w:sz="1" w:space="0" w:color="000000"/>
              <w:bottom w:val="single" w:sz="1" w:space="0" w:color="000000"/>
              <w:right w:val="single" w:sz="1" w:space="0" w:color="000000"/>
            </w:tcBorders>
          </w:tcPr>
          <w:p w:rsidR="00813262" w:rsidRDefault="00C51046">
            <w:pPr>
              <w:jc w:val="center"/>
            </w:pPr>
            <w:r>
              <w:rPr>
                <w:rFonts w:ascii="GHEA Grapalat" w:eastAsia="GHEA Grapalat" w:hAnsi="GHEA Grapalat" w:cs="GHEA Grapalat"/>
                <w:color w:val="000000"/>
                <w:sz w:val="22"/>
                <w:szCs w:val="22"/>
              </w:rPr>
              <w:t>"Իրավական ուղի" ՀԿ</w:t>
            </w:r>
          </w:p>
          <w:p w:rsidR="00813262" w:rsidRDefault="00C51046">
            <w:pPr>
              <w:jc w:val="center"/>
            </w:pPr>
            <w:r>
              <w:rPr>
                <w:rFonts w:ascii="GHEA Grapalat" w:eastAsia="GHEA Grapalat" w:hAnsi="GHEA Grapalat" w:cs="GHEA Grapalat"/>
                <w:color w:val="000000"/>
                <w:sz w:val="22"/>
                <w:szCs w:val="22"/>
              </w:rPr>
              <w:t>26.08.2019 18:39:26</w:t>
            </w:r>
          </w:p>
        </w:tc>
        <w:tc>
          <w:tcPr>
            <w:tcW w:w="6527" w:type="dxa"/>
            <w:tcBorders>
              <w:top w:val="single" w:sz="1" w:space="0" w:color="000000"/>
              <w:left w:val="single" w:sz="1" w:space="0" w:color="000000"/>
              <w:bottom w:val="single" w:sz="1" w:space="0" w:color="000000"/>
              <w:right w:val="single" w:sz="1" w:space="0" w:color="000000"/>
            </w:tcBorders>
          </w:tcPr>
          <w:p w:rsidR="00813262" w:rsidRDefault="00C51046">
            <w:pPr>
              <w:jc w:val="center"/>
            </w:pPr>
            <w:r>
              <w:rPr>
                <w:rFonts w:ascii="GHEA Grapalat" w:eastAsia="GHEA Grapalat" w:hAnsi="GHEA Grapalat" w:cs="GHEA Grapalat"/>
                <w:color w:val="000000"/>
                <w:sz w:val="22"/>
                <w:szCs w:val="22"/>
              </w:rPr>
              <w:t xml:space="preserve">«Սահմանադրական դատարանի մասին» ՀՀ սահմանադրական օրենքում փոփոխություններ և լրացումներ կատարելու մասին» օրենքի նախագծով առաջարկվում է 2019 թվականի օգոստոսի 1-ից մինչև հոկտեմբերի 31-ը հրաժարական ներկայացրած Սահմանադրական դատարանի դատավորի նկատմամբ անկախ տարիքից պահպանել իր հրաժարականի պահին ունեցած աշխատավարձը, դրա նկատմամբ սահմանված հավելավճարները և սոցիալական երաշխիքները, մինչև իր պաշտոնավարման տարիքը լրանալը, բացառությամբ նրա </w:t>
            </w:r>
            <w:r>
              <w:rPr>
                <w:rFonts w:ascii="GHEA Grapalat" w:eastAsia="GHEA Grapalat" w:hAnsi="GHEA Grapalat" w:cs="GHEA Grapalat"/>
                <w:color w:val="000000"/>
                <w:sz w:val="22"/>
                <w:szCs w:val="22"/>
              </w:rPr>
              <w:lastRenderedPageBreak/>
              <w:t>կողմից հանրային ծառայության անցնելու դեպքի։ Ի հիմնավորումն նշված առաջարկի՝ Արդարադատության նախարարությունը ներկայացնում է Հունգարիայի և Լեհաստանի փորձը, որտեղ համապատասխանաբար 2011-2012 և 2017-2018 թվականներին նախաձեռնվել է օրենսդրական փոփոխություններ դատավորների վաղ կենսաթոշակի անցնելու վերաբերյալ, մասնավորապես Հունգարիայում 2011 թվականին ընդունված օրենքի համաձայն` դատավորների և դատախազների կենսաթոշակի անցնելու տարիքը 70-ից փոխվեց 62-ի (աստիճանաբար բարձրանալով մինչև 65)՝ նրանց 70-ի փոխարեն կենսաթոշակի ուղարկելով 62 (65)-ում: Իսկ Լեհաստանում ներկայացված օրենսդրական փոփոխությունը նախատեսում էր երկրի Գերագույն դատարանի դատավորների 40%-ի վաղ կենսաթոշակի անցնելը: Ուշադրության է արժանի Արդարադատության նախարարության՝ որպես իր առաջարկի հիմնավորում ներկայացրած Հունգարիայի և Լեհաստանի փորձը, որոնք ներկայացվում են իբրև միջազգային լավագույն փորձ, այն պարագայում, երբ դրանք արդեն իսկ ձախողված և միջազգային կառույցների կողմից մերժված օրենսդրական նախաձեռնություններ են։ Այսպես․ Վենետիկի հանձնաժողովը 87-րդ լիակազմ նստաշրջանում (17–18 հունիսի 2011 թ․,) Հունգարիայի Հիմնական օրենքի վերաբերյալ հետևյալ եզրակացությունն է ներկայացրել․ «ինչպես նախատեսված է  26(2) հոդվածով, ընդհանուր կենսաթոշակային տարիքը կիրառելի է նաև դատավորների նկատմամբ։ Ընդունելով, որ դատավորի կենսաթոշակային տարիքի նվազեցումը (70-ից 62-</w:t>
            </w:r>
            <w:r>
              <w:rPr>
                <w:rFonts w:ascii="GHEA Grapalat" w:eastAsia="GHEA Grapalat" w:hAnsi="GHEA Grapalat" w:cs="GHEA Grapalat"/>
                <w:color w:val="000000"/>
                <w:sz w:val="22"/>
                <w:szCs w:val="22"/>
              </w:rPr>
              <w:lastRenderedPageBreak/>
              <w:t xml:space="preserve">ի) կազմում է դատական համակարգի բարեփոխումների մասը, Վենետիկի հանձնաժողովը այն համարում է խնդրահարույց՝ համադրելով դատավորների անկախության, կարգավիճակի և անփոփոխելիության սկզբունքների հետ (…)։ Այն չի կարող օգտագործվել որպես միջոց դադարեցնելու այն դատավորների լիազորությունները, որոնք ընտրվել կամ նշանակվել են նախկին Սահմնադրության կարգավորումների համաձայն»։ Հետագայում  № 33/2012 (VII 17) 16 հուլիսի 2012 թ․-ի Հունգարիայի Սահմանադրական դատարանի որոշմամբ կենսաթոշակային տարիքի նվազեցումը ճանաչվեց հակասահմանադրական, ինչից հետո աշխատանքային դատարանների կողմից սկսվեց լիազորությունները դադարեցված դատավորների վերականգնումը իրենց պաշտոնում։ Իսկ Մարդու իրավունքների եվրոպական դատարանը Բական ընդդեմ Հունգարիայի գործով (գանգատ № 20261/12, 23 հունիսի 2016թ) ճանաչեց Հունգարիայի Գերագույն դատարանի նախկին նախագահ Անդրաշ Բակայի իրավունքների խախտումը Մարդու իրավունքների և հիմնարար ազատությունների պաշտպանության մասին Կոնվենցիայի 6-րդ հոդվածի 1-ին կետի և 10-րդ հոդվածներով։ Լեհաստանի օրինակում ևս, ԵՄ դատարանը վճռել է, որ Լեհաստանը խախտել է ԵՄ օրենսդրությունը՝ հարկադրելով դատավորներին անցնել վաղ կենսաթոշակի, ինչը հակասում է դատավորների անկախության երաշխիքը հանդիսացող անփոփոխելիության սկզբունքին։ Միայն ավելացնենք, որ Լեհաստանի նախագահ Անջեյ Դուդան 2018 թվականի դեկտեմբերին ստորագրել է </w:t>
            </w:r>
            <w:r>
              <w:rPr>
                <w:rFonts w:ascii="GHEA Grapalat" w:eastAsia="GHEA Grapalat" w:hAnsi="GHEA Grapalat" w:cs="GHEA Grapalat"/>
                <w:color w:val="000000"/>
                <w:sz w:val="22"/>
                <w:szCs w:val="22"/>
              </w:rPr>
              <w:lastRenderedPageBreak/>
              <w:t>օրենք, որով իրենց պաշտոններում վերականգնվել են այն դատավորները, որոնք հարկադրաբար վաղաժամկետ անցել էին կենսաթոշակի։ Արդարադատության նախարարության կողմից մատնանշվել է նաև Բելգիայի և Դանիայի փորձը, որտեղ դատավորներին որոշակի տարիքից սկսած իրավունք է վերապահվում անցնել կենսաթոշակի մինչև պաշտոնավարման տարիքը լրանալը։ Այս պարագայում օրինակները որևէ աղերս չունեն առաջարկվող փոփոխության հետ հետևյալ հիմնավորումներով՝ ա․</w:t>
            </w:r>
            <w:r>
              <w:rPr>
                <w:rFonts w:ascii="GHEA Grapalat" w:eastAsia="GHEA Grapalat" w:hAnsi="GHEA Grapalat" w:cs="GHEA Grapalat"/>
                <w:color w:val="000000"/>
                <w:sz w:val="22"/>
                <w:szCs w:val="22"/>
              </w:rPr>
              <w:tab/>
              <w:t>առաջարկվող փոփոխությամբ դատավորները մինչև պաշտոնավարման տարիքը լրանալը անցնելու են ոչ թե կենսաթոշակի, այլ ստանալու են անաշխատ եկամուտներ, իսկ պաշտոնավարման տարիքը լրանալուց հետո միայն՝ կենսաթոշակ, բ․</w:t>
            </w:r>
            <w:r>
              <w:rPr>
                <w:rFonts w:ascii="GHEA Grapalat" w:eastAsia="GHEA Grapalat" w:hAnsi="GHEA Grapalat" w:cs="GHEA Grapalat"/>
                <w:color w:val="000000"/>
                <w:sz w:val="22"/>
                <w:szCs w:val="22"/>
              </w:rPr>
              <w:tab/>
              <w:t>առաջարկվող փոփոխությունը վերաբերում է ոչ թե որոշակի տարիքից  սկսած կենսաթոշակի անցնելու հնարավորությանը, այլ մինչև հոկտեմբերի 31-ը հրաժարական ներկայացրած բոլոր ՍԴ դատավորներին, այս համատեքստում ՍԴ դատավորներ Վահե Գրիգորյանը 44, Արման Դիլանյանը 45, Արևիկ Պետրոսյանը 47, Հրայր Թովմասյանը 49, Արայիկ Թունյանը 53 տարեկանից (սրանք առավել ցայտուն օրինակներն են) կարող են անցնել անաշխատ եկամուներ ստանալուն մինչև պաշտոնավարման տարիքը լրանալը, գ․</w:t>
            </w:r>
            <w:r>
              <w:rPr>
                <w:rFonts w:ascii="GHEA Grapalat" w:eastAsia="GHEA Grapalat" w:hAnsi="GHEA Grapalat" w:cs="GHEA Grapalat"/>
                <w:color w:val="000000"/>
                <w:sz w:val="22"/>
                <w:szCs w:val="22"/>
              </w:rPr>
              <w:tab/>
              <w:t>առաջարկվող փոփոխությունը ոչ թե հնարավորություն է դատավորներին ավելի վաղ կենսաթոշակի անցնելու, այլ գործարք․ հրաժարականի դիմաց ստանալ անաշխատ եկամուտներ, դ․</w:t>
            </w:r>
            <w:r>
              <w:rPr>
                <w:rFonts w:ascii="GHEA Grapalat" w:eastAsia="GHEA Grapalat" w:hAnsi="GHEA Grapalat" w:cs="GHEA Grapalat"/>
                <w:color w:val="000000"/>
                <w:sz w:val="22"/>
                <w:szCs w:val="22"/>
              </w:rPr>
              <w:tab/>
              <w:t xml:space="preserve">առաջակվող փոփոխությունը վերջիվերջո վերաբերում է ոչ թե համընդհանուր բոլոր </w:t>
            </w:r>
            <w:r>
              <w:rPr>
                <w:rFonts w:ascii="GHEA Grapalat" w:eastAsia="GHEA Grapalat" w:hAnsi="GHEA Grapalat" w:cs="GHEA Grapalat"/>
                <w:color w:val="000000"/>
                <w:sz w:val="22"/>
                <w:szCs w:val="22"/>
              </w:rPr>
              <w:lastRenderedPageBreak/>
              <w:t>դատավորներին՝ նրանց հնարավորություն տալով ավելի վաղ անցնել հանգստի, ինչպես վերոնշյալ երկրներում է, այլ նպատակ է հետապնդում պարզապես ազատվել ՍԴ անցանկալի դատավորներից։ Բացի այդ, կարևոր է անդրադառնալ նաև Արդարադատության նախարարության ներկայացրած Մարդու իրավունքների եվրոպական դատարանի ՋԻ ԲԻ-ն և այլոք ընդդեմ Հունգարիայի գործով կայացված վճիռը, որտեղ Դատարանն ընդգծել է, որ «այն դատավորների մասով, ովքեր կամավոր դիմում են ներկայացրել օրենքով նախատեսված ժամկետը վրա հասնելուց առաջ, պետությունը խախտում թույլ չի տվել, քանի որ. «(...) պետությունը չի խաղացել ակտիվ կամ ապօրինի դեր դիմումատուներին իրենց կամքին հակառակ կենսաթոշակի ուղարկելու հարցում»։ Նշված մեջբերումից ակնհայտ է, որ խախտում առկա չէ միայն այն դեպքում, եթե դիմումները կամավոր են ներկայացվել, ինչը ենթադրում է, որ պետությունը ակտիվ կամ ապօրինի դեր չի խաղացել, այսինքն՝ դիմումը պետք է բացառապես հիմնված լինի դատավորի ազատ կամարտահայտության վրա։ Այս համատեքստում անգամ եթե մինչև հոկտեմբերի 31-ը որևէ ՍԴ դատավոր հրաժարականի դիմում ներկայացնի, ապա այն չի կարող համարվել ազատ կամարտահայտություն, քանի որ պետությունը արդեն իսկ խաղացել է ակտիվ դեր, մասնավորապես՝ ա)</w:t>
            </w:r>
            <w:r>
              <w:rPr>
                <w:rFonts w:ascii="GHEA Grapalat" w:eastAsia="GHEA Grapalat" w:hAnsi="GHEA Grapalat" w:cs="GHEA Grapalat"/>
                <w:color w:val="000000"/>
                <w:sz w:val="22"/>
                <w:szCs w:val="22"/>
              </w:rPr>
              <w:tab/>
              <w:t xml:space="preserve">ամիսներ շարունակ կեղծ օրակարգ է մտցվել Սահմանադրական դատարանի ճգնաժամի վերաբերյալ Սահմանադրական դատարանի «դատավոր»-«անդամ» բառախաղի համատեքստում Սահմանադրական դատարանի </w:t>
            </w:r>
            <w:r>
              <w:rPr>
                <w:rFonts w:ascii="GHEA Grapalat" w:eastAsia="GHEA Grapalat" w:hAnsi="GHEA Grapalat" w:cs="GHEA Grapalat"/>
                <w:color w:val="000000"/>
                <w:sz w:val="22"/>
                <w:szCs w:val="22"/>
              </w:rPr>
              <w:lastRenderedPageBreak/>
              <w:t>անդամների լիազորությունները դադարեցնելու նպատակով, բ)</w:t>
            </w:r>
            <w:r>
              <w:rPr>
                <w:rFonts w:ascii="GHEA Grapalat" w:eastAsia="GHEA Grapalat" w:hAnsi="GHEA Grapalat" w:cs="GHEA Grapalat"/>
                <w:color w:val="000000"/>
                <w:sz w:val="22"/>
                <w:szCs w:val="22"/>
              </w:rPr>
              <w:tab/>
              <w:t>ամիսներ շարունակ օրենսդիր և գործադիր իշխանության ներկայացուցիչների կողմից պրոպագանդվում է ՍԴ որոշ դատավորների անցանկալի լինելու վերաբերյալ, գ)</w:t>
            </w:r>
            <w:r>
              <w:rPr>
                <w:rFonts w:ascii="GHEA Grapalat" w:eastAsia="GHEA Grapalat" w:hAnsi="GHEA Grapalat" w:cs="GHEA Grapalat"/>
                <w:color w:val="000000"/>
                <w:sz w:val="22"/>
                <w:szCs w:val="22"/>
              </w:rPr>
              <w:tab/>
              <w:t>Կառավարության կողմից նախաձեռնված օրենսդրական փոփոխությամբ ուղղակիորեն առաջարկվում է ՍԴ դատավորներին ներկայացնել հրաժարական անաշխատ եկամուտներ ստանալու դիմաց, դ)</w:t>
            </w:r>
            <w:r>
              <w:rPr>
                <w:rFonts w:ascii="GHEA Grapalat" w:eastAsia="GHEA Grapalat" w:hAnsi="GHEA Grapalat" w:cs="GHEA Grapalat"/>
                <w:color w:val="000000"/>
                <w:sz w:val="22"/>
                <w:szCs w:val="22"/>
              </w:rPr>
              <w:tab/>
              <w:t>ՍԴ դատավորների հրաժարականի դիմում ներկայացնելու ցանկությունը և նախաձեռնությունը պատկանում է ոչ թե ՍԴ դատավորներին, այլ Կառավարությանը։ Վերոգրյալ փաստերի պայմաններում այլևս խոսք լինել չի կարող դիմում ներկայացնելու դատավորների կամավորության կամ ազատ կամարտահայտման մասին, ինչի պատճառով առաջարկվող փոփոխությունը հակասում է նաև Արդարադատության նախարարության մատնանշած Մարդու իրավունքների եվրոպական դատարանի վճռին։ Շարունակությունը հաջորդիվ։</w:t>
            </w:r>
          </w:p>
        </w:tc>
        <w:tc>
          <w:tcPr>
            <w:tcW w:w="1723" w:type="dxa"/>
            <w:tcBorders>
              <w:top w:val="single" w:sz="1" w:space="0" w:color="000000"/>
              <w:left w:val="single" w:sz="1" w:space="0" w:color="000000"/>
              <w:bottom w:val="single" w:sz="1" w:space="0" w:color="000000"/>
              <w:right w:val="single" w:sz="1" w:space="0" w:color="000000"/>
            </w:tcBorders>
          </w:tcPr>
          <w:p w:rsidR="00813262" w:rsidRDefault="00C51046">
            <w:pPr>
              <w:jc w:val="center"/>
            </w:pPr>
            <w:r>
              <w:rPr>
                <w:rFonts w:ascii="GHEA Grapalat" w:eastAsia="GHEA Grapalat" w:hAnsi="GHEA Grapalat" w:cs="GHEA Grapalat"/>
                <w:color w:val="000000"/>
                <w:sz w:val="22"/>
                <w:szCs w:val="22"/>
              </w:rPr>
              <w:lastRenderedPageBreak/>
              <w:t>Չի ընդունվել:</w:t>
            </w:r>
          </w:p>
        </w:tc>
        <w:tc>
          <w:tcPr>
            <w:tcW w:w="3535" w:type="dxa"/>
            <w:tcBorders>
              <w:top w:val="single" w:sz="1" w:space="0" w:color="000000"/>
              <w:left w:val="single" w:sz="1" w:space="0" w:color="000000"/>
              <w:bottom w:val="single" w:sz="1" w:space="0" w:color="000000"/>
              <w:right w:val="single" w:sz="1" w:space="0" w:color="000000"/>
            </w:tcBorders>
          </w:tcPr>
          <w:p w:rsidR="00813262" w:rsidRDefault="00C51046">
            <w:pPr>
              <w:jc w:val="center"/>
            </w:pPr>
            <w:r>
              <w:rPr>
                <w:rFonts w:ascii="GHEA Grapalat" w:eastAsia="GHEA Grapalat" w:hAnsi="GHEA Grapalat" w:cs="GHEA Grapalat"/>
                <w:color w:val="000000"/>
                <w:sz w:val="22"/>
                <w:szCs w:val="22"/>
              </w:rPr>
              <w:t xml:space="preserve">Նախ, Նախագծով չի նվազեցվում դատավորների կենսաթոշակի տարիքը, այլ առաջարկվում է ժամանակավոր հնարավորություն՝ կամավոր հիմունքներով, որն ուղղված է Նախագծի հիմնավորմամբ ընդգծված նպատակին, այն է ՍԴ կազմավորման վերաբերյալ </w:t>
            </w:r>
            <w:r>
              <w:rPr>
                <w:rFonts w:ascii="GHEA Grapalat" w:eastAsia="GHEA Grapalat" w:hAnsi="GHEA Grapalat" w:cs="GHEA Grapalat"/>
                <w:color w:val="000000"/>
                <w:sz w:val="22"/>
                <w:szCs w:val="22"/>
              </w:rPr>
              <w:lastRenderedPageBreak/>
              <w:t xml:space="preserve">սահմանադրի տեսլականի </w:t>
            </w:r>
            <w:r w:rsidR="006859C9">
              <w:rPr>
                <w:rFonts w:ascii="GHEA Grapalat" w:eastAsia="GHEA Grapalat" w:hAnsi="GHEA Grapalat" w:cs="GHEA Grapalat"/>
                <w:color w:val="000000"/>
                <w:sz w:val="22"/>
                <w:szCs w:val="22"/>
              </w:rPr>
              <w:t>իրագործումը</w:t>
            </w:r>
            <w:r>
              <w:rPr>
                <w:rFonts w:ascii="GHEA Grapalat" w:eastAsia="GHEA Grapalat" w:hAnsi="GHEA Grapalat" w:cs="GHEA Grapalat"/>
                <w:color w:val="000000"/>
                <w:sz w:val="22"/>
                <w:szCs w:val="22"/>
              </w:rPr>
              <w:t xml:space="preserve">: Բացի այդ, Արդարադատության նախարարության կողմից Հունգարիայի և Լեհաստանի փորձը երբևէ չի վկայակոչվել կամ որակվել որպես լավագույն միջազգային փորձ, այլ բերվել է որպես օրինակ՝ մատնանշելով, թե որն է այդ երկրներում կիրառված կառուցակարգի և Նախագծով առաջարկվող կարգավորման միջև էական տարբերությունը, այն է՝ վերջինիս կամավոր բնույթը: Տարբեր երկրներում դատավորների՝ իրենց պաշտոնավարման տարիքը լրանալուց առաջ կամավոր հիմունքներով հրաժարական տալիս նախատեսվել են տարբեր սոցիալական երաշխիքներ՝ ելնելով այդ երկրների առջև դրված խնդիրներից և դրանց սոցիալական և իրավական քաղաքականությունից: Սահմանադրական դատարանի </w:t>
            </w:r>
            <w:r>
              <w:rPr>
                <w:rFonts w:ascii="GHEA Grapalat" w:eastAsia="GHEA Grapalat" w:hAnsi="GHEA Grapalat" w:cs="GHEA Grapalat"/>
                <w:color w:val="000000"/>
                <w:sz w:val="22"/>
                <w:szCs w:val="22"/>
              </w:rPr>
              <w:lastRenderedPageBreak/>
              <w:t xml:space="preserve">դատավորներն անկախ տարիքից հրաժարական ներկայացնելու դեպքում վաղ կենսաթոշակի անցնելու իրավունք ունեն նաև գործող «Սահմանադրական դատարանի մասին» սահմանադրական օրենքով, որի 88-րդ հոդվածի 4-րդ մասի համաձայն. «4. Սահմանադրության 213-րդ հոդվածով նախատեսված՝ մինչև Սահմանադրության 7-րդ գլխի ուժի մեջ մտնելը նշանակված Սահմանադրական դատարանի անդամի և սույն օրենքն ուժի մեջ մտնելուց հետո Սահմանադրական դատարանի դատավորի պաշտոնն առնվազն տասներկու տարի զբաղեցրած անձին նրա լիազորությունները հրաժարականի դիմում տալու միջոցով դադարելու դեպքում, անկախ նրա` օրենքով նախատեսված կենսաթոշակային տարիքը լրացած լինելու հանգամանքից, եթե պահպանվել </w:t>
            </w:r>
            <w:r>
              <w:rPr>
                <w:rFonts w:ascii="GHEA Grapalat" w:eastAsia="GHEA Grapalat" w:hAnsi="GHEA Grapalat" w:cs="GHEA Grapalat"/>
                <w:color w:val="000000"/>
                <w:sz w:val="22"/>
                <w:szCs w:val="22"/>
              </w:rPr>
              <w:lastRenderedPageBreak/>
              <w:t xml:space="preserve">են սույն օրենքի 10-րդ հոդվածի 2-րդ մասով նախատեսված պահանջները, և 12-րդ հոդվածի 2-րդ մասի 4-րդ կետով նախատեսված հիմքերով, Սահմանադրությամբ նախատեսված պաշտոնավարման առավելագույն տարիքը լրանալու, ինչպես նաև դատարանի` օրինական ուժի մեջ մտած վճռով անգործունակ ճանաչվելու հիմքով լիազորությունները դադարելու կամ դադարեցվելու դեպքում «Պետական պաշտոններ զբաղեցրած անձանց սոցիալական երաշխիքների մասին» Հայաստանի Հանրապետության օրենքով սահմանված կարգով և չափով նշանակվում է կենսաթոշակ:»: Իսկ նույն օրենքի 10-րդ հոդվածի 2-րդ մասի վերաբերելի կարգավորումը նախատեսում է, որ Սահմանադրական դատարանի դատավորի կենսաթոշակ ստանալու </w:t>
            </w:r>
            <w:r>
              <w:rPr>
                <w:rFonts w:ascii="GHEA Grapalat" w:eastAsia="GHEA Grapalat" w:hAnsi="GHEA Grapalat" w:cs="GHEA Grapalat"/>
                <w:color w:val="000000"/>
                <w:sz w:val="22"/>
                <w:szCs w:val="22"/>
              </w:rPr>
              <w:lastRenderedPageBreak/>
              <w:t xml:space="preserve">իրավունքը չի կարող դադարեցվել այլ աշխատանք կատարելու դեպքում, բացառությամբ հանրային ծառայության անցնելու դեպքերի: Այլ կերպ ասած, «Սահմանադրական դատարանի մասին» Հայաստանի Հանրապետության սահմանադրական օրենքում փոփոխություններ և լրացումներ կատարելու մասին» օրենքի նախագծով առաջարկվող կարգավորման տարբերությունը արդեն գոյություն ունեցող կարգավորումից հիմնականում այն է, որ նախագիծը չի նախատեսում Սահմանադրական դատարանի դատավորի պաշտոնը զբաղեցնելու ժամանակահատվածի վերաբերյալ պահանջ, ինչն էլ պայմանավորված է նախագծերի փաթեթի հիմնավորման մեջ ներկայացված՝ ստեղծված սահմանադրաիրավական խնդիրը լուծելու անհրաժեշտությամբ:  </w:t>
            </w:r>
            <w:r>
              <w:rPr>
                <w:rFonts w:ascii="GHEA Grapalat" w:eastAsia="GHEA Grapalat" w:hAnsi="GHEA Grapalat" w:cs="GHEA Grapalat"/>
                <w:color w:val="000000"/>
                <w:sz w:val="22"/>
                <w:szCs w:val="22"/>
              </w:rPr>
              <w:lastRenderedPageBreak/>
              <w:t xml:space="preserve">Անկախ տարիքից հրաժարական ներկայացնելիս դրամական ապահովման իրավունք նախատեսված է մի շարք երկրներում: Մասնավորապես,  Ռուսաստանի Դաշնությունում («Ռուսաստանի Դաշնությունում դատավորների կարգավիճակի մասին» օրենքի  15-րդ հոդված), Ուկրաինայում («Դատական իշխանության և դատավորների կարգավիճակի մասին» օրենքի  142-րդ հոդված): Ավելին, համաձայն վկայակոչված օրենքի եզրափակիչ և անցումային դրույթների 25-րդ կետի՝ դատավորը, ով որակավորման գնահատման արդյունքում հաստատել է իր համապատասխանությունը զբաղեցրած պաշտոնին կամ դատավոր է նշանակվել օրենքի ուժի մեջ մտնելուց հետո անցկացված քննության արդյունքում և որպես դատավոր աշխատել է երեք տարի, ցմահ </w:t>
            </w:r>
            <w:r>
              <w:rPr>
                <w:rFonts w:ascii="GHEA Grapalat" w:eastAsia="GHEA Grapalat" w:hAnsi="GHEA Grapalat" w:cs="GHEA Grapalat"/>
                <w:color w:val="000000"/>
                <w:sz w:val="22"/>
                <w:szCs w:val="22"/>
              </w:rPr>
              <w:lastRenderedPageBreak/>
              <w:t xml:space="preserve">դրամական ապահովման իրավունք է ձեռքբերում օրենքով սահմանված չափով: Իսկ մյուս դեպքերում օրենքի ուժի մեջ մտնելուց հետո կենսաթոշակի անցած դատավորն իրավունք է ձեռքբերում ստանալու դատավորի վարձատրության 80%-ի չափով ցմահ դրամական ապահովում:   Դատական ծառայության՝ քսան տարին գերազանցող յուրաքանչյուր տարվա դիմաց նպաստը պետք է ավելանա 2 տոկոսով, սակայն այն չպետք է գերազանցի դատավորի վարձատրության 90 %-ը: Այս կարգավորումն ընդունվելուց հետո հրաժարականի դիմում է ներկայացրել 3000 դատավոր (որոնք կազմում էին Ուկրաինայի դատավորների 30%-ը)` առանց սպասելու որակավորման գնահատմանը:   Վրաստանում դատական համակարգի փոփոխությունների համատեքստում կարգավորում է </w:t>
            </w:r>
            <w:r>
              <w:rPr>
                <w:rFonts w:ascii="GHEA Grapalat" w:eastAsia="GHEA Grapalat" w:hAnsi="GHEA Grapalat" w:cs="GHEA Grapalat"/>
                <w:color w:val="000000"/>
                <w:sz w:val="22"/>
                <w:szCs w:val="22"/>
              </w:rPr>
              <w:lastRenderedPageBreak/>
              <w:t xml:space="preserve">նախատեսվել, որը հնարավորություն է տվել 2005 թվականի հունվարի 1-ից 2006 թվականի հունվարի 1-ը Վճռաբեկ դատարանի դատավորներին՝ այդ պաշտոնում 3 տարվա ստաժ ունենալու և Սահմանադրական դատարանի դատավորներին՝ այդ պաշտոնում 5 տարվա ստաժ ունենալու դեպքում հրաժարական ներկայացնելիս ցմահ ստանալ իրենց հրաժարականի պահին ունեցած աշխատավարձի չափով դրամական ապահովում՝ անկախ տարիքից: Անդրադառնալով «անաշխատ եկամուտ» որակմանը՝ պետք է ընդգծել, որ խոսքը վերաբերում է ոչ թե չվաստակած եկամուտին, այլ դատավորի դերով և առանձնահատուկ կարգավիճակով պայմանավորված՝ պետության կողմից տրամադրվող դրամական ապահովմանը: Ավելին, Վենետիկի հանձնաժողովը, </w:t>
            </w:r>
            <w:r>
              <w:rPr>
                <w:rFonts w:ascii="GHEA Grapalat" w:eastAsia="GHEA Grapalat" w:hAnsi="GHEA Grapalat" w:cs="GHEA Grapalat"/>
                <w:color w:val="000000"/>
                <w:sz w:val="22"/>
                <w:szCs w:val="22"/>
              </w:rPr>
              <w:lastRenderedPageBreak/>
              <w:t>Նախագծերի փաթեթի վերաբերյալ իր կարծիքում ընդգծել է, որ քանի դեռ վաղ կենսաթոշակի առաջարկվող մոդելը հիմնված է կամավորության սկզբունքի վրա, բացառում է դատավորի նկատմամբ ճնշումը և միտված չէ քննվող գործերի ելքի վրա ազդելուն, մոդելը չի հակասում որևէ հայտնի չափանիշի:</w:t>
            </w:r>
            <w:r w:rsidR="006859C9">
              <w:rPr>
                <w:rStyle w:val="FootnoteReference"/>
                <w:rFonts w:ascii="GHEA Grapalat" w:eastAsia="GHEA Grapalat" w:hAnsi="GHEA Grapalat" w:cs="GHEA Grapalat"/>
                <w:color w:val="000000"/>
                <w:sz w:val="22"/>
                <w:szCs w:val="22"/>
              </w:rPr>
              <w:footnoteReference w:id="2"/>
            </w:r>
          </w:p>
        </w:tc>
      </w:tr>
      <w:tr w:rsidR="00813262" w:rsidTr="00DD7B74">
        <w:tc>
          <w:tcPr>
            <w:tcW w:w="290" w:type="dxa"/>
            <w:tcBorders>
              <w:top w:val="single" w:sz="1" w:space="0" w:color="000000"/>
              <w:left w:val="single" w:sz="1" w:space="0" w:color="000000"/>
              <w:bottom w:val="single" w:sz="1" w:space="0" w:color="000000"/>
              <w:right w:val="single" w:sz="1" w:space="0" w:color="000000"/>
            </w:tcBorders>
          </w:tcPr>
          <w:p w:rsidR="00813262" w:rsidRDefault="00B70B9B">
            <w:pPr>
              <w:jc w:val="center"/>
            </w:pPr>
            <w:r>
              <w:rPr>
                <w:rFonts w:ascii="GHEA Grapalat" w:eastAsia="GHEA Grapalat" w:hAnsi="GHEA Grapalat" w:cs="GHEA Grapalat"/>
                <w:color w:val="000000"/>
                <w:sz w:val="22"/>
                <w:szCs w:val="22"/>
              </w:rPr>
              <w:lastRenderedPageBreak/>
              <w:t>3.</w:t>
            </w:r>
          </w:p>
        </w:tc>
        <w:tc>
          <w:tcPr>
            <w:tcW w:w="1852" w:type="dxa"/>
            <w:tcBorders>
              <w:top w:val="single" w:sz="1" w:space="0" w:color="000000"/>
              <w:left w:val="single" w:sz="1" w:space="0" w:color="000000"/>
              <w:bottom w:val="single" w:sz="1" w:space="0" w:color="000000"/>
              <w:right w:val="single" w:sz="1" w:space="0" w:color="000000"/>
            </w:tcBorders>
          </w:tcPr>
          <w:p w:rsidR="00813262" w:rsidRDefault="00C51046">
            <w:pPr>
              <w:jc w:val="center"/>
            </w:pPr>
            <w:r>
              <w:rPr>
                <w:rFonts w:ascii="GHEA Grapalat" w:eastAsia="GHEA Grapalat" w:hAnsi="GHEA Grapalat" w:cs="GHEA Grapalat"/>
                <w:color w:val="000000"/>
                <w:sz w:val="22"/>
                <w:szCs w:val="22"/>
              </w:rPr>
              <w:t>Թրանսփարենսի Ինթերնեշնլ հակակոռուպցիոն կենտրոն</w:t>
            </w:r>
          </w:p>
          <w:p w:rsidR="00813262" w:rsidRDefault="00C51046">
            <w:pPr>
              <w:jc w:val="center"/>
            </w:pPr>
            <w:r>
              <w:rPr>
                <w:rFonts w:ascii="GHEA Grapalat" w:eastAsia="GHEA Grapalat" w:hAnsi="GHEA Grapalat" w:cs="GHEA Grapalat"/>
                <w:color w:val="000000"/>
                <w:sz w:val="22"/>
                <w:szCs w:val="22"/>
              </w:rPr>
              <w:t>26.08.2019 17:19:51</w:t>
            </w:r>
          </w:p>
        </w:tc>
        <w:tc>
          <w:tcPr>
            <w:tcW w:w="6527" w:type="dxa"/>
            <w:tcBorders>
              <w:top w:val="single" w:sz="1" w:space="0" w:color="000000"/>
              <w:left w:val="single" w:sz="1" w:space="0" w:color="000000"/>
              <w:bottom w:val="single" w:sz="1" w:space="0" w:color="000000"/>
              <w:right w:val="single" w:sz="1" w:space="0" w:color="000000"/>
            </w:tcBorders>
          </w:tcPr>
          <w:p w:rsidR="00813262" w:rsidRDefault="00C51046">
            <w:pPr>
              <w:jc w:val="center"/>
            </w:pPr>
            <w:r>
              <w:rPr>
                <w:rFonts w:ascii="GHEA Grapalat" w:eastAsia="GHEA Grapalat" w:hAnsi="GHEA Grapalat" w:cs="GHEA Grapalat"/>
                <w:color w:val="000000"/>
                <w:sz w:val="22"/>
                <w:szCs w:val="22"/>
              </w:rPr>
              <w:t xml:space="preserve">  «Սահմանադրական դատարանի մասին»  սահմանադրական օրենքի մասով  Հաջորդ հիմնարար խնդիրը վերաբերում է «Սահմանադրական դատարանի մասին»  սահմանադրական օրենքում առաջարկվող փոփոխություններին, մասնավորապես՝ նախագծի 7-րդ հոդվածով կարգավորվող հարաբերություններին առ այն, որ 2019թ․ օգոստոսի 1-ից մինչև հոկտեմբերի 31-ը հրաժարական ներկայացրած ՍԴ դատավորի նկատմամբ անկախ տարիքից կպահպանվի իր հրաժարականի պահին ունեցած աշխատավարձը՝ հավելավճարներով և այլ սոցիալական երաշխիքներով։ Թեև նշված իրավակարգավորումը որոշակիորեն հնարավորություն է տալիս հաղթահարել ՍԴ շուրջ ներկայումս առաջացած իրավական ճգնաժամը՝ հարկ է գիտակցել, որ այն կարող է արդար </w:t>
            </w:r>
            <w:r>
              <w:rPr>
                <w:rFonts w:ascii="GHEA Grapalat" w:eastAsia="GHEA Grapalat" w:hAnsi="GHEA Grapalat" w:cs="GHEA Grapalat"/>
                <w:color w:val="000000"/>
                <w:sz w:val="22"/>
                <w:szCs w:val="22"/>
              </w:rPr>
              <w:lastRenderedPageBreak/>
              <w:t>չընկալվել հարկատուների վճարած միջոցները անաշխատ ծախսելու առումով, և համարվել, որ հակասում է  իրավունքի հիմնարար սկզբունքներից իրավահավասարությանը՝ բացառություն նախատեսելով միայն ՍԴ դատավորների համար։  Առաջարկ․ ՍԴ շուրջ առաջացած ճգնաժամը նախագծով առաջարկվող տարբերակով չլուծվելու պարագայում անհրաժեշտ է այն հանգուցալուծել ՍԴ դատավորների զտման (վեթինգի) գործընթացի միջոցով՝ կիրառելով գույքային, մասնագիտական բաղադրիչները։ Այս մոտեցումը չի կարող դիտարկվել որպես իրավահավասարության սկզբունքի խախտում, քանի որ այս գործընթացի իրավակարգավորումները նախատեսված են դատական համակարգի մյուս ներկայացուցիչների համար։  Եզրակացություն Վերոնշյալ հանգամանքներով պայմանավորված՝ անհրաժեշտ ենք համարում համապարփակ և ընդգրկուն մասնակցային քննարկումների արդյունքում ձևավորել դատական իշխանության բարեփոխումների հայեցակարգային օրակարգ և առաջնորդվել պետականաշինության տեսանկյունից հեռահար և ողջամիտ նպատակներով և ծրագրերով։  Թրանսփարենսի Ինթերնեշնլ հակակոռուպցիոն կենտրոն</w:t>
            </w:r>
          </w:p>
        </w:tc>
        <w:tc>
          <w:tcPr>
            <w:tcW w:w="1723" w:type="dxa"/>
            <w:tcBorders>
              <w:top w:val="single" w:sz="1" w:space="0" w:color="000000"/>
              <w:left w:val="single" w:sz="1" w:space="0" w:color="000000"/>
              <w:bottom w:val="single" w:sz="1" w:space="0" w:color="000000"/>
              <w:right w:val="single" w:sz="1" w:space="0" w:color="000000"/>
            </w:tcBorders>
          </w:tcPr>
          <w:p w:rsidR="00813262" w:rsidRDefault="006859C9">
            <w:pPr>
              <w:jc w:val="center"/>
            </w:pPr>
            <w:r>
              <w:rPr>
                <w:rFonts w:ascii="GHEA Grapalat" w:eastAsia="GHEA Grapalat" w:hAnsi="GHEA Grapalat" w:cs="GHEA Grapalat"/>
                <w:color w:val="000000"/>
                <w:sz w:val="22"/>
                <w:szCs w:val="22"/>
              </w:rPr>
              <w:lastRenderedPageBreak/>
              <w:t>Չի ընդունվել:</w:t>
            </w:r>
          </w:p>
        </w:tc>
        <w:tc>
          <w:tcPr>
            <w:tcW w:w="3535" w:type="dxa"/>
            <w:tcBorders>
              <w:top w:val="single" w:sz="1" w:space="0" w:color="000000"/>
              <w:left w:val="single" w:sz="1" w:space="0" w:color="000000"/>
              <w:bottom w:val="single" w:sz="1" w:space="0" w:color="000000"/>
              <w:right w:val="single" w:sz="1" w:space="0" w:color="000000"/>
            </w:tcBorders>
          </w:tcPr>
          <w:p w:rsidR="00813262" w:rsidRDefault="006859C9">
            <w:pPr>
              <w:jc w:val="center"/>
            </w:pPr>
            <w:r>
              <w:rPr>
                <w:rFonts w:ascii="GHEA Grapalat" w:eastAsia="GHEA Grapalat" w:hAnsi="GHEA Grapalat" w:cs="GHEA Grapalat"/>
                <w:color w:val="000000"/>
                <w:sz w:val="22"/>
                <w:szCs w:val="22"/>
              </w:rPr>
              <w:t>Տե՛ս նախորդ կետերը:</w:t>
            </w:r>
          </w:p>
        </w:tc>
      </w:tr>
      <w:tr w:rsidR="00B70B9B" w:rsidTr="00DD7B74">
        <w:tc>
          <w:tcPr>
            <w:tcW w:w="290" w:type="dxa"/>
            <w:tcBorders>
              <w:top w:val="single" w:sz="1" w:space="0" w:color="000000"/>
              <w:left w:val="single" w:sz="1" w:space="0" w:color="000000"/>
              <w:bottom w:val="single" w:sz="1" w:space="0" w:color="000000"/>
              <w:right w:val="single" w:sz="1" w:space="0" w:color="000000"/>
            </w:tcBorders>
          </w:tcPr>
          <w:p w:rsidR="00B70B9B" w:rsidRDefault="00B70B9B">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4.</w:t>
            </w:r>
          </w:p>
        </w:tc>
        <w:tc>
          <w:tcPr>
            <w:tcW w:w="1852" w:type="dxa"/>
            <w:tcBorders>
              <w:top w:val="single" w:sz="1" w:space="0" w:color="000000"/>
              <w:left w:val="single" w:sz="1" w:space="0" w:color="000000"/>
              <w:bottom w:val="single" w:sz="1" w:space="0" w:color="000000"/>
              <w:right w:val="single" w:sz="1" w:space="0" w:color="000000"/>
            </w:tcBorders>
          </w:tcPr>
          <w:p w:rsidR="00B70B9B" w:rsidRDefault="00B70B9B" w:rsidP="00B70B9B">
            <w:pPr>
              <w:jc w:val="center"/>
            </w:pPr>
            <w:r>
              <w:rPr>
                <w:rFonts w:ascii="GHEA Grapalat" w:eastAsia="GHEA Grapalat" w:hAnsi="GHEA Grapalat" w:cs="GHEA Grapalat"/>
                <w:color w:val="000000"/>
                <w:sz w:val="22"/>
                <w:szCs w:val="22"/>
              </w:rPr>
              <w:t>Իրավաբանների հայկական ասոցիացիա</w:t>
            </w:r>
          </w:p>
          <w:p w:rsidR="00B70B9B" w:rsidRDefault="00B70B9B" w:rsidP="00B70B9B">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 xml:space="preserve">26.08.2019 </w:t>
            </w:r>
            <w:r>
              <w:rPr>
                <w:rFonts w:ascii="GHEA Grapalat" w:eastAsia="GHEA Grapalat" w:hAnsi="GHEA Grapalat" w:cs="GHEA Grapalat"/>
                <w:color w:val="000000"/>
                <w:sz w:val="22"/>
                <w:szCs w:val="22"/>
              </w:rPr>
              <w:lastRenderedPageBreak/>
              <w:t>22:26:12</w:t>
            </w:r>
          </w:p>
        </w:tc>
        <w:tc>
          <w:tcPr>
            <w:tcW w:w="6527" w:type="dxa"/>
            <w:tcBorders>
              <w:top w:val="single" w:sz="1" w:space="0" w:color="000000"/>
              <w:left w:val="single" w:sz="1" w:space="0" w:color="000000"/>
              <w:bottom w:val="single" w:sz="1" w:space="0" w:color="000000"/>
              <w:right w:val="single" w:sz="1" w:space="0" w:color="000000"/>
            </w:tcBorders>
          </w:tcPr>
          <w:p w:rsidR="00B70B9B" w:rsidRDefault="00B70B9B">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 xml:space="preserve">«Սահմանադրական դատարանի մասին» ՀՀ սահմանադրական օրենքում փոփոխություններ և լրացումներ կատարելու մասին» ՀՀ օրենքի նախագիծ: 1. Օրենքի 7-րդ հոդվածով առաջարկվող փոփոխությունը խիստ վիճահարույց է: Այն, ըստ էության, </w:t>
            </w:r>
            <w:r>
              <w:rPr>
                <w:rFonts w:ascii="GHEA Grapalat" w:eastAsia="GHEA Grapalat" w:hAnsi="GHEA Grapalat" w:cs="GHEA Grapalat"/>
                <w:color w:val="000000"/>
                <w:sz w:val="22"/>
                <w:szCs w:val="22"/>
              </w:rPr>
              <w:lastRenderedPageBreak/>
              <w:t>հիմքեր է ձևավորում չկատարված աշխատանքային պարտականությունների դիմաց ստանալու աշխատավարձ և օգտվելու սոցիալական բոլոր երաշխիքներից, ինչը որևէ կերպ հիմնավորված չէ: Ակնհայտ է, որ անհրաժեշտ է ձևավորել օրենսդրական հիմքեր Սահմանադրական դատարանի ՀՀ Սահմանադրությամբ սահմանված կառուցակարգի կյանքի կոչման համար, բայց ընտրված լուծումը դրա համար մեղմ ասած, ամենահաջող գործիքը չէ: Այն առերևույթ առաջացնում է սահմանադրականության հետ կապված խնդիրներ ևս: Հետևապես, անհրաժեշտ է Սահմանադրական դատարանի կազմավորման ՀՀ Սահմանադրությամբ սահմանված կառուցակարգը կյանքի կոչել իրավունքի տեսության համար ընկալելի գործիքակազմի կիրառմամբ:</w:t>
            </w:r>
          </w:p>
        </w:tc>
        <w:tc>
          <w:tcPr>
            <w:tcW w:w="1723" w:type="dxa"/>
            <w:tcBorders>
              <w:top w:val="single" w:sz="1" w:space="0" w:color="000000"/>
              <w:left w:val="single" w:sz="1" w:space="0" w:color="000000"/>
              <w:bottom w:val="single" w:sz="1" w:space="0" w:color="000000"/>
              <w:right w:val="single" w:sz="1" w:space="0" w:color="000000"/>
            </w:tcBorders>
          </w:tcPr>
          <w:p w:rsidR="00B70B9B" w:rsidRDefault="00B70B9B">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Չի ընդունվել:</w:t>
            </w:r>
          </w:p>
        </w:tc>
        <w:tc>
          <w:tcPr>
            <w:tcW w:w="3535" w:type="dxa"/>
            <w:tcBorders>
              <w:top w:val="single" w:sz="1" w:space="0" w:color="000000"/>
              <w:left w:val="single" w:sz="1" w:space="0" w:color="000000"/>
              <w:bottom w:val="single" w:sz="1" w:space="0" w:color="000000"/>
              <w:right w:val="single" w:sz="1" w:space="0" w:color="000000"/>
            </w:tcBorders>
          </w:tcPr>
          <w:p w:rsidR="00B70B9B" w:rsidRDefault="00B70B9B">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t>Տե՛ս նախորդ կետերը:</w:t>
            </w:r>
          </w:p>
        </w:tc>
      </w:tr>
      <w:tr w:rsidR="00813262" w:rsidTr="00DD7B74">
        <w:tc>
          <w:tcPr>
            <w:tcW w:w="290" w:type="dxa"/>
            <w:tcBorders>
              <w:top w:val="single" w:sz="1" w:space="0" w:color="000000"/>
              <w:left w:val="single" w:sz="1" w:space="0" w:color="000000"/>
              <w:bottom w:val="single" w:sz="1" w:space="0" w:color="000000"/>
              <w:right w:val="single" w:sz="1" w:space="0" w:color="000000"/>
            </w:tcBorders>
          </w:tcPr>
          <w:p w:rsidR="00813262" w:rsidRDefault="00B70B9B">
            <w:pPr>
              <w:jc w:val="center"/>
            </w:pPr>
            <w:r>
              <w:rPr>
                <w:rFonts w:ascii="GHEA Grapalat" w:eastAsia="GHEA Grapalat" w:hAnsi="GHEA Grapalat" w:cs="GHEA Grapalat"/>
                <w:color w:val="000000"/>
                <w:sz w:val="22"/>
                <w:szCs w:val="22"/>
              </w:rPr>
              <w:lastRenderedPageBreak/>
              <w:t>5.</w:t>
            </w:r>
          </w:p>
        </w:tc>
        <w:tc>
          <w:tcPr>
            <w:tcW w:w="1852" w:type="dxa"/>
            <w:tcBorders>
              <w:top w:val="single" w:sz="1" w:space="0" w:color="000000"/>
              <w:left w:val="single" w:sz="1" w:space="0" w:color="000000"/>
              <w:bottom w:val="single" w:sz="1" w:space="0" w:color="000000"/>
              <w:right w:val="single" w:sz="1" w:space="0" w:color="000000"/>
            </w:tcBorders>
          </w:tcPr>
          <w:p w:rsidR="00813262" w:rsidRDefault="00C51046">
            <w:pPr>
              <w:jc w:val="center"/>
            </w:pPr>
            <w:r>
              <w:rPr>
                <w:rFonts w:ascii="GHEA Grapalat" w:eastAsia="GHEA Grapalat" w:hAnsi="GHEA Grapalat" w:cs="GHEA Grapalat"/>
                <w:color w:val="000000"/>
                <w:sz w:val="22"/>
                <w:szCs w:val="22"/>
              </w:rPr>
              <w:t>Հայկ Ափրիկյան</w:t>
            </w:r>
          </w:p>
          <w:p w:rsidR="00813262" w:rsidRDefault="00C51046">
            <w:pPr>
              <w:jc w:val="center"/>
            </w:pPr>
            <w:r>
              <w:rPr>
                <w:rFonts w:ascii="GHEA Grapalat" w:eastAsia="GHEA Grapalat" w:hAnsi="GHEA Grapalat" w:cs="GHEA Grapalat"/>
                <w:color w:val="000000"/>
                <w:sz w:val="22"/>
                <w:szCs w:val="22"/>
              </w:rPr>
              <w:t>16.08.2019 19:40:52</w:t>
            </w:r>
          </w:p>
        </w:tc>
        <w:tc>
          <w:tcPr>
            <w:tcW w:w="6527" w:type="dxa"/>
            <w:tcBorders>
              <w:top w:val="single" w:sz="1" w:space="0" w:color="000000"/>
              <w:left w:val="single" w:sz="1" w:space="0" w:color="000000"/>
              <w:bottom w:val="single" w:sz="1" w:space="0" w:color="000000"/>
              <w:right w:val="single" w:sz="1" w:space="0" w:color="000000"/>
            </w:tcBorders>
          </w:tcPr>
          <w:p w:rsidR="00813262" w:rsidRDefault="00C51046">
            <w:pPr>
              <w:jc w:val="center"/>
            </w:pPr>
            <w:r>
              <w:rPr>
                <w:rFonts w:ascii="GHEA Grapalat" w:eastAsia="GHEA Grapalat" w:hAnsi="GHEA Grapalat" w:cs="GHEA Grapalat"/>
                <w:color w:val="000000"/>
                <w:sz w:val="22"/>
                <w:szCs w:val="22"/>
              </w:rPr>
              <w:t>«Առաջարկվող փաթեթով Սահմանադրական դատարանի դատավորներին հնարավորություն է տրվում անկախ տարիքից հրաժարական ներկայացնելու դեպքում մինչև պաշտոնավարման տարիքը լրանալն օգտվել հրաժարականի պահին իրենց ունեցած աշխատավարձից և այլ սոցիալական երաշխիքներից, իսկ պաշտոնավարման տարիքը լրանալուց հետո դատավորի համար օրենքով նախատեսված կենսաթոշակից</w:t>
            </w:r>
            <w:r w:rsidR="00814814">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Նախ պետք է հստակեցնել դատավոր/անդամ տարբերությունը։ Արդյո՞ք ՍԴ 7 անդամները համարվում են դատավորներ։ Եթե այո՝ ո՞ր օրենսդրական ակտի համաձայն, եթե ոչ՝ արժի՞ մյուս երկու հոգու համար օրենք փոխել։ Բացի այդ, եթե շուտով նախատեսվում են սահմանադրական </w:t>
            </w:r>
            <w:r>
              <w:rPr>
                <w:rFonts w:ascii="GHEA Grapalat" w:eastAsia="GHEA Grapalat" w:hAnsi="GHEA Grapalat" w:cs="GHEA Grapalat"/>
                <w:color w:val="000000"/>
                <w:sz w:val="22"/>
                <w:szCs w:val="22"/>
              </w:rPr>
              <w:lastRenderedPageBreak/>
              <w:t>բարեփոխումներ, ավելորդ չէ՞ մի քանի ամիս առաջ օրենք մշակել, որով ՍԴ անդամները կարող են հեռանալ նախքան փոփոխությունները։ Ու որ ամենակարևորն է՝ ինչո՞ւ պիտի 7 ձրիակեր մեր հաշվին մինչև պաշտոնավարման տարիքի ավարտը անիմաստ միլիոններ ստանան։ Եթե Արդարադատության նախարարությունում բյուջեի ավելցուկ կա այնքան, որ 7 ձրիակերի միջև բաշխվի, ապա նախարարությունը ճիշտ կանի՝ այդ միջոցներն ուղղի, օրինակ, դատարանների գույքային վիճակների բարելավմանը։</w:t>
            </w:r>
          </w:p>
        </w:tc>
        <w:tc>
          <w:tcPr>
            <w:tcW w:w="1723" w:type="dxa"/>
            <w:tcBorders>
              <w:top w:val="single" w:sz="1" w:space="0" w:color="000000"/>
              <w:left w:val="single" w:sz="1" w:space="0" w:color="000000"/>
              <w:bottom w:val="single" w:sz="1" w:space="0" w:color="000000"/>
              <w:right w:val="single" w:sz="1" w:space="0" w:color="000000"/>
            </w:tcBorders>
          </w:tcPr>
          <w:p w:rsidR="00813262" w:rsidRDefault="00C51046">
            <w:pPr>
              <w:jc w:val="center"/>
            </w:pPr>
            <w:r>
              <w:rPr>
                <w:rFonts w:ascii="GHEA Grapalat" w:eastAsia="GHEA Grapalat" w:hAnsi="GHEA Grapalat" w:cs="GHEA Grapalat"/>
                <w:color w:val="000000"/>
                <w:sz w:val="22"/>
                <w:szCs w:val="22"/>
              </w:rPr>
              <w:lastRenderedPageBreak/>
              <w:t>Չի ընդունվել:</w:t>
            </w:r>
          </w:p>
        </w:tc>
        <w:tc>
          <w:tcPr>
            <w:tcW w:w="3535" w:type="dxa"/>
            <w:tcBorders>
              <w:top w:val="single" w:sz="1" w:space="0" w:color="000000"/>
              <w:left w:val="single" w:sz="1" w:space="0" w:color="000000"/>
              <w:bottom w:val="single" w:sz="1" w:space="0" w:color="000000"/>
              <w:right w:val="single" w:sz="1" w:space="0" w:color="000000"/>
            </w:tcBorders>
          </w:tcPr>
          <w:p w:rsidR="00813262" w:rsidRDefault="00C51046" w:rsidP="007D5C91">
            <w:pPr>
              <w:jc w:val="center"/>
            </w:pPr>
            <w:r>
              <w:rPr>
                <w:rFonts w:ascii="GHEA Grapalat" w:eastAsia="GHEA Grapalat" w:hAnsi="GHEA Grapalat" w:cs="GHEA Grapalat"/>
                <w:color w:val="000000"/>
                <w:sz w:val="22"/>
                <w:szCs w:val="22"/>
              </w:rPr>
              <w:t xml:space="preserve">Հաշվի առնելով առաջիկա սահմանադրական փոփոխությունների հնարավորությունը՝ առաջարկվող կարգավորումը միտված է հենց 2015 թվականի սահմանադրական փոփոխություններով ամրագրված՝ սահմանադրական դատարանի կազմավորման կարգի կենսագործմանը, քանի որ նոր փոփոխություններից հետո այդ կարգը կարող է այդպես էլ կյանքի </w:t>
            </w:r>
            <w:r>
              <w:rPr>
                <w:rFonts w:ascii="GHEA Grapalat" w:eastAsia="GHEA Grapalat" w:hAnsi="GHEA Grapalat" w:cs="GHEA Grapalat"/>
                <w:color w:val="000000"/>
                <w:sz w:val="22"/>
                <w:szCs w:val="22"/>
              </w:rPr>
              <w:lastRenderedPageBreak/>
              <w:t xml:space="preserve">չկոչվել: Միաժամանակ, առաջարկվող կարգավորումը </w:t>
            </w:r>
            <w:r w:rsidR="00EB4A0F">
              <w:rPr>
                <w:rFonts w:ascii="GHEA Grapalat" w:eastAsia="GHEA Grapalat" w:hAnsi="GHEA Grapalat" w:cs="GHEA Grapalat"/>
                <w:color w:val="000000"/>
                <w:sz w:val="22"/>
                <w:szCs w:val="22"/>
              </w:rPr>
              <w:t xml:space="preserve">տարածվում է միայն </w:t>
            </w:r>
            <w:r w:rsidR="00EB4A0F" w:rsidRPr="004B7F9D">
              <w:rPr>
                <w:rFonts w:ascii="GHEA Grapalat" w:hAnsi="GHEA Grapalat" w:cs="Sylfaen"/>
                <w:sz w:val="24"/>
                <w:szCs w:val="24"/>
                <w:lang w:val="hy-AM"/>
              </w:rPr>
              <w:t>Սահմանադրության</w:t>
            </w:r>
            <w:r w:rsidR="00EB4A0F" w:rsidRPr="004B7F9D">
              <w:rPr>
                <w:rFonts w:ascii="GHEA Grapalat" w:hAnsi="GHEA Grapalat"/>
                <w:sz w:val="24"/>
                <w:szCs w:val="24"/>
                <w:lang w:val="hy-AM"/>
              </w:rPr>
              <w:t xml:space="preserve"> 213-</w:t>
            </w:r>
            <w:r w:rsidR="00EB4A0F" w:rsidRPr="004B7F9D">
              <w:rPr>
                <w:rFonts w:ascii="GHEA Grapalat" w:hAnsi="GHEA Grapalat" w:cs="Sylfaen"/>
                <w:sz w:val="24"/>
                <w:szCs w:val="24"/>
                <w:lang w:val="hy-AM"/>
              </w:rPr>
              <w:t>րդ</w:t>
            </w:r>
            <w:r w:rsidR="00EB4A0F" w:rsidRPr="004B7F9D">
              <w:rPr>
                <w:rFonts w:ascii="GHEA Grapalat" w:hAnsi="GHEA Grapalat"/>
                <w:sz w:val="24"/>
                <w:szCs w:val="24"/>
                <w:lang w:val="hy-AM"/>
              </w:rPr>
              <w:t xml:space="preserve"> </w:t>
            </w:r>
            <w:r w:rsidR="00EB4A0F" w:rsidRPr="004B7F9D">
              <w:rPr>
                <w:rFonts w:ascii="GHEA Grapalat" w:hAnsi="GHEA Grapalat" w:cs="Sylfaen"/>
                <w:sz w:val="24"/>
                <w:szCs w:val="24"/>
                <w:lang w:val="hy-AM"/>
              </w:rPr>
              <w:t>հոդվածով</w:t>
            </w:r>
            <w:r w:rsidR="00EB4A0F" w:rsidRPr="004B7F9D">
              <w:rPr>
                <w:rFonts w:ascii="GHEA Grapalat" w:hAnsi="GHEA Grapalat"/>
                <w:sz w:val="24"/>
                <w:szCs w:val="24"/>
                <w:lang w:val="hy-AM"/>
              </w:rPr>
              <w:t xml:space="preserve"> </w:t>
            </w:r>
            <w:r w:rsidR="00EB4A0F" w:rsidRPr="004B7F9D">
              <w:rPr>
                <w:rFonts w:ascii="GHEA Grapalat" w:hAnsi="GHEA Grapalat" w:cs="Sylfaen"/>
                <w:sz w:val="24"/>
                <w:szCs w:val="24"/>
                <w:lang w:val="hy-AM"/>
              </w:rPr>
              <w:t>նախատեսված՝</w:t>
            </w:r>
            <w:r w:rsidR="00EB4A0F" w:rsidRPr="004B7F9D">
              <w:rPr>
                <w:rFonts w:ascii="GHEA Grapalat" w:hAnsi="GHEA Grapalat"/>
                <w:sz w:val="24"/>
                <w:szCs w:val="24"/>
                <w:lang w:val="hy-AM"/>
              </w:rPr>
              <w:t xml:space="preserve"> </w:t>
            </w:r>
            <w:r w:rsidR="00EB4A0F" w:rsidRPr="004B7F9D">
              <w:rPr>
                <w:rFonts w:ascii="GHEA Grapalat" w:hAnsi="GHEA Grapalat" w:cs="Sylfaen"/>
                <w:sz w:val="24"/>
                <w:szCs w:val="24"/>
                <w:lang w:val="hy-AM"/>
              </w:rPr>
              <w:t>մինչև</w:t>
            </w:r>
            <w:r w:rsidR="00EB4A0F" w:rsidRPr="004B7F9D">
              <w:rPr>
                <w:rFonts w:ascii="GHEA Grapalat" w:hAnsi="GHEA Grapalat"/>
                <w:sz w:val="24"/>
                <w:szCs w:val="24"/>
                <w:lang w:val="hy-AM"/>
              </w:rPr>
              <w:t xml:space="preserve"> </w:t>
            </w:r>
            <w:r w:rsidR="00EB4A0F" w:rsidRPr="004B7F9D">
              <w:rPr>
                <w:rFonts w:ascii="GHEA Grapalat" w:hAnsi="GHEA Grapalat" w:cs="Sylfaen"/>
                <w:sz w:val="24"/>
                <w:szCs w:val="24"/>
                <w:lang w:val="hy-AM"/>
              </w:rPr>
              <w:t>Սահմանադրության</w:t>
            </w:r>
            <w:r w:rsidR="00EB4A0F" w:rsidRPr="004B7F9D">
              <w:rPr>
                <w:rFonts w:ascii="GHEA Grapalat" w:hAnsi="GHEA Grapalat"/>
                <w:sz w:val="24"/>
                <w:szCs w:val="24"/>
                <w:lang w:val="hy-AM"/>
              </w:rPr>
              <w:t xml:space="preserve"> 7-</w:t>
            </w:r>
            <w:r w:rsidR="00EB4A0F" w:rsidRPr="004B7F9D">
              <w:rPr>
                <w:rFonts w:ascii="GHEA Grapalat" w:hAnsi="GHEA Grapalat" w:cs="Sylfaen"/>
                <w:sz w:val="24"/>
                <w:szCs w:val="24"/>
                <w:lang w:val="hy-AM"/>
              </w:rPr>
              <w:t>րդ</w:t>
            </w:r>
            <w:r w:rsidR="00EB4A0F" w:rsidRPr="004B7F9D">
              <w:rPr>
                <w:rFonts w:ascii="GHEA Grapalat" w:hAnsi="GHEA Grapalat"/>
                <w:sz w:val="24"/>
                <w:szCs w:val="24"/>
                <w:lang w:val="hy-AM"/>
              </w:rPr>
              <w:t xml:space="preserve"> </w:t>
            </w:r>
            <w:r w:rsidR="00EB4A0F" w:rsidRPr="004B7F9D">
              <w:rPr>
                <w:rFonts w:ascii="GHEA Grapalat" w:hAnsi="GHEA Grapalat" w:cs="Sylfaen"/>
                <w:sz w:val="24"/>
                <w:szCs w:val="24"/>
                <w:lang w:val="hy-AM"/>
              </w:rPr>
              <w:t>գլխի</w:t>
            </w:r>
            <w:r w:rsidR="00EB4A0F" w:rsidRPr="004B7F9D">
              <w:rPr>
                <w:rFonts w:ascii="GHEA Grapalat" w:hAnsi="GHEA Grapalat"/>
                <w:sz w:val="24"/>
                <w:szCs w:val="24"/>
                <w:lang w:val="hy-AM"/>
              </w:rPr>
              <w:t xml:space="preserve"> </w:t>
            </w:r>
            <w:r w:rsidR="00EB4A0F" w:rsidRPr="004B7F9D">
              <w:rPr>
                <w:rFonts w:ascii="GHEA Grapalat" w:hAnsi="GHEA Grapalat" w:cs="Sylfaen"/>
                <w:sz w:val="24"/>
                <w:szCs w:val="24"/>
                <w:lang w:val="hy-AM"/>
              </w:rPr>
              <w:t>ուժի</w:t>
            </w:r>
            <w:r w:rsidR="00EB4A0F" w:rsidRPr="004B7F9D">
              <w:rPr>
                <w:rFonts w:ascii="GHEA Grapalat" w:hAnsi="GHEA Grapalat"/>
                <w:sz w:val="24"/>
                <w:szCs w:val="24"/>
                <w:lang w:val="hy-AM"/>
              </w:rPr>
              <w:t xml:space="preserve"> </w:t>
            </w:r>
            <w:r w:rsidR="00EB4A0F" w:rsidRPr="004B7F9D">
              <w:rPr>
                <w:rFonts w:ascii="GHEA Grapalat" w:hAnsi="GHEA Grapalat" w:cs="Sylfaen"/>
                <w:sz w:val="24"/>
                <w:szCs w:val="24"/>
                <w:lang w:val="hy-AM"/>
              </w:rPr>
              <w:t>մեջ</w:t>
            </w:r>
            <w:r w:rsidR="00EB4A0F" w:rsidRPr="004B7F9D">
              <w:rPr>
                <w:rFonts w:ascii="GHEA Grapalat" w:hAnsi="GHEA Grapalat"/>
                <w:sz w:val="24"/>
                <w:szCs w:val="24"/>
                <w:lang w:val="hy-AM"/>
              </w:rPr>
              <w:t xml:space="preserve"> </w:t>
            </w:r>
            <w:r w:rsidR="00EB4A0F" w:rsidRPr="004B7F9D">
              <w:rPr>
                <w:rFonts w:ascii="GHEA Grapalat" w:hAnsi="GHEA Grapalat" w:cs="Sylfaen"/>
                <w:sz w:val="24"/>
                <w:szCs w:val="24"/>
                <w:lang w:val="hy-AM"/>
              </w:rPr>
              <w:t>մտնելը</w:t>
            </w:r>
            <w:r w:rsidR="00EB4A0F" w:rsidRPr="004B7F9D">
              <w:rPr>
                <w:rFonts w:ascii="GHEA Grapalat" w:hAnsi="GHEA Grapalat"/>
                <w:sz w:val="24"/>
                <w:szCs w:val="24"/>
                <w:lang w:val="hy-AM"/>
              </w:rPr>
              <w:t xml:space="preserve"> </w:t>
            </w:r>
            <w:r w:rsidR="00EB4A0F" w:rsidRPr="004B7F9D">
              <w:rPr>
                <w:rFonts w:ascii="GHEA Grapalat" w:hAnsi="GHEA Grapalat" w:cs="Sylfaen"/>
                <w:sz w:val="24"/>
                <w:szCs w:val="24"/>
                <w:lang w:val="hy-AM"/>
              </w:rPr>
              <w:t>Սահմանադրական</w:t>
            </w:r>
            <w:r w:rsidR="00EB4A0F" w:rsidRPr="004B7F9D">
              <w:rPr>
                <w:rFonts w:ascii="GHEA Grapalat" w:hAnsi="GHEA Grapalat"/>
                <w:sz w:val="24"/>
                <w:szCs w:val="24"/>
                <w:lang w:val="hy-AM"/>
              </w:rPr>
              <w:t xml:space="preserve"> </w:t>
            </w:r>
            <w:r w:rsidR="00EB4A0F" w:rsidRPr="004B7F9D">
              <w:rPr>
                <w:rFonts w:ascii="GHEA Grapalat" w:hAnsi="GHEA Grapalat" w:cs="Sylfaen"/>
                <w:sz w:val="24"/>
                <w:szCs w:val="24"/>
                <w:lang w:val="hy-AM"/>
              </w:rPr>
              <w:t>դատարանի</w:t>
            </w:r>
            <w:r w:rsidR="00EB4A0F" w:rsidRPr="004B7F9D">
              <w:rPr>
                <w:rFonts w:ascii="GHEA Grapalat" w:hAnsi="GHEA Grapalat"/>
                <w:sz w:val="24"/>
                <w:szCs w:val="24"/>
                <w:lang w:val="hy-AM"/>
              </w:rPr>
              <w:t xml:space="preserve"> </w:t>
            </w:r>
            <w:r w:rsidR="00EB4A0F" w:rsidRPr="004B7F9D">
              <w:rPr>
                <w:rFonts w:ascii="GHEA Grapalat" w:hAnsi="GHEA Grapalat" w:cs="Sylfaen"/>
                <w:sz w:val="24"/>
                <w:szCs w:val="24"/>
                <w:lang w:val="hy-AM"/>
              </w:rPr>
              <w:t>անդամ նշանակված</w:t>
            </w:r>
            <w:r w:rsidR="00EB4A0F" w:rsidRPr="004B7F9D">
              <w:rPr>
                <w:rFonts w:ascii="GHEA Grapalat" w:hAnsi="GHEA Grapalat"/>
                <w:sz w:val="24"/>
                <w:szCs w:val="24"/>
                <w:lang w:val="hy-AM"/>
              </w:rPr>
              <w:t xml:space="preserve"> և </w:t>
            </w:r>
            <w:r w:rsidR="00EB4A0F" w:rsidRPr="004B7F9D">
              <w:rPr>
                <w:rFonts w:ascii="GHEA Grapalat" w:hAnsi="GHEA Grapalat" w:cs="Sylfaen"/>
                <w:sz w:val="24"/>
                <w:szCs w:val="24"/>
                <w:lang w:val="hy-AM"/>
              </w:rPr>
              <w:t>սույն օրենքն ուժի մեջ մտնելուց հետո Սահմանադրական դատարանի դատավորի կարգավիճակում իր պաշտոնավարումը շարունակած Սահմանադրական դատարանի դատավորի</w:t>
            </w:r>
            <w:r>
              <w:rPr>
                <w:rFonts w:ascii="GHEA Grapalat" w:eastAsia="GHEA Grapalat" w:hAnsi="GHEA Grapalat" w:cs="GHEA Grapalat"/>
                <w:color w:val="000000"/>
                <w:sz w:val="22"/>
                <w:szCs w:val="22"/>
              </w:rPr>
              <w:t xml:space="preserve"> նկատմամբ:</w:t>
            </w:r>
          </w:p>
        </w:tc>
      </w:tr>
      <w:tr w:rsidR="00813262" w:rsidTr="00DD7B74">
        <w:tc>
          <w:tcPr>
            <w:tcW w:w="290" w:type="dxa"/>
            <w:tcBorders>
              <w:top w:val="single" w:sz="1" w:space="0" w:color="000000"/>
              <w:left w:val="single" w:sz="1" w:space="0" w:color="000000"/>
              <w:bottom w:val="single" w:sz="1" w:space="0" w:color="000000"/>
              <w:right w:val="single" w:sz="1" w:space="0" w:color="000000"/>
            </w:tcBorders>
          </w:tcPr>
          <w:p w:rsidR="00813262" w:rsidRDefault="00B70B9B">
            <w:pPr>
              <w:jc w:val="center"/>
            </w:pPr>
            <w:r>
              <w:rPr>
                <w:rFonts w:ascii="GHEA Grapalat" w:eastAsia="GHEA Grapalat" w:hAnsi="GHEA Grapalat" w:cs="GHEA Grapalat"/>
                <w:color w:val="000000"/>
                <w:sz w:val="22"/>
                <w:szCs w:val="22"/>
              </w:rPr>
              <w:lastRenderedPageBreak/>
              <w:t>6.</w:t>
            </w:r>
          </w:p>
        </w:tc>
        <w:tc>
          <w:tcPr>
            <w:tcW w:w="1852" w:type="dxa"/>
            <w:tcBorders>
              <w:top w:val="single" w:sz="1" w:space="0" w:color="000000"/>
              <w:left w:val="single" w:sz="1" w:space="0" w:color="000000"/>
              <w:bottom w:val="single" w:sz="1" w:space="0" w:color="000000"/>
              <w:right w:val="single" w:sz="1" w:space="0" w:color="000000"/>
            </w:tcBorders>
          </w:tcPr>
          <w:p w:rsidR="00813262" w:rsidRDefault="00C51046">
            <w:pPr>
              <w:jc w:val="center"/>
            </w:pPr>
            <w:r>
              <w:rPr>
                <w:rFonts w:ascii="GHEA Grapalat" w:eastAsia="GHEA Grapalat" w:hAnsi="GHEA Grapalat" w:cs="GHEA Grapalat"/>
                <w:color w:val="000000"/>
                <w:sz w:val="22"/>
                <w:szCs w:val="22"/>
              </w:rPr>
              <w:t>Կարապետ Բադալյան</w:t>
            </w:r>
          </w:p>
          <w:p w:rsidR="00813262" w:rsidRDefault="00C51046">
            <w:pPr>
              <w:jc w:val="center"/>
            </w:pPr>
            <w:r>
              <w:rPr>
                <w:rFonts w:ascii="GHEA Grapalat" w:eastAsia="GHEA Grapalat" w:hAnsi="GHEA Grapalat" w:cs="GHEA Grapalat"/>
                <w:color w:val="000000"/>
                <w:sz w:val="22"/>
                <w:szCs w:val="22"/>
              </w:rPr>
              <w:t>14.08.2019 18:34:19</w:t>
            </w:r>
          </w:p>
        </w:tc>
        <w:tc>
          <w:tcPr>
            <w:tcW w:w="6527" w:type="dxa"/>
            <w:tcBorders>
              <w:top w:val="single" w:sz="1" w:space="0" w:color="000000"/>
              <w:left w:val="single" w:sz="1" w:space="0" w:color="000000"/>
              <w:bottom w:val="single" w:sz="1" w:space="0" w:color="000000"/>
              <w:right w:val="single" w:sz="1" w:space="0" w:color="000000"/>
            </w:tcBorders>
          </w:tcPr>
          <w:p w:rsidR="00813262" w:rsidRDefault="00C51046">
            <w:pPr>
              <w:jc w:val="center"/>
            </w:pPr>
            <w:r>
              <w:rPr>
                <w:rFonts w:ascii="GHEA Grapalat" w:eastAsia="GHEA Grapalat" w:hAnsi="GHEA Grapalat" w:cs="GHEA Grapalat"/>
                <w:color w:val="000000"/>
                <w:sz w:val="22"/>
                <w:szCs w:val="22"/>
              </w:rPr>
              <w:t xml:space="preserve">Նախագծի 7-րդ հոդվածի 1-ին մասում՝ "...Սահմանադրական դատարանի դատավորի նկատմամբ..." մասում առաջարկում եմ ավելացնել "դատավորի կամ անդամի նկատմամբ...", քանի որ ՍԴ յոթ անդամները որևէ իրավական ակտով դատավոր չեն դարձել: Ավելին, անդամներից Ալվինա Գյուլումյանը նույնպես թիվ ՎԴ/9375/05/18 վարչական գործով դատարանին ներկայացել է որպես ՍԴ անդամ և դատարանն էլ արձանագրել </w:t>
            </w:r>
            <w:r>
              <w:rPr>
                <w:rFonts w:ascii="GHEA Grapalat" w:eastAsia="GHEA Grapalat" w:hAnsi="GHEA Grapalat" w:cs="GHEA Grapalat"/>
                <w:color w:val="000000"/>
                <w:sz w:val="22"/>
                <w:szCs w:val="22"/>
              </w:rPr>
              <w:lastRenderedPageBreak/>
              <w:t>է այդ փաստը:</w:t>
            </w:r>
          </w:p>
        </w:tc>
        <w:tc>
          <w:tcPr>
            <w:tcW w:w="1723" w:type="dxa"/>
            <w:tcBorders>
              <w:top w:val="single" w:sz="1" w:space="0" w:color="000000"/>
              <w:left w:val="single" w:sz="1" w:space="0" w:color="000000"/>
              <w:bottom w:val="single" w:sz="1" w:space="0" w:color="000000"/>
              <w:right w:val="single" w:sz="1" w:space="0" w:color="000000"/>
            </w:tcBorders>
          </w:tcPr>
          <w:p w:rsidR="00813262" w:rsidRDefault="00C51046">
            <w:pPr>
              <w:jc w:val="center"/>
            </w:pPr>
            <w:r>
              <w:rPr>
                <w:rFonts w:ascii="GHEA Grapalat" w:eastAsia="GHEA Grapalat" w:hAnsi="GHEA Grapalat" w:cs="GHEA Grapalat"/>
                <w:color w:val="000000"/>
                <w:sz w:val="22"/>
                <w:szCs w:val="22"/>
              </w:rPr>
              <w:lastRenderedPageBreak/>
              <w:t>Ընդունվել է ի գիտություն:</w:t>
            </w:r>
          </w:p>
        </w:tc>
        <w:tc>
          <w:tcPr>
            <w:tcW w:w="3535" w:type="dxa"/>
            <w:tcBorders>
              <w:top w:val="single" w:sz="1" w:space="0" w:color="000000"/>
              <w:left w:val="single" w:sz="1" w:space="0" w:color="000000"/>
              <w:bottom w:val="single" w:sz="1" w:space="0" w:color="000000"/>
              <w:right w:val="single" w:sz="1" w:space="0" w:color="000000"/>
            </w:tcBorders>
          </w:tcPr>
          <w:p w:rsidR="00813262" w:rsidRDefault="007D5C91">
            <w:pPr>
              <w:jc w:val="center"/>
            </w:pPr>
            <w:r>
              <w:rPr>
                <w:rFonts w:ascii="GHEA Grapalat" w:eastAsia="GHEA Grapalat" w:hAnsi="GHEA Grapalat" w:cs="GHEA Grapalat"/>
                <w:color w:val="000000"/>
                <w:sz w:val="22"/>
                <w:szCs w:val="22"/>
              </w:rPr>
              <w:t>Ա</w:t>
            </w:r>
            <w:r w:rsidR="00C51046">
              <w:rPr>
                <w:rFonts w:ascii="GHEA Grapalat" w:eastAsia="GHEA Grapalat" w:hAnsi="GHEA Grapalat" w:cs="GHEA Grapalat"/>
                <w:color w:val="000000"/>
                <w:sz w:val="22"/>
                <w:szCs w:val="22"/>
              </w:rPr>
              <w:t xml:space="preserve">ռաջարկվող կարգավորումը </w:t>
            </w:r>
            <w:r w:rsidR="00EB4A0F">
              <w:rPr>
                <w:rFonts w:ascii="GHEA Grapalat" w:eastAsia="GHEA Grapalat" w:hAnsi="GHEA Grapalat" w:cs="GHEA Grapalat"/>
                <w:color w:val="000000"/>
                <w:sz w:val="22"/>
                <w:szCs w:val="22"/>
              </w:rPr>
              <w:t xml:space="preserve">տարածվում է միայն </w:t>
            </w:r>
            <w:r w:rsidR="00EB4A0F" w:rsidRPr="004B7F9D">
              <w:rPr>
                <w:rFonts w:ascii="GHEA Grapalat" w:hAnsi="GHEA Grapalat" w:cs="Sylfaen"/>
                <w:sz w:val="24"/>
                <w:szCs w:val="24"/>
                <w:lang w:val="hy-AM"/>
              </w:rPr>
              <w:t>Սահմանադրության</w:t>
            </w:r>
            <w:r w:rsidR="00EB4A0F" w:rsidRPr="004B7F9D">
              <w:rPr>
                <w:rFonts w:ascii="GHEA Grapalat" w:hAnsi="GHEA Grapalat"/>
                <w:sz w:val="24"/>
                <w:szCs w:val="24"/>
                <w:lang w:val="hy-AM"/>
              </w:rPr>
              <w:t xml:space="preserve"> 213-</w:t>
            </w:r>
            <w:r w:rsidR="00EB4A0F" w:rsidRPr="004B7F9D">
              <w:rPr>
                <w:rFonts w:ascii="GHEA Grapalat" w:hAnsi="GHEA Grapalat" w:cs="Sylfaen"/>
                <w:sz w:val="24"/>
                <w:szCs w:val="24"/>
                <w:lang w:val="hy-AM"/>
              </w:rPr>
              <w:t>րդ</w:t>
            </w:r>
            <w:r w:rsidR="00EB4A0F" w:rsidRPr="004B7F9D">
              <w:rPr>
                <w:rFonts w:ascii="GHEA Grapalat" w:hAnsi="GHEA Grapalat"/>
                <w:sz w:val="24"/>
                <w:szCs w:val="24"/>
                <w:lang w:val="hy-AM"/>
              </w:rPr>
              <w:t xml:space="preserve"> </w:t>
            </w:r>
            <w:r w:rsidR="00EB4A0F" w:rsidRPr="004B7F9D">
              <w:rPr>
                <w:rFonts w:ascii="GHEA Grapalat" w:hAnsi="GHEA Grapalat" w:cs="Sylfaen"/>
                <w:sz w:val="24"/>
                <w:szCs w:val="24"/>
                <w:lang w:val="hy-AM"/>
              </w:rPr>
              <w:t>հոդվածով</w:t>
            </w:r>
            <w:r w:rsidR="00EB4A0F" w:rsidRPr="004B7F9D">
              <w:rPr>
                <w:rFonts w:ascii="GHEA Grapalat" w:hAnsi="GHEA Grapalat"/>
                <w:sz w:val="24"/>
                <w:szCs w:val="24"/>
                <w:lang w:val="hy-AM"/>
              </w:rPr>
              <w:t xml:space="preserve"> </w:t>
            </w:r>
            <w:r w:rsidR="00EB4A0F" w:rsidRPr="004B7F9D">
              <w:rPr>
                <w:rFonts w:ascii="GHEA Grapalat" w:hAnsi="GHEA Grapalat" w:cs="Sylfaen"/>
                <w:sz w:val="24"/>
                <w:szCs w:val="24"/>
                <w:lang w:val="hy-AM"/>
              </w:rPr>
              <w:t>նախատեսված՝</w:t>
            </w:r>
            <w:r w:rsidR="00EB4A0F" w:rsidRPr="004B7F9D">
              <w:rPr>
                <w:rFonts w:ascii="GHEA Grapalat" w:hAnsi="GHEA Grapalat"/>
                <w:sz w:val="24"/>
                <w:szCs w:val="24"/>
                <w:lang w:val="hy-AM"/>
              </w:rPr>
              <w:t xml:space="preserve"> </w:t>
            </w:r>
            <w:r w:rsidR="00EB4A0F" w:rsidRPr="004B7F9D">
              <w:rPr>
                <w:rFonts w:ascii="GHEA Grapalat" w:hAnsi="GHEA Grapalat" w:cs="Sylfaen"/>
                <w:sz w:val="24"/>
                <w:szCs w:val="24"/>
                <w:lang w:val="hy-AM"/>
              </w:rPr>
              <w:t>մինչև</w:t>
            </w:r>
            <w:r w:rsidR="00EB4A0F" w:rsidRPr="004B7F9D">
              <w:rPr>
                <w:rFonts w:ascii="GHEA Grapalat" w:hAnsi="GHEA Grapalat"/>
                <w:sz w:val="24"/>
                <w:szCs w:val="24"/>
                <w:lang w:val="hy-AM"/>
              </w:rPr>
              <w:t xml:space="preserve"> </w:t>
            </w:r>
            <w:r w:rsidR="00EB4A0F" w:rsidRPr="004B7F9D">
              <w:rPr>
                <w:rFonts w:ascii="GHEA Grapalat" w:hAnsi="GHEA Grapalat" w:cs="Sylfaen"/>
                <w:sz w:val="24"/>
                <w:szCs w:val="24"/>
                <w:lang w:val="hy-AM"/>
              </w:rPr>
              <w:t>Սահմանադրության</w:t>
            </w:r>
            <w:r w:rsidR="00EB4A0F" w:rsidRPr="004B7F9D">
              <w:rPr>
                <w:rFonts w:ascii="GHEA Grapalat" w:hAnsi="GHEA Grapalat"/>
                <w:sz w:val="24"/>
                <w:szCs w:val="24"/>
                <w:lang w:val="hy-AM"/>
              </w:rPr>
              <w:t xml:space="preserve"> 7-</w:t>
            </w:r>
            <w:r w:rsidR="00EB4A0F" w:rsidRPr="004B7F9D">
              <w:rPr>
                <w:rFonts w:ascii="GHEA Grapalat" w:hAnsi="GHEA Grapalat" w:cs="Sylfaen"/>
                <w:sz w:val="24"/>
                <w:szCs w:val="24"/>
                <w:lang w:val="hy-AM"/>
              </w:rPr>
              <w:t>րդ</w:t>
            </w:r>
            <w:r w:rsidR="00EB4A0F" w:rsidRPr="004B7F9D">
              <w:rPr>
                <w:rFonts w:ascii="GHEA Grapalat" w:hAnsi="GHEA Grapalat"/>
                <w:sz w:val="24"/>
                <w:szCs w:val="24"/>
                <w:lang w:val="hy-AM"/>
              </w:rPr>
              <w:t xml:space="preserve"> </w:t>
            </w:r>
            <w:r w:rsidR="00EB4A0F" w:rsidRPr="004B7F9D">
              <w:rPr>
                <w:rFonts w:ascii="GHEA Grapalat" w:hAnsi="GHEA Grapalat" w:cs="Sylfaen"/>
                <w:sz w:val="24"/>
                <w:szCs w:val="24"/>
                <w:lang w:val="hy-AM"/>
              </w:rPr>
              <w:t>գլխի</w:t>
            </w:r>
            <w:r w:rsidR="00EB4A0F" w:rsidRPr="004B7F9D">
              <w:rPr>
                <w:rFonts w:ascii="GHEA Grapalat" w:hAnsi="GHEA Grapalat"/>
                <w:sz w:val="24"/>
                <w:szCs w:val="24"/>
                <w:lang w:val="hy-AM"/>
              </w:rPr>
              <w:t xml:space="preserve"> </w:t>
            </w:r>
            <w:r w:rsidR="00EB4A0F" w:rsidRPr="004B7F9D">
              <w:rPr>
                <w:rFonts w:ascii="GHEA Grapalat" w:hAnsi="GHEA Grapalat" w:cs="Sylfaen"/>
                <w:sz w:val="24"/>
                <w:szCs w:val="24"/>
                <w:lang w:val="hy-AM"/>
              </w:rPr>
              <w:t>ուժի</w:t>
            </w:r>
            <w:r w:rsidR="00EB4A0F" w:rsidRPr="004B7F9D">
              <w:rPr>
                <w:rFonts w:ascii="GHEA Grapalat" w:hAnsi="GHEA Grapalat"/>
                <w:sz w:val="24"/>
                <w:szCs w:val="24"/>
                <w:lang w:val="hy-AM"/>
              </w:rPr>
              <w:t xml:space="preserve"> </w:t>
            </w:r>
            <w:r w:rsidR="00EB4A0F" w:rsidRPr="004B7F9D">
              <w:rPr>
                <w:rFonts w:ascii="GHEA Grapalat" w:hAnsi="GHEA Grapalat" w:cs="Sylfaen"/>
                <w:sz w:val="24"/>
                <w:szCs w:val="24"/>
                <w:lang w:val="hy-AM"/>
              </w:rPr>
              <w:t>մեջ</w:t>
            </w:r>
            <w:r w:rsidR="00EB4A0F" w:rsidRPr="004B7F9D">
              <w:rPr>
                <w:rFonts w:ascii="GHEA Grapalat" w:hAnsi="GHEA Grapalat"/>
                <w:sz w:val="24"/>
                <w:szCs w:val="24"/>
                <w:lang w:val="hy-AM"/>
              </w:rPr>
              <w:t xml:space="preserve"> </w:t>
            </w:r>
            <w:r w:rsidR="00EB4A0F" w:rsidRPr="004B7F9D">
              <w:rPr>
                <w:rFonts w:ascii="GHEA Grapalat" w:hAnsi="GHEA Grapalat" w:cs="Sylfaen"/>
                <w:sz w:val="24"/>
                <w:szCs w:val="24"/>
                <w:lang w:val="hy-AM"/>
              </w:rPr>
              <w:t>մտնելը</w:t>
            </w:r>
            <w:r w:rsidR="00EB4A0F" w:rsidRPr="004B7F9D">
              <w:rPr>
                <w:rFonts w:ascii="GHEA Grapalat" w:hAnsi="GHEA Grapalat"/>
                <w:sz w:val="24"/>
                <w:szCs w:val="24"/>
                <w:lang w:val="hy-AM"/>
              </w:rPr>
              <w:t xml:space="preserve"> </w:t>
            </w:r>
            <w:r w:rsidR="00EB4A0F" w:rsidRPr="004B7F9D">
              <w:rPr>
                <w:rFonts w:ascii="GHEA Grapalat" w:hAnsi="GHEA Grapalat" w:cs="Sylfaen"/>
                <w:sz w:val="24"/>
                <w:szCs w:val="24"/>
                <w:lang w:val="hy-AM"/>
              </w:rPr>
              <w:t>Սահմանադրական</w:t>
            </w:r>
            <w:r w:rsidR="00EB4A0F" w:rsidRPr="004B7F9D">
              <w:rPr>
                <w:rFonts w:ascii="GHEA Grapalat" w:hAnsi="GHEA Grapalat"/>
                <w:sz w:val="24"/>
                <w:szCs w:val="24"/>
                <w:lang w:val="hy-AM"/>
              </w:rPr>
              <w:t xml:space="preserve"> </w:t>
            </w:r>
            <w:r w:rsidR="00EB4A0F" w:rsidRPr="004B7F9D">
              <w:rPr>
                <w:rFonts w:ascii="GHEA Grapalat" w:hAnsi="GHEA Grapalat" w:cs="Sylfaen"/>
                <w:sz w:val="24"/>
                <w:szCs w:val="24"/>
                <w:lang w:val="hy-AM"/>
              </w:rPr>
              <w:t>դատարանի</w:t>
            </w:r>
            <w:r w:rsidR="00EB4A0F" w:rsidRPr="004B7F9D">
              <w:rPr>
                <w:rFonts w:ascii="GHEA Grapalat" w:hAnsi="GHEA Grapalat"/>
                <w:sz w:val="24"/>
                <w:szCs w:val="24"/>
                <w:lang w:val="hy-AM"/>
              </w:rPr>
              <w:t xml:space="preserve"> </w:t>
            </w:r>
            <w:r w:rsidR="00EB4A0F" w:rsidRPr="004B7F9D">
              <w:rPr>
                <w:rFonts w:ascii="GHEA Grapalat" w:hAnsi="GHEA Grapalat" w:cs="Sylfaen"/>
                <w:sz w:val="24"/>
                <w:szCs w:val="24"/>
                <w:lang w:val="hy-AM"/>
              </w:rPr>
              <w:lastRenderedPageBreak/>
              <w:t>անդամ նշանակված</w:t>
            </w:r>
            <w:r w:rsidR="00EB4A0F" w:rsidRPr="004B7F9D">
              <w:rPr>
                <w:rFonts w:ascii="GHEA Grapalat" w:hAnsi="GHEA Grapalat"/>
                <w:sz w:val="24"/>
                <w:szCs w:val="24"/>
                <w:lang w:val="hy-AM"/>
              </w:rPr>
              <w:t xml:space="preserve"> և </w:t>
            </w:r>
            <w:r w:rsidR="00EB4A0F" w:rsidRPr="004B7F9D">
              <w:rPr>
                <w:rFonts w:ascii="GHEA Grapalat" w:hAnsi="GHEA Grapalat" w:cs="Sylfaen"/>
                <w:sz w:val="24"/>
                <w:szCs w:val="24"/>
                <w:lang w:val="hy-AM"/>
              </w:rPr>
              <w:t>սույն օրենքն ուժի մեջ մտնելուց հետո Սահմանադրական դատարանի դատավորի կարգավիճակում իր պաշտոնավարումը շարունակած Սահմանադրական դատարանի դատավորի</w:t>
            </w:r>
            <w:r w:rsidR="00EB4A0F">
              <w:rPr>
                <w:rFonts w:ascii="GHEA Grapalat" w:eastAsia="GHEA Grapalat" w:hAnsi="GHEA Grapalat" w:cs="GHEA Grapalat"/>
                <w:color w:val="000000"/>
                <w:sz w:val="22"/>
                <w:szCs w:val="22"/>
              </w:rPr>
              <w:t xml:space="preserve"> նկատմամբ:</w:t>
            </w:r>
          </w:p>
        </w:tc>
      </w:tr>
    </w:tbl>
    <w:p w:rsidR="00C51046" w:rsidRDefault="00C51046"/>
    <w:sectPr w:rsidR="00C51046" w:rsidSect="00813262">
      <w:pgSz w:w="16787" w:h="11870" w:orient="landscape"/>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3F0F" w:rsidRDefault="00353F0F" w:rsidP="006859C9">
      <w:pPr>
        <w:spacing w:after="0" w:line="240" w:lineRule="auto"/>
      </w:pPr>
      <w:r>
        <w:separator/>
      </w:r>
    </w:p>
  </w:endnote>
  <w:endnote w:type="continuationSeparator" w:id="1">
    <w:p w:rsidR="00353F0F" w:rsidRDefault="00353F0F" w:rsidP="006859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3F0F" w:rsidRDefault="00353F0F" w:rsidP="006859C9">
      <w:pPr>
        <w:spacing w:after="0" w:line="240" w:lineRule="auto"/>
      </w:pPr>
      <w:r>
        <w:separator/>
      </w:r>
    </w:p>
  </w:footnote>
  <w:footnote w:type="continuationSeparator" w:id="1">
    <w:p w:rsidR="00353F0F" w:rsidRDefault="00353F0F" w:rsidP="006859C9">
      <w:pPr>
        <w:spacing w:after="0" w:line="240" w:lineRule="auto"/>
      </w:pPr>
      <w:r>
        <w:continuationSeparator/>
      </w:r>
    </w:p>
  </w:footnote>
  <w:footnote w:id="2">
    <w:p w:rsidR="006859C9" w:rsidRDefault="006859C9">
      <w:pPr>
        <w:pStyle w:val="FootnoteText"/>
      </w:pPr>
      <w:r>
        <w:rPr>
          <w:rStyle w:val="FootnoteReference"/>
        </w:rPr>
        <w:footnoteRef/>
      </w:r>
      <w:r>
        <w:t xml:space="preserve"> </w:t>
      </w:r>
      <w:hyperlink r:id="rId1" w:history="1">
        <w:r>
          <w:rPr>
            <w:rStyle w:val="Hyperlink"/>
          </w:rPr>
          <w:t>http://moj.am/storage/uploads/CDL2019030_ARM.pdf</w:t>
        </w:r>
      </w:hyperlink>
      <w:r>
        <w:t xml:space="preserve">, </w:t>
      </w:r>
      <w:r>
        <w:rPr>
          <w:rFonts w:ascii="Sylfaen" w:hAnsi="Sylfaen"/>
        </w:rPr>
        <w:t>կետ 60:</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C63EFC"/>
    <w:multiLevelType w:val="multilevel"/>
    <w:tmpl w:val="0E88E46A"/>
    <w:lvl w:ilvl="0">
      <w:start w:val="1"/>
      <w:numFmt w:val="decimal"/>
      <w:lvlText w:val="%1."/>
      <w:lvlJc w:val="left"/>
      <w:pPr>
        <w:ind w:left="582" w:hanging="360"/>
      </w:pPr>
      <w:rPr>
        <w:vertAlign w:val="baseline"/>
      </w:rPr>
    </w:lvl>
    <w:lvl w:ilvl="1">
      <w:start w:val="1"/>
      <w:numFmt w:val="lowerLetter"/>
      <w:pStyle w:val="Heading2"/>
      <w:lvlText w:val="%2."/>
      <w:lvlJc w:val="left"/>
      <w:pPr>
        <w:ind w:left="1302" w:hanging="360"/>
      </w:pPr>
      <w:rPr>
        <w:vertAlign w:val="baseline"/>
      </w:rPr>
    </w:lvl>
    <w:lvl w:ilvl="2">
      <w:start w:val="1"/>
      <w:numFmt w:val="lowerRoman"/>
      <w:pStyle w:val="Heading3"/>
      <w:lvlText w:val="%3."/>
      <w:lvlJc w:val="right"/>
      <w:pPr>
        <w:ind w:left="2022" w:hanging="180"/>
      </w:pPr>
      <w:rPr>
        <w:vertAlign w:val="baseline"/>
      </w:rPr>
    </w:lvl>
    <w:lvl w:ilvl="3">
      <w:start w:val="1"/>
      <w:numFmt w:val="decimal"/>
      <w:lvlText w:val="%4."/>
      <w:lvlJc w:val="left"/>
      <w:pPr>
        <w:ind w:left="2742" w:hanging="360"/>
      </w:pPr>
      <w:rPr>
        <w:vertAlign w:val="baseline"/>
      </w:rPr>
    </w:lvl>
    <w:lvl w:ilvl="4">
      <w:start w:val="1"/>
      <w:numFmt w:val="lowerLetter"/>
      <w:pStyle w:val="Heading5"/>
      <w:lvlText w:val="%5."/>
      <w:lvlJc w:val="left"/>
      <w:pPr>
        <w:ind w:left="3462" w:hanging="360"/>
      </w:pPr>
      <w:rPr>
        <w:vertAlign w:val="baseline"/>
      </w:rPr>
    </w:lvl>
    <w:lvl w:ilvl="5">
      <w:start w:val="1"/>
      <w:numFmt w:val="lowerRoman"/>
      <w:pStyle w:val="Heading6"/>
      <w:lvlText w:val="%6."/>
      <w:lvlJc w:val="right"/>
      <w:pPr>
        <w:ind w:left="4182" w:hanging="180"/>
      </w:pPr>
      <w:rPr>
        <w:vertAlign w:val="baseline"/>
      </w:rPr>
    </w:lvl>
    <w:lvl w:ilvl="6">
      <w:start w:val="1"/>
      <w:numFmt w:val="decimal"/>
      <w:pStyle w:val="Heading7"/>
      <w:lvlText w:val="%7."/>
      <w:lvlJc w:val="left"/>
      <w:pPr>
        <w:ind w:left="4902" w:hanging="360"/>
      </w:pPr>
      <w:rPr>
        <w:vertAlign w:val="baseline"/>
      </w:rPr>
    </w:lvl>
    <w:lvl w:ilvl="7">
      <w:start w:val="1"/>
      <w:numFmt w:val="lowerLetter"/>
      <w:pStyle w:val="Heading8"/>
      <w:lvlText w:val="%8."/>
      <w:lvlJc w:val="left"/>
      <w:pPr>
        <w:ind w:left="5622" w:hanging="360"/>
      </w:pPr>
      <w:rPr>
        <w:vertAlign w:val="baseline"/>
      </w:rPr>
    </w:lvl>
    <w:lvl w:ilvl="8">
      <w:start w:val="1"/>
      <w:numFmt w:val="lowerRoman"/>
      <w:pStyle w:val="Heading9"/>
      <w:lvlText w:val="%9."/>
      <w:lvlJc w:val="right"/>
      <w:pPr>
        <w:ind w:left="6342" w:hanging="180"/>
      </w:pPr>
      <w:rPr>
        <w:vertAlign w:val="baseli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hyphenationZone w:val="425"/>
  <w:characterSpacingControl w:val="doNotCompress"/>
  <w:footnotePr>
    <w:footnote w:id="0"/>
    <w:footnote w:id="1"/>
  </w:footnotePr>
  <w:endnotePr>
    <w:endnote w:id="0"/>
    <w:endnote w:id="1"/>
  </w:endnotePr>
  <w:compat/>
  <w:rsids>
    <w:rsidRoot w:val="00813262"/>
    <w:rsid w:val="000B2EB8"/>
    <w:rsid w:val="00282AF9"/>
    <w:rsid w:val="00353F0F"/>
    <w:rsid w:val="00673208"/>
    <w:rsid w:val="006859C9"/>
    <w:rsid w:val="0073648A"/>
    <w:rsid w:val="007D5C91"/>
    <w:rsid w:val="00813262"/>
    <w:rsid w:val="00814814"/>
    <w:rsid w:val="00B70B9B"/>
    <w:rsid w:val="00C51046"/>
    <w:rsid w:val="00DD7B74"/>
    <w:rsid w:val="00E46370"/>
    <w:rsid w:val="00E851C3"/>
    <w:rsid w:val="00EB4A0F"/>
    <w:rsid w:val="00F22A4C"/>
    <w:rsid w:val="00F33773"/>
    <w:rsid w:val="00F5208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13262"/>
  </w:style>
  <w:style w:type="paragraph" w:styleId="Heading2">
    <w:name w:val="heading 2"/>
    <w:basedOn w:val="Normal"/>
    <w:next w:val="BodyText"/>
    <w:link w:val="Heading2Char"/>
    <w:uiPriority w:val="9"/>
    <w:semiHidden/>
    <w:unhideWhenUsed/>
    <w:qFormat/>
    <w:rsid w:val="00F33773"/>
    <w:pPr>
      <w:numPr>
        <w:ilvl w:val="1"/>
        <w:numId w:val="1"/>
      </w:numPr>
      <w:spacing w:after="0" w:line="360" w:lineRule="auto"/>
      <w:ind w:leftChars="-1" w:left="1980" w:hangingChars="1" w:hanging="1413"/>
      <w:textDirection w:val="btLr"/>
      <w:textAlignment w:val="top"/>
      <w:outlineLvl w:val="1"/>
    </w:pPr>
    <w:rPr>
      <w:rFonts w:ascii="Times Armenian" w:eastAsia="Times New Roman" w:hAnsi="Times Armenian" w:cs="Times New Roman"/>
      <w:b/>
      <w:bCs/>
      <w:iCs/>
      <w:position w:val="-1"/>
      <w:sz w:val="24"/>
      <w:szCs w:val="24"/>
      <w:lang w:val="hy-AM" w:eastAsia="zh-CN"/>
    </w:rPr>
  </w:style>
  <w:style w:type="paragraph" w:styleId="Heading3">
    <w:name w:val="heading 3"/>
    <w:basedOn w:val="Normal"/>
    <w:next w:val="BodyText"/>
    <w:link w:val="Heading3Char"/>
    <w:uiPriority w:val="9"/>
    <w:semiHidden/>
    <w:unhideWhenUsed/>
    <w:qFormat/>
    <w:rsid w:val="00F33773"/>
    <w:pPr>
      <w:numPr>
        <w:ilvl w:val="2"/>
        <w:numId w:val="1"/>
      </w:numPr>
      <w:spacing w:after="0" w:line="360" w:lineRule="auto"/>
      <w:ind w:leftChars="-1" w:left="-1" w:hangingChars="1" w:hanging="1"/>
      <w:jc w:val="both"/>
      <w:textDirection w:val="btLr"/>
      <w:textAlignment w:val="top"/>
      <w:outlineLvl w:val="2"/>
    </w:pPr>
    <w:rPr>
      <w:rFonts w:ascii="Arial LatArm" w:eastAsia="Times New Roman" w:hAnsi="Arial LatArm" w:cs="Times New Roman"/>
      <w:bCs/>
      <w:position w:val="-1"/>
      <w:sz w:val="24"/>
      <w:szCs w:val="24"/>
      <w:lang w:val="ru-RU" w:eastAsia="zh-CN"/>
    </w:rPr>
  </w:style>
  <w:style w:type="paragraph" w:styleId="Heading5">
    <w:name w:val="heading 5"/>
    <w:basedOn w:val="Normal"/>
    <w:next w:val="Normal"/>
    <w:link w:val="Heading5Char"/>
    <w:uiPriority w:val="9"/>
    <w:semiHidden/>
    <w:unhideWhenUsed/>
    <w:qFormat/>
    <w:rsid w:val="00F33773"/>
    <w:pPr>
      <w:keepNext/>
      <w:numPr>
        <w:ilvl w:val="4"/>
        <w:numId w:val="1"/>
      </w:numPr>
      <w:spacing w:after="0" w:line="360" w:lineRule="atLeast"/>
      <w:ind w:leftChars="-1" w:left="-1" w:hangingChars="1" w:hanging="1"/>
      <w:jc w:val="both"/>
      <w:textDirection w:val="btLr"/>
      <w:textAlignment w:val="top"/>
      <w:outlineLvl w:val="4"/>
    </w:pPr>
    <w:rPr>
      <w:rFonts w:eastAsia="Times New Roman" w:cs="Times New Roman"/>
      <w:b/>
      <w:position w:val="-1"/>
      <w:lang w:val="ru-RU" w:eastAsia="zh-CN"/>
    </w:rPr>
  </w:style>
  <w:style w:type="paragraph" w:styleId="Heading6">
    <w:name w:val="heading 6"/>
    <w:basedOn w:val="Normal"/>
    <w:next w:val="Normal"/>
    <w:link w:val="Heading6Char"/>
    <w:uiPriority w:val="9"/>
    <w:semiHidden/>
    <w:unhideWhenUsed/>
    <w:qFormat/>
    <w:rsid w:val="00F33773"/>
    <w:pPr>
      <w:keepNext/>
      <w:numPr>
        <w:ilvl w:val="5"/>
        <w:numId w:val="1"/>
      </w:numPr>
      <w:spacing w:after="0" w:line="360" w:lineRule="atLeast"/>
      <w:ind w:leftChars="-1" w:left="-1" w:hangingChars="1" w:hanging="1"/>
      <w:jc w:val="both"/>
      <w:textDirection w:val="btLr"/>
      <w:textAlignment w:val="top"/>
      <w:outlineLvl w:val="5"/>
    </w:pPr>
    <w:rPr>
      <w:rFonts w:ascii="Times Armenian" w:eastAsia="Times New Roman" w:hAnsi="Times Armenian" w:cs="Times New Roman"/>
      <w:position w:val="-1"/>
      <w:sz w:val="28"/>
      <w:lang w:val="ru-RU" w:eastAsia="zh-CN"/>
    </w:rPr>
  </w:style>
  <w:style w:type="paragraph" w:styleId="Heading7">
    <w:name w:val="heading 7"/>
    <w:basedOn w:val="Normal"/>
    <w:next w:val="Normal"/>
    <w:link w:val="Heading7Char"/>
    <w:rsid w:val="00F33773"/>
    <w:pPr>
      <w:numPr>
        <w:ilvl w:val="6"/>
        <w:numId w:val="1"/>
      </w:numPr>
      <w:spacing w:before="240" w:after="60" w:line="1" w:lineRule="atLeast"/>
      <w:ind w:leftChars="-1" w:left="-1" w:hangingChars="1" w:hanging="1"/>
      <w:jc w:val="both"/>
      <w:textDirection w:val="btLr"/>
      <w:textAlignment w:val="top"/>
      <w:outlineLvl w:val="6"/>
    </w:pPr>
    <w:rPr>
      <w:rFonts w:ascii="Arial LatArm" w:eastAsia="Times New Roman" w:hAnsi="Arial LatArm" w:cs="Times New Roman"/>
      <w:position w:val="-1"/>
      <w:sz w:val="24"/>
      <w:szCs w:val="24"/>
      <w:lang w:val="ru-RU" w:eastAsia="zh-CN"/>
    </w:rPr>
  </w:style>
  <w:style w:type="paragraph" w:styleId="Heading8">
    <w:name w:val="heading 8"/>
    <w:basedOn w:val="Normal"/>
    <w:next w:val="Normal"/>
    <w:link w:val="Heading8Char"/>
    <w:rsid w:val="00F33773"/>
    <w:pPr>
      <w:numPr>
        <w:ilvl w:val="7"/>
        <w:numId w:val="1"/>
      </w:numPr>
      <w:spacing w:before="240" w:after="60" w:line="1" w:lineRule="atLeast"/>
      <w:ind w:leftChars="-1" w:left="-1" w:hangingChars="1" w:hanging="1"/>
      <w:jc w:val="both"/>
      <w:textDirection w:val="btLr"/>
      <w:textAlignment w:val="top"/>
      <w:outlineLvl w:val="7"/>
    </w:pPr>
    <w:rPr>
      <w:rFonts w:ascii="Arial LatArm" w:eastAsia="Times New Roman" w:hAnsi="Arial LatArm" w:cs="Times New Roman"/>
      <w:i/>
      <w:iCs/>
      <w:position w:val="-1"/>
      <w:sz w:val="24"/>
      <w:szCs w:val="24"/>
      <w:lang w:val="ru-RU" w:eastAsia="zh-CN"/>
    </w:rPr>
  </w:style>
  <w:style w:type="paragraph" w:styleId="Heading9">
    <w:name w:val="heading 9"/>
    <w:basedOn w:val="Normal"/>
    <w:next w:val="Normal"/>
    <w:link w:val="Heading9Char"/>
    <w:rsid w:val="00F33773"/>
    <w:pPr>
      <w:numPr>
        <w:ilvl w:val="8"/>
        <w:numId w:val="1"/>
      </w:numPr>
      <w:spacing w:before="240" w:after="60" w:line="1" w:lineRule="atLeast"/>
      <w:ind w:leftChars="-1" w:left="-1" w:hangingChars="1" w:hanging="1"/>
      <w:jc w:val="both"/>
      <w:textDirection w:val="btLr"/>
      <w:textAlignment w:val="top"/>
      <w:outlineLvl w:val="8"/>
    </w:pPr>
    <w:rPr>
      <w:rFonts w:eastAsia="Times New Roman" w:cs="Times New Roman"/>
      <w:position w:val="-1"/>
      <w:lang w:val="ru-RU"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813262"/>
    <w:rPr>
      <w:vertAlign w:val="superscript"/>
    </w:rPr>
  </w:style>
  <w:style w:type="paragraph" w:customStyle="1" w:styleId="headingtitleStyle">
    <w:name w:val="heading titleStyle"/>
    <w:basedOn w:val="Normal"/>
    <w:rsid w:val="00813262"/>
    <w:pPr>
      <w:jc w:val="center"/>
    </w:pPr>
    <w:rPr>
      <w:rFonts w:ascii="GHEA Grapalat" w:eastAsia="GHEA Grapalat" w:hAnsi="GHEA Grapalat" w:cs="GHEA Grapalat"/>
      <w:b/>
      <w:caps/>
      <w:color w:val="000000"/>
      <w:sz w:val="28"/>
      <w:szCs w:val="28"/>
    </w:rPr>
  </w:style>
  <w:style w:type="paragraph" w:styleId="FootnoteText">
    <w:name w:val="footnote text"/>
    <w:basedOn w:val="Normal"/>
    <w:link w:val="FootnoteTextChar"/>
    <w:uiPriority w:val="99"/>
    <w:semiHidden/>
    <w:unhideWhenUsed/>
    <w:rsid w:val="006859C9"/>
    <w:pPr>
      <w:spacing w:after="0" w:line="240" w:lineRule="auto"/>
    </w:pPr>
  </w:style>
  <w:style w:type="character" w:customStyle="1" w:styleId="FootnoteTextChar">
    <w:name w:val="Footnote Text Char"/>
    <w:basedOn w:val="DefaultParagraphFont"/>
    <w:link w:val="FootnoteText"/>
    <w:uiPriority w:val="99"/>
    <w:semiHidden/>
    <w:rsid w:val="006859C9"/>
  </w:style>
  <w:style w:type="character" w:styleId="Hyperlink">
    <w:name w:val="Hyperlink"/>
    <w:rsid w:val="006859C9"/>
    <w:rPr>
      <w:color w:val="0000FF"/>
      <w:w w:val="100"/>
      <w:position w:val="-1"/>
      <w:u w:val="single"/>
      <w:effect w:val="none"/>
      <w:vertAlign w:val="baseline"/>
      <w:cs w:val="0"/>
      <w:em w:val="none"/>
    </w:rPr>
  </w:style>
  <w:style w:type="character" w:customStyle="1" w:styleId="Heading2Char">
    <w:name w:val="Heading 2 Char"/>
    <w:basedOn w:val="DefaultParagraphFont"/>
    <w:link w:val="Heading2"/>
    <w:uiPriority w:val="9"/>
    <w:semiHidden/>
    <w:rsid w:val="00F33773"/>
    <w:rPr>
      <w:rFonts w:ascii="Times Armenian" w:eastAsia="Times New Roman" w:hAnsi="Times Armenian" w:cs="Times New Roman"/>
      <w:b/>
      <w:bCs/>
      <w:iCs/>
      <w:position w:val="-1"/>
      <w:sz w:val="24"/>
      <w:szCs w:val="24"/>
      <w:lang w:val="hy-AM" w:eastAsia="zh-CN"/>
    </w:rPr>
  </w:style>
  <w:style w:type="character" w:customStyle="1" w:styleId="Heading3Char">
    <w:name w:val="Heading 3 Char"/>
    <w:basedOn w:val="DefaultParagraphFont"/>
    <w:link w:val="Heading3"/>
    <w:uiPriority w:val="9"/>
    <w:semiHidden/>
    <w:rsid w:val="00F33773"/>
    <w:rPr>
      <w:rFonts w:ascii="Arial LatArm" w:eastAsia="Times New Roman" w:hAnsi="Arial LatArm" w:cs="Times New Roman"/>
      <w:bCs/>
      <w:position w:val="-1"/>
      <w:sz w:val="24"/>
      <w:szCs w:val="24"/>
      <w:lang w:val="ru-RU" w:eastAsia="zh-CN"/>
    </w:rPr>
  </w:style>
  <w:style w:type="character" w:customStyle="1" w:styleId="Heading5Char">
    <w:name w:val="Heading 5 Char"/>
    <w:basedOn w:val="DefaultParagraphFont"/>
    <w:link w:val="Heading5"/>
    <w:uiPriority w:val="9"/>
    <w:semiHidden/>
    <w:rsid w:val="00F33773"/>
    <w:rPr>
      <w:rFonts w:eastAsia="Times New Roman" w:cs="Times New Roman"/>
      <w:b/>
      <w:position w:val="-1"/>
      <w:lang w:val="ru-RU" w:eastAsia="zh-CN"/>
    </w:rPr>
  </w:style>
  <w:style w:type="character" w:customStyle="1" w:styleId="Heading6Char">
    <w:name w:val="Heading 6 Char"/>
    <w:basedOn w:val="DefaultParagraphFont"/>
    <w:link w:val="Heading6"/>
    <w:uiPriority w:val="9"/>
    <w:semiHidden/>
    <w:rsid w:val="00F33773"/>
    <w:rPr>
      <w:rFonts w:ascii="Times Armenian" w:eastAsia="Times New Roman" w:hAnsi="Times Armenian" w:cs="Times New Roman"/>
      <w:position w:val="-1"/>
      <w:sz w:val="28"/>
      <w:lang w:val="ru-RU" w:eastAsia="zh-CN"/>
    </w:rPr>
  </w:style>
  <w:style w:type="character" w:customStyle="1" w:styleId="Heading7Char">
    <w:name w:val="Heading 7 Char"/>
    <w:basedOn w:val="DefaultParagraphFont"/>
    <w:link w:val="Heading7"/>
    <w:rsid w:val="00F33773"/>
    <w:rPr>
      <w:rFonts w:ascii="Arial LatArm" w:eastAsia="Times New Roman" w:hAnsi="Arial LatArm" w:cs="Times New Roman"/>
      <w:position w:val="-1"/>
      <w:sz w:val="24"/>
      <w:szCs w:val="24"/>
      <w:lang w:val="ru-RU" w:eastAsia="zh-CN"/>
    </w:rPr>
  </w:style>
  <w:style w:type="character" w:customStyle="1" w:styleId="Heading8Char">
    <w:name w:val="Heading 8 Char"/>
    <w:basedOn w:val="DefaultParagraphFont"/>
    <w:link w:val="Heading8"/>
    <w:rsid w:val="00F33773"/>
    <w:rPr>
      <w:rFonts w:ascii="Arial LatArm" w:eastAsia="Times New Roman" w:hAnsi="Arial LatArm" w:cs="Times New Roman"/>
      <w:i/>
      <w:iCs/>
      <w:position w:val="-1"/>
      <w:sz w:val="24"/>
      <w:szCs w:val="24"/>
      <w:lang w:val="ru-RU" w:eastAsia="zh-CN"/>
    </w:rPr>
  </w:style>
  <w:style w:type="character" w:customStyle="1" w:styleId="Heading9Char">
    <w:name w:val="Heading 9 Char"/>
    <w:basedOn w:val="DefaultParagraphFont"/>
    <w:link w:val="Heading9"/>
    <w:rsid w:val="00F33773"/>
    <w:rPr>
      <w:rFonts w:eastAsia="Times New Roman" w:cs="Times New Roman"/>
      <w:position w:val="-1"/>
      <w:lang w:val="ru-RU" w:eastAsia="zh-CN"/>
    </w:rPr>
  </w:style>
  <w:style w:type="character" w:styleId="Strong">
    <w:name w:val="Strong"/>
    <w:uiPriority w:val="22"/>
    <w:qFormat/>
    <w:rsid w:val="00F33773"/>
    <w:rPr>
      <w:b/>
      <w:bCs/>
      <w:w w:val="100"/>
      <w:position w:val="-1"/>
      <w:effect w:val="none"/>
      <w:vertAlign w:val="baseline"/>
      <w:cs w:val="0"/>
      <w:em w:val="none"/>
    </w:rPr>
  </w:style>
  <w:style w:type="paragraph" w:styleId="BodyText">
    <w:name w:val="Body Text"/>
    <w:basedOn w:val="Normal"/>
    <w:link w:val="BodyTextChar"/>
    <w:uiPriority w:val="99"/>
    <w:semiHidden/>
    <w:unhideWhenUsed/>
    <w:rsid w:val="00F33773"/>
    <w:pPr>
      <w:spacing w:after="120"/>
    </w:pPr>
  </w:style>
  <w:style w:type="character" w:customStyle="1" w:styleId="BodyTextChar">
    <w:name w:val="Body Text Char"/>
    <w:basedOn w:val="DefaultParagraphFont"/>
    <w:link w:val="BodyText"/>
    <w:uiPriority w:val="99"/>
    <w:semiHidden/>
    <w:rsid w:val="00F3377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moj.am/storage/uploads/CDL2019030_AR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1580FD-5EC5-4377-824A-8754E627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18</Pages>
  <Words>3538</Words>
  <Characters>20173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Gohar Hakobyan</dc:creator>
  <cp:lastModifiedBy>Gohar Hakobyan</cp:lastModifiedBy>
  <cp:revision>10</cp:revision>
  <dcterms:created xsi:type="dcterms:W3CDTF">2019-10-19T08:00:00Z</dcterms:created>
  <dcterms:modified xsi:type="dcterms:W3CDTF">2019-11-08T08:24:00Z</dcterms:modified>
  <cp:keywords>Mulberry 2.0</cp:keywords>
</cp:coreProperties>
</file>