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4E4" w:rsidRPr="00360155" w:rsidRDefault="0006113C">
      <w:pPr>
        <w:pStyle w:val="headingtitleStyle"/>
      </w:pPr>
      <w:bookmarkStart w:id="0" w:name="_Toc1"/>
      <w:r w:rsidRPr="00360155">
        <w:t>Ամփոփաթերթ</w:t>
      </w:r>
      <w:bookmarkEnd w:id="0"/>
    </w:p>
    <w:p w:rsidR="008864E4" w:rsidRPr="00360155" w:rsidRDefault="0006113C">
      <w:pPr>
        <w:pStyle w:val="headingtitleStyle"/>
      </w:pPr>
      <w:bookmarkStart w:id="1" w:name="_Toc2"/>
      <w:r w:rsidRPr="00360155">
        <w:t>«Պետական ֆինանսների կառավարման համակարգի 2019-2023 թվականների բարեփոխումների ռազմավարությունը և պետական ֆինանսների կառավարման համակարգի բարեփոխումների 2019–2023 թվականների գործողությունների ծրագիրը հաստատելու մասին» ՀՀ կառավարության որոշման նախագիծ նախագծի վերաբերյալ</w:t>
      </w:r>
      <w:bookmarkEnd w:id="1"/>
    </w:p>
    <w:p w:rsidR="008864E4" w:rsidRPr="00360155" w:rsidRDefault="008864E4">
      <w:pPr>
        <w:rPr>
          <w:rFonts w:ascii="GHEA Grapalat" w:hAnsi="GHEA Grapalat"/>
        </w:rPr>
      </w:pPr>
    </w:p>
    <w:tbl>
      <w:tblPr>
        <w:tblW w:w="0" w:type="auto"/>
        <w:tblCellMar>
          <w:left w:w="10" w:type="dxa"/>
          <w:right w:w="10" w:type="dxa"/>
        </w:tblCellMar>
        <w:tblLook w:val="0000" w:firstRow="0" w:lastRow="0" w:firstColumn="0" w:lastColumn="0" w:noHBand="0" w:noVBand="0"/>
      </w:tblPr>
      <w:tblGrid>
        <w:gridCol w:w="457"/>
        <w:gridCol w:w="2248"/>
        <w:gridCol w:w="4710"/>
        <w:gridCol w:w="3457"/>
        <w:gridCol w:w="3033"/>
      </w:tblGrid>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Առարկության, առաջարկության հեղինակը, ստացման ամսաթիվը</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Առարկության, առաջարկության բովանդակությունը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Եզրակացություն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Կատարված փոփոխությունը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vAlign w:val="center"/>
          </w:tcPr>
          <w:p w:rsidR="008864E4" w:rsidRPr="00360155" w:rsidRDefault="008864E4">
            <w:pPr>
              <w:jc w:val="center"/>
              <w:rPr>
                <w:rFonts w:ascii="GHEA Grapalat" w:hAnsi="GHEA Grapalat"/>
                <w:sz w:val="22"/>
                <w:szCs w:val="22"/>
              </w:rPr>
            </w:pPr>
          </w:p>
        </w:tc>
        <w:tc>
          <w:tcPr>
            <w:tcW w:w="2248" w:type="dxa"/>
            <w:tcBorders>
              <w:top w:val="single" w:sz="1" w:space="0" w:color="000000"/>
              <w:left w:val="single" w:sz="1" w:space="0" w:color="000000"/>
              <w:bottom w:val="single" w:sz="1" w:space="0" w:color="000000"/>
              <w:right w:val="single" w:sz="1" w:space="0" w:color="000000"/>
            </w:tcBorders>
            <w:vAlign w:val="center"/>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w:t>
            </w:r>
          </w:p>
        </w:tc>
        <w:tc>
          <w:tcPr>
            <w:tcW w:w="4710" w:type="dxa"/>
            <w:tcBorders>
              <w:top w:val="single" w:sz="1" w:space="0" w:color="000000"/>
              <w:left w:val="single" w:sz="1" w:space="0" w:color="000000"/>
              <w:bottom w:val="single" w:sz="1" w:space="0" w:color="000000"/>
              <w:right w:val="single" w:sz="1" w:space="0" w:color="000000"/>
            </w:tcBorders>
            <w:vAlign w:val="center"/>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w:t>
            </w:r>
          </w:p>
        </w:tc>
        <w:tc>
          <w:tcPr>
            <w:tcW w:w="3457" w:type="dxa"/>
            <w:tcBorders>
              <w:top w:val="single" w:sz="1" w:space="0" w:color="000000"/>
              <w:left w:val="single" w:sz="1" w:space="0" w:color="000000"/>
              <w:bottom w:val="single" w:sz="1" w:space="0" w:color="000000"/>
              <w:right w:val="single" w:sz="1" w:space="0" w:color="000000"/>
            </w:tcBorders>
            <w:vAlign w:val="center"/>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w:t>
            </w:r>
          </w:p>
        </w:tc>
        <w:tc>
          <w:tcPr>
            <w:tcW w:w="3033" w:type="dxa"/>
            <w:tcBorders>
              <w:top w:val="single" w:sz="1" w:space="0" w:color="000000"/>
              <w:left w:val="single" w:sz="1" w:space="0" w:color="000000"/>
              <w:bottom w:val="single" w:sz="1" w:space="0" w:color="000000"/>
              <w:right w:val="single" w:sz="1" w:space="0" w:color="000000"/>
            </w:tcBorders>
            <w:vAlign w:val="center"/>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4</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20:45:37</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Հարկային քաղաքականության և հարկային վարչարարության մասով միջոցառումների կատարման մասով անհասկանալի է նախատեսված ժամկետները: Մասնավորապես անհասկանալի է գյուղատնտեսական արտադրանքի իրացման գործարքների փաստաթղթավորման հետ կապված միջոցառման մասով 2 տարուց ավելի ժամկետի նախատեսումը, իսկ հարկային պոտենցիալի և ճեղքի գնահատման կամ բյուջեից վերադարձվող հարկերի գումարների վերաբերյալ տեղեկատվության հրապարակման համար 2019-2023թթ միջակայքի նախատեսումը: Եթե վերջին երկու միջոցառումների դեպքում </w:t>
            </w:r>
            <w:r w:rsidRPr="00360155">
              <w:rPr>
                <w:rFonts w:ascii="GHEA Grapalat" w:eastAsia="GHEA Grapalat" w:hAnsi="GHEA Grapalat" w:cs="GHEA Grapalat"/>
                <w:color w:val="000000"/>
                <w:sz w:val="22"/>
                <w:szCs w:val="22"/>
              </w:rPr>
              <w:lastRenderedPageBreak/>
              <w:t>կառավարությունը նկատի է ունեցել, որ դրանք 2019-2023թթ կրելու են պարբերական բնույթ, ապա ճիշտ կլիներ նախատեսվեր դրանց սկիզբը նախատեսեղ ժամկետ և այնուհետև գրվեր պարբերաբեր կամ շարունակական, բայց կարծես այստեղ խոսքը արդյունքի սկզբի մասին է:</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Նախագծով սահմանված է գյուղատնտեսական արտադրանքի իրացման գործարքների փաստաթղթավորման հետ կապված հարցերը կարգավորելու առավելագույն ժամկետ, որը դեռևս չի նշանակում, որ հարցը չի կարգավորվելու մինչև 2021 թվականի դեկտեմբեր:</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20:27:58</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5. Եկամտային հարկերի մասով հստակեցված չէ կառավարության մոտեցումները առաջիկա 5 տարիների ընթացքում, մինչդեռ կարծում ենք, որ կառավարությունը պետք է հստակ ուղղենիշեր ունենա եկամտային հարկերի քաղաքականության և հայտարարագրման համակարգի լիարժեք ներդրման հարցում:</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Հայտնում ենք, որ եկամուտների հայտարա¬րա¬գր¬ման համակարգի ներդրման հիմնական ուղղությունները ներկա փուլում քննարկվում է: Ինչ վերաբերում է այդ ուղղությունները ՊՖԿՀ 2019-2023 թվականների բարեփոխումների ռազմավարության մեջ նշելուն, ապա հայտնում ենք, որ այն չի բխում ռազմավարության կարգավորման առարկայի շրջանակներից: Ավելին, նախատեսվում է առաջիկայում մշակել համակարգի ներդրման վերաբերյալ հայեցակարգային փաստաթուղթ:</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3</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20:03:07</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Եկամուտների </w:t>
            </w:r>
            <w:proofErr w:type="gramStart"/>
            <w:r w:rsidRPr="00360155">
              <w:rPr>
                <w:rFonts w:ascii="GHEA Grapalat" w:eastAsia="GHEA Grapalat" w:hAnsi="GHEA Grapalat" w:cs="GHEA Grapalat"/>
                <w:color w:val="000000"/>
                <w:sz w:val="22"/>
                <w:szCs w:val="22"/>
              </w:rPr>
              <w:t>քաղաքականություն  4</w:t>
            </w:r>
            <w:proofErr w:type="gramEnd"/>
            <w:r w:rsidRPr="00360155">
              <w:rPr>
                <w:rFonts w:ascii="GHEA Grapalat" w:eastAsia="GHEA Grapalat" w:hAnsi="GHEA Grapalat" w:cs="GHEA Grapalat"/>
                <w:color w:val="000000"/>
                <w:sz w:val="22"/>
                <w:szCs w:val="22"/>
              </w:rPr>
              <w:t>. Տարիներ շարունակ հաշվապահական և հարկային հաշվառման կանոնները իրարից հեռացվել են, ինչը հարկ վճարողների համար կրկնակի հաշվառման, լրացուցիչ ֆինանսական և վարչարարական ռեսուրսների օգտագործման պատճառ է հանդիսացել: Մինչդեռ ինչպես նախկին, այլնպես էլ գործող իշխանությունները բազմիցս հայտարարել են հարկ վճարողի բեռի թեթևացման անհրաժեշտության մասին, ավելին միջոցառումներ են իրականացնում Doing Business դասակարգման Հայաստանի դիրքը բարելավվելու ուղղությամբ: Մինչդեռ առաջարկվող փաստաթղթով հաշվապահական հաշվառման և հարկային հաշվառման մոտարկման վերաբերյալ միջոցառումներ նախատեսված չեն:</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Ինչպես հայտնի է շահութահարկով հարկման բազան որոշելիս հաշվառումն հիմնականում իրականացվում է հաշվապահական հաշվառումը և ֆինանսական հաշվետվությունների պատրաստումը կարգավորող օրենքներով: Բացի այդ, հայտնում ենք, որ գործնականում հնարավոր և նպատակահարմար չէ ամբողջությամբ մոտարկել հարկային հաշվառման և հաշվապահական հաշվառման կանոնները: Միաժամանակ, հարկային հաշվառման և հաշվապահական հաշվառման առանձին կանոնները մոտարկելու առարկայական առաջարկությունների առկայության պարագայում հայտնում ենք մեր պատրաստակամությունը քննարկել դրանց մոտարկման </w:t>
            </w:r>
            <w:r w:rsidRPr="00360155">
              <w:rPr>
                <w:rFonts w:ascii="GHEA Grapalat" w:eastAsia="GHEA Grapalat" w:hAnsi="GHEA Grapalat" w:cs="GHEA Grapalat"/>
                <w:color w:val="000000"/>
                <w:sz w:val="22"/>
                <w:szCs w:val="22"/>
              </w:rPr>
              <w:lastRenderedPageBreak/>
              <w:t>նպատակահարմարության հարցը: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4</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19:53:49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Եկամուտների </w:t>
            </w:r>
            <w:proofErr w:type="gramStart"/>
            <w:r w:rsidRPr="00360155">
              <w:rPr>
                <w:rFonts w:ascii="GHEA Grapalat" w:eastAsia="GHEA Grapalat" w:hAnsi="GHEA Grapalat" w:cs="GHEA Grapalat"/>
                <w:color w:val="000000"/>
                <w:sz w:val="22"/>
                <w:szCs w:val="22"/>
              </w:rPr>
              <w:t>քաղաքականություն  3</w:t>
            </w:r>
            <w:proofErr w:type="gramEnd"/>
            <w:r w:rsidRPr="00360155">
              <w:rPr>
                <w:rFonts w:ascii="GHEA Grapalat" w:eastAsia="GHEA Grapalat" w:hAnsi="GHEA Grapalat" w:cs="GHEA Grapalat"/>
                <w:color w:val="000000"/>
                <w:sz w:val="22"/>
                <w:szCs w:val="22"/>
              </w:rPr>
              <w:t>. Գործող հարկային կարգավորումներով սահմանված պատասխանատվության միջոցները անհամաչափ են: Օրենքի դրույթի խախտման համար պատասխանատվության չափի սահմանումը մի կողմից խախտման կանխարգելման նպատակ է հետապնդում, սակայն այն սահմանելիս անհրաժեշտ է հաշվի առնել նաև պատասխանատվության համաչափության սկզբունքը, որն առաջին հերթին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 Մինչդեռ առաջարկվող փաստաթղթով պատասխանատվության միջոցների վերանայման հետ կապված մոտեցումներ չկան:</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Առաջարկությունը անհրաժեշտ է լրացուցիչ քննարկել: Այս առումով, հայտնում ենք, որ հասկանալի չէ, թե խոսքը որ պատասխանատվության միջոցների մասին է, որոնք «Հարկ վճարողների պաշտպանություն» հասարակական կազմակերպության կողմից դիտարկվում են ոչ համաչափ: Միաժամանակ, հայտնում ենք մեր պատրաստակամությունը առարկայական առաջարկություններ ներկայացնելու դեպքում քննարկել այդ պատասխանատվության միջոցների ոչ համաչափ լինելու հարցը: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5</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18.09.2019 19:37:33</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 xml:space="preserve">Եկամուտների </w:t>
            </w:r>
            <w:proofErr w:type="gramStart"/>
            <w:r w:rsidRPr="00360155">
              <w:rPr>
                <w:rFonts w:ascii="GHEA Grapalat" w:eastAsia="GHEA Grapalat" w:hAnsi="GHEA Grapalat" w:cs="GHEA Grapalat"/>
                <w:color w:val="000000"/>
                <w:sz w:val="22"/>
                <w:szCs w:val="22"/>
              </w:rPr>
              <w:t>քաղաքականություն  2</w:t>
            </w:r>
            <w:proofErr w:type="gramEnd"/>
            <w:r w:rsidRPr="00360155">
              <w:rPr>
                <w:rFonts w:ascii="GHEA Grapalat" w:eastAsia="GHEA Grapalat" w:hAnsi="GHEA Grapalat" w:cs="GHEA Grapalat"/>
                <w:color w:val="000000"/>
                <w:sz w:val="22"/>
                <w:szCs w:val="22"/>
              </w:rPr>
              <w:t xml:space="preserve">. Գործող հարկային կարգավորումների շրջանակներում գործարքների փաստաթղթավորման հետ կապված առկա են բազմաթիվ խնդիրներ, մինչդեռ </w:t>
            </w:r>
            <w:r w:rsidRPr="00360155">
              <w:rPr>
                <w:rFonts w:ascii="GHEA Grapalat" w:eastAsia="GHEA Grapalat" w:hAnsi="GHEA Grapalat" w:cs="GHEA Grapalat"/>
                <w:color w:val="000000"/>
                <w:sz w:val="22"/>
                <w:szCs w:val="22"/>
              </w:rPr>
              <w:lastRenderedPageBreak/>
              <w:t>կառավարությունը նախատեսում է միայն կարգավորել գյուղատնտեսական արտադրանքի իրաց¬ման գործարքների փաստաթղթավորման հարցը միայն:</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Գործարքների փաստաթղթավորման հետ կապված առանձին հարցեր պահանջում են տեղային լուծումներ, որոնք մշտապես </w:t>
            </w:r>
            <w:r w:rsidRPr="00360155">
              <w:rPr>
                <w:rFonts w:ascii="GHEA Grapalat" w:eastAsia="GHEA Grapalat" w:hAnsi="GHEA Grapalat" w:cs="GHEA Grapalat"/>
                <w:color w:val="000000"/>
                <w:sz w:val="22"/>
                <w:szCs w:val="22"/>
              </w:rPr>
              <w:lastRenderedPageBreak/>
              <w:t>գտնվում են ՀՀ ֆինանսների նախարարության ուշադրության կենտրոնում և անհրաժեշտության դեպքում կատարվում են համապատասխան օրենսդրական փոփոխություններ: Ինչ վերաբերում է գյուղատնտեսական արտադրանքի փաստաթղթավորման խնդիրների կարգավորմանը, ապա այս պարագայում հարցը համակարգային է և պահանջում է համակարգային փոփոխություններ:</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6</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 վճարողների պաշտպանություն» 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19:32:38</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Բաղադրիչ 1.</w:t>
            </w:r>
            <w:r w:rsidRPr="00360155">
              <w:rPr>
                <w:rFonts w:ascii="GHEA Grapalat" w:eastAsia="GHEA Grapalat" w:hAnsi="GHEA Grapalat" w:cs="GHEA Grapalat"/>
                <w:color w:val="000000"/>
                <w:sz w:val="22"/>
                <w:szCs w:val="22"/>
              </w:rPr>
              <w:tab/>
              <w:t xml:space="preserve">Եկամուտների </w:t>
            </w:r>
            <w:proofErr w:type="gramStart"/>
            <w:r w:rsidRPr="00360155">
              <w:rPr>
                <w:rFonts w:ascii="GHEA Grapalat" w:eastAsia="GHEA Grapalat" w:hAnsi="GHEA Grapalat" w:cs="GHEA Grapalat"/>
                <w:color w:val="000000"/>
                <w:sz w:val="22"/>
                <w:szCs w:val="22"/>
              </w:rPr>
              <w:t>քաղաքականություն  1</w:t>
            </w:r>
            <w:proofErr w:type="gramEnd"/>
            <w:r w:rsidRPr="00360155">
              <w:rPr>
                <w:rFonts w:ascii="GHEA Grapalat" w:eastAsia="GHEA Grapalat" w:hAnsi="GHEA Grapalat" w:cs="GHEA Grapalat"/>
                <w:color w:val="000000"/>
                <w:sz w:val="22"/>
                <w:szCs w:val="22"/>
              </w:rPr>
              <w:t xml:space="preserve">. Մի կողմից կառավարությունը հայտարարում է, որ գործող հարկային օրենսդրությամբ սահմանված հասցեականություն չունեցող հարկային արտոնությունները նախատեսում է վերացվեն, սակայն այդ թվում օրենսդրական նախաձեռնության կարգով ներկայացվող հասցեականություն չունեցող հարկային արտոնություն ենթադրող նախագծեր </w:t>
            </w:r>
            <w:r w:rsidRPr="00360155">
              <w:rPr>
                <w:rFonts w:ascii="GHEA Grapalat" w:eastAsia="GHEA Grapalat" w:hAnsi="GHEA Grapalat" w:cs="GHEA Grapalat"/>
                <w:color w:val="000000"/>
                <w:sz w:val="22"/>
                <w:szCs w:val="22"/>
              </w:rPr>
              <w:lastRenderedPageBreak/>
              <w:t>արժանանում են կառավարության հավանությանը: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Հասկանալի չէ, թե խոսքը ինչպիսի հասցեականություն չունեցող հարկային արտոնություններ նախատեսող նախագծերին հավանություն տալու մասին է: Այս առումով, հայտնում ենք, որ յուրաքանչյուր հարկային արտոնություն տրամադրելուց առաջ բազմակողմանի քննարկվում և ուսումնասիրվում է այդ </w:t>
            </w:r>
            <w:r w:rsidRPr="00360155">
              <w:rPr>
                <w:rFonts w:ascii="GHEA Grapalat" w:eastAsia="GHEA Grapalat" w:hAnsi="GHEA Grapalat" w:cs="GHEA Grapalat"/>
                <w:color w:val="000000"/>
                <w:sz w:val="22"/>
                <w:szCs w:val="22"/>
              </w:rPr>
              <w:lastRenderedPageBreak/>
              <w:t>արտոնության արդյունավետություը և հասցեականությունը:</w:t>
            </w:r>
          </w:p>
        </w:tc>
      </w:tr>
      <w:tr w:rsidR="00360155"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7</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18:00:25</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Առաջարկություններ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նախագծերի վերաբերյալ  ՀՀ ֆինանսների նախարարության կողմից մշակվել են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նախագծերը, որոնց վերաբերյալ առկա են հետևյալ նկատառումները.  1.</w:t>
            </w:r>
            <w:r w:rsidRPr="00360155">
              <w:rPr>
                <w:rFonts w:ascii="GHEA Grapalat" w:eastAsia="GHEA Grapalat" w:hAnsi="GHEA Grapalat" w:cs="GHEA Grapalat"/>
                <w:color w:val="000000"/>
                <w:sz w:val="22"/>
                <w:szCs w:val="22"/>
              </w:rPr>
              <w:tab/>
              <w:t xml:space="preserve">Ռազմավարության նախագծի 3-րդ կետում նշված է, որ «…ՀՀ կառավարության 2016 թվականի փետրվարի 18-ի N 6 արձանագրության 15-րդ կետով հավանության արժանացած արձանագրային որոշմամբ ընդունվել է ՊՖԿՀ բարեփոխումների վերանայված՝ 2016-2020թթ. ռազմավարությունը (ՊՖԿՀԲ երկրորդ ռազմավարությունը):» Չկա որևէ բացատրություն, թե ինչու առանց ավարտին </w:t>
            </w:r>
            <w:r w:rsidRPr="00360155">
              <w:rPr>
                <w:rFonts w:ascii="GHEA Grapalat" w:eastAsia="GHEA Grapalat" w:hAnsi="GHEA Grapalat" w:cs="GHEA Grapalat"/>
                <w:color w:val="000000"/>
                <w:sz w:val="22"/>
                <w:szCs w:val="22"/>
              </w:rPr>
              <w:lastRenderedPageBreak/>
              <w:t>հասցնելու նշված ռազմավարությունը, որոշվել է սկսել ՊՖԿՀ նոր ռազմավարություն՝ իր գործողությունների ծրագրով: Բնականաբար, չկա նաև այդ ռազմավարության կատարման գնահատականը:  Առաջարկություն Ռազմավարության «Ներածություն» բաժնում ներկայացնել ՊՖԿՀԲ երկրորդ ռազմավարության իրականացման գնահատականը՝ նշելով նաև այն պատճառները, որոնց հետևանքով որոշվել էր մինչև այն ավարտին հասցնելը սկսել նոր, ՊՖԿՀԲ երրորդ ռազմավարության իրականացումը:      2.</w:t>
            </w:r>
            <w:r w:rsidRPr="00360155">
              <w:rPr>
                <w:rFonts w:ascii="GHEA Grapalat" w:eastAsia="GHEA Grapalat" w:hAnsi="GHEA Grapalat" w:cs="GHEA Grapalat"/>
                <w:color w:val="000000"/>
                <w:sz w:val="22"/>
                <w:szCs w:val="22"/>
              </w:rPr>
              <w:tab/>
              <w:t>Ռազմավարության 8-րդ բաժնի (Ռազմավարական պլանավորում, միջնաժամկետ ծախսերի ծրագրերի և պետական բյուջեի կազմում) Բաղադրիչ 5-ի (Ծրագրային բյուջետավորում) Կատարողականի վերջնական արդյունքային ցուցանիշը (Ցուցանիշ 18) իր բնույթով արդյունքային ցուցանիշ չէ, քանի որ այդպիսի ցուցանիշը ենթադրում է կոնկրետ, շոշափելի և չափելի արդյունք (ինչպիսիք են Ռազմավարության այլ արդյունքային ցուցանիշների մեծ մասը):  Առաջարկություն Որպես Ցուցանիշ 18 սահմանել կոնկրետ և չափելի կատարողականի վերջնական արդյունքային ցուցանիշ:    3.</w:t>
            </w:r>
            <w:r w:rsidRPr="00360155">
              <w:rPr>
                <w:rFonts w:ascii="GHEA Grapalat" w:eastAsia="GHEA Grapalat" w:hAnsi="GHEA Grapalat" w:cs="GHEA Grapalat"/>
                <w:color w:val="000000"/>
                <w:sz w:val="22"/>
                <w:szCs w:val="22"/>
              </w:rPr>
              <w:tab/>
              <w:t xml:space="preserve">Մեր կազմակերպության կողմից իրականացվող ծրագրային բյուջետավորման ներդրման </w:t>
            </w:r>
            <w:r w:rsidRPr="00360155">
              <w:rPr>
                <w:rFonts w:ascii="GHEA Grapalat" w:eastAsia="GHEA Grapalat" w:hAnsi="GHEA Grapalat" w:cs="GHEA Grapalat"/>
                <w:color w:val="000000"/>
                <w:sz w:val="22"/>
                <w:szCs w:val="22"/>
              </w:rPr>
              <w:lastRenderedPageBreak/>
              <w:t>մոնիտորինգը վեր հանեց ճյուղային նախարարությունների մեծ մասի աշխատակազմերի համապատասխան բաժինների անբավարար կարողությունները ՝ լինելու համարժեք ծրագրային բյուջետավորման համակարգի պահանջներին:  Առաջարկություն   Ռազմավարության Թիրախ 16-ի 4-րդ միջոցառման մեջ մարդկային ռեսուրսների տակ կոնկրետացնել ճյուղային նախարարությունների մարդկային ռեսուրսների զարգացմանն ուղղված միջոցառումները:  4.</w:t>
            </w:r>
            <w:r w:rsidRPr="00360155">
              <w:rPr>
                <w:rFonts w:ascii="GHEA Grapalat" w:eastAsia="GHEA Grapalat" w:hAnsi="GHEA Grapalat" w:cs="GHEA Grapalat"/>
                <w:color w:val="000000"/>
                <w:sz w:val="22"/>
                <w:szCs w:val="22"/>
              </w:rPr>
              <w:tab/>
              <w:t xml:space="preserve">Բյուջետային ծրագրերի իրականացման ընթացքում, մանավանդ ծրագրային բյուջետավորման ներդրման ներկա, սկզբնական փուլում, հնարավոր են այնպիսի իրավիճակներ, երբ ծրագրի կատարման գնահատումը կարող է վեր հանել դրա իրականացման այնպիսի անարդյունավետություն կամ այլ տեսակի թերություններ, ինչպես նաև օբյեկտիվ պատճառներով պայմանավորված փոփոխություններ, որոնք կարող են հանգեցնել ծրագրի՝ նախապես պլանավորված տեսքով և բյուջեով իրականացման անհնարինությանը:  Առաջարկություն Ռազմավարության Թիրախ 17-ի երկրորդ միջոցառման մեջ որպես առանձին քայլ նախատեսել նաև ծրագրերի վերանայման և դրա արդյունքում այն </w:t>
            </w:r>
            <w:r w:rsidRPr="00360155">
              <w:rPr>
                <w:rFonts w:ascii="GHEA Grapalat" w:eastAsia="GHEA Grapalat" w:hAnsi="GHEA Grapalat" w:cs="GHEA Grapalat"/>
                <w:color w:val="000000"/>
                <w:sz w:val="22"/>
                <w:szCs w:val="22"/>
              </w:rPr>
              <w:lastRenderedPageBreak/>
              <w:t>փոփոխելու հնարավորությունը: 5.</w:t>
            </w:r>
            <w:r w:rsidRPr="00360155">
              <w:rPr>
                <w:rFonts w:ascii="GHEA Grapalat" w:eastAsia="GHEA Grapalat" w:hAnsi="GHEA Grapalat" w:cs="GHEA Grapalat"/>
                <w:color w:val="000000"/>
                <w:sz w:val="22"/>
                <w:szCs w:val="22"/>
              </w:rPr>
              <w:tab/>
              <w:t>Բաղադրիչ 15-ի (Պետական գնումներ) առկա իրավիճակի նկարագրության և խնդիրների մեջ արդարացիորեն նշվում է, որ «… Համաշխարհային Բանկի գնահատմամբ էլեկտրոնային գնումների  համակարգը տեխնիկական և ֆունկցիոնալ առումով չի համապատասխանում ինչպես ժամանակակից, այնպես էլ գնումների մասին ՀՀ օրենսդրությամբ սահմանված ֆունկցիոնալ պահանջներին:» Միևնույն ժամանակ, ոչ այդ բաժնում, և ոչ էլ այլ տեղ չի կոնկրետացվում, թե ինչ պահանջների մասին է խոսքը:  Առաջարկություն Սահմանել Բաղադրիչ 15-ի կատարողականի վերջնական արդյունքային ցուցանիշներ, որոնք կոնկրետ ցույց կտան այն արդյունքները, որոնց հասնելու դեպքում կունենանք էլեկտրոնային գնումների՝ ֆունկցիոնալ առումով ժամանակակից և ՀՀ օրենսդրությանը համապատասխանող համակարգ: 6.</w:t>
            </w:r>
            <w:r w:rsidRPr="00360155">
              <w:rPr>
                <w:rFonts w:ascii="GHEA Grapalat" w:eastAsia="GHEA Grapalat" w:hAnsi="GHEA Grapalat" w:cs="GHEA Grapalat"/>
                <w:color w:val="000000"/>
                <w:sz w:val="22"/>
                <w:szCs w:val="22"/>
              </w:rPr>
              <w:tab/>
              <w:t xml:space="preserve">Բաղադրիչ 17-ում (որի վերնագիրն անհասկանալի է, բայց հետագա շարադրանքից երևում է, որ խոսքը գնում է գնումների բողոքարկման համակարգի մասին) առկա իրավիճակի նկարագրության մեջ արդարացիորեն նշվում է, որ գնումների արտադատական բողոքարկման համակարգը արդյունավետ չէ՝ հիմնականում պայմանավորված բողոքներ քննող անձանց </w:t>
            </w:r>
            <w:r w:rsidRPr="00360155">
              <w:rPr>
                <w:rFonts w:ascii="GHEA Grapalat" w:eastAsia="GHEA Grapalat" w:hAnsi="GHEA Grapalat" w:cs="GHEA Grapalat"/>
                <w:color w:val="000000"/>
                <w:sz w:val="22"/>
                <w:szCs w:val="22"/>
              </w:rPr>
              <w:lastRenderedPageBreak/>
              <w:t>գործունեությամբ: Ինչպես երևում է Թիրախ 34-ի միջոցառումից որպես լուծում առաջարկվում է գնումների հետ կապված բողոքների քննում միայն  դատարանների կողմից, ինչը նշանակում է գնումների արտադատական համակարգի վերացում: Գտնում ենք, որ գնումների ներկայիս արտադատական համակարգի թերությունները դեռևս չեն նշանակում, որ ընդհանրապես հնարավոր չէ ունենալ իրապես անկախ և արդյունավետ այդպիսի համակարգ և միջազգային փորձը նույնպես վկայում է, որ այդպիսի արդյունավետ և անկախ համակարգերի առկայության մասին:  Առաջարկություն Թիրախ 34-ում որպես միջոցառման իրականացմանն ուղղված քայլ ներառել նաև Հայաստանում գնումների բողոքարկման սկզբունքորեն նոր արտադատական համակարգի ներդրումը: 7.</w:t>
            </w:r>
            <w:r w:rsidRPr="00360155">
              <w:rPr>
                <w:rFonts w:ascii="GHEA Grapalat" w:eastAsia="GHEA Grapalat" w:hAnsi="GHEA Grapalat" w:cs="GHEA Grapalat"/>
                <w:color w:val="000000"/>
                <w:sz w:val="22"/>
                <w:szCs w:val="22"/>
              </w:rPr>
              <w:tab/>
              <w:t xml:space="preserve">Ռազմավարության վերջին, 22-րդ բաժնում (Հանրային մասնակցություն և հաղորդակցություն) իրականում խոսքը գնում է միայն հաղորդակցության մասին և ոչ մի խոսք չկա հանրային մասնակցության մասին: Այնինչ Հայաստանում արդեն կան զգալի թվով քաղաքացիական հասարակության կազմակերպություններ (ՔՀԿ), որոնք ունեն բավարար կարողություններ՝ ներգրավվելու Ռազմավարության և նրա իրականացման գործողությունների ծրագրի միջոցառումների </w:t>
            </w:r>
            <w:r w:rsidRPr="00360155">
              <w:rPr>
                <w:rFonts w:ascii="GHEA Grapalat" w:eastAsia="GHEA Grapalat" w:hAnsi="GHEA Grapalat" w:cs="GHEA Grapalat"/>
                <w:color w:val="000000"/>
                <w:sz w:val="22"/>
                <w:szCs w:val="22"/>
              </w:rPr>
              <w:lastRenderedPageBreak/>
              <w:t>մոնիտորինգ և գնահատում իրականացնելու համար,: Այդպիսի մոնիտորինգի և գնահատման արդյունքները կարող են էապես բարելավել Ռազմավարության և նրա իրականացման գործողությունների արդյունավետությունը և դրանով իսկ խթանելու այդպիսի ՔՀԿ-երի և համապատասխան պետական մարմինների միջև համագործակցությունը:  Առաջարկություն Ռազմավարության նշված բաժնում ներառել նաև համապատասխան պետական մարմինների և ՔՀԿ-երի միջև համագործակցությանը վերաբերող դրույթներ: 8.</w:t>
            </w:r>
            <w:r w:rsidRPr="00360155">
              <w:rPr>
                <w:rFonts w:ascii="GHEA Grapalat" w:eastAsia="GHEA Grapalat" w:hAnsi="GHEA Grapalat" w:cs="GHEA Grapalat"/>
                <w:color w:val="000000"/>
                <w:sz w:val="22"/>
                <w:szCs w:val="22"/>
              </w:rPr>
              <w:tab/>
              <w:t>Չնայած նրան, որ որպես կառավարության հանձնառություն նշված է նաև «Հանրային ֆինանսների կառավարման բնագավառում կոռուպցիոն երևութույները ծնող պատճառների վերահսկման և վերջիններիս վերացմանը կամ չեզոքացմանն ուղղված գործողությունների իրականացում» հանձնառությունը (տե՛ս 3-րդ բաժնի 13) հանձնառությունը), Ռազմավարության հետագա շարադրանքում դրա իրականացման մասին որևէ դրույթ առկա չէ:   Առաջարկություն Ռազմավարության մեջ առանձին բաժնով ներառել կոռուպցիոն ռիսկերի կանոնավոր վերհանմանը, ուսումնասիրությանը, վերահսկմանը և չեզոքացմանը կամ նվազեցմանն ուղղված միջոցառումներ:</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rsidP="00625A51">
            <w:pPr>
              <w:jc w:val="center"/>
              <w:rPr>
                <w:rFonts w:ascii="GHEA Grapalat" w:hAnsi="GHEA Grapalat"/>
                <w:sz w:val="22"/>
                <w:szCs w:val="22"/>
                <w:lang w:val="hy-AM"/>
              </w:rPr>
            </w:pPr>
            <w:r w:rsidRPr="00360155">
              <w:rPr>
                <w:rFonts w:ascii="GHEA Grapalat" w:hAnsi="GHEA Grapalat"/>
                <w:sz w:val="22"/>
                <w:szCs w:val="22"/>
                <w:lang w:val="hy-AM"/>
              </w:rPr>
              <w:lastRenderedPageBreak/>
              <w:t>Սույն կետում ներկայացված առաջարկությունները կրկնում են 8-21-րդ կետերի առաջարկությունները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lang w:val="hy-AM"/>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8</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8.</w:t>
            </w:r>
            <w:r w:rsidRPr="00360155">
              <w:rPr>
                <w:rFonts w:ascii="GHEA Grapalat" w:eastAsia="GHEA Grapalat" w:hAnsi="GHEA Grapalat" w:cs="GHEA Grapalat"/>
                <w:color w:val="000000"/>
                <w:sz w:val="22"/>
                <w:szCs w:val="22"/>
              </w:rPr>
              <w:tab/>
              <w:t>Չնայած նրան, որ որպես կառավարության հանձնառություն նշված է նաև «Հանրային ֆինանսների կառավարման բնագավառում կոռուպցիոն երևութույները ծնող պատճառների վերահսկման և վերջիններիս վերացմանը կամ չեզոքացմանն ուղղված գործողությունների իրականացում» հանձնառությունը (տե՛ս 3-րդ բաժնի 13) հանձնառությունը), Ռազմավարության հետագա շարադրանքում դրա իրականացման մասին որևէ դրույթ առկա չէ:   Առաջարկություն Ռազմավարության մեջ առանձին բաժնով ներառել կոռուպցիոն ռիսկերի կանոնավոր վերհանմանը, ուսումնասիրությանը, վերահսկմանը և չեզոքացմանը կամ նվազեցմանն ուղղված միջոցառումներ:</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ՊՖԿՀ բարեփոխումների ռազմավարության բոլոր ոլորտներով/բաղադրիչներով նախատեսված թիրախները և միջւոցառումները ուղղված են Հանրային ֆինանսների կառավարման բնագավառում կոռուպցիոն երևույթները ծնող պատճառների վերահսկման և վերջիններիս վերացմանը կամ չեզոքացմանը, և գտնում ենք սույն նախագծում լրացուցիչ դրույթ ներառելու անհրաժեշտություն չկա։ Ընդ որում, հանրային ֆինանսների կառավարման ոլորտում առաջարկվող համակարգային բարեփոխումների իրականացումը իր անմիջական ներդրումը կունենա նաև կոռուպցիայի կանխարգելման գործում: Միաժամանակ կոռուպցիայի դեմ պայքարի դրույթները կարգավորվում են առանձին ռազմավարությամբ, որը նաև ներառում է հանրային ֆինանսների ոլորտը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9</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7.</w:t>
            </w:r>
            <w:r w:rsidRPr="00360155">
              <w:rPr>
                <w:rFonts w:ascii="GHEA Grapalat" w:eastAsia="GHEA Grapalat" w:hAnsi="GHEA Grapalat" w:cs="GHEA Grapalat"/>
                <w:color w:val="000000"/>
                <w:sz w:val="22"/>
                <w:szCs w:val="22"/>
              </w:rPr>
              <w:tab/>
              <w:t>Ռազմավարության վերջին, 22-րդ բաժնում (Հանրային մասնակցություն և հաղորդակցություն) իրականում խոսքը գնում է միայն հաղորդակցության մասին և ոչ մի խոսք չկա հանրային մասնակցության մասին: Այնինչ Հայաստանում արդեն կան զգալի թվով քաղաքացիական հասարակության կազմակերպություններ (ՔՀԿ), որոնք ունեն բավարար կարողություններ՝ ներգրավվելու Ռազմավարության և նրա իրականացման գործողությունների ծրագրի միջոցառումների մոնիտորինգ և գնահատում իրականացնելու համար,: Այդպիսի մոնիտորինգի և գնահատման արդյունքները կարող են էապես բարելավել Ռազմավարության և նրա իրականացման գործողությունների արդյունավետությունը և դրանով իսկ խթանելու այդպիսի ՔՀԿ-երի և համապատասխան պետական մարմինների միջև համագործակցությունը:  Առաջարկություն Ռազմավարության նշված բաժնում ներառել նաև համապատասխան պետական մարմինների և ՔՀԿ-երի միջև համագործակցությանը վերաբերող դրույթներ:</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Համապատասխան պետական մարմինների և ՔՀԿ-երի միջև համագործակցությանը կապահովվի 22-րդ բաժնի 20-րդ կետի շրջանակներում՝ կիրառելով հետադարձ կապի մեխանիզմներ՝ համագործակցելով նաև շահագրգիռ ՔՀԿ-ների հետ:</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10</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6.</w:t>
            </w:r>
            <w:r w:rsidRPr="00360155">
              <w:rPr>
                <w:rFonts w:ascii="GHEA Grapalat" w:eastAsia="GHEA Grapalat" w:hAnsi="GHEA Grapalat" w:cs="GHEA Grapalat"/>
                <w:color w:val="000000"/>
                <w:sz w:val="22"/>
                <w:szCs w:val="22"/>
              </w:rPr>
              <w:tab/>
              <w:t xml:space="preserve">Բաղադրիչ 17-ում (որի վերնագիրն անհասկանալի է, բայց հետագա շարադրանքից երևում է, որ խոսքը գնում է գնումների բողոքարկման համակարգի մասին) առկա իրավիճակի նկարագրության </w:t>
            </w:r>
            <w:r w:rsidRPr="00360155">
              <w:rPr>
                <w:rFonts w:ascii="GHEA Grapalat" w:eastAsia="GHEA Grapalat" w:hAnsi="GHEA Grapalat" w:cs="GHEA Grapalat"/>
                <w:color w:val="000000"/>
                <w:sz w:val="22"/>
                <w:szCs w:val="22"/>
              </w:rPr>
              <w:lastRenderedPageBreak/>
              <w:t>մեջ արդարացիորեն նշվում է, որ գնումների արտադատական բողոքարկման համակարգը արդյունավետ չէ՝ հիմնականում պայմանավորված բողոքներ քննող անձանց գործունեությամբ: Ինչպես երևում է Թիրախ 34-ի միջոցառումից որպես լուծում առաջարկվում է գնումների հետ կապված բողոքների քննում միայն  դատարանների կողմից, ինչը նշանակում է գնումների արտադատական համակարգի վերացում: Գտնում ենք, որ գնումների ներկայիս արտադատական համակարգի թերությունները դեռևս չեն նշանակում, որ ընդհանրապես հնարավոր չէ ունենալ իրապես անկախ և արդյունավետ այդպիսի համակարգ և միջազգային փորձը նույնպես վկայում է, որ այդպիսի արդյունավետ և անկախ համակարգերի առկայության մասին:  Առաջարկություն Թիրախ 34-ում որպես միջոցառման իրականացմանն ուղղված քայլ ներառել նաև Հայաստանում գնումների բողոքարկման սկզբունքորեն նոր արտադատական համակարգի ներդրումը: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Տվյալ դեպքում քննարկվում է արտադատական բողոքարկման ինստիտուտը վերափոխելու հանգամանքը, որի պարագայում </w:t>
            </w:r>
            <w:r w:rsidRPr="00360155">
              <w:rPr>
                <w:rFonts w:ascii="GHEA Grapalat" w:eastAsia="GHEA Grapalat" w:hAnsi="GHEA Grapalat" w:cs="GHEA Grapalat"/>
                <w:color w:val="000000"/>
                <w:sz w:val="22"/>
                <w:szCs w:val="22"/>
              </w:rPr>
              <w:lastRenderedPageBreak/>
              <w:t>արտադատական համակարգ այլևս չի գործի:</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11</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5.</w:t>
            </w:r>
            <w:r w:rsidRPr="00360155">
              <w:rPr>
                <w:rFonts w:ascii="GHEA Grapalat" w:eastAsia="GHEA Grapalat" w:hAnsi="GHEA Grapalat" w:cs="GHEA Grapalat"/>
                <w:color w:val="000000"/>
                <w:sz w:val="22"/>
                <w:szCs w:val="22"/>
              </w:rPr>
              <w:tab/>
              <w:t xml:space="preserve">Բաղադրիչ 15-ի (Պետական գնումներ) առկա իրավիճակի նկարագրության և խնդիրների մեջ արդարացիորեն նշվում է, որ «… Համաշխարհային Բանկի գնահատմամբ էլեկտրոնային գնումների  համակարգը տեխնիկական և ֆունկցիոնալ առումով չի համապատասխանում ինչպես </w:t>
            </w:r>
            <w:r w:rsidRPr="00360155">
              <w:rPr>
                <w:rFonts w:ascii="GHEA Grapalat" w:eastAsia="GHEA Grapalat" w:hAnsi="GHEA Grapalat" w:cs="GHEA Grapalat"/>
                <w:color w:val="000000"/>
                <w:sz w:val="22"/>
                <w:szCs w:val="22"/>
              </w:rPr>
              <w:lastRenderedPageBreak/>
              <w:t>ժամանակակից, այնպես էլ գնումների մասին ՀՀ օրենսդրությամբ սահմանված ֆունկցիոնալ պահանջներին:» Միևնույն ժամանակ, ոչ այդ բաժնում, և ոչ էլ այլ տեղ չի կոնկրետացվում, թե ինչ պահանջների մասին է խոսքը:  Առաջարկություն Սահմանել Բաղադրիչ 15-ի կատարողականի վերջնական արդյունքային ցուցանիշներ, որոնք կոնկրետ ցույց կտան այն արդյունքները, որոնց հասնելու դեպքում կունենանք էլեկտրոնային գնումների՝ ֆունկցիոնալ առումով ժամանակակից և ՀՀ օրենսդրությանը համապատասխանող համակարգ:</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Վերջնական արդյունքային ցուցանիշները սահմանված են Նախագծի «Պետական գնումներ» բաժնի 15-րդ բաղադրիչում: Ինչ վերաբերում է ՀԲ-ի գնահատականին, ապա </w:t>
            </w:r>
            <w:r w:rsidRPr="00360155">
              <w:rPr>
                <w:rFonts w:ascii="GHEA Grapalat" w:eastAsia="GHEA Grapalat" w:hAnsi="GHEA Grapalat" w:cs="GHEA Grapalat"/>
                <w:color w:val="000000"/>
                <w:sz w:val="22"/>
                <w:szCs w:val="22"/>
              </w:rPr>
              <w:lastRenderedPageBreak/>
              <w:t>տվյալ տեղեկատվությունը հասանելի է համացանցում՝ ՀԲ-ի համապատասխան հաշվետվությունների մեջ:</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12</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4.</w:t>
            </w:r>
            <w:r w:rsidRPr="00360155">
              <w:rPr>
                <w:rFonts w:ascii="GHEA Grapalat" w:eastAsia="GHEA Grapalat" w:hAnsi="GHEA Grapalat" w:cs="GHEA Grapalat"/>
                <w:color w:val="000000"/>
                <w:sz w:val="22"/>
                <w:szCs w:val="22"/>
              </w:rPr>
              <w:tab/>
              <w:t xml:space="preserve">Բյուջետային ծրագրերի իրականացման ընթացքում, մանավանդ ծրագրային բյուջետավորման ներդրման ներկա, սկզբնական փուլում, հնարավոր են այնպիսի իրավիճակներ, երբ ծրագրի կատարման գնահատումը կարող է վեր հանել դրա իրականացման այնպիսի անարդյունավետություն կամ այլ տեսակի թերություններ, ինչպես նաև օբյեկտիվ պատճառներով պայմանավորված փոփոխություններ, որոնք կարող են հանգեցնել ծրագրի՝ նախապես պլանավորված տեսքով և բյուջեով իրականացման անհնարինությանը:  Առաջարկություն Ռազմավարության Թիրախ 17-ի երկրորդ միջոցառման մեջ որպես առանձին քայլ նախատեսել նաև ծրագրերի </w:t>
            </w:r>
            <w:r w:rsidRPr="00360155">
              <w:rPr>
                <w:rFonts w:ascii="GHEA Grapalat" w:eastAsia="GHEA Grapalat" w:hAnsi="GHEA Grapalat" w:cs="GHEA Grapalat"/>
                <w:color w:val="000000"/>
                <w:sz w:val="22"/>
                <w:szCs w:val="22"/>
              </w:rPr>
              <w:lastRenderedPageBreak/>
              <w:t>վերանայման և դրա արդյունքում այն փոփոխելու հնարավորությունը: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 xml:space="preserve">Ընդունվել է </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B6555F" w:rsidP="00B6555F">
            <w:pPr>
              <w:jc w:val="center"/>
              <w:rPr>
                <w:rFonts w:ascii="GHEA Grapalat" w:hAnsi="GHEA Grapalat"/>
                <w:sz w:val="22"/>
                <w:szCs w:val="22"/>
              </w:rPr>
            </w:pPr>
            <w:r>
              <w:rPr>
                <w:rFonts w:ascii="GHEA Grapalat" w:eastAsia="GHEA Grapalat" w:hAnsi="GHEA Grapalat" w:cs="GHEA Grapalat"/>
                <w:color w:val="000000"/>
                <w:sz w:val="22"/>
                <w:szCs w:val="22"/>
                <w:lang w:val="hy-AM"/>
              </w:rPr>
              <w:t xml:space="preserve">Նախագծի 1-ին հավելվածի </w:t>
            </w:r>
            <w:r w:rsidRPr="00360155">
              <w:rPr>
                <w:rFonts w:ascii="GHEA Grapalat" w:eastAsia="GHEA Grapalat" w:hAnsi="GHEA Grapalat" w:cs="GHEA Grapalat"/>
                <w:color w:val="000000"/>
                <w:sz w:val="22"/>
                <w:szCs w:val="22"/>
              </w:rPr>
              <w:t>16-րդ թիրախ</w:t>
            </w:r>
            <w:r>
              <w:rPr>
                <w:rFonts w:ascii="GHEA Grapalat" w:eastAsia="GHEA Grapalat" w:hAnsi="GHEA Grapalat" w:cs="GHEA Grapalat"/>
                <w:color w:val="000000"/>
                <w:sz w:val="22"/>
                <w:szCs w:val="22"/>
                <w:lang w:val="hy-AM"/>
              </w:rPr>
              <w:t>ը խմբագրվել է</w:t>
            </w:r>
          </w:p>
        </w:tc>
      </w:tr>
      <w:tr w:rsidR="00B6555F" w:rsidRPr="00360155" w:rsidTr="000A0519">
        <w:tc>
          <w:tcPr>
            <w:tcW w:w="457" w:type="dxa"/>
            <w:tcBorders>
              <w:top w:val="single" w:sz="1" w:space="0" w:color="000000"/>
              <w:left w:val="single" w:sz="1" w:space="0" w:color="000000"/>
              <w:bottom w:val="single" w:sz="1" w:space="0" w:color="000000"/>
              <w:right w:val="single" w:sz="1" w:space="0" w:color="000000"/>
            </w:tcBorders>
          </w:tcPr>
          <w:p w:rsidR="00B6555F" w:rsidRPr="00360155" w:rsidRDefault="00B6555F"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13</w:t>
            </w:r>
          </w:p>
        </w:tc>
        <w:tc>
          <w:tcPr>
            <w:tcW w:w="2248" w:type="dxa"/>
            <w:tcBorders>
              <w:top w:val="single" w:sz="1" w:space="0" w:color="000000"/>
              <w:left w:val="single" w:sz="1" w:space="0" w:color="000000"/>
              <w:bottom w:val="single" w:sz="1" w:space="0" w:color="000000"/>
              <w:right w:val="single" w:sz="1" w:space="0" w:color="000000"/>
            </w:tcBorders>
          </w:tcPr>
          <w:p w:rsidR="00B6555F" w:rsidRPr="00360155" w:rsidRDefault="00B6555F"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B6555F" w:rsidRPr="00360155" w:rsidRDefault="00B6555F"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B6555F" w:rsidRPr="00360155" w:rsidRDefault="00B6555F"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t>3.</w:t>
            </w:r>
            <w:r w:rsidRPr="00360155">
              <w:rPr>
                <w:rFonts w:ascii="GHEA Grapalat" w:eastAsia="GHEA Grapalat" w:hAnsi="GHEA Grapalat" w:cs="GHEA Grapalat"/>
                <w:color w:val="000000"/>
                <w:sz w:val="22"/>
                <w:szCs w:val="22"/>
              </w:rPr>
              <w:tab/>
              <w:t>Մեր կազմակերպության կողմից իրականացվող ծրագրային բյուջետավորման ներդրման մոնիտորինգը վեր հանեց ճյուղային նախարարությունների մեծ մասի աշխատակազմերի համապատասխան բաժինների անբավարար կարողությունները ՝ լինելու համարժեք ծրագրային բյուջետավորման համակարգի պահանջներին:  Առաջարկություն   Ռազմավարության Թիրախ 16-ի 4-րդ միջոցառման մեջ մարդկային ռեսուրսների տակ կոնկրետացնել ճյուղային նախարարությունների մարդկային ռեսուրսների զարգացմանն ուղղված միջոցառումները:</w:t>
            </w:r>
          </w:p>
        </w:tc>
        <w:tc>
          <w:tcPr>
            <w:tcW w:w="3457" w:type="dxa"/>
            <w:tcBorders>
              <w:top w:val="single" w:sz="1" w:space="0" w:color="000000"/>
              <w:left w:val="single" w:sz="1" w:space="0" w:color="000000"/>
              <w:bottom w:val="single" w:sz="1" w:space="0" w:color="000000"/>
              <w:right w:val="single" w:sz="1" w:space="0" w:color="000000"/>
            </w:tcBorders>
          </w:tcPr>
          <w:p w:rsidR="00B6555F" w:rsidRPr="00360155" w:rsidRDefault="00B6555F" w:rsidP="00B6555F">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Ընդունվել է </w:t>
            </w:r>
          </w:p>
        </w:tc>
        <w:tc>
          <w:tcPr>
            <w:tcW w:w="3033" w:type="dxa"/>
            <w:tcBorders>
              <w:top w:val="single" w:sz="1" w:space="0" w:color="000000"/>
              <w:left w:val="single" w:sz="1" w:space="0" w:color="000000"/>
              <w:bottom w:val="single" w:sz="1" w:space="0" w:color="000000"/>
              <w:right w:val="single" w:sz="1" w:space="0" w:color="000000"/>
            </w:tcBorders>
          </w:tcPr>
          <w:p w:rsidR="00B6555F" w:rsidRPr="00360155" w:rsidRDefault="00B6555F" w:rsidP="00B6555F">
            <w:pPr>
              <w:jc w:val="center"/>
              <w:rPr>
                <w:rFonts w:ascii="GHEA Grapalat" w:hAnsi="GHEA Grapalat"/>
                <w:sz w:val="22"/>
                <w:szCs w:val="22"/>
              </w:rPr>
            </w:pPr>
            <w:r>
              <w:rPr>
                <w:rFonts w:ascii="GHEA Grapalat" w:eastAsia="GHEA Grapalat" w:hAnsi="GHEA Grapalat" w:cs="GHEA Grapalat"/>
                <w:color w:val="000000"/>
                <w:sz w:val="22"/>
                <w:szCs w:val="22"/>
                <w:lang w:val="hy-AM"/>
              </w:rPr>
              <w:t xml:space="preserve">Նախագծի 1-ին հավելվածի </w:t>
            </w:r>
            <w:r w:rsidRPr="00360155">
              <w:rPr>
                <w:rFonts w:ascii="GHEA Grapalat" w:eastAsia="GHEA Grapalat" w:hAnsi="GHEA Grapalat" w:cs="GHEA Grapalat"/>
                <w:color w:val="000000"/>
                <w:sz w:val="22"/>
                <w:szCs w:val="22"/>
              </w:rPr>
              <w:t>16-րդ թիրախ</w:t>
            </w:r>
            <w:r>
              <w:rPr>
                <w:rFonts w:ascii="GHEA Grapalat" w:eastAsia="GHEA Grapalat" w:hAnsi="GHEA Grapalat" w:cs="GHEA Grapalat"/>
                <w:color w:val="000000"/>
                <w:sz w:val="22"/>
                <w:szCs w:val="22"/>
                <w:lang w:val="hy-AM"/>
              </w:rPr>
              <w:t>ի 3-րդ միջոցառումը խմբագրվել է</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14</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w:t>
            </w:r>
            <w:r w:rsidRPr="00360155">
              <w:rPr>
                <w:rFonts w:ascii="GHEA Grapalat" w:eastAsia="GHEA Grapalat" w:hAnsi="GHEA Grapalat" w:cs="GHEA Grapalat"/>
                <w:color w:val="000000"/>
                <w:sz w:val="22"/>
                <w:szCs w:val="22"/>
              </w:rPr>
              <w:tab/>
              <w:t xml:space="preserve">Ռազմավարության 8-րդ բաժնի (Ռազմավարական պլանավորում, միջնաժամկետ ծախսերի ծրագրերի և պետական բյուջեի կազմում) Բաղադրիչ 5-ի (Ծրագրային բյուջետավորում) Կատարողականի վերջնական արդյունքային ցուցանիշը (Ցուցանիշ 18) իր բնույթով արդյունքային ցուցանիշ չէ, քանի որ այդպիսի ցուցանիշը ենթադրում է կոնկրետ, շոշափելի և չափելի արդյունք (ինչպիսիք են Ռազմավարության այլ արդյունքային ցուցանիշների մեծ մասը):  Առաջարկություն </w:t>
            </w:r>
            <w:r w:rsidRPr="00360155">
              <w:rPr>
                <w:rFonts w:ascii="GHEA Grapalat" w:eastAsia="GHEA Grapalat" w:hAnsi="GHEA Grapalat" w:cs="GHEA Grapalat"/>
                <w:color w:val="000000"/>
                <w:sz w:val="22"/>
                <w:szCs w:val="22"/>
              </w:rPr>
              <w:lastRenderedPageBreak/>
              <w:t>Որպես Ցուցանիշ 18 սահմանել կոնկրետ և չափելի կատարողականի վերջնական արդյունքային ցուցանիշ:</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Ընդունվել է</w:t>
            </w:r>
          </w:p>
        </w:tc>
        <w:tc>
          <w:tcPr>
            <w:tcW w:w="3033" w:type="dxa"/>
            <w:tcBorders>
              <w:top w:val="single" w:sz="1" w:space="0" w:color="000000"/>
              <w:left w:val="single" w:sz="1" w:space="0" w:color="000000"/>
              <w:bottom w:val="single" w:sz="1" w:space="0" w:color="000000"/>
              <w:right w:val="single" w:sz="1" w:space="0" w:color="000000"/>
            </w:tcBorders>
          </w:tcPr>
          <w:p w:rsidR="008864E4" w:rsidRPr="00B6555F" w:rsidRDefault="00B6555F">
            <w:pPr>
              <w:jc w:val="center"/>
              <w:rPr>
                <w:rFonts w:ascii="GHEA Grapalat" w:hAnsi="GHEA Grapalat"/>
                <w:sz w:val="22"/>
                <w:szCs w:val="22"/>
                <w:lang w:val="hy-AM"/>
              </w:rPr>
            </w:pPr>
            <w:r w:rsidRPr="00360155">
              <w:rPr>
                <w:rFonts w:ascii="GHEA Grapalat" w:eastAsia="GHEA Grapalat" w:hAnsi="GHEA Grapalat" w:cs="GHEA Grapalat"/>
                <w:color w:val="000000"/>
                <w:sz w:val="22"/>
                <w:szCs w:val="22"/>
              </w:rPr>
              <w:t>Կատարողականի վերջնական արդյունքային ցուցանիշ</w:t>
            </w:r>
            <w:r>
              <w:rPr>
                <w:rFonts w:ascii="GHEA Grapalat" w:eastAsia="GHEA Grapalat" w:hAnsi="GHEA Grapalat" w:cs="GHEA Grapalat"/>
                <w:color w:val="000000"/>
                <w:sz w:val="22"/>
                <w:szCs w:val="22"/>
                <w:lang w:val="hy-AM"/>
              </w:rPr>
              <w:t>ները խմբագրվել են</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15</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17:59:56</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Առաջարկություններ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նախագծերի վերաբերյալ  ՀՀ ֆինանսների նախարարության կողմից մշակվել են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նախագծերը, որոնց վերաբերյալ առկա են հետևյալ նկատառումները.  1.</w:t>
            </w:r>
            <w:r w:rsidRPr="00360155">
              <w:rPr>
                <w:rFonts w:ascii="GHEA Grapalat" w:eastAsia="GHEA Grapalat" w:hAnsi="GHEA Grapalat" w:cs="GHEA Grapalat"/>
                <w:color w:val="000000"/>
                <w:sz w:val="22"/>
                <w:szCs w:val="22"/>
              </w:rPr>
              <w:tab/>
              <w:t xml:space="preserve">Ռազմավարության նախագծի 3-րդ կետում նշված է, որ «…ՀՀ կառավարության 2016 թվականի փետրվարի 18-ի N 6 արձանագրության 15-րդ կետով հավանության արժանացած արձանագրային որոշմամբ ընդունվել է ՊՖԿՀ բարեփոխումների վերանայված՝ 2016-2020թթ. ռազմավարությունը (ՊՖԿՀԲ երկրորդ ռազմավարությունը):» Չկա որևէ բացատրություն, թե ինչու առանց ավարտին </w:t>
            </w:r>
            <w:r w:rsidRPr="00360155">
              <w:rPr>
                <w:rFonts w:ascii="GHEA Grapalat" w:eastAsia="GHEA Grapalat" w:hAnsi="GHEA Grapalat" w:cs="GHEA Grapalat"/>
                <w:color w:val="000000"/>
                <w:sz w:val="22"/>
                <w:szCs w:val="22"/>
              </w:rPr>
              <w:lastRenderedPageBreak/>
              <w:t>հասցնելու նշված ռազմավարությունը, որոշվել է սկսել ՊՖԿՀ նոր ռազմավարություն՝ իր գործողությունների ծրագրով: Բնականաբար, չկա նաև այդ ռազմավարության կատարման գնահատականը:  Առաջարկություն Ռազմավարության «Ներածություն» բաժնում ներկայացնել ՊՖԿՀԲ երկրորդ ռազմավարության իրականացման գնահատականը՝ նշելով նաև այն պատճառները, որոնց հետևանքով որոշվել էր մինչև այն ավարտին հասցնելը սկսել նոր, ՊՖԿՀԲ երրորդ ռազմավարության իրականացումը: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Ռազմավարության նախագծի տեսքը լրացուցիչ տեղեկատվությամբ չծանրաբեռնելու նպատակով 2016-2019թթ</w:t>
            </w:r>
            <w:r w:rsidRPr="00360155">
              <w:rPr>
                <w:rFonts w:ascii="Cambria Math" w:eastAsia="GHEA Grapalat" w:hAnsi="Cambria Math" w:cs="Cambria Math"/>
                <w:color w:val="000000"/>
                <w:sz w:val="22"/>
                <w:szCs w:val="22"/>
              </w:rPr>
              <w:t>․</w:t>
            </w:r>
            <w:r w:rsidRPr="00360155">
              <w:rPr>
                <w:rFonts w:ascii="GHEA Grapalat" w:eastAsia="GHEA Grapalat" w:hAnsi="GHEA Grapalat" w:cs="GHEA Grapalat"/>
                <w:color w:val="000000"/>
                <w:sz w:val="22"/>
                <w:szCs w:val="22"/>
              </w:rPr>
              <w:t xml:space="preserve"> իրականացված աշխատանքների վերաբերյալ տեղեկատվությունը չի ներկայացված։  Պարզաբանման կարգով նշվում է, որ Պետական ֆինանսների կառավարման համակարգի բարեփոխումների 2016-2020 թվականներին իրականացվելիք գործողությունների ծրագրի 1-11-րդ կետերով նախատեսված և 2018 թվականի ընթացքում իրականացված միջոցառումների կատարման վերաբերյալ հաշվետվությունը՝ ըստ ՊՖԿՀ տարրերի (ոլորտների) տեղադրված է www.minfin.am կայքում։ Միաժամանակ նշենք, որ </w:t>
            </w:r>
            <w:r w:rsidRPr="00360155">
              <w:rPr>
                <w:rFonts w:ascii="GHEA Grapalat" w:eastAsia="GHEA Grapalat" w:hAnsi="GHEA Grapalat" w:cs="GHEA Grapalat"/>
                <w:color w:val="000000"/>
                <w:sz w:val="22"/>
                <w:szCs w:val="22"/>
              </w:rPr>
              <w:lastRenderedPageBreak/>
              <w:t>նախորդ ռազմավարությունով նախատեսված և չիրականացված միջոցառումները վերանայվել են և ընդգրկվել են առաջարկվող ռազմավարության նախագծում: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16</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17:57:13</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w:t>
            </w:r>
            <w:r w:rsidRPr="00360155">
              <w:rPr>
                <w:rFonts w:ascii="GHEA Grapalat" w:eastAsia="GHEA Grapalat" w:hAnsi="GHEA Grapalat" w:cs="GHEA Grapalat"/>
                <w:color w:val="000000"/>
                <w:sz w:val="22"/>
                <w:szCs w:val="22"/>
              </w:rPr>
              <w:tab/>
              <w:t>Մեր կազմակերպության կողմից իրականացվող ծրագրային բյուջետավորման ներդրման մոնիտորինգը վեր հանեց ճյուղային նախարարությունների մեծ մասի աշխատակազմերի համապատասխան բաժինների անբավարար կարողությունները ՝ լինելու համարժեք ծրագրային բյուջետավորման համակարգի պահանջներին:  Առաջարկություն   Ռազմավարության Թիրախ 16-ի 4-րդ միջոցառման մեջ մարդկային ռեսուրսների տակ կոնկրետացնել ճյուղային նախարարությունների մարդկային ռեսուրսների զարգացմանն ուղղված միջոցառումները: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pPr>
              <w:jc w:val="center"/>
              <w:rPr>
                <w:rFonts w:ascii="GHEA Grapalat" w:hAnsi="GHEA Grapalat"/>
                <w:sz w:val="22"/>
                <w:szCs w:val="22"/>
                <w:lang w:val="hy-AM"/>
              </w:rPr>
            </w:pPr>
            <w:r w:rsidRPr="00360155">
              <w:rPr>
                <w:rFonts w:ascii="GHEA Grapalat" w:hAnsi="GHEA Grapalat"/>
                <w:sz w:val="22"/>
                <w:szCs w:val="22"/>
                <w:lang w:val="hy-AM"/>
              </w:rPr>
              <w:t>Կրկնվում է։ Տե՛ս 13-րդ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17</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17:57:13</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w:t>
            </w:r>
            <w:r w:rsidRPr="00360155">
              <w:rPr>
                <w:rFonts w:ascii="GHEA Grapalat" w:eastAsia="GHEA Grapalat" w:hAnsi="GHEA Grapalat" w:cs="GHEA Grapalat"/>
                <w:color w:val="000000"/>
                <w:sz w:val="22"/>
                <w:szCs w:val="22"/>
              </w:rPr>
              <w:tab/>
              <w:t>Ռազմավարության 8-րդ բաժնի (Ռազմավարական պլանավորում, միջնաժամկետ ծախսերի ծրագրերի և պետական բյուջեի կազմում) Բաղադրիչ 5-ի (Ծրագրային բյուջետավորում) Կատարողականի վերջնական արդյունքային ցուցանիշը (Ցուցանիշ 18) իր բնույթով արդյունքային ցուցանիշ չէ, քանի որ այդպիսի ցուցանիշը ենթադրում է կոնկրետ, շոշափելի և չափելի արդյունք (ինչպիսիք են Ռազմավարության այլ արդյունքային ցուցանիշների մեծ մասը):  Առաջարկություն Որպես Ցուցանիշ 18 սահմանել կոնկրետ և չափելի կատարողականի վերջնական արդյունքային ցուցանիշ:</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pPr>
              <w:jc w:val="center"/>
              <w:rPr>
                <w:rFonts w:ascii="GHEA Grapalat" w:hAnsi="GHEA Grapalat"/>
                <w:sz w:val="22"/>
                <w:szCs w:val="22"/>
              </w:rPr>
            </w:pPr>
            <w:r w:rsidRPr="00360155">
              <w:rPr>
                <w:rFonts w:ascii="GHEA Grapalat" w:hAnsi="GHEA Grapalat"/>
                <w:sz w:val="22"/>
                <w:szCs w:val="22"/>
                <w:lang w:val="hy-AM"/>
              </w:rPr>
              <w:t>Կրկնվում է։ Տե՛ս 13-րդ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17:57:13</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w:t>
            </w:r>
            <w:r w:rsidRPr="00360155">
              <w:rPr>
                <w:rFonts w:ascii="GHEA Grapalat" w:eastAsia="GHEA Grapalat" w:hAnsi="GHEA Grapalat" w:cs="GHEA Grapalat"/>
                <w:color w:val="000000"/>
                <w:sz w:val="22"/>
                <w:szCs w:val="22"/>
              </w:rPr>
              <w:tab/>
              <w:t xml:space="preserve">Ռազմավարության նախագծի 3-րդ կետում նշված է, որ «…ՀՀ կառավարության 2016 թվականի փետրվարի 18-ի N 6 արձանագրության 15-րդ կետով հավանության արժանացած արձանագրային որոշմամբ ընդունվել է ՊՖԿՀ բարեփոխումների վերանայված՝ 2016-2020թթ. ռազմավարությունը (ՊՖԿՀԲ երկրորդ ռազմավարությունը):» Չկա որևէ բացատրություն, թե ինչու առանց ավարտին հասցնելու նշված ռազմավարությունը, որոշվել է սկսել ՊՖԿՀ նոր ռազմավարություն՝ իր գործողությունների ծրագրով: Բնականաբար, չկա նաև այդ ռազմավարության կատարման գնահատականը:  Առաջարկություն </w:t>
            </w:r>
            <w:r w:rsidRPr="00360155">
              <w:rPr>
                <w:rFonts w:ascii="GHEA Grapalat" w:eastAsia="GHEA Grapalat" w:hAnsi="GHEA Grapalat" w:cs="GHEA Grapalat"/>
                <w:color w:val="000000"/>
                <w:sz w:val="22"/>
                <w:szCs w:val="22"/>
              </w:rPr>
              <w:lastRenderedPageBreak/>
              <w:t>Ռազմավարության «Ներածություն» բաժնում ներկայացնել ՊՖԿՀԲ երկրորդ ռազմավարության իրականացման գնահատականը՝ նշելով նաև այն պատճառները, որոնց հետևանքով որոշվել էր մինչև այն ավարտին հասցնելը սկսել նոր, ՊՖԿՀԲ երրորդ ռազմավարության իրականացումը: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pPr>
              <w:jc w:val="center"/>
              <w:rPr>
                <w:rFonts w:ascii="GHEA Grapalat" w:hAnsi="GHEA Grapalat"/>
                <w:sz w:val="22"/>
                <w:szCs w:val="22"/>
              </w:rPr>
            </w:pPr>
            <w:r w:rsidRPr="00360155">
              <w:rPr>
                <w:rFonts w:ascii="GHEA Grapalat" w:hAnsi="GHEA Grapalat"/>
                <w:sz w:val="22"/>
                <w:szCs w:val="22"/>
                <w:lang w:val="hy-AM"/>
              </w:rPr>
              <w:lastRenderedPageBreak/>
              <w:t>Կրկնվում է։ Տե՛ս 15-րդ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19</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17:54:34</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Առաջարկություններ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նախագծերի վերաբերյալ  ՀՀ ֆինանսների նախարարության կողմից մշակվել են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նախագծերը, որոնց վերաբերյալ առկա են հետևյալ նկատառումները.  1.</w:t>
            </w:r>
            <w:r w:rsidRPr="00360155">
              <w:rPr>
                <w:rFonts w:ascii="GHEA Grapalat" w:eastAsia="GHEA Grapalat" w:hAnsi="GHEA Grapalat" w:cs="GHEA Grapalat"/>
                <w:color w:val="000000"/>
                <w:sz w:val="22"/>
                <w:szCs w:val="22"/>
              </w:rPr>
              <w:tab/>
              <w:t xml:space="preserve">Ռազմավարության նախագծի 3-րդ կետում նշված է, որ «…ՀՀ կառավարության 2016 թվականի փետրվարի 18-ի N 6 արձանագրության 15-րդ կետով հավանության արժանացած արձանագրային </w:t>
            </w:r>
            <w:r w:rsidRPr="00360155">
              <w:rPr>
                <w:rFonts w:ascii="GHEA Grapalat" w:eastAsia="GHEA Grapalat" w:hAnsi="GHEA Grapalat" w:cs="GHEA Grapalat"/>
                <w:color w:val="000000"/>
                <w:sz w:val="22"/>
                <w:szCs w:val="22"/>
              </w:rPr>
              <w:lastRenderedPageBreak/>
              <w:t>որոշմամբ ընդունվել է ՊՖԿՀ բարեփոխումների վերանայված՝ 2016-2020թթ. ռազմավարությունը (ՊՖԿՀԲ երկրորդ ռազմավարությունը):» Չկա որևէ բացատրություն, թե ինչու առանց ավարտին հասցնելու նշված ռազմավարությունը, որոշվել է սկսել ՊՖԿՀ նոր ռազմավարություն՝ իր գործողությունների ծրագրով: Բնականաբար, չկա նաև այդ ռազմավարության կատարման գնահատականը:  Առաջարկություն Ռազմավարության «Ներածություն» բաժնում ներկայացնել ՊՖԿՀԲ երկրորդ ռազմավարության իրականացման գնահատականը՝ նշելով նաև այն պատճառները, որոնց հետևանքով որոշվել էր մինչև այն ավարտին հասցնելը սկսել նոր, ՊՖԿՀԲ երրորդ ռազմավարության իրականացումը: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rsidP="00625A51">
            <w:pPr>
              <w:jc w:val="center"/>
              <w:rPr>
                <w:rFonts w:ascii="GHEA Grapalat" w:hAnsi="GHEA Grapalat"/>
                <w:sz w:val="22"/>
                <w:szCs w:val="22"/>
              </w:rPr>
            </w:pPr>
            <w:r w:rsidRPr="00360155">
              <w:rPr>
                <w:rFonts w:ascii="GHEA Grapalat" w:hAnsi="GHEA Grapalat"/>
                <w:sz w:val="22"/>
                <w:szCs w:val="22"/>
                <w:lang w:val="hy-AM"/>
              </w:rPr>
              <w:lastRenderedPageBreak/>
              <w:t>Կրկնվում է։ Տե՛ս 15-րդ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20</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17:53:10</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w:t>
            </w:r>
            <w:r w:rsidRPr="00360155">
              <w:rPr>
                <w:rFonts w:ascii="GHEA Grapalat" w:eastAsia="GHEA Grapalat" w:hAnsi="GHEA Grapalat" w:cs="GHEA Grapalat"/>
                <w:color w:val="000000"/>
                <w:sz w:val="22"/>
                <w:szCs w:val="22"/>
              </w:rPr>
              <w:tab/>
              <w:t xml:space="preserve">Ռազմավարության 8-րդ բաժնի (Ռազմավարական պլանավորում, միջնաժամկետ ծախսերի ծրագրերի և պետական բյուջեի կազմում) Բաղադրիչ 5-ի (Ծրագրային բյուջետավորում) Կատարողականի վերջնական արդյունքային ցուցանիշը (Ցուցանիշ 18) իր բնույթով արդյունքային ցուցանիշ չէ, քանի որ այդպիսի ցուցանիշը ենթադրում է կոնկրետ, շոշափելի և չափելի արդյունք (ինչպիսիք են Ռազմավարության այլ արդյունքային ցուցանիշների մեծ մասը):  Առաջարկություն </w:t>
            </w:r>
            <w:r w:rsidRPr="00360155">
              <w:rPr>
                <w:rFonts w:ascii="GHEA Grapalat" w:eastAsia="GHEA Grapalat" w:hAnsi="GHEA Grapalat" w:cs="GHEA Grapalat"/>
                <w:color w:val="000000"/>
                <w:sz w:val="22"/>
                <w:szCs w:val="22"/>
              </w:rPr>
              <w:lastRenderedPageBreak/>
              <w:t>Որպես Ցուցանիշ 18 սահմանել կոնկրետ և չափելի կատարողականի վերջնական արդյունքային ցուցանիշ:</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pPr>
              <w:jc w:val="center"/>
              <w:rPr>
                <w:rFonts w:ascii="GHEA Grapalat" w:hAnsi="GHEA Grapalat"/>
                <w:sz w:val="22"/>
                <w:szCs w:val="22"/>
              </w:rPr>
            </w:pPr>
            <w:r w:rsidRPr="00360155">
              <w:rPr>
                <w:rFonts w:ascii="GHEA Grapalat" w:hAnsi="GHEA Grapalat"/>
                <w:sz w:val="22"/>
                <w:szCs w:val="22"/>
                <w:lang w:val="hy-AM"/>
              </w:rPr>
              <w:lastRenderedPageBreak/>
              <w:t>Կրկնվում է։ Տե՛ս 13-րդ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21</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Թրանսփարենսի Ինթերնեշնլ հակակոռուպցիոն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17:52:38</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Առաջարկություններ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նախագծերի վերաբերյալ  ՀՀ ֆինանսների նախարարության կողմից մշակվել են «Պետական ֆինանսների կառավարման համակարգի 2019-2023 թվականների բարեփոխումների ռազմավարության» և «Պետական ֆինանսների կառավարման համակարգի բարեփոխումների 2019-2023 թվականների իրականացվելիք գործողությունների ծրագրի» նախագծերը, որոնց վերաբերյալ առկա են հետևյալ նկատառումները.  1.</w:t>
            </w:r>
            <w:r w:rsidRPr="00360155">
              <w:rPr>
                <w:rFonts w:ascii="GHEA Grapalat" w:eastAsia="GHEA Grapalat" w:hAnsi="GHEA Grapalat" w:cs="GHEA Grapalat"/>
                <w:color w:val="000000"/>
                <w:sz w:val="22"/>
                <w:szCs w:val="22"/>
              </w:rPr>
              <w:tab/>
              <w:t xml:space="preserve">Ռազմավարության նախագծի 3-րդ կետում նշված է, որ «…ՀՀ կառավարության 2016 թվականի փետրվարի 18-ի N 6 արձանագրության 15-րդ կետով հավանության արժանացած արձանագրային որոշմամբ ընդունվել է ՊՖԿՀ բարեփոխումների վերանայված՝ 2016-2020թթ. ռազմավարությունը (ՊՖԿՀԲ երկրորդ ռազմավարությունը):» Չկա որևէ բացատրություն, թե ինչու առանց ավարտին </w:t>
            </w:r>
            <w:r w:rsidRPr="00360155">
              <w:rPr>
                <w:rFonts w:ascii="GHEA Grapalat" w:eastAsia="GHEA Grapalat" w:hAnsi="GHEA Grapalat" w:cs="GHEA Grapalat"/>
                <w:color w:val="000000"/>
                <w:sz w:val="22"/>
                <w:szCs w:val="22"/>
              </w:rPr>
              <w:lastRenderedPageBreak/>
              <w:t>հասցնելու նշված ռազմավարությունը, որոշվել է սկսել ՊՖԿՀ նոր ռազմավարություն՝ իր գործողությունների ծրագրով: Բնականաբար, չկա նաև այդ ռազմավարության կատարման գնահատականը:  Առաջարկություն Ռազմավարության «Ներածություն» բաժնում ներկայացնել ՊՖԿՀԲ երկրորդ ռազմավարության իրականացման գնահատականը՝ նշելով նաև այն պատճառները, որոնց հետևանքով որոշվել էր մինչև այն ավարտին հասցնելը սկսել նոր, ՊՖԿՀԲ երրորդ ռազմավարության իրականացումը: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625A51" w:rsidP="00625A51">
            <w:pPr>
              <w:jc w:val="center"/>
              <w:rPr>
                <w:rFonts w:ascii="GHEA Grapalat" w:hAnsi="GHEA Grapalat"/>
                <w:sz w:val="22"/>
                <w:szCs w:val="22"/>
              </w:rPr>
            </w:pPr>
            <w:r w:rsidRPr="00360155">
              <w:rPr>
                <w:rFonts w:ascii="GHEA Grapalat" w:hAnsi="GHEA Grapalat"/>
                <w:sz w:val="22"/>
                <w:szCs w:val="22"/>
                <w:lang w:val="hy-AM"/>
              </w:rPr>
              <w:lastRenderedPageBreak/>
              <w:t>Կրկնվում է։ Տե՛ս 15-րդ կետի մեկնաբանությունը</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8864E4">
            <w:pPr>
              <w:jc w:val="center"/>
              <w:rPr>
                <w:rFonts w:ascii="GHEA Grapalat" w:hAnsi="GHEA Grapalat"/>
                <w:sz w:val="22"/>
                <w:szCs w:val="22"/>
              </w:rPr>
            </w:pP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22</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17:46:12</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14.</w:t>
            </w:r>
            <w:r w:rsidRPr="00360155">
              <w:rPr>
                <w:rFonts w:ascii="GHEA Grapalat" w:eastAsia="GHEA Grapalat" w:hAnsi="GHEA Grapalat" w:cs="GHEA Grapalat"/>
                <w:color w:val="000000"/>
                <w:sz w:val="22"/>
                <w:szCs w:val="22"/>
              </w:rPr>
              <w:tab/>
              <w:t xml:space="preserve">Պետական գնումներ բաժնում առանձնացված կարևոր երեք բաղադրիչների հետ մեկտեղ, կարծում ենք ոչ պակաս կարևոր նշանակություն ունի գնումների համակարգում մրցակցության բարձրացումը, որը ցավոք անտեսվել է։ Մինչդեռ, մեր ուսումնասիրությունները վկայում են, որ վերջին շրջանում գնումների ոչ մրցակցային եղանակների կիրառությունը ոչ միայն չի նվազել, այլ որոշ դեպքերում ավելացել է։ Հատկապես մտահոգիչ է հրատապության սկզբունքով կիրառվող ընթացակարգերի աճը։ Կարծում ենք, այս միտումը կարող է բացասաբար ազդել համակարգի ընդհանուր արդյունավետության վրա, քանի ոչ մրցակցային ձևերի կիրառության աճը կարող է հանգեցնել ռեսուրսների ոչ արդյունավետ </w:t>
            </w:r>
            <w:r w:rsidRPr="00360155">
              <w:rPr>
                <w:rFonts w:ascii="GHEA Grapalat" w:eastAsia="GHEA Grapalat" w:hAnsi="GHEA Grapalat" w:cs="GHEA Grapalat"/>
                <w:color w:val="000000"/>
                <w:sz w:val="22"/>
                <w:szCs w:val="22"/>
              </w:rPr>
              <w:lastRenderedPageBreak/>
              <w:t>օգտագործման և կոռուպցիոն ռիսկերի ի հայտ գալու հավանականության բարձրացման։ Ըստ այդմ, անհրաժեշտ է այս բաղադրիչը ևս ներառել և սահմանել ոչ մրցակցային ձևերի կիրառության ծավալների նվազեցմանը միտված միջոցառումներ և ցուցանիշներ։</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Առաջարկը չի կրում ռազմավարական բնույթ: Այն հանդիսանում է գնումների համակարգի արդյունավետության բարձրացման ցուցանիշ, հետևաբար նախագծում ներառելու անհրաժեշտությունը բացակայում է:</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23</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12.</w:t>
            </w:r>
            <w:r w:rsidRPr="00360155">
              <w:rPr>
                <w:rFonts w:ascii="GHEA Grapalat" w:eastAsia="GHEA Grapalat" w:hAnsi="GHEA Grapalat" w:cs="GHEA Grapalat"/>
                <w:color w:val="000000"/>
                <w:sz w:val="22"/>
                <w:szCs w:val="22"/>
              </w:rPr>
              <w:tab/>
              <w:t>Թիրախ 47-ը առնչվում է ՏԻՄ բյուջետային գործընթացի բարելավմանը: Կարծում ենք, այստեղ պետք է առանձնացնել նաև ՏԻՄ ծախսային կարիքի գնահատման մեթոդական միասնական մոտեցման մշակման և կիրառման անհրաժեշտությունը, ինչև համայնքային ծառայությունների նվազագույն մակարդակի երաշխավորման նախապայման է հանդիսանում, ինչպես նաև բյուջետային կարգապահության ու թափանցիկության բարձրացման կարևոր նախադրյալ է:</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Պարզաբանման կարգով նշենք, որ ՏԻՄ-երին առնչվող բաղադրիչով նախատեսվող միջոցառումները ներառվել են ռազմավարությունում, հաշվի առնելով Հայ-Գերկմանական համագործակցության Հարավային Կովկասի երկրներում «Լավ կառավարում հարավային կովկասում» մոդելի շրջանակներում «Ժողովրդավարություն, քաղաքացիական հասարակություն և հանրային կառավարում» գերակա ոլորտով նախատեսված համայնքներում ֆինանսական կառավարման բնագավառում ներառված միջոցառումները։ </w:t>
            </w:r>
            <w:r w:rsidRPr="00360155">
              <w:rPr>
                <w:rFonts w:ascii="GHEA Grapalat" w:eastAsia="GHEA Grapalat" w:hAnsi="GHEA Grapalat" w:cs="GHEA Grapalat"/>
                <w:color w:val="000000"/>
                <w:sz w:val="22"/>
                <w:szCs w:val="22"/>
              </w:rPr>
              <w:lastRenderedPageBreak/>
              <w:t>Ներկայացված առաջարկությունը կքննարկվի հիշյալի շրջանակներում նախատեսվող միջոցառումների համատեքստում: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24</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11.</w:t>
            </w:r>
            <w:r w:rsidRPr="00360155">
              <w:rPr>
                <w:rFonts w:ascii="GHEA Grapalat" w:eastAsia="GHEA Grapalat" w:hAnsi="GHEA Grapalat" w:cs="GHEA Grapalat"/>
                <w:color w:val="000000"/>
                <w:sz w:val="22"/>
                <w:szCs w:val="22"/>
              </w:rPr>
              <w:tab/>
              <w:t>Թիրախ 44-ում կարևորվում է ներդրումային ծրագրերի տնտեսական վերլուծության ասպեկտը: Կարծում  ենք, որ ներդրումային ծրագրերի համալիր վերլուծության անհրաժեշտությունը պետք է սահմանել՝ տնտեսականից բացի դիտարկելով այլ ասպեկտներ ևս՝ սոցիալական, բնապահպանական և այլն:</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Միջազգային լավագույն փորձի համաձայն՝ գոյություն ունի հանրային ներդրումային ծրագրերի համալիր վերլուծության և ծրագրի ընտրության ստանդարտ չափանիշներներ, իսկ նեղ ոլորտային՝ սոցիալական, բնապահպանական ե այլն, մասով դրանք պետք է իրականացվեն ճյուղային նախարարությունների կողմից, հաշվի առնելով յուրաքանչյուր ոլորտի առանձնահատկությունները: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25</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10.</w:t>
            </w:r>
            <w:r w:rsidRPr="00360155">
              <w:rPr>
                <w:rFonts w:ascii="GHEA Grapalat" w:eastAsia="GHEA Grapalat" w:hAnsi="GHEA Grapalat" w:cs="GHEA Grapalat"/>
                <w:color w:val="000000"/>
                <w:sz w:val="22"/>
                <w:szCs w:val="22"/>
              </w:rPr>
              <w:tab/>
              <w:t xml:space="preserve">Թիրախ 27-ը դիտարկում է փոխարժեքի ռիսկի մեղմման ասպեկտը, բայց ներքին պարտքի մասնաբաժնի ավելացումը այլ ռիսկեր կարող է ի հայտ բերել, որոնց արդյունավետ կառավարման կարիքը ևս կա: Ուստի կարծում ենք այստեղ ոչ միայն փոխարժեքի ռիսկի, այլ ընդհանրապես </w:t>
            </w:r>
            <w:r w:rsidRPr="00360155">
              <w:rPr>
                <w:rFonts w:ascii="GHEA Grapalat" w:eastAsia="GHEA Grapalat" w:hAnsi="GHEA Grapalat" w:cs="GHEA Grapalat"/>
                <w:color w:val="000000"/>
                <w:sz w:val="22"/>
                <w:szCs w:val="22"/>
              </w:rPr>
              <w:lastRenderedPageBreak/>
              <w:t>տարբեր ռիսկերի հավասարակշռման կարիք կա:</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DE444A">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Համակարծիք ենք, որ անհրաժեշտ է կառավարության պարտքի պորտֆելի կառավարման հետ կապված դիտարկել ոչ միայն փոխարժեքի ռիսկը, այլ նաև շուկայական այլ </w:t>
            </w:r>
            <w:r w:rsidRPr="00360155">
              <w:rPr>
                <w:rFonts w:ascii="GHEA Grapalat" w:eastAsia="GHEA Grapalat" w:hAnsi="GHEA Grapalat" w:cs="GHEA Grapalat"/>
                <w:color w:val="000000"/>
                <w:sz w:val="22"/>
                <w:szCs w:val="22"/>
              </w:rPr>
              <w:lastRenderedPageBreak/>
              <w:t>ռիսկերը, ինչը մանրամասն ներկայացված է 2020-2022թթ. ՀՀ կառավարության պարտքի կառավարման ռազմավարական ծրագրում: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26</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9.</w:t>
            </w:r>
            <w:r w:rsidRPr="00360155">
              <w:rPr>
                <w:rFonts w:ascii="GHEA Grapalat" w:eastAsia="GHEA Grapalat" w:hAnsi="GHEA Grapalat" w:cs="GHEA Grapalat"/>
                <w:color w:val="000000"/>
                <w:sz w:val="22"/>
                <w:szCs w:val="22"/>
              </w:rPr>
              <w:tab/>
              <w:t>Պետական պարտքի կառավարման բաղադրիչի նպատակների շարքում պարտքի կառավարման արդյունավետության բարձրացումը նշված չէ: Մինչդեռ վարկային ծրագրերի շրջանակներում արվող ծախսերի արդյունավետության ապահովման, ծրագրերի մշտադիրտարկման գործուն մեխանիզմների կիրառման խնդիրը ոչ պակաս արդիական նշանակություն ունի:</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Ներկայացնում ենք պարզաբանում։ Հայտնում ենք, որ առաջարկության բովանդակությունը՝ վարկային ծրագրերի շրջանակներում արվող ծախսերի արդյունավետության ապահովումը չի առնչվում կառավարության պարտքի կառավարման արդյունավետության բարձրացմանը: ՀՀ կառավարության պարտքի կառավարման գործընթացի շրջանակը նախատեսված է «Պետական պարտքի մասին» ՀՀ օրենքով:</w:t>
            </w:r>
          </w:p>
        </w:tc>
      </w:tr>
      <w:tr w:rsidR="00625A51" w:rsidRPr="00DE444A"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27</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8.</w:t>
            </w:r>
            <w:r w:rsidRPr="00360155">
              <w:rPr>
                <w:rFonts w:ascii="GHEA Grapalat" w:eastAsia="GHEA Grapalat" w:hAnsi="GHEA Grapalat" w:cs="GHEA Grapalat"/>
                <w:color w:val="000000"/>
                <w:sz w:val="22"/>
                <w:szCs w:val="22"/>
              </w:rPr>
              <w:tab/>
              <w:t>Թիրախ 16-ում, բյուջետային ծրագրերի արդյունավետության գնահատման ասպեկտը պատշաճ ուշադրության չի արժանացել:</w:t>
            </w:r>
          </w:p>
        </w:tc>
        <w:tc>
          <w:tcPr>
            <w:tcW w:w="3457" w:type="dxa"/>
            <w:tcBorders>
              <w:top w:val="single" w:sz="1" w:space="0" w:color="000000"/>
              <w:left w:val="single" w:sz="1" w:space="0" w:color="000000"/>
              <w:bottom w:val="single" w:sz="1" w:space="0" w:color="000000"/>
              <w:right w:val="single" w:sz="1" w:space="0" w:color="000000"/>
            </w:tcBorders>
          </w:tcPr>
          <w:p w:rsidR="008864E4" w:rsidRPr="00DE444A" w:rsidRDefault="00DE444A">
            <w:pPr>
              <w:jc w:val="center"/>
              <w:rPr>
                <w:rFonts w:ascii="GHEA Grapalat" w:hAnsi="GHEA Grapalat"/>
                <w:sz w:val="22"/>
                <w:szCs w:val="22"/>
                <w:lang w:val="hy-AM"/>
              </w:rPr>
            </w:pPr>
            <w:r>
              <w:rPr>
                <w:rFonts w:ascii="GHEA Grapalat" w:eastAsia="GHEA Grapalat" w:hAnsi="GHEA Grapalat" w:cs="GHEA Grapalat"/>
                <w:color w:val="000000"/>
                <w:sz w:val="22"/>
                <w:szCs w:val="22"/>
                <w:lang w:val="hy-AM"/>
              </w:rPr>
              <w:t>Ընդունվել է</w:t>
            </w:r>
          </w:p>
        </w:tc>
        <w:tc>
          <w:tcPr>
            <w:tcW w:w="3033" w:type="dxa"/>
            <w:tcBorders>
              <w:top w:val="single" w:sz="1" w:space="0" w:color="000000"/>
              <w:left w:val="single" w:sz="1" w:space="0" w:color="000000"/>
              <w:bottom w:val="single" w:sz="1" w:space="0" w:color="000000"/>
              <w:right w:val="single" w:sz="1" w:space="0" w:color="000000"/>
            </w:tcBorders>
          </w:tcPr>
          <w:p w:rsidR="008864E4" w:rsidRPr="00DE444A" w:rsidRDefault="00DE444A" w:rsidP="00DE444A">
            <w:pPr>
              <w:jc w:val="center"/>
              <w:rPr>
                <w:rFonts w:ascii="GHEA Grapalat" w:hAnsi="GHEA Grapalat"/>
                <w:sz w:val="22"/>
                <w:szCs w:val="22"/>
                <w:lang w:val="hy-AM"/>
              </w:rPr>
            </w:pPr>
            <w:r w:rsidRPr="00DE444A">
              <w:rPr>
                <w:rFonts w:ascii="GHEA Grapalat" w:eastAsia="GHEA Grapalat" w:hAnsi="GHEA Grapalat" w:cs="GHEA Grapalat"/>
                <w:color w:val="000000"/>
                <w:sz w:val="22"/>
                <w:szCs w:val="22"/>
                <w:lang w:val="hy-AM"/>
              </w:rPr>
              <w:t>Թիրախ 16-</w:t>
            </w:r>
            <w:r>
              <w:rPr>
                <w:rFonts w:ascii="GHEA Grapalat" w:eastAsia="GHEA Grapalat" w:hAnsi="GHEA Grapalat" w:cs="GHEA Grapalat"/>
                <w:color w:val="000000"/>
                <w:sz w:val="22"/>
                <w:szCs w:val="22"/>
                <w:lang w:val="hy-AM"/>
              </w:rPr>
              <w:t>ը ամբողջությամբ խմբագրվել է</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28</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7.</w:t>
            </w:r>
            <w:r w:rsidRPr="00360155">
              <w:rPr>
                <w:rFonts w:ascii="GHEA Grapalat" w:eastAsia="GHEA Grapalat" w:hAnsi="GHEA Grapalat" w:cs="GHEA Grapalat"/>
                <w:color w:val="000000"/>
                <w:sz w:val="22"/>
                <w:szCs w:val="22"/>
              </w:rPr>
              <w:tab/>
              <w:t>Թիրախ 11-ի նկարագրության մեջ չի դիտարկվում ակցիզային հարկի պարագայում հարկային պոտենցիալի և ճեղքի գնահատման անհրաժեշտությունը: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Հարկային պոտենցիալի և ճեղքի գնահատման տեսանկյունից խնդիր է դրվել, նախ և առաջ, գնահատել առավել խոշոր հարկատեսակների (ԱԱՀ, եկամտային հարկ և շահութահարկ, որոնք ապահովում են բյուջեի եկամուտների զգալի մասը) գծով հարկային պոտենցիալը և ճեղքի մակարդակը: Նշված հարկատեսակների գծով հարկային պոտենցիալի գնահատման աշխատանքներն ավարտելուց հետո, կդիտարկվի նաև այլ հարկատեսակների պոտենցիալ մակարդակների գնահատման հնարավորությունը: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29</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6.</w:t>
            </w:r>
            <w:r w:rsidRPr="00360155">
              <w:rPr>
                <w:rFonts w:ascii="GHEA Grapalat" w:eastAsia="GHEA Grapalat" w:hAnsi="GHEA Grapalat" w:cs="GHEA Grapalat"/>
                <w:color w:val="000000"/>
                <w:sz w:val="22"/>
                <w:szCs w:val="22"/>
              </w:rPr>
              <w:tab/>
              <w:t xml:space="preserve">Ռազմավարության թիրախ 7-ը ենթադրում է հարկային արտոնությունների կիրառության շրջանակի կրճատում:  Համակարծիք լինելով այս գաղափարի հետ,  կարծում ենք, որ ռազմավարությունում այս մասով լրացուցիչ անհրաժեշտություն կա: Պետք է նախանշվեն հարկային արտոնությունների սահմանման </w:t>
            </w:r>
            <w:r w:rsidRPr="00360155">
              <w:rPr>
                <w:rFonts w:ascii="GHEA Grapalat" w:eastAsia="GHEA Grapalat" w:hAnsi="GHEA Grapalat" w:cs="GHEA Grapalat"/>
                <w:color w:val="000000"/>
                <w:sz w:val="22"/>
                <w:szCs w:val="22"/>
              </w:rPr>
              <w:lastRenderedPageBreak/>
              <w:t>սկզբունքները, հայեցակարգային դրույթները, հասցեականության որոշման տրամաբանությունը, հարկային արտոնությունների սահմանման գաղափարաբանությունն ընդհանրապես: Նույն տեղում, քայլերի նկարագրության մեջ, խոսվում է հարկային արտոնությունների արդյունավետության գնահատման մասին: Այստեղ ևս կարելի էր որոշ հիմնարար սկզբունքներ կամ չափանիշներ ներկայացնել, ըստ որոնց պետք է դիտարկել այդ նույն արդյունավետությունը: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ՊՖԿՀ 2019-2023 թվականների բարեփոխումների ռազմավարության ընդհանուր տրամաբանությունը և կառուցվածը պահանջում է միջոցառումները նկարագրել </w:t>
            </w:r>
            <w:r w:rsidRPr="00360155">
              <w:rPr>
                <w:rFonts w:ascii="GHEA Grapalat" w:eastAsia="GHEA Grapalat" w:hAnsi="GHEA Grapalat" w:cs="GHEA Grapalat"/>
                <w:color w:val="000000"/>
                <w:sz w:val="22"/>
                <w:szCs w:val="22"/>
              </w:rPr>
              <w:lastRenderedPageBreak/>
              <w:t>ընդհանուր դրույթներով: Այս առումով, հայտնում ենք, որ հարկային արտոնությունների սահմանման սկզբունքները, հայեցակարգային դրույթները, հասցեականության որոշման տրամաբանությունը, հարկային արտոնությունների սահմանման գաղափարաբանությունը ռազմավարության կարգավորման առարկայի շրջանակներից դուրս են և այդ հարցերին անդրադարձ պետք է կատարվի այլ փաստաթղթերի շրջանակներում: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30</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5.</w:t>
            </w:r>
            <w:r w:rsidRPr="00360155">
              <w:rPr>
                <w:rFonts w:ascii="GHEA Grapalat" w:eastAsia="GHEA Grapalat" w:hAnsi="GHEA Grapalat" w:cs="GHEA Grapalat"/>
                <w:color w:val="000000"/>
                <w:sz w:val="22"/>
                <w:szCs w:val="22"/>
              </w:rPr>
              <w:tab/>
              <w:t>11-րդ կետում, որպես ՊՖԿՀ բարեփոխումների շրջանակի ոլորտ, խոսվում է հարկաբյուջետաին ռիսկերի հաշվետվողականության մասին: Կարծում ենք, ավելի ճիշտ կլինի խոսել ռիսկերի կառավարման արդյունավետ համակարգի ներդրման մասին, որի բաղադրիչներից մեկն էլ ռիսկերի հաշվետվողականությունն է:</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Առաջարկությունը պարզաբանման կարիք ունի։ Առաջարկության մեջ չի նշվում թե կոնկրետ, որ ռիսկերի կառավարման ներդրմանն մասին է խոսք գնում։ Եթե օրինակ հարցը վերաբերվում է ներքին հսկողության ոլորտում ռիսկերի կառավարմանը, ապա պետք է նշել, որ այն ներառված է Բաղադրիչ 18-</w:t>
            </w:r>
            <w:r w:rsidRPr="00360155">
              <w:rPr>
                <w:rFonts w:ascii="GHEA Grapalat" w:eastAsia="GHEA Grapalat" w:hAnsi="GHEA Grapalat" w:cs="GHEA Grapalat"/>
                <w:color w:val="000000"/>
                <w:sz w:val="22"/>
                <w:szCs w:val="22"/>
              </w:rPr>
              <w:lastRenderedPageBreak/>
              <w:t>ով ներառված միջոցառումների շրջանակում: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31</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4.</w:t>
            </w:r>
            <w:r w:rsidRPr="00360155">
              <w:rPr>
                <w:rFonts w:ascii="GHEA Grapalat" w:eastAsia="GHEA Grapalat" w:hAnsi="GHEA Grapalat" w:cs="GHEA Grapalat"/>
                <w:color w:val="000000"/>
                <w:sz w:val="22"/>
                <w:szCs w:val="22"/>
              </w:rPr>
              <w:tab/>
              <w:t>10-րդ կետի 4-րդ ենթակետում խոսվում է քանակական ցուցանիշներ սահմանելու մեթոդաբանությունից որակական ցուցանիշների սահմանմամբ թիրախային բյուջետավորման համակարգի անցման մասին: Կարծում ենք, այստեղ ավելի ճիշտ է խոսել ոչ միայն որակական, այլ քանակական ու որակական ցուցանիշների համադրմամբ բյուջետավորման համակարգին անցնելու մասին:</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Հարցը վերաբերվում է, ոչ թե բյուջեում ծրագրային քանակական ցուցանիշների վերացմանը, այլ  ծրագրերի համար խելամիտ և իմաստալից վերջնական արդյունքի և որակական ցուցանիշների սահմանմանը, որոնք ի ցույց կդնեն իրականացվող ծրագրերի/միջոցառումների նպատակայնությունը և հասցեականությունը:</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32</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w:t>
            </w:r>
            <w:r w:rsidRPr="00360155">
              <w:rPr>
                <w:rFonts w:ascii="GHEA Grapalat" w:eastAsia="GHEA Grapalat" w:hAnsi="GHEA Grapalat" w:cs="GHEA Grapalat"/>
                <w:color w:val="000000"/>
                <w:sz w:val="22"/>
                <w:szCs w:val="22"/>
              </w:rPr>
              <w:tab/>
              <w:t>10-րդ կետի երկրորդ ենթակետով խոսվում է արտահանման ծավալների մեծացման մասին: Կարծում ենք, նպատակադրումն ավելի լայն պետք է լինի և պետք է սահմանել տնտեսության գլոբալ մրցունակության աճի թիրախը: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Նախագծով նշված կառավարության 2-րդ հանձնառությամբ շեշտը դրվում է փոխառու միջոցների օգտագործման ուղղությունների զարգացման և բարելավմանը, իսկ տնտեսության գլոբալ մրցակցության աճի ապահովում չի  ընդգրկվում  ՊՖԿ համակարգի բարեփոխումների շրջանակում: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33</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2.</w:t>
            </w:r>
            <w:r w:rsidRPr="00360155">
              <w:rPr>
                <w:rFonts w:ascii="GHEA Grapalat" w:eastAsia="GHEA Grapalat" w:hAnsi="GHEA Grapalat" w:cs="GHEA Grapalat"/>
                <w:color w:val="000000"/>
                <w:sz w:val="22"/>
                <w:szCs w:val="22"/>
              </w:rPr>
              <w:tab/>
              <w:t>Ռազմավարության 10-րդ կետով սահմանված են կառավարության հանձնառությունները ՊՖԿ ոլորտում: Առաջին կետով նշված է վարկային և դրամաշնորհային ծրագրերի ծախսարդյունավետ կառավարումը, ինչը, մեր մոտեցմամբ, որոշակիորեն սահմանափակում է խնդիրը: Ծախսարդյունավետը կարելի է դիտարկել ծախսերի առումով արդյունավետ, մինչդեռ կարևոր է ի սկզբանե դիտարկել դրանց նպատակների արդյունավետ կենսագործման հանգամանքը:</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Մեր գնահատմամբ, ծախսարդյունավետությունը նախանշված նպատակներին/թիրախներին հասնելու պարագայում ռեսուրսների օպտիմալ օգտագործումն է, ինչ արտացոլված է Նախագծի 10-րդ կետի 4-րդ ենթակետում:</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34</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Հանրային քաղաքականության հետազոտությունների ազգային կենտրոն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18.09.2019 16:42:29</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 Տեսլականը և նպատակները բաժնում ՊՖԿՀ բարեփոխումների նպատակների շարքում սահմանված է հանրային բարիքի օգտագործման հաշվետվողականության և թափանցիկության ապահովումը: Ռազմավարությունում այս ասպեկտը բավարար չափով մանրամասնեցված չէ, մասնավորապես՝ այն դիտարկված չէ հանրային բարիքի օգտագործման արդյունավետության ապահովման թիրախի համատեքստում:</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Ընդունվել է ի գիտություն</w:t>
            </w:r>
          </w:p>
        </w:tc>
        <w:tc>
          <w:tcPr>
            <w:tcW w:w="3033"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Նշված համատեքստում «հանրային բարիքի արդյունավետություն» ասելով ենթադրվում </w:t>
            </w:r>
            <w:r w:rsidR="00DE444A">
              <w:rPr>
                <w:rFonts w:ascii="GHEA Grapalat" w:eastAsia="GHEA Grapalat" w:hAnsi="GHEA Grapalat" w:cs="GHEA Grapalat"/>
                <w:color w:val="000000"/>
                <w:sz w:val="22"/>
                <w:szCs w:val="22"/>
                <w:lang w:val="hy-AM"/>
              </w:rPr>
              <w:t xml:space="preserve">է </w:t>
            </w:r>
            <w:r w:rsidRPr="00360155">
              <w:rPr>
                <w:rFonts w:ascii="GHEA Grapalat" w:eastAsia="GHEA Grapalat" w:hAnsi="GHEA Grapalat" w:cs="GHEA Grapalat"/>
                <w:color w:val="000000"/>
                <w:sz w:val="22"/>
                <w:szCs w:val="22"/>
              </w:rPr>
              <w:t>պետական ծախսերի կառավարման արդյունավետության ապահովումը, այդ թվում պետական ծախսերի նպատակայնության հասցեականության ապահովմամբ, որը մեր գնահատմամբ ռազմավարության նախագծում մանրամասնված է բավարար չափով:</w:t>
            </w:r>
          </w:p>
        </w:tc>
      </w:tr>
      <w:tr w:rsidR="00625A51" w:rsidRPr="00360155" w:rsidTr="000A0519">
        <w:tc>
          <w:tcPr>
            <w:tcW w:w="457"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35</w:t>
            </w:r>
          </w:p>
        </w:tc>
        <w:tc>
          <w:tcPr>
            <w:tcW w:w="2248"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 xml:space="preserve">"Տնտեսական իրավունքի կենտրոն" </w:t>
            </w:r>
            <w:r w:rsidRPr="00360155">
              <w:rPr>
                <w:rFonts w:ascii="GHEA Grapalat" w:eastAsia="GHEA Grapalat" w:hAnsi="GHEA Grapalat" w:cs="GHEA Grapalat"/>
                <w:color w:val="000000"/>
                <w:sz w:val="22"/>
                <w:szCs w:val="22"/>
              </w:rPr>
              <w:lastRenderedPageBreak/>
              <w:t>Հասարակական կազմակերպություն</w:t>
            </w:r>
          </w:p>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t>16.09.2019 19:49:55</w:t>
            </w:r>
          </w:p>
        </w:tc>
        <w:tc>
          <w:tcPr>
            <w:tcW w:w="4710" w:type="dxa"/>
            <w:tcBorders>
              <w:top w:val="single" w:sz="1" w:space="0" w:color="000000"/>
              <w:left w:val="single" w:sz="1" w:space="0" w:color="000000"/>
              <w:bottom w:val="single" w:sz="1" w:space="0" w:color="000000"/>
              <w:right w:val="single" w:sz="1" w:space="0" w:color="000000"/>
            </w:tcBorders>
          </w:tcPr>
          <w:p w:rsidR="008864E4" w:rsidRPr="00360155" w:rsidRDefault="0006113C">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 xml:space="preserve">ԿԱՐԾԻՔ  «ՊԵՏԱԿԱՆ ՖԻՆԱՆՍՆԵՐԻ ԿԱՌԱՎԱՐՄԱՆ ՀԱՄԱԿԱՐԳԻ 2019-2023 </w:t>
            </w:r>
            <w:r w:rsidRPr="00360155">
              <w:rPr>
                <w:rFonts w:ascii="GHEA Grapalat" w:eastAsia="GHEA Grapalat" w:hAnsi="GHEA Grapalat" w:cs="GHEA Grapalat"/>
                <w:color w:val="000000"/>
                <w:sz w:val="22"/>
                <w:szCs w:val="22"/>
              </w:rPr>
              <w:lastRenderedPageBreak/>
              <w:t>ԹՎԱԿԱՆՆԵՐԻ ԲԱՐԵՓՈԽՈՒՄՆԵՐԻ  ՌԱԶՄԱՎԱՐՈՒԹՅԱՆ» ԵՒ «ՊԵՏԱԿԱՆ ՖԻՆԱՆՍՆԵՐԻ ԿԱՌԱՎԱՐՄԱՆ ՀԱՄԱԿԱՐԳԻ ԲԱՐԵՓՈԽՈՒՄՆԵՐԻ 2019-2023 ԹՎԱԿԱՆՆԵՐԻՆ ԻՐԱԿԱՆԱՑՎԵԼԻՔ ԳՈՐԾՈՂՈՒԹՅՈՒՆՆԵՐԻ ԾՐԱԳՐԻ» ՆԱԽԱԳԾԵՐԻ ՎԵՐԱԲԵՐՅԱԼ   «Տնտեսական իրավունքի կենտրոն» հասարակական կազմակերպությունը մանրամասնորեն քննարկելով «Պետական ֆինանսների կառավարման համակարգի 2019-2023 թթ բարեփոխումների ռազմավարության» (այսւոհետ՝ Ռազմավարություն) եւ «Պետական ֆինանսների կառավարման համակարգի բարեփոխումների 2019-2023 թթ իրականացվելիք գործողությունների ծրագրի» (այսւոհետ՝ Ծրագիր) նախագծերը, նշում է, որ դրանց մշակումը եւ ներկայացումը հանրային քննարկման ողջունելի է։ Համամիտ լինելով Ռազմավարության եւ Ծրագրի հիմնական դրույթների հետ, այդուհանդերձ ներկայացնում ենք հետեւյալը</w:t>
            </w:r>
            <w:proofErr w:type="gramStart"/>
            <w:r w:rsidRPr="00360155">
              <w:rPr>
                <w:rFonts w:ascii="Cambria Math" w:eastAsia="GHEA Grapalat" w:hAnsi="Cambria Math" w:cs="Cambria Math"/>
                <w:color w:val="000000"/>
                <w:sz w:val="22"/>
                <w:szCs w:val="22"/>
              </w:rPr>
              <w:t>․</w:t>
            </w:r>
            <w:r w:rsidRPr="00360155">
              <w:rPr>
                <w:rFonts w:ascii="GHEA Grapalat" w:eastAsia="GHEA Grapalat" w:hAnsi="GHEA Grapalat" w:cs="GHEA Grapalat"/>
                <w:color w:val="000000"/>
                <w:sz w:val="22"/>
                <w:szCs w:val="22"/>
              </w:rPr>
              <w:t xml:space="preserve">  1</w:t>
            </w:r>
            <w:proofErr w:type="gramEnd"/>
            <w:r w:rsidRPr="00360155">
              <w:rPr>
                <w:rFonts w:ascii="GHEA Grapalat" w:eastAsia="GHEA Grapalat" w:hAnsi="GHEA Grapalat" w:cs="GHEA Grapalat"/>
                <w:color w:val="000000"/>
                <w:sz w:val="22"/>
                <w:szCs w:val="22"/>
              </w:rPr>
              <w:t>.</w:t>
            </w:r>
            <w:r w:rsidRPr="00360155">
              <w:rPr>
                <w:rFonts w:ascii="GHEA Grapalat" w:eastAsia="GHEA Grapalat" w:hAnsi="GHEA Grapalat" w:cs="GHEA Grapalat"/>
                <w:color w:val="000000"/>
                <w:sz w:val="22"/>
                <w:szCs w:val="22"/>
              </w:rPr>
              <w:tab/>
              <w:t>Ռազմավարությունում գրեթե չկան դրույթներ՝  մասնագիտական հանրության հետ համագործակցության վերաբերյալ, ինչը ներկայումս խիստ արդիական է եւ անհրաժեշտ,  2.</w:t>
            </w:r>
            <w:r w:rsidRPr="00360155">
              <w:rPr>
                <w:rFonts w:ascii="GHEA Grapalat" w:eastAsia="GHEA Grapalat" w:hAnsi="GHEA Grapalat" w:cs="GHEA Grapalat"/>
                <w:color w:val="000000"/>
                <w:sz w:val="22"/>
                <w:szCs w:val="22"/>
              </w:rPr>
              <w:tab/>
              <w:t xml:space="preserve">Ցանկալի է, որ Ռազմավարությունը ՔՀԿ-ների հետ համագործակցությանը անդրադառնար </w:t>
            </w:r>
            <w:r w:rsidRPr="00360155">
              <w:rPr>
                <w:rFonts w:ascii="GHEA Grapalat" w:eastAsia="GHEA Grapalat" w:hAnsi="GHEA Grapalat" w:cs="GHEA Grapalat"/>
                <w:color w:val="000000"/>
                <w:sz w:val="22"/>
                <w:szCs w:val="22"/>
              </w:rPr>
              <w:lastRenderedPageBreak/>
              <w:t>կոնկրետ ոլորտներում միջոցառումների իրականացման մակարդակում՝ համապատասխան արդյունքային ցուցանիշների ամրագրմամբ և ոչ թե պարզապես հռչակագրային կարգով,  3.</w:t>
            </w:r>
            <w:r w:rsidRPr="00360155">
              <w:rPr>
                <w:rFonts w:ascii="GHEA Grapalat" w:eastAsia="GHEA Grapalat" w:hAnsi="GHEA Grapalat" w:cs="GHEA Grapalat"/>
                <w:color w:val="000000"/>
                <w:sz w:val="22"/>
                <w:szCs w:val="22"/>
              </w:rPr>
              <w:tab/>
              <w:t>Ռազմավարության մեջ նշվում է, որ ակնկալվում է Շահառուներին տրամադրվող արտադրանքների և մատուցվող ծառայությունների որակի էլ ավելի բարելավում։ Հարց է առաջանում, թե ինչպես պետք է չափել այդ աշխատանքների եւ ծառայությունների որակը, ով է չափելու դա եւ ինչպես, ինչ գործիքներով է չափվելու որակը,  4.</w:t>
            </w:r>
            <w:r w:rsidRPr="00360155">
              <w:rPr>
                <w:rFonts w:ascii="GHEA Grapalat" w:eastAsia="GHEA Grapalat" w:hAnsi="GHEA Grapalat" w:cs="GHEA Grapalat"/>
                <w:color w:val="000000"/>
                <w:sz w:val="22"/>
                <w:szCs w:val="22"/>
              </w:rPr>
              <w:tab/>
              <w:t>Ցանկալի կլիներ Ռազմավարության մեջ նախատեսված միջոցառումներն ունենային իրենց քանակական ու ժամկետային գնահատականները, որպեսզի ՔՀԿ-նորը նույնպես հնարավորություն ունենան մոնիթորինգի ենթարկել դրանց իրականացումը,  5.</w:t>
            </w:r>
            <w:r w:rsidRPr="00360155">
              <w:rPr>
                <w:rFonts w:ascii="GHEA Grapalat" w:eastAsia="GHEA Grapalat" w:hAnsi="GHEA Grapalat" w:cs="GHEA Grapalat"/>
                <w:color w:val="000000"/>
                <w:sz w:val="22"/>
                <w:szCs w:val="22"/>
              </w:rPr>
              <w:tab/>
              <w:t>Ավելին, հարկ է Ռազմավարությունը լրացնել մասնագիտական հանրության հետ համագործակցության ընդլայնման նոր ձեւաչափերի, ինչպես օրինակ հանարային ֆինանսների ծախսման վերաբերյալ համատեղ հետազոտությունների, ուսումնասիրությունների անցկացման, մոնիթորինգի իրականցման, վերահսկողության միջոցով,  6.</w:t>
            </w:r>
            <w:r w:rsidRPr="00360155">
              <w:rPr>
                <w:rFonts w:ascii="GHEA Grapalat" w:eastAsia="GHEA Grapalat" w:hAnsi="GHEA Grapalat" w:cs="GHEA Grapalat"/>
                <w:color w:val="000000"/>
                <w:sz w:val="22"/>
                <w:szCs w:val="22"/>
              </w:rPr>
              <w:tab/>
              <w:t xml:space="preserve">Ռազմավարության իրականացումը </w:t>
            </w:r>
            <w:r w:rsidRPr="00360155">
              <w:rPr>
                <w:rFonts w:ascii="GHEA Grapalat" w:eastAsia="GHEA Grapalat" w:hAnsi="GHEA Grapalat" w:cs="GHEA Grapalat"/>
                <w:color w:val="000000"/>
                <w:sz w:val="22"/>
                <w:szCs w:val="22"/>
              </w:rPr>
              <w:lastRenderedPageBreak/>
              <w:t>նախատեսվում է պետական եւ օրենքով չարգելված այլ միջոցների օգտագործմամբ, սակայն ծախսային գնահատականներ ներկայացված չեն։  7.</w:t>
            </w:r>
            <w:r w:rsidRPr="00360155">
              <w:rPr>
                <w:rFonts w:ascii="GHEA Grapalat" w:eastAsia="GHEA Grapalat" w:hAnsi="GHEA Grapalat" w:cs="GHEA Grapalat"/>
                <w:color w:val="000000"/>
                <w:sz w:val="22"/>
                <w:szCs w:val="22"/>
              </w:rPr>
              <w:tab/>
              <w:t>Առաջարկում ենք Ռազմավարությունում նախատեսել</w:t>
            </w:r>
            <w:r w:rsidRPr="00360155">
              <w:rPr>
                <w:rFonts w:ascii="Cambria Math" w:eastAsia="GHEA Grapalat" w:hAnsi="Cambria Math" w:cs="Cambria Math"/>
                <w:color w:val="000000"/>
                <w:sz w:val="22"/>
                <w:szCs w:val="22"/>
              </w:rPr>
              <w:t>․</w:t>
            </w:r>
            <w:r w:rsidRPr="00360155">
              <w:rPr>
                <w:rFonts w:ascii="GHEA Grapalat" w:eastAsia="GHEA Grapalat" w:hAnsi="GHEA Grapalat" w:cs="GHEA Grapalat"/>
                <w:color w:val="000000"/>
                <w:sz w:val="22"/>
                <w:szCs w:val="22"/>
              </w:rPr>
              <w:t xml:space="preserve"> </w:t>
            </w:r>
            <w:r w:rsidRPr="00360155">
              <w:rPr>
                <w:rFonts w:ascii="GHEA Grapalat" w:eastAsia="GHEA Grapalat" w:hAnsi="GHEA Grapalat" w:cs="GHEA Grapalat"/>
                <w:color w:val="000000"/>
                <w:sz w:val="22"/>
                <w:szCs w:val="22"/>
              </w:rPr>
              <w:t></w:t>
            </w:r>
            <w:r w:rsidRPr="00360155">
              <w:rPr>
                <w:rFonts w:ascii="GHEA Grapalat" w:eastAsia="GHEA Grapalat" w:hAnsi="GHEA Grapalat" w:cs="GHEA Grapalat"/>
                <w:color w:val="000000"/>
                <w:sz w:val="22"/>
                <w:szCs w:val="22"/>
              </w:rPr>
              <w:tab/>
              <w:t xml:space="preserve">Ռազամավարությամբ նախատեսված միջոցառումների գնահատման արդյունքային, ֆինանսական, քանակական, որակական ու ժամկետային ցուցանիշներ,  </w:t>
            </w:r>
            <w:r w:rsidRPr="00360155">
              <w:rPr>
                <w:rFonts w:ascii="GHEA Grapalat" w:eastAsia="GHEA Grapalat" w:hAnsi="GHEA Grapalat" w:cs="GHEA Grapalat"/>
                <w:color w:val="000000"/>
                <w:sz w:val="22"/>
                <w:szCs w:val="22"/>
              </w:rPr>
              <w:t></w:t>
            </w:r>
            <w:r w:rsidRPr="00360155">
              <w:rPr>
                <w:rFonts w:ascii="GHEA Grapalat" w:eastAsia="GHEA Grapalat" w:hAnsi="GHEA Grapalat" w:cs="GHEA Grapalat"/>
                <w:color w:val="000000"/>
                <w:sz w:val="22"/>
                <w:szCs w:val="22"/>
              </w:rPr>
              <w:tab/>
              <w:t xml:space="preserve">Ներառել պետական ֆինանսների կառավարման բարեփոխումների շրջանակներում ՔՀԿ-ների հետ գործուն համագործակցության նպատակ եւ գործողություններ,  </w:t>
            </w:r>
            <w:r w:rsidRPr="00360155">
              <w:rPr>
                <w:rFonts w:ascii="GHEA Grapalat" w:eastAsia="GHEA Grapalat" w:hAnsi="GHEA Grapalat" w:cs="GHEA Grapalat"/>
                <w:color w:val="000000"/>
                <w:sz w:val="22"/>
                <w:szCs w:val="22"/>
              </w:rPr>
              <w:t></w:t>
            </w:r>
            <w:r w:rsidRPr="00360155">
              <w:rPr>
                <w:rFonts w:ascii="GHEA Grapalat" w:eastAsia="GHEA Grapalat" w:hAnsi="GHEA Grapalat" w:cs="GHEA Grapalat"/>
                <w:color w:val="000000"/>
                <w:sz w:val="22"/>
                <w:szCs w:val="22"/>
              </w:rPr>
              <w:tab/>
              <w:t xml:space="preserve">«ՀՀ ԱԺ բյուջետային գրասենյակի կարողությունների զարգացման նպատակով վերապատրաստումների անցկացում» միջոցառումների շրջանակներում ներգրավել նաև  մասնագիտական ՔՀԿ-ներին ու նրանց անդամներին, </w:t>
            </w:r>
            <w:r w:rsidRPr="00360155">
              <w:rPr>
                <w:rFonts w:ascii="GHEA Grapalat" w:eastAsia="GHEA Grapalat" w:hAnsi="GHEA Grapalat" w:cs="GHEA Grapalat"/>
                <w:color w:val="000000"/>
                <w:sz w:val="22"/>
                <w:szCs w:val="22"/>
              </w:rPr>
              <w:t></w:t>
            </w:r>
            <w:r w:rsidRPr="00360155">
              <w:rPr>
                <w:rFonts w:ascii="GHEA Grapalat" w:eastAsia="GHEA Grapalat" w:hAnsi="GHEA Grapalat" w:cs="GHEA Grapalat"/>
                <w:color w:val="000000"/>
                <w:sz w:val="22"/>
                <w:szCs w:val="22"/>
              </w:rPr>
              <w:tab/>
              <w:t>Փորձարարական կարգով Ռազմավարությունում ներառել բյուջեների, երկրի ստացած վարկերի ու դրամաշնորհների մոնիթորինգն ու վերահսկողությունը մասնագիտացված ՔՀԿ-ների հետ իրականացնելու կամ նրանց վերապահելու ծրագրեր։   Հարգանքով,  Մովսես Արիստակեսյան «Տնտեսական իրավունքի կենտրոն» ՀԿ նախագահ</w:t>
            </w:r>
          </w:p>
        </w:tc>
        <w:tc>
          <w:tcPr>
            <w:tcW w:w="3457" w:type="dxa"/>
            <w:tcBorders>
              <w:top w:val="single" w:sz="1" w:space="0" w:color="000000"/>
              <w:left w:val="single" w:sz="1" w:space="0" w:color="000000"/>
              <w:bottom w:val="single" w:sz="1" w:space="0" w:color="000000"/>
              <w:right w:val="single" w:sz="1" w:space="0" w:color="000000"/>
            </w:tcBorders>
          </w:tcPr>
          <w:p w:rsidR="008864E4" w:rsidRPr="00360155" w:rsidRDefault="0006113C" w:rsidP="00CC7644">
            <w:pPr>
              <w:jc w:val="center"/>
              <w:rPr>
                <w:rFonts w:ascii="GHEA Grapalat" w:hAnsi="GHEA Grapalat"/>
                <w:sz w:val="22"/>
                <w:szCs w:val="22"/>
              </w:rPr>
            </w:pPr>
            <w:r w:rsidRPr="00360155">
              <w:rPr>
                <w:rFonts w:ascii="GHEA Grapalat" w:eastAsia="GHEA Grapalat" w:hAnsi="GHEA Grapalat" w:cs="GHEA Grapalat"/>
                <w:color w:val="000000"/>
                <w:sz w:val="22"/>
                <w:szCs w:val="22"/>
              </w:rPr>
              <w:lastRenderedPageBreak/>
              <w:t xml:space="preserve">1. Ընդունվել է ի գիտություն 2. Չի ընդունվել 3. Չի ընդունվել 4.  </w:t>
            </w:r>
            <w:r w:rsidRPr="00360155">
              <w:rPr>
                <w:rFonts w:ascii="GHEA Grapalat" w:eastAsia="GHEA Grapalat" w:hAnsi="GHEA Grapalat" w:cs="GHEA Grapalat"/>
                <w:color w:val="000000"/>
                <w:sz w:val="22"/>
                <w:szCs w:val="22"/>
              </w:rPr>
              <w:lastRenderedPageBreak/>
              <w:t>Ընդունվել է ի գիտություն 5. Ընդունվել է ի գիտություն 6. Ընդունվել է ի գիտություն 7. - Ընդունվել է ի գիտություն     - Ընդունվել է ի գիտություն     -Ընդունվել է    - Չի ընդունվել</w:t>
            </w:r>
          </w:p>
        </w:tc>
        <w:tc>
          <w:tcPr>
            <w:tcW w:w="3033" w:type="dxa"/>
            <w:tcBorders>
              <w:top w:val="single" w:sz="1" w:space="0" w:color="000000"/>
              <w:left w:val="single" w:sz="1" w:space="0" w:color="000000"/>
              <w:bottom w:val="single" w:sz="1" w:space="0" w:color="000000"/>
              <w:right w:val="single" w:sz="1" w:space="0" w:color="000000"/>
            </w:tcBorders>
          </w:tcPr>
          <w:p w:rsidR="008864E4" w:rsidRPr="00CC7644" w:rsidRDefault="0006113C" w:rsidP="00240399">
            <w:pPr>
              <w:jc w:val="center"/>
              <w:rPr>
                <w:rFonts w:ascii="GHEA Grapalat" w:eastAsia="GHEA Grapalat" w:hAnsi="GHEA Grapalat" w:cs="GHEA Grapalat"/>
                <w:color w:val="000000"/>
                <w:sz w:val="22"/>
                <w:szCs w:val="22"/>
              </w:rPr>
            </w:pPr>
            <w:r w:rsidRPr="00360155">
              <w:rPr>
                <w:rFonts w:ascii="GHEA Grapalat" w:eastAsia="GHEA Grapalat" w:hAnsi="GHEA Grapalat" w:cs="GHEA Grapalat"/>
                <w:color w:val="000000"/>
                <w:sz w:val="22"/>
                <w:szCs w:val="22"/>
              </w:rPr>
              <w:lastRenderedPageBreak/>
              <w:t xml:space="preserve">1. Հանրային՝ այդ թվում մասնագիտական </w:t>
            </w:r>
            <w:r w:rsidRPr="00360155">
              <w:rPr>
                <w:rFonts w:ascii="GHEA Grapalat" w:eastAsia="GHEA Grapalat" w:hAnsi="GHEA Grapalat" w:cs="GHEA Grapalat"/>
                <w:color w:val="000000"/>
                <w:sz w:val="22"/>
                <w:szCs w:val="22"/>
              </w:rPr>
              <w:lastRenderedPageBreak/>
              <w:t xml:space="preserve">հանրության հետ համագործակցությունն ու հաղորդակցությունը ներկայացվել է Ռազմավարության 22-րդ գլխում 2. Ռազմավարության յուրաքանչյուր ոլորտի/բաղադրիչի մասով ներկայացված են համապատասխան կատարողական վերջնական արդյունքային ցուցանիշները։ Ավելին յուրաքանչյուր միջոցառման մասով ներկայացված են դրա իրականացման ակնկալվող արդյունքային ցուցանիշները: 3. ՊՖԿՀԲ ռազմավարությամբ չի կարող կարգավորվել արտադրանքների և մատուվող ծառայությունների որակի բարելավման հետ առնչվող խնդիրներ, նշվածը տնտեսական բնույթի խնդիր է։ Բացի այդ Նախագիծը նման դրույթ չի պարունակում: 4.  Միջոցառումների իրականացման ժամկետները </w:t>
            </w:r>
            <w:r w:rsidRPr="00360155">
              <w:rPr>
                <w:rFonts w:ascii="GHEA Grapalat" w:eastAsia="GHEA Grapalat" w:hAnsi="GHEA Grapalat" w:cs="GHEA Grapalat"/>
                <w:color w:val="000000"/>
                <w:sz w:val="22"/>
                <w:szCs w:val="22"/>
              </w:rPr>
              <w:lastRenderedPageBreak/>
              <w:t xml:space="preserve">և յուրաքանչյուրի արդյունքի ակնկալվող ցուցանիշները ներկայացված է Նախագծի 2-րդ հաելվածում։ Ինչ վերաբերվում է Ռազմավարությամբ նախատեսված միջոցառումների քանակական ու ժամկետային գնահատականները ՔՀԿ-ների կողմից մոնիթորինգի ենթարկելու հնարավորությանը, ապա պետք է նշել, որ համաձայն Ռազմավարության նախագծի 18-րդ կետի և 20-րդ կետի 2-րդ ենթակետի՝ ՊՖԿՀԲ գործողությունների ծրագրով նախատեսված միջոցառումների ընթացքի վերաբերյալ տեղեկատվությունը՝ եռամսյակային պարբերականությամբ, հրապարակվելու է ՖՆ պաշտոնական ինտերնետային կայքում և ՔՀԿ-ները՝ հիմք ընդունելով յուրաքանչյուր միջոցառման իրականացման ակնկալվող </w:t>
            </w:r>
            <w:r w:rsidRPr="00360155">
              <w:rPr>
                <w:rFonts w:ascii="GHEA Grapalat" w:eastAsia="GHEA Grapalat" w:hAnsi="GHEA Grapalat" w:cs="GHEA Grapalat"/>
                <w:color w:val="000000"/>
                <w:sz w:val="22"/>
                <w:szCs w:val="22"/>
              </w:rPr>
              <w:lastRenderedPageBreak/>
              <w:t xml:space="preserve">արդյունքային ցուցանիշները մոնիթորինգի ենթարկել դրանց իրականացումը: 5.  Հանրային հետ համագործակցությունն ու հաղորդակցությունը ներկայացվել է Ռազմավարության 22-րդ գլխում, որը ներառում է նաև ՝ այդ թվում մասնագիտական հանրության հետ համագործակցության շրջանակը։ 6. Ֆինանսական գնահատականը ներկայացված է Ռազմավարության նախագծի 20-րդ կետում։ Ռազմավարության 2019-2023թթ. իրականացվելիք գործողությունների ծրագիրի մի շարք միջոցառումների իրականացման համար նախատեսվում է ֆինանսական (այդ թվում նաև տեխնիկական) աջակցություն: Դրանցից մի քանիսի ֆինանսավորման չափը և աղբյուրները որոշված են և ներկայացված են Հավելված 2-ում: Մյուս </w:t>
            </w:r>
            <w:r w:rsidRPr="00360155">
              <w:rPr>
                <w:rFonts w:ascii="GHEA Grapalat" w:eastAsia="GHEA Grapalat" w:hAnsi="GHEA Grapalat" w:cs="GHEA Grapalat"/>
                <w:color w:val="000000"/>
                <w:sz w:val="22"/>
                <w:szCs w:val="22"/>
              </w:rPr>
              <w:lastRenderedPageBreak/>
              <w:t xml:space="preserve">միջոցառումների իրականացման համար ֆինանսական միջոցների չափը և դրանց աղբյուրները կորոշվեն զարգացման գործընկերների հետ քննարկումների արդյունքում: 7. - Միջոցառումների իրականացման ժամկետները և յուրաքանչյուրի արդյունքի ակնկալվող ցուցանիշները ներկայացված է Նախագծի 2-րդ հավելվածում։ Ինչ վերաբերվում է Ռազմավարությամբ նախատեսված միջոցառումների գնահատմանը, ապա դրանք կիրականացվեն վերջիններիս իրականացման արդյունքում՝ Ռազմավարության նախագծի 21-րդ գլխի շրջանակներում: - </w:t>
            </w:r>
            <w:r w:rsidR="007B72EE">
              <w:rPr>
                <w:rFonts w:ascii="GHEA Grapalat" w:eastAsia="GHEA Grapalat" w:hAnsi="GHEA Grapalat" w:cs="GHEA Grapalat"/>
                <w:color w:val="000000"/>
                <w:sz w:val="22"/>
                <w:szCs w:val="22"/>
              </w:rPr>
              <w:t>Հանր</w:t>
            </w:r>
            <w:r w:rsidR="007B72EE" w:rsidRPr="00CC7644">
              <w:rPr>
                <w:rFonts w:ascii="GHEA Grapalat" w:eastAsia="GHEA Grapalat" w:hAnsi="GHEA Grapalat" w:cs="GHEA Grapalat"/>
                <w:color w:val="000000"/>
                <w:sz w:val="22"/>
                <w:szCs w:val="22"/>
              </w:rPr>
              <w:t>ության</w:t>
            </w:r>
            <w:r w:rsidRPr="00360155">
              <w:rPr>
                <w:rFonts w:ascii="GHEA Grapalat" w:eastAsia="GHEA Grapalat" w:hAnsi="GHEA Grapalat" w:cs="GHEA Grapalat"/>
                <w:color w:val="000000"/>
                <w:sz w:val="22"/>
                <w:szCs w:val="22"/>
              </w:rPr>
              <w:t xml:space="preserve"> հետ համագործակցությունն ու հաղորդակցությունը ներկայացվել է Ռազմավարության 22-րդ գլխում, որը ներառում է նաև ՝ այդ թվում մասնագիտական </w:t>
            </w:r>
            <w:r w:rsidRPr="00360155">
              <w:rPr>
                <w:rFonts w:ascii="GHEA Grapalat" w:eastAsia="GHEA Grapalat" w:hAnsi="GHEA Grapalat" w:cs="GHEA Grapalat"/>
                <w:color w:val="000000"/>
                <w:sz w:val="22"/>
                <w:szCs w:val="22"/>
              </w:rPr>
              <w:lastRenderedPageBreak/>
              <w:t xml:space="preserve">հանրության հետ համագործակցության շրջանակը։ - </w:t>
            </w:r>
            <w:r w:rsidR="00CC7644" w:rsidRPr="00CC7644">
              <w:rPr>
                <w:rFonts w:ascii="GHEA Grapalat" w:eastAsia="GHEA Grapalat" w:hAnsi="GHEA Grapalat" w:cs="GHEA Grapalat"/>
                <w:color w:val="000000"/>
                <w:sz w:val="22"/>
                <w:szCs w:val="22"/>
              </w:rPr>
              <w:t>Միջոցառման իրականացմանն ուղղված քայլերի նկարագրության մեջ ավելացվել է, որ հնարավորության դեպքում վերապատրաստումներին կներգրավվեն նաև  մասնագիտական ՔՀԿ-ների ներկայացուցիչներ</w:t>
            </w:r>
            <w:r w:rsidR="00CC7644" w:rsidRPr="00360155">
              <w:rPr>
                <w:rFonts w:ascii="GHEA Grapalat" w:eastAsia="GHEA Grapalat" w:hAnsi="GHEA Grapalat" w:cs="GHEA Grapalat"/>
                <w:color w:val="000000"/>
                <w:sz w:val="22"/>
                <w:szCs w:val="22"/>
              </w:rPr>
              <w:t xml:space="preserve"> </w:t>
            </w:r>
            <w:r w:rsidRPr="00360155">
              <w:rPr>
                <w:rFonts w:ascii="GHEA Grapalat" w:eastAsia="GHEA Grapalat" w:hAnsi="GHEA Grapalat" w:cs="GHEA Grapalat"/>
                <w:color w:val="000000"/>
                <w:sz w:val="22"/>
                <w:szCs w:val="22"/>
              </w:rPr>
              <w:t>անդամներին</w:t>
            </w:r>
            <w:bookmarkStart w:id="2" w:name="_GoBack"/>
            <w:bookmarkEnd w:id="2"/>
            <w:r w:rsidRPr="00360155">
              <w:rPr>
                <w:rFonts w:ascii="GHEA Grapalat" w:eastAsia="GHEA Grapalat" w:hAnsi="GHEA Grapalat" w:cs="GHEA Grapalat"/>
                <w:color w:val="000000"/>
                <w:sz w:val="22"/>
                <w:szCs w:val="22"/>
              </w:rPr>
              <w:t xml:space="preserve">: - Պետք է նշել, որ վարկային և դրամաշնորհային միջոցներով իրականացվող ծրագրերի մշտադիտարկման և վերահսկողության իրականացման գործընթացը սահմանվում է հիշայլի շրջանակներում կնքված համաձայնագրերի շրջանակներում։ Ինչ վերաբերվում է պետական բյուջեի միջոցներին, ապա նշենք, որ այդ տեղեկատվությունը հասանելի է և հրապարակային է բոլորի համար՝ բացառությամբ գաղտնիք պարունակող </w:t>
            </w:r>
            <w:r w:rsidRPr="00360155">
              <w:rPr>
                <w:rFonts w:ascii="GHEA Grapalat" w:eastAsia="GHEA Grapalat" w:hAnsi="GHEA Grapalat" w:cs="GHEA Grapalat"/>
                <w:color w:val="000000"/>
                <w:sz w:val="22"/>
                <w:szCs w:val="22"/>
              </w:rPr>
              <w:lastRenderedPageBreak/>
              <w:t>նյութերի: Մասնավորապես Բյուջետային հատկացումների գլխավոր կարգադրիչ հանդիսացող ՀՀ պետական մարմինները ՀՀ պետական բյուջեով նախատեսված ֆինանսական միջոցների վերաբերյալ տեղեկատվությունը, յուրաքանչյուրը իրենց մասով,  տեղադրում են իրենց պաշտոնական ինտերնետային կայքում: Ուստի կարծում ենք, որ նման գործընթաց կարող է իրականացվել ՔՀԿ-ների կողմից ինքնուրույն։</w:t>
            </w:r>
          </w:p>
        </w:tc>
      </w:tr>
    </w:tbl>
    <w:p w:rsidR="0006113C" w:rsidRPr="00360155" w:rsidRDefault="0006113C">
      <w:pPr>
        <w:rPr>
          <w:rFonts w:ascii="GHEA Grapalat" w:hAnsi="GHEA Grapalat"/>
        </w:rPr>
      </w:pPr>
    </w:p>
    <w:sectPr w:rsidR="0006113C" w:rsidRPr="00360155" w:rsidSect="001F617B">
      <w:pgSz w:w="16787" w:h="11870" w:orient="landscape"/>
      <w:pgMar w:top="567" w:right="1440" w:bottom="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4E4"/>
    <w:rsid w:val="0006113C"/>
    <w:rsid w:val="000A0519"/>
    <w:rsid w:val="001F617B"/>
    <w:rsid w:val="00240399"/>
    <w:rsid w:val="002C7187"/>
    <w:rsid w:val="002E112D"/>
    <w:rsid w:val="00360155"/>
    <w:rsid w:val="00625A51"/>
    <w:rsid w:val="007B72EE"/>
    <w:rsid w:val="008864E4"/>
    <w:rsid w:val="009539E5"/>
    <w:rsid w:val="00B6555F"/>
    <w:rsid w:val="00CC7644"/>
    <w:rsid w:val="00DB268E"/>
    <w:rsid w:val="00DE444A"/>
    <w:rsid w:val="00E1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4AEC"/>
  <w15:docId w15:val="{777F7B4E-8A94-420F-A567-FAEBD7E4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BalloonText">
    <w:name w:val="Balloon Text"/>
    <w:basedOn w:val="Normal"/>
    <w:link w:val="BalloonTextChar"/>
    <w:uiPriority w:val="99"/>
    <w:semiHidden/>
    <w:unhideWhenUsed/>
    <w:rsid w:val="001F6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1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36</Pages>
  <Words>6363</Words>
  <Characters>36274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creator>Lilit Darbinyan</dc:creator>
  <cp:lastModifiedBy>Arevik Poghosyan</cp:lastModifiedBy>
  <cp:revision>6</cp:revision>
  <cp:lastPrinted>2019-11-04T09:41:00Z</cp:lastPrinted>
  <dcterms:created xsi:type="dcterms:W3CDTF">2019-11-04T09:42:00Z</dcterms:created>
  <dcterms:modified xsi:type="dcterms:W3CDTF">2019-11-06T11:21:00Z</dcterms:modified>
  <cp:keywords>https://mul2.gov.am/tasks/155551/oneclick/Ampopatert-1923_E-draft.docx?token=f95f6be16fea85bf8ff2864dd2f1f451</cp:keywords>
</cp:coreProperties>
</file>