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BF7" w:rsidRPr="00BF3BF7" w:rsidRDefault="00BF3BF7" w:rsidP="00BF3BF7">
      <w:pPr>
        <w:jc w:val="center"/>
        <w:rPr>
          <w:sz w:val="24"/>
          <w:szCs w:val="24"/>
          <w:lang w:val="hy-AM"/>
        </w:rPr>
      </w:pPr>
      <w:r w:rsidRPr="00BF3BF7">
        <w:rPr>
          <w:sz w:val="24"/>
          <w:szCs w:val="24"/>
          <w:lang w:val="hy-AM"/>
        </w:rPr>
        <w:t>ԱՄՓՈՓԱԹԵՐԹ</w:t>
      </w:r>
    </w:p>
    <w:p w:rsidR="00BF3BF7" w:rsidRPr="00BF3BF7" w:rsidRDefault="00BF3BF7" w:rsidP="00BF3BF7">
      <w:pPr>
        <w:jc w:val="center"/>
        <w:rPr>
          <w:sz w:val="24"/>
          <w:szCs w:val="24"/>
          <w:lang w:val="hy-AM"/>
        </w:rPr>
      </w:pPr>
      <w:r w:rsidRPr="00BF3BF7">
        <w:rPr>
          <w:sz w:val="24"/>
          <w:szCs w:val="24"/>
          <w:lang w:val="hy-AM"/>
        </w:rPr>
        <w:t>ՀՀ-ի և ԱԶԲ-ի միջև Հանրային արդյունավետության և ֆինանսական շուկաների երկրորդ ծրագիր համաձայնագրի մասին ՀՀ պետական գերատեսչություններից ստացված կարծիքների</w:t>
      </w:r>
    </w:p>
    <w:tbl>
      <w:tblPr>
        <w:tblStyle w:val="TableGrid"/>
        <w:tblW w:w="10773" w:type="dxa"/>
        <w:tblInd w:w="-459" w:type="dxa"/>
        <w:tblLook w:val="04A0" w:firstRow="1" w:lastRow="0" w:firstColumn="1" w:lastColumn="0" w:noHBand="0" w:noVBand="1"/>
      </w:tblPr>
      <w:tblGrid>
        <w:gridCol w:w="3119"/>
        <w:gridCol w:w="5103"/>
        <w:gridCol w:w="2551"/>
      </w:tblGrid>
      <w:tr w:rsidR="00BF3BF7" w:rsidRPr="00BF3BF7" w:rsidTr="00BF3BF7">
        <w:tc>
          <w:tcPr>
            <w:tcW w:w="3119" w:type="dxa"/>
          </w:tcPr>
          <w:p w:rsidR="00BF3BF7" w:rsidRPr="00BF3BF7" w:rsidRDefault="00BF3BF7" w:rsidP="00BF3BF7">
            <w:pPr>
              <w:spacing w:line="276" w:lineRule="auto"/>
              <w:rPr>
                <w:b/>
                <w:sz w:val="24"/>
                <w:szCs w:val="24"/>
                <w:lang w:val="hy-AM"/>
              </w:rPr>
            </w:pPr>
            <w:r w:rsidRPr="00BF3BF7">
              <w:rPr>
                <w:b/>
                <w:sz w:val="24"/>
                <w:szCs w:val="24"/>
                <w:lang w:val="hy-AM"/>
              </w:rPr>
              <w:t>Պետական մարմնի անվանում</w:t>
            </w:r>
          </w:p>
        </w:tc>
        <w:tc>
          <w:tcPr>
            <w:tcW w:w="5103" w:type="dxa"/>
          </w:tcPr>
          <w:p w:rsidR="00BF3BF7" w:rsidRPr="00BF3BF7" w:rsidRDefault="00BF3BF7" w:rsidP="00BF3BF7">
            <w:pPr>
              <w:spacing w:line="276" w:lineRule="auto"/>
              <w:rPr>
                <w:b/>
                <w:sz w:val="24"/>
                <w:szCs w:val="24"/>
                <w:lang w:val="hy-AM"/>
              </w:rPr>
            </w:pPr>
            <w:r w:rsidRPr="00BF3BF7">
              <w:rPr>
                <w:b/>
                <w:sz w:val="24"/>
                <w:szCs w:val="24"/>
                <w:lang w:val="hy-AM"/>
              </w:rPr>
              <w:t>Կարծիք, եզրակացություն</w:t>
            </w:r>
          </w:p>
        </w:tc>
        <w:tc>
          <w:tcPr>
            <w:tcW w:w="2551" w:type="dxa"/>
          </w:tcPr>
          <w:p w:rsidR="00BF3BF7" w:rsidRPr="00BF3BF7" w:rsidRDefault="00BF3BF7" w:rsidP="00BF3BF7">
            <w:pPr>
              <w:spacing w:line="276" w:lineRule="auto"/>
              <w:rPr>
                <w:b/>
                <w:sz w:val="24"/>
                <w:szCs w:val="24"/>
                <w:lang w:val="hy-AM"/>
              </w:rPr>
            </w:pPr>
            <w:r w:rsidRPr="00BF3BF7">
              <w:rPr>
                <w:b/>
                <w:sz w:val="24"/>
                <w:szCs w:val="24"/>
                <w:lang w:val="hy-AM"/>
              </w:rPr>
              <w:t>Նշումներ</w:t>
            </w:r>
          </w:p>
        </w:tc>
      </w:tr>
      <w:tr w:rsidR="00BF3BF7" w:rsidRPr="00BF3BF7" w:rsidTr="00BF3BF7">
        <w:tc>
          <w:tcPr>
            <w:tcW w:w="3119" w:type="dxa"/>
          </w:tcPr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103" w:type="dxa"/>
          </w:tcPr>
          <w:p w:rsidR="00BF3BF7" w:rsidRPr="00BF3BF7" w:rsidRDefault="00BF3BF7" w:rsidP="00BF3BF7">
            <w:pPr>
              <w:spacing w:line="276" w:lineRule="auto"/>
              <w:jc w:val="both"/>
              <w:rPr>
                <w:rFonts w:eastAsia="Calibri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3BF7">
              <w:rPr>
                <w:rFonts w:cs="Arial"/>
                <w:sz w:val="24"/>
                <w:szCs w:val="24"/>
                <w:lang w:val="hy-AM"/>
              </w:rPr>
              <w:t xml:space="preserve">Հայաստանի Հանրապետության և Ասիական զարգացման բանկի միջև «Հանրային արդյունավետության և ֆինանսական շուկաների երկրորդ ծրագիր» վարկային համաձայնագրի </w:t>
            </w:r>
            <w:r w:rsidRPr="00BF3BF7">
              <w:rPr>
                <w:rFonts w:eastAsia="Calibri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վավերացումը կամ հաստատումը նպատակահարմար է։ </w:t>
            </w:r>
          </w:p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BF3BF7" w:rsidRPr="00BF3BF7" w:rsidTr="00BF3BF7">
        <w:tc>
          <w:tcPr>
            <w:tcW w:w="3119" w:type="dxa"/>
          </w:tcPr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103" w:type="dxa"/>
          </w:tcPr>
          <w:p w:rsidR="00BF3BF7" w:rsidRPr="00BF3BF7" w:rsidRDefault="00BF3BF7" w:rsidP="00BF3BF7">
            <w:pPr>
              <w:spacing w:line="276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BF3BF7">
              <w:rPr>
                <w:rFonts w:cs="Sylfaen"/>
                <w:sz w:val="24"/>
                <w:szCs w:val="24"/>
                <w:lang w:val="hy-AM"/>
              </w:rPr>
              <w:t>Վարկային</w:t>
            </w:r>
            <w:r w:rsidRPr="00BF3BF7">
              <w:rPr>
                <w:rFonts w:cs="Sylfaen"/>
                <w:sz w:val="24"/>
                <w:szCs w:val="24"/>
                <w:lang w:val="fr-FR"/>
              </w:rPr>
              <w:t xml:space="preserve"> 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համաձայնագիրը չի պարու</w:t>
            </w:r>
            <w:r>
              <w:rPr>
                <w:rFonts w:cs="Sylfaen"/>
                <w:sz w:val="24"/>
                <w:szCs w:val="24"/>
                <w:lang w:val="hy-AM"/>
              </w:rPr>
              <w:t>-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նակում Հայաստանի Հանրապետության օրենքին հակասող, օրենքի</w:t>
            </w:r>
            <w:r w:rsidRPr="00BF3BF7">
              <w:rPr>
                <w:rFonts w:cs="Sylfaen"/>
                <w:sz w:val="24"/>
                <w:szCs w:val="24"/>
                <w:lang w:val="fr-FR"/>
              </w:rPr>
              <w:t xml:space="preserve"> 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փոփոխություն</w:t>
            </w:r>
            <w:r w:rsidRPr="00BF3BF7">
              <w:rPr>
                <w:rFonts w:cs="Sylfaen"/>
                <w:sz w:val="24"/>
                <w:szCs w:val="24"/>
                <w:lang w:val="fr-FR"/>
              </w:rPr>
              <w:t xml:space="preserve"> 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կամ</w:t>
            </w:r>
            <w:r w:rsidRPr="00BF3BF7">
              <w:rPr>
                <w:rFonts w:cs="Sylfaen"/>
                <w:sz w:val="24"/>
                <w:szCs w:val="24"/>
                <w:lang w:val="fr-FR"/>
              </w:rPr>
              <w:t xml:space="preserve"> 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նոր</w:t>
            </w:r>
            <w:r w:rsidRPr="00BF3BF7">
              <w:rPr>
                <w:rFonts w:cs="Sylfaen"/>
                <w:sz w:val="24"/>
                <w:szCs w:val="24"/>
                <w:lang w:val="fr-FR"/>
              </w:rPr>
              <w:t xml:space="preserve"> 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օրենքի</w:t>
            </w:r>
            <w:r w:rsidRPr="00BF3BF7">
              <w:rPr>
                <w:rFonts w:cs="Sylfaen"/>
                <w:sz w:val="24"/>
                <w:szCs w:val="24"/>
                <w:lang w:val="fr-FR"/>
              </w:rPr>
              <w:t xml:space="preserve"> 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ընդունում</w:t>
            </w:r>
            <w:r w:rsidRPr="00BF3BF7">
              <w:rPr>
                <w:rFonts w:cs="Sylfaen"/>
                <w:sz w:val="24"/>
                <w:szCs w:val="24"/>
                <w:lang w:val="fr-FR"/>
              </w:rPr>
              <w:t xml:space="preserve"> 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նախատեսող</w:t>
            </w:r>
            <w:r w:rsidRPr="00BF3BF7">
              <w:rPr>
                <w:rFonts w:cs="Sylfaen"/>
                <w:sz w:val="24"/>
                <w:szCs w:val="24"/>
                <w:lang w:val="fr-FR"/>
              </w:rPr>
              <w:t xml:space="preserve"> 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նորմեր:</w:t>
            </w:r>
          </w:p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  <w:r w:rsidRPr="00BF3BF7">
              <w:rPr>
                <w:rFonts w:cs="Sylfaen"/>
                <w:sz w:val="24"/>
                <w:szCs w:val="24"/>
                <w:lang w:val="hy-AM"/>
              </w:rPr>
              <w:t>Միաժամանակ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, 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Վարկային համաձայնա</w:t>
            </w:r>
            <w:r>
              <w:rPr>
                <w:rFonts w:cs="Sylfaen"/>
                <w:sz w:val="24"/>
                <w:szCs w:val="24"/>
                <w:lang w:val="hy-AM"/>
              </w:rPr>
              <w:t>-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գիրը ենթակա է վավերացման ՀՀ Սահմա</w:t>
            </w:r>
            <w:r>
              <w:rPr>
                <w:rFonts w:cs="Sylfaen"/>
                <w:sz w:val="24"/>
                <w:szCs w:val="24"/>
                <w:lang w:val="hy-AM"/>
              </w:rPr>
              <w:t>-</w:t>
            </w:r>
            <w:r w:rsidRPr="00BF3BF7">
              <w:rPr>
                <w:rFonts w:cs="Sylfaen"/>
                <w:sz w:val="24"/>
                <w:szCs w:val="24"/>
                <w:lang w:val="hy-AM"/>
              </w:rPr>
              <w:t>նադրության 116-րդ հոդվածի 1-ին մասի 4-րդ կետի և «Միջազգային պայմանագրերի մասին» ՀՀ օրենքի 10-րդ հոդվածի 2-րդ մասի 4-րդ կետի դրույթների հիմքով:</w:t>
            </w:r>
          </w:p>
        </w:tc>
        <w:tc>
          <w:tcPr>
            <w:tcW w:w="2551" w:type="dxa"/>
          </w:tcPr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BF3BF7" w:rsidRPr="00BF3BF7" w:rsidTr="00BF3BF7">
        <w:tc>
          <w:tcPr>
            <w:tcW w:w="3119" w:type="dxa"/>
          </w:tcPr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103" w:type="dxa"/>
          </w:tcPr>
          <w:p w:rsidR="00BF3BF7" w:rsidRPr="00BF3BF7" w:rsidRDefault="00BF3BF7" w:rsidP="00914853">
            <w:pPr>
              <w:tabs>
                <w:tab w:val="left" w:pos="851"/>
              </w:tabs>
              <w:spacing w:line="276" w:lineRule="auto"/>
              <w:ind w:left="34"/>
              <w:jc w:val="both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t>Հ</w:t>
            </w:r>
            <w:r w:rsidRPr="00BF3BF7">
              <w:rPr>
                <w:sz w:val="24"/>
                <w:szCs w:val="24"/>
                <w:lang w:val="hy-AM"/>
              </w:rPr>
              <w:t>ամաձայնագրով Հայաստանի Հանրապե</w:t>
            </w:r>
            <w:r w:rsidR="00914853">
              <w:rPr>
                <w:sz w:val="24"/>
                <w:szCs w:val="24"/>
                <w:lang w:val="hy-AM"/>
              </w:rPr>
              <w:t>-</w:t>
            </w:r>
            <w:r w:rsidRPr="00BF3BF7">
              <w:rPr>
                <w:sz w:val="24"/>
                <w:szCs w:val="24"/>
                <w:lang w:val="hy-AM"/>
              </w:rPr>
              <w:t>տությունը ստանձնում է հետևյալ ֆինանսական պարտավորությունները.</w:t>
            </w:r>
          </w:p>
          <w:p w:rsidR="00BF3BF7" w:rsidRPr="00914853" w:rsidRDefault="00BF3BF7" w:rsidP="00914853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jc w:val="both"/>
              <w:rPr>
                <w:sz w:val="24"/>
                <w:szCs w:val="24"/>
                <w:lang w:val="hy-AM"/>
              </w:rPr>
            </w:pPr>
            <w:r w:rsidRPr="00914853">
              <w:rPr>
                <w:sz w:val="24"/>
                <w:szCs w:val="24"/>
                <w:lang w:val="hy-AM"/>
              </w:rPr>
              <w:t xml:space="preserve">Համաձայնագրի Հոդված 2-ում սահմանված է, որ ԱԶԲ-ն համաձայնում է ՀՀ-ին տրամադրել վարկ ԱԶԲ-ի Սովորական կապիտալ ռեսուրսներից 36,506,000 եվրո գումարի չափով:  Վարկի մարման ժամկետը 15 տարի է, որից արտոնյալ ժամկետը` 3 տարի, </w:t>
            </w:r>
            <w:r w:rsidRPr="00914853">
              <w:rPr>
                <w:sz w:val="24"/>
                <w:szCs w:val="24"/>
                <w:lang w:val="hy-AM"/>
              </w:rPr>
              <w:lastRenderedPageBreak/>
              <w:t>տոկոսադրույքը լողացող է` 6-ամսյա EURIBOR + 0.6% ֆիքսված սփրեդ - 0.1% վարկի տրամադրման զեղչատոկոս: Վարկի սպասարկման գծով վճարում</w:t>
            </w:r>
            <w:r w:rsidR="00914853">
              <w:rPr>
                <w:sz w:val="24"/>
                <w:szCs w:val="24"/>
                <w:lang w:val="hy-AM"/>
              </w:rPr>
              <w:t>-</w:t>
            </w:r>
            <w:r w:rsidRPr="00914853">
              <w:rPr>
                <w:sz w:val="24"/>
                <w:szCs w:val="24"/>
                <w:lang w:val="hy-AM"/>
              </w:rPr>
              <w:t>ների հաճախականությունը կիսամյա</w:t>
            </w:r>
            <w:r w:rsidR="00914853">
              <w:rPr>
                <w:sz w:val="24"/>
                <w:szCs w:val="24"/>
                <w:lang w:val="hy-AM"/>
              </w:rPr>
              <w:t>-</w:t>
            </w:r>
            <w:r w:rsidRPr="00914853">
              <w:rPr>
                <w:sz w:val="24"/>
                <w:szCs w:val="24"/>
                <w:lang w:val="hy-AM"/>
              </w:rPr>
              <w:t xml:space="preserve">կային է: Վարկի չօգտագործված գումարի նկատմամբ հաշվարկվում է պարտավորության վճար` վարկի 0.15%-ի չափով սկսած պայմանագրի ստորագրման ամսաթվին հաջորդող 60-րդ օրվանից: </w:t>
            </w:r>
          </w:p>
          <w:p w:rsidR="00BF3BF7" w:rsidRPr="00BF3BF7" w:rsidRDefault="00BF3BF7" w:rsidP="00914853">
            <w:pPr>
              <w:tabs>
                <w:tab w:val="left" w:pos="851"/>
              </w:tabs>
              <w:spacing w:line="276" w:lineRule="auto"/>
              <w:ind w:left="34"/>
              <w:jc w:val="both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t>Այսինքն` Հայաստանի Հանրապետությունը պարտավորվում է նշված պայմաններով և ժամկետներում սպասարկել և մարել վարկը:</w:t>
            </w:r>
          </w:p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BF3BF7" w:rsidRPr="00BF3BF7" w:rsidTr="00BF3BF7">
        <w:tc>
          <w:tcPr>
            <w:tcW w:w="3119" w:type="dxa"/>
          </w:tcPr>
          <w:p w:rsidR="00BF3BF7" w:rsidRPr="00BF3BF7" w:rsidRDefault="00BF3BF7" w:rsidP="00914853">
            <w:pPr>
              <w:spacing w:line="276" w:lineRule="auto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lastRenderedPageBreak/>
              <w:t xml:space="preserve">ՀՀ </w:t>
            </w:r>
            <w:r w:rsidR="00914853">
              <w:rPr>
                <w:sz w:val="24"/>
                <w:szCs w:val="24"/>
                <w:lang w:val="hy-AM"/>
              </w:rPr>
              <w:t xml:space="preserve">ՏԿԵՆ պետական </w:t>
            </w:r>
            <w:r w:rsidRPr="00BF3BF7">
              <w:rPr>
                <w:sz w:val="24"/>
                <w:szCs w:val="24"/>
                <w:lang w:val="hy-AM"/>
              </w:rPr>
              <w:t>գույքի</w:t>
            </w:r>
            <w:r w:rsidR="00914853">
              <w:rPr>
                <w:sz w:val="24"/>
                <w:szCs w:val="24"/>
                <w:lang w:val="hy-AM"/>
              </w:rPr>
              <w:t xml:space="preserve"> կառավարման կոմիտե</w:t>
            </w:r>
          </w:p>
        </w:tc>
        <w:tc>
          <w:tcPr>
            <w:tcW w:w="5103" w:type="dxa"/>
          </w:tcPr>
          <w:p w:rsidR="00BF3BF7" w:rsidRPr="00BF3BF7" w:rsidRDefault="00BF3BF7" w:rsidP="00914853">
            <w:pPr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t>«Հանրային արդյունավետության և ֆինանսական շուկաների երկրորդ ծրագիր» համաձայնագրով</w:t>
            </w:r>
            <w:r w:rsidR="00914853">
              <w:rPr>
                <w:sz w:val="24"/>
                <w:szCs w:val="24"/>
                <w:lang w:val="hy-AM"/>
              </w:rPr>
              <w:t xml:space="preserve"> </w:t>
            </w:r>
            <w:r w:rsidRPr="00BF3BF7">
              <w:rPr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չեն, եթե Համաձայնագրի հոդված 1-ում հղում կատարված ԱԶԲ-ի 2017 թվականի հունվարի 1-ի Ընթացիկ գործառնությունների</w:t>
            </w:r>
            <w:r w:rsidR="00914853">
              <w:rPr>
                <w:sz w:val="24"/>
                <w:szCs w:val="24"/>
                <w:lang w:val="hy-AM"/>
              </w:rPr>
              <w:t xml:space="preserve"> </w:t>
            </w:r>
            <w:r w:rsidRPr="00BF3BF7">
              <w:rPr>
                <w:sz w:val="24"/>
                <w:szCs w:val="24"/>
                <w:lang w:val="hy-AM"/>
              </w:rPr>
              <w:t>վարկային կանոնա</w:t>
            </w:r>
            <w:r w:rsidR="00914853">
              <w:rPr>
                <w:sz w:val="24"/>
                <w:szCs w:val="24"/>
                <w:lang w:val="hy-AM"/>
              </w:rPr>
              <w:t>-</w:t>
            </w:r>
            <w:r w:rsidRPr="00BF3BF7">
              <w:rPr>
                <w:sz w:val="24"/>
                <w:szCs w:val="24"/>
                <w:lang w:val="hy-AM"/>
              </w:rPr>
              <w:t>կարգով ևս Հայաստանի Հանրապե</w:t>
            </w:r>
            <w:r w:rsidR="00914853">
              <w:rPr>
                <w:sz w:val="24"/>
                <w:szCs w:val="24"/>
                <w:lang w:val="hy-AM"/>
              </w:rPr>
              <w:t>-</w:t>
            </w:r>
            <w:r w:rsidRPr="00BF3BF7">
              <w:rPr>
                <w:sz w:val="24"/>
                <w:szCs w:val="24"/>
                <w:lang w:val="hy-AM"/>
              </w:rPr>
              <w:t>տության համար գույքային պարտավո</w:t>
            </w:r>
            <w:r w:rsidR="00914853">
              <w:rPr>
                <w:sz w:val="24"/>
                <w:szCs w:val="24"/>
                <w:lang w:val="hy-AM"/>
              </w:rPr>
              <w:t>-</w:t>
            </w:r>
            <w:r w:rsidRPr="00BF3BF7">
              <w:rPr>
                <w:sz w:val="24"/>
                <w:szCs w:val="24"/>
                <w:lang w:val="hy-AM"/>
              </w:rPr>
              <w:t>րություններ նախատեսող դրույթներ առկա չեն։</w:t>
            </w:r>
          </w:p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:rsidR="00BF3BF7" w:rsidRPr="00BF3BF7" w:rsidRDefault="00BF3BF7" w:rsidP="00BF3BF7">
            <w:pPr>
              <w:spacing w:line="276" w:lineRule="auto"/>
              <w:rPr>
                <w:sz w:val="24"/>
                <w:szCs w:val="24"/>
                <w:lang w:val="hy-AM"/>
              </w:rPr>
            </w:pPr>
            <w:r w:rsidRPr="00BF3BF7">
              <w:rPr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BF3BF7" w:rsidRPr="00BF3BF7" w:rsidRDefault="00BF3BF7" w:rsidP="00BF3BF7">
      <w:pPr>
        <w:rPr>
          <w:sz w:val="24"/>
          <w:szCs w:val="24"/>
          <w:lang w:val="hy-AM"/>
        </w:rPr>
      </w:pPr>
      <w:bookmarkStart w:id="0" w:name="_GoBack"/>
      <w:bookmarkEnd w:id="0"/>
    </w:p>
    <w:sectPr w:rsidR="00BF3BF7" w:rsidRPr="00BF3B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1EED"/>
    <w:multiLevelType w:val="hybridMultilevel"/>
    <w:tmpl w:val="4CC45CE4"/>
    <w:lvl w:ilvl="0" w:tplc="ADC4C9EE">
      <w:start w:val="4"/>
      <w:numFmt w:val="bullet"/>
      <w:lvlText w:val="-"/>
      <w:lvlJc w:val="left"/>
      <w:pPr>
        <w:ind w:left="269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9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29" w:hanging="360"/>
      </w:pPr>
      <w:rPr>
        <w:rFonts w:ascii="Wingdings" w:hAnsi="Wingdings" w:hint="default"/>
      </w:rPr>
    </w:lvl>
  </w:abstractNum>
  <w:abstractNum w:abstractNumId="1">
    <w:nsid w:val="0BEB7853"/>
    <w:multiLevelType w:val="hybridMultilevel"/>
    <w:tmpl w:val="81E82C4C"/>
    <w:lvl w:ilvl="0" w:tplc="3BF23728">
      <w:start w:val="4"/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BF7"/>
    <w:rsid w:val="004B0C5E"/>
    <w:rsid w:val="00914853"/>
    <w:rsid w:val="00BF3BF7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09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3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48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092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3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4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2019-11-19T21:03:00Z</dcterms:created>
  <dcterms:modified xsi:type="dcterms:W3CDTF">2019-11-19T21:18:00Z</dcterms:modified>
</cp:coreProperties>
</file>