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9A" w:rsidRPr="001C631A" w:rsidRDefault="00663849" w:rsidP="002B1C54">
      <w:pPr>
        <w:spacing w:after="0"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1C631A">
        <w:rPr>
          <w:rFonts w:ascii="GHEA Grapalat" w:hAnsi="GHEA Grapalat"/>
          <w:b/>
          <w:color w:val="0D0D0D" w:themeColor="text1" w:themeTint="F2"/>
          <w:sz w:val="24"/>
          <w:szCs w:val="24"/>
        </w:rPr>
        <w:t>Ա Մ Փ Ո Փ Ա Թ Ե Ր Թ</w:t>
      </w:r>
    </w:p>
    <w:p w:rsidR="00F02120" w:rsidRPr="001C631A" w:rsidRDefault="00F02120" w:rsidP="002B1C54">
      <w:pPr>
        <w:spacing w:after="0"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</w:p>
    <w:p w:rsidR="00663849" w:rsidRPr="001C631A" w:rsidRDefault="00A56B22" w:rsidP="002B1C54">
      <w:pPr>
        <w:spacing w:after="0" w:line="240" w:lineRule="auto"/>
        <w:jc w:val="center"/>
        <w:rPr>
          <w:rStyle w:val="Strong"/>
          <w:rFonts w:ascii="GHEA Grapalat" w:hAnsi="GHEA Grapalat" w:cs="Sylfaen"/>
          <w:color w:val="0D0D0D" w:themeColor="text1" w:themeTint="F2"/>
          <w:sz w:val="24"/>
          <w:szCs w:val="24"/>
          <w:shd w:val="clear" w:color="auto" w:fill="FFFFFF"/>
        </w:rPr>
      </w:pPr>
      <w:r w:rsidRPr="001C631A">
        <w:rPr>
          <w:rFonts w:ascii="GHEA Grapalat" w:hAnsi="GHEA Grapalat"/>
          <w:b/>
          <w:color w:val="0D0D0D" w:themeColor="text1" w:themeTint="F2"/>
          <w:sz w:val="24"/>
          <w:szCs w:val="24"/>
        </w:rPr>
        <w:t>«</w:t>
      </w:r>
      <w:r w:rsidR="00663849" w:rsidRPr="001C631A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ՀՀ ՔՐԵԱԿԱՆ </w:t>
      </w:r>
      <w:r w:rsidR="00234608" w:rsidRPr="001C631A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ԴԱՏԱՎԱՐՈՒԹՅԱՆ </w:t>
      </w:r>
      <w:r w:rsidR="00663849" w:rsidRPr="001C631A">
        <w:rPr>
          <w:rFonts w:ascii="GHEA Grapalat" w:hAnsi="GHEA Grapalat"/>
          <w:b/>
          <w:color w:val="0D0D0D" w:themeColor="text1" w:themeTint="F2"/>
          <w:sz w:val="24"/>
          <w:szCs w:val="24"/>
        </w:rPr>
        <w:t>ՕՐԵՆՍԳՐՔՈՒՄ ԼՐԱՑՈՒՄ</w:t>
      </w:r>
      <w:r w:rsidR="0011040A" w:rsidRPr="001C631A">
        <w:rPr>
          <w:rFonts w:ascii="GHEA Grapalat" w:hAnsi="GHEA Grapalat"/>
          <w:b/>
          <w:color w:val="0D0D0D" w:themeColor="text1" w:themeTint="F2"/>
          <w:sz w:val="24"/>
          <w:szCs w:val="24"/>
        </w:rPr>
        <w:t>ՆԵՐ</w:t>
      </w:r>
      <w:r w:rsidR="00663849" w:rsidRPr="001C631A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ԿԱՏԱՐԵԼՈՒ ՄԱՍԻՆ</w:t>
      </w:r>
      <w:r w:rsidRPr="001C631A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» </w:t>
      </w:r>
      <w:r w:rsidRPr="001C631A">
        <w:rPr>
          <w:rStyle w:val="Strong"/>
          <w:rFonts w:ascii="GHEA Grapalat" w:hAnsi="GHEA Grapalat"/>
          <w:bCs w:val="0"/>
          <w:color w:val="0D0D0D" w:themeColor="text1" w:themeTint="F2"/>
          <w:sz w:val="24"/>
          <w:szCs w:val="24"/>
          <w:shd w:val="clear" w:color="auto" w:fill="FFFFFF"/>
          <w:lang w:val="hy-AM"/>
        </w:rPr>
        <w:t>ՀԱՅԱՍՏԱՆԻ</w:t>
      </w:r>
      <w:r w:rsidRPr="001C631A">
        <w:rPr>
          <w:rStyle w:val="Strong"/>
          <w:rFonts w:ascii="GHEA Grapalat" w:hAnsi="GHEA Grapalat" w:cs="Sylfaen"/>
          <w:bCs w:val="0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Pr="001C631A">
        <w:rPr>
          <w:rStyle w:val="Strong"/>
          <w:rFonts w:ascii="GHEA Grapalat" w:hAnsi="GHEA Grapalat"/>
          <w:bCs w:val="0"/>
          <w:color w:val="0D0D0D" w:themeColor="text1" w:themeTint="F2"/>
          <w:sz w:val="24"/>
          <w:szCs w:val="24"/>
          <w:shd w:val="clear" w:color="auto" w:fill="FFFFFF"/>
          <w:lang w:val="hy-AM"/>
        </w:rPr>
        <w:t>ՀԱՆՐԱՊԵՏՈՒԹՅԱՆ</w:t>
      </w:r>
      <w:r w:rsidRPr="001C631A">
        <w:rPr>
          <w:rStyle w:val="Strong"/>
          <w:rFonts w:ascii="GHEA Grapalat" w:hAnsi="GHEA Grapalat" w:cs="Sylfaen"/>
          <w:color w:val="0D0D0D" w:themeColor="text1" w:themeTint="F2"/>
          <w:sz w:val="24"/>
          <w:szCs w:val="24"/>
          <w:shd w:val="clear" w:color="auto" w:fill="FFFFFF"/>
        </w:rPr>
        <w:t xml:space="preserve"> ՕՐԵՆՔԻ </w:t>
      </w:r>
      <w:r w:rsidRPr="001C631A">
        <w:rPr>
          <w:rStyle w:val="Strong"/>
          <w:rFonts w:ascii="GHEA Grapalat" w:hAnsi="GHEA Grapalat" w:cs="Sylfaen"/>
          <w:color w:val="0D0D0D" w:themeColor="text1" w:themeTint="F2"/>
          <w:sz w:val="24"/>
          <w:szCs w:val="24"/>
          <w:shd w:val="clear" w:color="auto" w:fill="FFFFFF"/>
          <w:lang w:val="hy-AM"/>
        </w:rPr>
        <w:t>ՆԱԽԱԳԾ</w:t>
      </w:r>
      <w:r w:rsidRPr="001C631A">
        <w:rPr>
          <w:rStyle w:val="Strong"/>
          <w:rFonts w:ascii="GHEA Grapalat" w:hAnsi="GHEA Grapalat" w:cs="Sylfaen"/>
          <w:color w:val="0D0D0D" w:themeColor="text1" w:themeTint="F2"/>
          <w:sz w:val="24"/>
          <w:szCs w:val="24"/>
          <w:shd w:val="clear" w:color="auto" w:fill="FFFFFF"/>
        </w:rPr>
        <w:t>Ի</w:t>
      </w:r>
      <w:r w:rsidRPr="001C631A">
        <w:rPr>
          <w:rStyle w:val="Strong"/>
          <w:rFonts w:ascii="GHEA Grapalat" w:hAnsi="GHEA Grapalat" w:cs="Sylfaen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ՎԵՐԱԲԵՐՅԱԼ ԿԱՏԱՐՎԱԾ ԱՌԱՋԱՐԿՈՒԹՅՈՒՆՆԵՐԻ</w:t>
      </w:r>
    </w:p>
    <w:p w:rsidR="00F02120" w:rsidRPr="001C631A" w:rsidRDefault="00F02120" w:rsidP="002B1C54">
      <w:pPr>
        <w:spacing w:after="0"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</w:p>
    <w:tbl>
      <w:tblPr>
        <w:tblW w:w="14702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207"/>
        <w:gridCol w:w="26"/>
        <w:gridCol w:w="4564"/>
        <w:gridCol w:w="13"/>
        <w:gridCol w:w="2549"/>
        <w:gridCol w:w="44"/>
        <w:gridCol w:w="4636"/>
        <w:gridCol w:w="12"/>
      </w:tblGrid>
      <w:tr w:rsidR="00663849" w:rsidRPr="001C631A" w:rsidTr="00151E99">
        <w:trPr>
          <w:trHeight w:val="64"/>
        </w:trPr>
        <w:tc>
          <w:tcPr>
            <w:tcW w:w="651" w:type="dxa"/>
          </w:tcPr>
          <w:p w:rsidR="00663849" w:rsidRPr="001C631A" w:rsidRDefault="00663849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233" w:type="dxa"/>
            <w:gridSpan w:val="2"/>
          </w:tcPr>
          <w:p w:rsidR="00663849" w:rsidRPr="001C631A" w:rsidRDefault="00663849" w:rsidP="002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</w:tcPr>
          <w:p w:rsidR="002B1C54" w:rsidRPr="001C631A" w:rsidRDefault="002B1C54" w:rsidP="002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2B1C54" w:rsidRPr="001C631A" w:rsidRDefault="002B1C54" w:rsidP="002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151E99" w:rsidRPr="001C631A" w:rsidRDefault="00151E99" w:rsidP="002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663849" w:rsidRPr="001C631A" w:rsidRDefault="00663849" w:rsidP="002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2593" w:type="dxa"/>
            <w:gridSpan w:val="2"/>
          </w:tcPr>
          <w:p w:rsidR="002B1C54" w:rsidRPr="001C631A" w:rsidRDefault="002B1C54" w:rsidP="002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2B1C54" w:rsidRPr="001C631A" w:rsidRDefault="002B1C54" w:rsidP="002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151E99" w:rsidRPr="001C631A" w:rsidRDefault="00151E99" w:rsidP="002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663849" w:rsidRPr="001C631A" w:rsidRDefault="00663849" w:rsidP="002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4648" w:type="dxa"/>
            <w:gridSpan w:val="2"/>
          </w:tcPr>
          <w:p w:rsidR="002B1C54" w:rsidRPr="001C631A" w:rsidRDefault="002B1C54" w:rsidP="002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2B1C54" w:rsidRPr="001C631A" w:rsidRDefault="002B1C54" w:rsidP="002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151E99" w:rsidRPr="001C631A" w:rsidRDefault="00151E99" w:rsidP="002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663849" w:rsidRPr="001C631A" w:rsidRDefault="00663849" w:rsidP="002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663849" w:rsidRPr="001C631A" w:rsidTr="00151E99">
        <w:trPr>
          <w:trHeight w:val="64"/>
        </w:trPr>
        <w:tc>
          <w:tcPr>
            <w:tcW w:w="651" w:type="dxa"/>
          </w:tcPr>
          <w:p w:rsidR="00663849" w:rsidRPr="001C631A" w:rsidRDefault="00663849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1.</w:t>
            </w:r>
          </w:p>
        </w:tc>
        <w:tc>
          <w:tcPr>
            <w:tcW w:w="2233" w:type="dxa"/>
            <w:gridSpan w:val="2"/>
          </w:tcPr>
          <w:p w:rsidR="00663849" w:rsidRPr="001C631A" w:rsidRDefault="00663849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2.</w:t>
            </w: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</w:tcPr>
          <w:p w:rsidR="00663849" w:rsidRPr="001C631A" w:rsidRDefault="00663849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3.</w:t>
            </w:r>
          </w:p>
        </w:tc>
        <w:tc>
          <w:tcPr>
            <w:tcW w:w="2593" w:type="dxa"/>
            <w:gridSpan w:val="2"/>
          </w:tcPr>
          <w:p w:rsidR="00663849" w:rsidRPr="001C631A" w:rsidRDefault="00663849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4.</w:t>
            </w:r>
          </w:p>
        </w:tc>
        <w:tc>
          <w:tcPr>
            <w:tcW w:w="4648" w:type="dxa"/>
            <w:gridSpan w:val="2"/>
          </w:tcPr>
          <w:p w:rsidR="00663849" w:rsidRPr="001C631A" w:rsidRDefault="00663849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5.</w:t>
            </w:r>
          </w:p>
        </w:tc>
      </w:tr>
      <w:tr w:rsidR="00663849" w:rsidRPr="001C631A" w:rsidTr="00151E99">
        <w:trPr>
          <w:trHeight w:val="1790"/>
        </w:trPr>
        <w:tc>
          <w:tcPr>
            <w:tcW w:w="651" w:type="dxa"/>
          </w:tcPr>
          <w:p w:rsidR="00663849" w:rsidRPr="001C631A" w:rsidRDefault="002B1C54" w:rsidP="002B1C5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</w:t>
            </w:r>
            <w:r w:rsidR="00663849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233" w:type="dxa"/>
            <w:gridSpan w:val="2"/>
          </w:tcPr>
          <w:p w:rsidR="00663849" w:rsidRPr="001C631A" w:rsidRDefault="00663849" w:rsidP="002B1C54">
            <w:pPr>
              <w:pStyle w:val="norm"/>
              <w:spacing w:line="240" w:lineRule="auto"/>
              <w:ind w:firstLine="0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 w:eastAsia="ru-RU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ՀՀ գլխավոր դատախազություն </w:t>
            </w:r>
          </w:p>
          <w:p w:rsidR="00663849" w:rsidRPr="001C631A" w:rsidRDefault="006B217A" w:rsidP="002B1C54">
            <w:pPr>
              <w:pStyle w:val="norm"/>
              <w:spacing w:line="240" w:lineRule="auto"/>
              <w:ind w:firstLine="0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  <w:r w:rsidRPr="001C631A"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01.02.20202թ.</w:t>
            </w:r>
            <w:r w:rsidR="00663849" w:rsidRPr="001C631A"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 w:eastAsia="ru-RU"/>
              </w:rPr>
              <w:t xml:space="preserve"> թիվ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04/20/1179-20</w:t>
            </w:r>
          </w:p>
          <w:p w:rsidR="00663849" w:rsidRPr="001C631A" w:rsidRDefault="00663849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FE09D4" w:rsidRPr="001C631A" w:rsidRDefault="006B217A" w:rsidP="002B1C54">
            <w:pPr>
              <w:pStyle w:val="BodyText"/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ՀՀ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քրեական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դատավարության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օրենսգրքի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142-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րդ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հոդվածի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1-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ին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մասով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սահմանված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են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մեղադրյալին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կալանքից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ազատման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դեպքերը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,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որոնք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իրավակիրառողի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համար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կրում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են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իմպերատիվ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բնույթ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,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իսկ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առաջարկվող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լրացումը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նախատեսում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է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դատախազի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հայեցողական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լիազորություն՝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ծանր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հիվանդության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առկայության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դեպքում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կալանավորումը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որպես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խափանման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միջոց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փոփոխելու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նպատակահարմարությունը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քննարկելու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համատեքստում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: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Հ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ետևաբար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առաջարկում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ենք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նշված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լրացումները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նախատեսել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խափանման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միջոցը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փոփոխելու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և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վերացնելու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ընթացակարգերը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սահմանող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ՀՀ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քրեական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դատավարության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օրենսգրքի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151-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րդ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ru-RU" w:eastAsia="ru-RU"/>
              </w:rPr>
              <w:t>հոդվածում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nb-NO" w:eastAsia="ru-RU"/>
              </w:rPr>
              <w:t>:</w:t>
            </w:r>
          </w:p>
        </w:tc>
        <w:tc>
          <w:tcPr>
            <w:tcW w:w="2593" w:type="dxa"/>
            <w:gridSpan w:val="2"/>
          </w:tcPr>
          <w:p w:rsidR="00CC331B" w:rsidRPr="001C631A" w:rsidRDefault="006B217A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lastRenderedPageBreak/>
              <w:t>Ընդունվել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է</w:t>
            </w:r>
            <w:r w:rsidR="002B1C54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:</w:t>
            </w:r>
          </w:p>
        </w:tc>
        <w:tc>
          <w:tcPr>
            <w:tcW w:w="4648" w:type="dxa"/>
            <w:gridSpan w:val="2"/>
          </w:tcPr>
          <w:p w:rsidR="00CC331B" w:rsidRPr="001C631A" w:rsidRDefault="006B217A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Նախագծում կատարվել են համապատասխան փոփոխություններ</w:t>
            </w:r>
            <w:r w:rsidR="002B1C5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:</w:t>
            </w:r>
          </w:p>
        </w:tc>
      </w:tr>
      <w:tr w:rsidR="001B03C6" w:rsidRPr="001C631A" w:rsidTr="00151E99">
        <w:trPr>
          <w:gridAfter w:val="1"/>
          <w:wAfter w:w="12" w:type="dxa"/>
          <w:trHeight w:val="1839"/>
        </w:trPr>
        <w:tc>
          <w:tcPr>
            <w:tcW w:w="651" w:type="dxa"/>
          </w:tcPr>
          <w:p w:rsidR="001B03C6" w:rsidRPr="001C631A" w:rsidRDefault="006F2371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lastRenderedPageBreak/>
              <w:t>2</w:t>
            </w:r>
            <w:r w:rsidR="001B03C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.</w:t>
            </w:r>
          </w:p>
        </w:tc>
        <w:tc>
          <w:tcPr>
            <w:tcW w:w="2207" w:type="dxa"/>
          </w:tcPr>
          <w:p w:rsidR="0016213B" w:rsidRPr="001C631A" w:rsidRDefault="006F2371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ՀՀ ֆինանսների նախարարությու</w:t>
            </w:r>
            <w:r w:rsidR="00C1429B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ն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  <w:r w:rsidR="00CF3F7A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31</w:t>
            </w:r>
            <w:r w:rsidR="001B03C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.</w:t>
            </w:r>
            <w:r w:rsidR="00CF3F7A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0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1</w:t>
            </w:r>
            <w:r w:rsidR="001B03C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.20</w:t>
            </w:r>
            <w:r w:rsidR="00CF3F7A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20</w:t>
            </w:r>
            <w:r w:rsidR="001B03C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 թիվ </w:t>
            </w:r>
            <w:r w:rsidR="00CF3F7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01/11-1/1089-2020 </w:t>
            </w:r>
            <w:r w:rsidR="001B03C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գրություն</w:t>
            </w:r>
          </w:p>
          <w:p w:rsidR="00FE09D4" w:rsidRPr="001C631A" w:rsidRDefault="00FE09D4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590" w:type="dxa"/>
            <w:gridSpan w:val="2"/>
          </w:tcPr>
          <w:p w:rsidR="001B03C6" w:rsidRPr="001C631A" w:rsidRDefault="001B03C6" w:rsidP="002B1C5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D0D0D" w:themeColor="text1" w:themeTint="F2"/>
                <w:shd w:val="clear" w:color="auto" w:fill="FFFFFF"/>
                <w:lang w:val="hy-AM" w:eastAsia="ru-RU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hd w:val="clear" w:color="auto" w:fill="FFFFFF"/>
                <w:lang w:val="hy-AM" w:eastAsia="ru-RU"/>
              </w:rPr>
              <w:t>Առաջարկություններ և դիտողություններ չկան:</w:t>
            </w:r>
          </w:p>
        </w:tc>
        <w:tc>
          <w:tcPr>
            <w:tcW w:w="2562" w:type="dxa"/>
            <w:gridSpan w:val="2"/>
          </w:tcPr>
          <w:p w:rsidR="001B03C6" w:rsidRPr="001C631A" w:rsidRDefault="004B5E9F" w:rsidP="002B1C54">
            <w:pPr>
              <w:tabs>
                <w:tab w:val="left" w:pos="0"/>
                <w:tab w:val="left" w:pos="2484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---</w:t>
            </w:r>
          </w:p>
        </w:tc>
        <w:tc>
          <w:tcPr>
            <w:tcW w:w="4680" w:type="dxa"/>
            <w:gridSpan w:val="2"/>
          </w:tcPr>
          <w:p w:rsidR="001B03C6" w:rsidRPr="001C631A" w:rsidRDefault="004B5E9F" w:rsidP="002B1C54">
            <w:pPr>
              <w:tabs>
                <w:tab w:val="left" w:pos="24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----</w:t>
            </w:r>
          </w:p>
        </w:tc>
      </w:tr>
      <w:tr w:rsidR="001B03C6" w:rsidRPr="001C631A" w:rsidTr="00151E99">
        <w:trPr>
          <w:gridAfter w:val="1"/>
          <w:wAfter w:w="12" w:type="dxa"/>
          <w:trHeight w:val="1988"/>
        </w:trPr>
        <w:tc>
          <w:tcPr>
            <w:tcW w:w="651" w:type="dxa"/>
          </w:tcPr>
          <w:p w:rsidR="001B03C6" w:rsidRPr="001C631A" w:rsidRDefault="006F2371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3</w:t>
            </w:r>
            <w:r w:rsidR="001B03C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.</w:t>
            </w:r>
          </w:p>
        </w:tc>
        <w:tc>
          <w:tcPr>
            <w:tcW w:w="2207" w:type="dxa"/>
          </w:tcPr>
          <w:p w:rsidR="001B03C6" w:rsidRPr="001C631A" w:rsidRDefault="001B03C6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ՀՀ ազգային անվտանգության  ծառայություն</w:t>
            </w:r>
          </w:p>
          <w:p w:rsidR="001B03C6" w:rsidRPr="001C631A" w:rsidRDefault="00704193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01</w:t>
            </w:r>
            <w:r w:rsidR="006F2371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.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02</w:t>
            </w:r>
            <w:r w:rsidR="001B03C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.20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20թ.</w:t>
            </w:r>
            <w:r w:rsidR="001B03C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 թիվ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11/84 </w:t>
            </w:r>
            <w:r w:rsidR="001B03C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գրություն </w:t>
            </w:r>
          </w:p>
          <w:p w:rsidR="00FE09D4" w:rsidRPr="001C631A" w:rsidRDefault="00FE09D4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590" w:type="dxa"/>
            <w:gridSpan w:val="2"/>
          </w:tcPr>
          <w:p w:rsidR="001B03C6" w:rsidRPr="001C631A" w:rsidRDefault="001B03C6" w:rsidP="002B1C5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D0D0D" w:themeColor="text1" w:themeTint="F2"/>
                <w:shd w:val="clear" w:color="auto" w:fill="FFFFFF"/>
                <w:lang w:eastAsia="ru-RU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hd w:val="clear" w:color="auto" w:fill="FFFFFF"/>
                <w:lang w:val="hy-AM" w:eastAsia="ru-RU"/>
              </w:rPr>
              <w:t>Առաջարկություններ և դիտողություններ չկան:</w:t>
            </w:r>
          </w:p>
        </w:tc>
        <w:tc>
          <w:tcPr>
            <w:tcW w:w="2562" w:type="dxa"/>
            <w:gridSpan w:val="2"/>
          </w:tcPr>
          <w:p w:rsidR="001B03C6" w:rsidRPr="001C631A" w:rsidRDefault="004B5E9F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---</w:t>
            </w:r>
          </w:p>
          <w:p w:rsidR="001B03C6" w:rsidRPr="001C631A" w:rsidRDefault="001B03C6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1B03C6" w:rsidRPr="001C631A" w:rsidRDefault="001B03C6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1B03C6" w:rsidRPr="001C631A" w:rsidRDefault="004B5E9F" w:rsidP="002B1C54">
            <w:pPr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---</w:t>
            </w:r>
          </w:p>
          <w:p w:rsidR="001B03C6" w:rsidRPr="001C631A" w:rsidRDefault="001B03C6" w:rsidP="002B1C54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1B03C6" w:rsidRPr="001C631A" w:rsidRDefault="001B03C6" w:rsidP="002B1C54">
            <w:pPr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</w:tr>
      <w:tr w:rsidR="001B03C6" w:rsidRPr="001C631A" w:rsidTr="00151E99">
        <w:trPr>
          <w:gridAfter w:val="1"/>
          <w:wAfter w:w="12" w:type="dxa"/>
          <w:trHeight w:val="1915"/>
        </w:trPr>
        <w:tc>
          <w:tcPr>
            <w:tcW w:w="651" w:type="dxa"/>
          </w:tcPr>
          <w:p w:rsidR="001B03C6" w:rsidRPr="001C631A" w:rsidRDefault="00E77FD4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4</w:t>
            </w:r>
            <w:r w:rsidR="001B03C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1B03C6" w:rsidRPr="001C631A" w:rsidRDefault="00D70EBE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ՀՀ հատուկ քննչական ծառայություն</w:t>
            </w:r>
            <w:r w:rsidR="00A6614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 xml:space="preserve"> 2</w:t>
            </w:r>
            <w:r w:rsidR="00E77FD4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9</w:t>
            </w:r>
            <w:r w:rsidR="00A6614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.</w:t>
            </w:r>
            <w:r w:rsidR="00E77FD4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0</w:t>
            </w:r>
            <w:r w:rsidR="00A6614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1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.20</w:t>
            </w:r>
            <w:r w:rsidR="00E77FD4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20թ.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 xml:space="preserve"> թիվ </w:t>
            </w:r>
            <w:r w:rsidR="00E77FD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18-562գ-20</w:t>
            </w:r>
          </w:p>
        </w:tc>
        <w:tc>
          <w:tcPr>
            <w:tcW w:w="4590" w:type="dxa"/>
            <w:gridSpan w:val="2"/>
          </w:tcPr>
          <w:p w:rsidR="00AD536C" w:rsidRPr="001C631A" w:rsidRDefault="00E77FD4" w:rsidP="002B1C54">
            <w:pPr>
              <w:pStyle w:val="a0"/>
              <w:shd w:val="clear" w:color="auto" w:fill="auto"/>
              <w:spacing w:line="240" w:lineRule="auto"/>
              <w:ind w:right="20"/>
              <w:jc w:val="both"/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 w:eastAsia="ru-RU"/>
              </w:rPr>
              <w:t>Առաջարկություններ և դիտողություններ չկան:</w:t>
            </w:r>
          </w:p>
        </w:tc>
        <w:tc>
          <w:tcPr>
            <w:tcW w:w="2562" w:type="dxa"/>
            <w:gridSpan w:val="2"/>
          </w:tcPr>
          <w:p w:rsidR="006012C9" w:rsidRPr="001C631A" w:rsidRDefault="00F02120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</w:rPr>
              <w:t>---</w:t>
            </w:r>
          </w:p>
          <w:p w:rsidR="006012C9" w:rsidRPr="001C631A" w:rsidRDefault="006012C9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</w:rPr>
            </w:pPr>
          </w:p>
          <w:p w:rsidR="006012C9" w:rsidRPr="001C631A" w:rsidRDefault="006012C9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</w:rPr>
            </w:pPr>
          </w:p>
          <w:p w:rsidR="006012C9" w:rsidRPr="001C631A" w:rsidRDefault="006012C9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</w:rPr>
            </w:pPr>
          </w:p>
          <w:p w:rsidR="006012C9" w:rsidRPr="001C631A" w:rsidRDefault="006012C9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6012C9" w:rsidRPr="001C631A" w:rsidRDefault="006012C9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</w:rPr>
            </w:pPr>
          </w:p>
          <w:p w:rsidR="006012C9" w:rsidRPr="001C631A" w:rsidRDefault="006012C9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</w:rPr>
            </w:pPr>
          </w:p>
          <w:p w:rsidR="006012C9" w:rsidRPr="001C631A" w:rsidRDefault="006012C9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6012C9" w:rsidRPr="001C631A" w:rsidRDefault="006012C9" w:rsidP="002B1C54">
            <w:pPr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 xml:space="preserve"> </w:t>
            </w:r>
            <w:r w:rsidR="00F02120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---</w:t>
            </w:r>
          </w:p>
        </w:tc>
      </w:tr>
      <w:tr w:rsidR="001B03C6" w:rsidRPr="001C631A" w:rsidTr="00151E99">
        <w:trPr>
          <w:gridAfter w:val="1"/>
          <w:wAfter w:w="12" w:type="dxa"/>
          <w:trHeight w:val="2114"/>
        </w:trPr>
        <w:tc>
          <w:tcPr>
            <w:tcW w:w="651" w:type="dxa"/>
          </w:tcPr>
          <w:p w:rsidR="001B03C6" w:rsidRPr="001C631A" w:rsidRDefault="004D2605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lastRenderedPageBreak/>
              <w:t>5</w:t>
            </w:r>
            <w:r w:rsidR="001B03C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1B03C6" w:rsidRPr="001C631A" w:rsidRDefault="00260A46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ՀՀ քննչական կոմիտե 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31</w:t>
            </w:r>
            <w:r w:rsidR="006F2371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.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0</w:t>
            </w:r>
            <w:r w:rsidR="006F2371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1</w:t>
            </w:r>
            <w:r w:rsidR="00D70EBE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.20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20</w:t>
            </w:r>
            <w:r w:rsidR="00D70EBE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 թիվ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01/22/2355-20</w:t>
            </w:r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="00D70EBE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590" w:type="dxa"/>
            <w:gridSpan w:val="2"/>
          </w:tcPr>
          <w:p w:rsidR="001B03C6" w:rsidRPr="001C631A" w:rsidRDefault="00260A46" w:rsidP="002B1C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Calibri" w:hAnsi="GHEA Grapalat" w:cs="Calibri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Style w:val="FontStyle12"/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1) Նախագծի 1-ին հոդվածում «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1-ին մասը լրացնել հետևյալ բովանդակությամբ 1.1-րդ մասով</w:t>
            </w:r>
            <w:r w:rsidRPr="001C631A">
              <w:rPr>
                <w:rStyle w:val="FontStyle12"/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» բառերը փոխարինել «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լ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րացնել հետևյալ բովանդակությամբ 1.1-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ին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մաս</w:t>
            </w:r>
            <w:r w:rsidRPr="001C631A">
              <w:rPr>
                <w:rStyle w:val="FontStyle12"/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» բառերով՝</w:t>
            </w:r>
            <w:r w:rsidRPr="001C631A">
              <w:rPr>
                <w:rFonts w:ascii="GHEA Grapalat" w:eastAsia="Times New Roman" w:hAnsi="GHEA Grapalat" w:cs="Times New Roman"/>
                <w:color w:val="0D0D0D" w:themeColor="text1" w:themeTint="F2"/>
                <w:sz w:val="24"/>
                <w:szCs w:val="24"/>
                <w:lang w:val="hy-AM"/>
              </w:rPr>
              <w:t xml:space="preserve"> Հայաստանի Հանրապետության կառավարության 2012 թվականի ապրիլի 5-ի «Իրավական ակտերի նախագծերի մշակման մեթոդական ցուցումներին հավանություն տալու և Հայաստանի Հանրապետության կառավարության 2010 թվականի</w:t>
            </w:r>
            <w:r w:rsidRPr="001C631A">
              <w:rPr>
                <w:rFonts w:ascii="GHEA Grapalat" w:eastAsia="Times New Roman" w:hAnsi="GHEA Grapalat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1C631A">
              <w:rPr>
                <w:rFonts w:ascii="GHEA Grapalat" w:eastAsia="Times New Roman" w:hAnsi="GHEA Grapalat" w:cs="Times New Roman"/>
                <w:color w:val="0D0D0D" w:themeColor="text1" w:themeTint="F2"/>
                <w:sz w:val="24"/>
                <w:szCs w:val="24"/>
                <w:lang w:val="hy-AM"/>
              </w:rPr>
              <w:t xml:space="preserve">հոկտեմբերի 28-ի N 42 արձանագրային որոշումն ուժը կորցրած ճանաչելու մասին» N 13 արձանագրային որոշման 1-ին կետով հաստատված հավելվածի </w:t>
            </w:r>
            <w:r w:rsidRPr="001C631A">
              <w:rPr>
                <w:rFonts w:ascii="GHEA Grapalat" w:hAnsi="GHEA Grapalat" w:cs="GHEA Grapalat"/>
                <w:bCs/>
                <w:color w:val="0D0D0D" w:themeColor="text1" w:themeTint="F2"/>
                <w:sz w:val="24"/>
                <w:szCs w:val="24"/>
              </w:rPr>
              <w:t>300</w:t>
            </w:r>
            <w:r w:rsidRPr="001C631A">
              <w:rPr>
                <w:rFonts w:ascii="GHEA Grapalat" w:hAnsi="GHEA Grapalat" w:cs="GHEA Grapalat"/>
                <w:bCs/>
                <w:color w:val="0D0D0D" w:themeColor="text1" w:themeTint="F2"/>
                <w:sz w:val="24"/>
                <w:szCs w:val="24"/>
                <w:lang w:val="hy-AM"/>
              </w:rPr>
              <w:t>-րդ կետի պահանջներին համապատասխան</w:t>
            </w:r>
            <w:r w:rsidRPr="001C631A">
              <w:rPr>
                <w:rFonts w:ascii="GHEA Grapalat" w:hAnsi="GHEA Grapalat" w:cs="GHEA Grapalat"/>
                <w:bCs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2562" w:type="dxa"/>
            <w:gridSpan w:val="2"/>
          </w:tcPr>
          <w:p w:rsidR="00A66146" w:rsidRPr="001C631A" w:rsidRDefault="00D4159B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Ը</w:t>
            </w:r>
            <w:proofErr w:type="spellStart"/>
            <w:r w:rsidR="00260A46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նդունվել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է</w:t>
            </w:r>
            <w:r w:rsidR="002B1C54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:</w:t>
            </w:r>
          </w:p>
          <w:p w:rsidR="001B03C6" w:rsidRPr="001C631A" w:rsidRDefault="001B03C6" w:rsidP="002B1C54">
            <w:pPr>
              <w:tabs>
                <w:tab w:val="left" w:pos="0"/>
                <w:tab w:val="left" w:pos="252"/>
                <w:tab w:val="left" w:pos="342"/>
              </w:tabs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680" w:type="dxa"/>
            <w:gridSpan w:val="2"/>
          </w:tcPr>
          <w:p w:rsidR="00A66146" w:rsidRPr="001C631A" w:rsidRDefault="00D4159B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Նախագծում կատարվել է համապատասխան փոփոխություն:</w:t>
            </w:r>
          </w:p>
          <w:p w:rsidR="001B03C6" w:rsidRPr="001C631A" w:rsidRDefault="001B03C6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</w:tr>
      <w:tr w:rsidR="00260A46" w:rsidRPr="001C631A" w:rsidTr="00D4159B">
        <w:trPr>
          <w:gridAfter w:val="1"/>
          <w:wAfter w:w="12" w:type="dxa"/>
          <w:trHeight w:val="1263"/>
        </w:trPr>
        <w:tc>
          <w:tcPr>
            <w:tcW w:w="651" w:type="dxa"/>
          </w:tcPr>
          <w:p w:rsidR="00260A46" w:rsidRPr="001C631A" w:rsidRDefault="00260A46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2207" w:type="dxa"/>
          </w:tcPr>
          <w:p w:rsidR="00260A46" w:rsidRPr="001C631A" w:rsidRDefault="00260A46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590" w:type="dxa"/>
            <w:gridSpan w:val="2"/>
          </w:tcPr>
          <w:p w:rsidR="00260A46" w:rsidRPr="001C631A" w:rsidRDefault="00260A46" w:rsidP="002B1C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</w:pPr>
            <w:r w:rsidRPr="001C631A">
              <w:rPr>
                <w:rStyle w:val="FontStyle12"/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2) Նախագծի 1-ին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հոդվածով լրացվող 142-րդ հոդվածի 5-րդ մասը </w:t>
            </w:r>
            <w:r w:rsidRPr="001C631A">
              <w:rPr>
                <w:rFonts w:ascii="GHEA Grapalat" w:hAnsi="GHEA Grapalat" w:cs="Sylfaen"/>
                <w:b/>
                <w:i/>
                <w:color w:val="0D0D0D" w:themeColor="text1" w:themeTint="F2"/>
                <w:sz w:val="24"/>
                <w:szCs w:val="24"/>
                <w:lang w:val="hy-AM"/>
              </w:rPr>
              <w:t>իրավունք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է վերապահում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հսկող դատախազին որոշում կայացնելու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կալանքը որպես խափանման միջոց վերացնելու և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կալանավորված անձին ազատ արձակելու մասին, եթե կալանավորված անձը տառապում է ծանր հիվանդությամբ, որն </w:t>
            </w:r>
            <w:r w:rsidRPr="001C631A">
              <w:rPr>
                <w:rFonts w:ascii="GHEA Grapalat" w:hAnsi="GHEA Grapalat"/>
                <w:b/>
                <w:i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անհամատեղելի է </w:t>
            </w:r>
            <w:r w:rsidRPr="001C631A">
              <w:rPr>
                <w:rFonts w:ascii="GHEA Grapalat" w:hAnsi="GHEA Grapalat"/>
                <w:b/>
                <w:i/>
                <w:color w:val="0D0D0D" w:themeColor="text1" w:themeTint="F2"/>
                <w:sz w:val="24"/>
                <w:szCs w:val="24"/>
                <w:lang w:val="hy-AM"/>
              </w:rPr>
              <w:t xml:space="preserve">կալանքը որպես </w:t>
            </w:r>
            <w:r w:rsidRPr="001C631A">
              <w:rPr>
                <w:rFonts w:ascii="GHEA Grapalat" w:hAnsi="GHEA Grapalat"/>
                <w:b/>
                <w:i/>
                <w:color w:val="0D0D0D" w:themeColor="text1" w:themeTint="F2"/>
                <w:sz w:val="24"/>
                <w:szCs w:val="24"/>
                <w:lang w:val="hy-AM"/>
              </w:rPr>
              <w:lastRenderedPageBreak/>
              <w:t>խափանման միջոց կիրառելու հետ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: Մինչդեռ, կարծում ենք, որ նշված դեպքում հսկող դատախազը </w:t>
            </w:r>
            <w:r w:rsidRPr="001C631A">
              <w:rPr>
                <w:rFonts w:ascii="GHEA Grapalat" w:hAnsi="GHEA Grapalat"/>
                <w:b/>
                <w:i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պարտավոր է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 որոշում կայացնելու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կալանքը որպես խափանման միջոց վերացնելու և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կալանավորված անձին ազատ արձակելու մասին: </w:t>
            </w:r>
          </w:p>
          <w:p w:rsidR="00260A46" w:rsidRPr="001C631A" w:rsidRDefault="00260A46" w:rsidP="002B1C54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2"/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ab/>
              <w:t>Հետևաբար առաջարկում ենք նշված նորմում «</w:t>
            </w:r>
            <w:bookmarkStart w:id="0" w:name="_GoBack"/>
            <w:bookmarkEnd w:id="0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որն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անհամատեղելի է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կալանքը որպես խափանման միջոց կիրառելու հետ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» բառերը փոխարինել «որը կարող է խոչընդոտել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կալանքը որպես խափանման միջոց կիրառելուն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»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բառերով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՝  Նորմատիվ իրավական ակտերի մասին ՀՀ օրենքի 15-րդ հոդվածի 1-ին մասի պահանջներին համապատասխան:</w:t>
            </w:r>
          </w:p>
        </w:tc>
        <w:tc>
          <w:tcPr>
            <w:tcW w:w="2562" w:type="dxa"/>
            <w:gridSpan w:val="2"/>
          </w:tcPr>
          <w:p w:rsidR="00260A46" w:rsidRPr="001C631A" w:rsidRDefault="00260A46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lastRenderedPageBreak/>
              <w:t>Չի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ընդունվել</w:t>
            </w:r>
            <w:proofErr w:type="spellEnd"/>
            <w:r w:rsidR="002B1C54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:</w:t>
            </w:r>
          </w:p>
        </w:tc>
        <w:tc>
          <w:tcPr>
            <w:tcW w:w="4680" w:type="dxa"/>
            <w:gridSpan w:val="2"/>
          </w:tcPr>
          <w:p w:rsidR="00260A46" w:rsidRPr="001C631A" w:rsidRDefault="00260A46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ՀՀ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քրեական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դատավարության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օրենսգրքի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432-րդ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հոդվածի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3-րդ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մասով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սահմանվում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է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հետևյալը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. «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Ծանր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հիվանդությամբ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հիվանդացած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հետագայում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կրելուց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ազատելու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հարցը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լուծելիս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հաշվի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առնում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կատարված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հանցագործության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ծանրությունը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դատապարտյալի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անձնավորությունը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հանգամանքներ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»:</w:t>
            </w:r>
          </w:p>
          <w:p w:rsidR="00260A46" w:rsidRPr="001C631A" w:rsidRDefault="00260A46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Այսինքն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40977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գ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ործող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կարգավորումների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դեպքում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էլ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ե</w:t>
            </w:r>
            <w:r w:rsidR="00840977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թե</w:t>
            </w:r>
            <w:proofErr w:type="spellEnd"/>
            <w:r w:rsidR="00840977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դատարանն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ստանում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միջգերատեսչական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բժշկական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հանձնաժողովի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եզրակացությունն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առ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այն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ծանր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հիվանդությունը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խոչընդոտ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պատժի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կրման</w:t>
            </w:r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այնուամենայնիվ</w:t>
            </w:r>
            <w:proofErr w:type="spellEnd"/>
            <w:r w:rsidR="004D260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D2605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4D2605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05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="004D2605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05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դա</w:t>
            </w:r>
            <w:proofErr w:type="spellEnd"/>
            <w:r w:rsidR="004D2605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իմպերատիվ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պահանջ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չի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կարող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դառնալ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անձին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պատժի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կրումից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անմիջապես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արձակելու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քանի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լիազորված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ծանր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հիվանդության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հիմքով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անձին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պատժի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կրումից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արձակելու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հարցի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քննման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ժամանակ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հաշվի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առնել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հանցագործության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ծանրությունը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դատապարտյալի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անձնավորությունը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2D56" w:rsidRPr="001C631A"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հանգամանքներ</w:t>
            </w:r>
            <w:proofErr w:type="spellEnd"/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:</w:t>
            </w:r>
          </w:p>
          <w:p w:rsidR="00982D56" w:rsidRPr="001C631A" w:rsidRDefault="00982D56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Նույն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տրամաբանությամբ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առաջարկվում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կարգավորում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նախատեսել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կալանա</w:t>
            </w:r>
            <w:r w:rsidR="002471F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վոր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մանը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խոչընդոտող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ծանր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հիվանդության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հիմքով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կալանավարումից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արձակելու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միջնորդագրի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քննման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Նախագծի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1-ին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հոդվածով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առաջարկվում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սահմանել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հետևյալը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. «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Ծանր հիվանդությամբ տառապող անձին կալանքից ազատելու հարցը լուծելիս հսկող դատախազը հաշվի է առնում վերագրվող արարքի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lastRenderedPageBreak/>
              <w:t>ծանրությունը, մեղադրյալի անձնավորությունը և այլ հանգամանքներ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»:</w:t>
            </w:r>
          </w:p>
        </w:tc>
      </w:tr>
      <w:tr w:rsidR="00982D56" w:rsidRPr="001C631A" w:rsidTr="00151E99">
        <w:trPr>
          <w:gridAfter w:val="1"/>
          <w:wAfter w:w="12" w:type="dxa"/>
          <w:trHeight w:val="2114"/>
        </w:trPr>
        <w:tc>
          <w:tcPr>
            <w:tcW w:w="651" w:type="dxa"/>
          </w:tcPr>
          <w:p w:rsidR="00982D56" w:rsidRPr="001C631A" w:rsidRDefault="00982D56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07" w:type="dxa"/>
          </w:tcPr>
          <w:p w:rsidR="00982D56" w:rsidRPr="001C631A" w:rsidRDefault="00982D56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590" w:type="dxa"/>
            <w:gridSpan w:val="2"/>
          </w:tcPr>
          <w:p w:rsidR="00982D56" w:rsidRPr="001C631A" w:rsidRDefault="00FE67F8" w:rsidP="002B1C54">
            <w:pPr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Style w:val="FontStyle12"/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3</w:t>
            </w:r>
            <w:r w:rsidR="00982D56" w:rsidRPr="001C631A">
              <w:rPr>
                <w:rStyle w:val="FontStyle12"/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) Նախագծի 1-ին </w:t>
            </w:r>
            <w:r w:rsidR="00982D56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հոդվածով լրացվող 142-րդ հոդվածի 5-րդ մասում՝ «ենթակա է բողոքարկման» բառերը փոխարինել «կարող է բողոքարկվել» </w:t>
            </w:r>
            <w:r w:rsidR="00982D5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բառերով</w:t>
            </w:r>
            <w:r w:rsidR="00982D56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՝ </w:t>
            </w:r>
          </w:p>
          <w:p w:rsidR="00982D56" w:rsidRPr="001C631A" w:rsidRDefault="00982D56" w:rsidP="002B1C54">
            <w:pPr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Նորմատիվ իրավական ակտերի մասին ՀՀ օրենքի 15-րդ հոդվածի 1-ին մասի պահանջներին համապատասխան:</w:t>
            </w:r>
          </w:p>
          <w:p w:rsidR="007C3DAE" w:rsidRPr="001C631A" w:rsidRDefault="007C3DAE" w:rsidP="002B1C54">
            <w:pPr>
              <w:spacing w:after="0" w:line="240" w:lineRule="auto"/>
              <w:jc w:val="both"/>
              <w:rPr>
                <w:rStyle w:val="FontStyle12"/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2562" w:type="dxa"/>
            <w:gridSpan w:val="2"/>
          </w:tcPr>
          <w:p w:rsidR="00982D56" w:rsidRPr="001C631A" w:rsidRDefault="002471FA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Ը</w:t>
            </w:r>
            <w:r w:rsidR="00982D56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նդունվել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է</w:t>
            </w:r>
            <w:r w:rsidR="002B1C54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:</w:t>
            </w:r>
          </w:p>
        </w:tc>
        <w:tc>
          <w:tcPr>
            <w:tcW w:w="4680" w:type="dxa"/>
            <w:gridSpan w:val="2"/>
          </w:tcPr>
          <w:p w:rsidR="00982D56" w:rsidRPr="001C631A" w:rsidRDefault="002471FA" w:rsidP="007C3D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Նախագծո</w:t>
            </w:r>
            <w:r w:rsidR="007C3DAE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վ ՀՀ քրեական դատավարության օրենսգրքի 142-րդ հոդվածում առաջարկվող կարգավորումները նախատեսվել են 151-րդ հոդվածում: Ըստ այդմ՝ համապատասխան փոփոխությունները կատարվել են 151-րդ հոդվածում:</w:t>
            </w:r>
          </w:p>
        </w:tc>
      </w:tr>
      <w:tr w:rsidR="001B03C6" w:rsidRPr="001C631A" w:rsidTr="00151E99">
        <w:trPr>
          <w:gridAfter w:val="1"/>
          <w:wAfter w:w="12" w:type="dxa"/>
          <w:trHeight w:val="77"/>
        </w:trPr>
        <w:tc>
          <w:tcPr>
            <w:tcW w:w="651" w:type="dxa"/>
          </w:tcPr>
          <w:p w:rsidR="001B03C6" w:rsidRPr="001C631A" w:rsidRDefault="00E77FD4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6</w:t>
            </w:r>
            <w:r w:rsidR="001B03C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1B03C6" w:rsidRPr="001C631A" w:rsidRDefault="00A66146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 xml:space="preserve">ՀՀ </w:t>
            </w:r>
            <w:r w:rsidR="002471FA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ո</w:t>
            </w:r>
            <w:r w:rsidR="00AD6AAE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 xml:space="preserve">ստիկանություն </w:t>
            </w:r>
            <w:r w:rsidR="00AC7F95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31</w:t>
            </w:r>
            <w:r w:rsidR="00AD6AAE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.</w:t>
            </w:r>
            <w:r w:rsidR="00AC7F95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0</w:t>
            </w:r>
            <w:r w:rsidR="006F2371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1</w:t>
            </w:r>
            <w:r w:rsidR="00AD6AAE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.20</w:t>
            </w:r>
            <w:r w:rsidR="00AC7F95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20</w:t>
            </w:r>
            <w:r w:rsidR="00AD6AAE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 xml:space="preserve"> թիվ </w:t>
            </w:r>
            <w:r w:rsidR="00AC7F95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1/21/2805-20 </w:t>
            </w:r>
            <w:r w:rsidR="00AD6AAE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գրություն</w:t>
            </w:r>
          </w:p>
          <w:p w:rsidR="002B1C54" w:rsidRPr="001C631A" w:rsidRDefault="002B1C54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590" w:type="dxa"/>
            <w:gridSpan w:val="2"/>
          </w:tcPr>
          <w:p w:rsidR="00FC3EA0" w:rsidRPr="001C631A" w:rsidRDefault="00C03489" w:rsidP="002B1C54">
            <w:pPr>
              <w:pStyle w:val="norm"/>
              <w:spacing w:line="240" w:lineRule="auto"/>
              <w:ind w:firstLine="0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 w:eastAsia="ru-RU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hy-AM" w:eastAsia="ru-RU"/>
              </w:rPr>
              <w:t>Առաջարկություններ և դիտողություններ չկան:</w:t>
            </w:r>
          </w:p>
          <w:p w:rsidR="00FC3EA0" w:rsidRPr="001C631A" w:rsidRDefault="00FC3EA0" w:rsidP="002B1C54">
            <w:pPr>
              <w:pStyle w:val="norm"/>
              <w:spacing w:line="240" w:lineRule="auto"/>
              <w:ind w:firstLine="0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shd w:val="clear" w:color="auto" w:fill="FFFFFF"/>
                <w:lang w:val="hy-AM" w:eastAsia="ru-RU"/>
              </w:rPr>
            </w:pPr>
          </w:p>
        </w:tc>
        <w:tc>
          <w:tcPr>
            <w:tcW w:w="2562" w:type="dxa"/>
            <w:gridSpan w:val="2"/>
          </w:tcPr>
          <w:p w:rsidR="00C03489" w:rsidRPr="001C631A" w:rsidRDefault="00C03489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---</w:t>
            </w:r>
          </w:p>
          <w:p w:rsidR="00AF6FCF" w:rsidRPr="001C631A" w:rsidRDefault="00AF6FCF" w:rsidP="002B1C54">
            <w:pPr>
              <w:tabs>
                <w:tab w:val="left" w:pos="0"/>
                <w:tab w:val="left" w:pos="72"/>
                <w:tab w:val="left" w:pos="162"/>
              </w:tabs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C03489" w:rsidRPr="001C631A" w:rsidRDefault="00C03489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---</w:t>
            </w:r>
          </w:p>
          <w:p w:rsidR="00AF6FCF" w:rsidRPr="001C631A" w:rsidRDefault="00AF6FCF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</w:p>
        </w:tc>
      </w:tr>
      <w:tr w:rsidR="006A3EB1" w:rsidRPr="001C631A" w:rsidTr="00151E99">
        <w:trPr>
          <w:gridAfter w:val="1"/>
          <w:wAfter w:w="12" w:type="dxa"/>
          <w:trHeight w:val="77"/>
        </w:trPr>
        <w:tc>
          <w:tcPr>
            <w:tcW w:w="651" w:type="dxa"/>
          </w:tcPr>
          <w:p w:rsidR="006A3EB1" w:rsidRPr="001C631A" w:rsidRDefault="00E77FD4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7</w:t>
            </w:r>
            <w:r w:rsidR="006A3EB1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6A3EB1" w:rsidRPr="001C631A" w:rsidRDefault="00C1429B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ՀՀ մ</w:t>
            </w:r>
            <w:r w:rsidR="006A3EB1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 xml:space="preserve">արդու իրավունքների պաշտպան 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11</w:t>
            </w:r>
            <w:r w:rsidR="006A3EB1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.0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2</w:t>
            </w:r>
            <w:r w:rsidR="006A3EB1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.20</w:t>
            </w:r>
            <w:r w:rsidR="000740C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20</w:t>
            </w:r>
            <w:r w:rsidR="00E357B9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թ.</w:t>
            </w:r>
            <w:r w:rsidR="006A3EB1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 xml:space="preserve"> թիվ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01/04/568-20 </w:t>
            </w:r>
            <w:r w:rsidR="006A3EB1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գրություն</w:t>
            </w:r>
          </w:p>
        </w:tc>
        <w:tc>
          <w:tcPr>
            <w:tcW w:w="4590" w:type="dxa"/>
            <w:gridSpan w:val="2"/>
          </w:tcPr>
          <w:p w:rsidR="00BA31FE" w:rsidRPr="001C631A" w:rsidRDefault="007C3DAE" w:rsidP="002B1C54">
            <w:pPr>
              <w:tabs>
                <w:tab w:val="left" w:pos="270"/>
              </w:tabs>
              <w:spacing w:after="0" w:line="240" w:lineRule="auto"/>
              <w:ind w:right="-18"/>
              <w:jc w:val="both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 xml:space="preserve"> </w:t>
            </w:r>
            <w:r w:rsidR="00BA31FE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Նախագծի հոդված 1-ի համաձայն՝ ՀՀ քրեական դատավարության օրենսգրքի 142-րդ հոդվածում 5-րդ մասում կատարվող լրացման համաձայն՝ «(...) երբ կալանավորված անձը տառապում է ծանր հիվանդությամբ, որն անհամատեղելի է կալանքը որպես խափանման միջոց կիրառելու հետ, հսկող դատախազը, </w:t>
            </w:r>
            <w:r w:rsidR="00BA31FE" w:rsidRPr="001C631A"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  <w:lastRenderedPageBreak/>
              <w:t>կալանավորվածներին պահելու վայրի վարչակազմի միջնորդագրով, որը պետք է հիմնված լինի բժշկական հանձնաժողովի եզրակացության վրա,</w:t>
            </w:r>
            <w:r w:rsidR="00BA31FE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 իրավունք ունի որոշում կայացնել կալանքը՝ որպես խափանման միջոց վերացնելու և կալանավորված անձին ազատ արձակելու մասին (...)»:</w:t>
            </w:r>
          </w:p>
          <w:p w:rsidR="00BA31FE" w:rsidRPr="001C631A" w:rsidRDefault="00BA31FE" w:rsidP="002B1C54">
            <w:pPr>
              <w:tabs>
                <w:tab w:val="left" w:pos="270"/>
              </w:tabs>
              <w:spacing w:after="0" w:line="240" w:lineRule="auto"/>
              <w:ind w:right="-18"/>
              <w:jc w:val="both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Առաջարկվող կարգավորումից բխում է, որ ծանր հիվանդության հիմքով կալանքից ազատելու հարցը հսկող դատախազը քննարկում է բացառապես կալանավորվածներին պահելու վայրի վարչակազմի միջնորդագրի դեպքում, ինչը բացառում է միևնույն հարցի բարձրացումը կալանավորված անձի կամ նրա փաստաբանի կողմից՝ սահմանափակելով այս կապակցությամբ մեղադրյալի՝ իր իրավունքների պաշտպանության արդյունավետ միջոցի իրավունքը: Նշվածը, հատկապես, խնդրահարույց է այն հաշվառմամբ, որ մեղադրյալը կամ նրա պաշտպանը չունեն հնարավորություն անմիջականորեն դիմելու բժշկական հանձնաժողովին՝ վերջինիս եզրակացությունը ստանալու նպատակով:</w:t>
            </w:r>
          </w:p>
          <w:p w:rsidR="00BA31FE" w:rsidRPr="001C631A" w:rsidRDefault="00BA31FE" w:rsidP="002B1C54">
            <w:pPr>
              <w:tabs>
                <w:tab w:val="left" w:pos="270"/>
              </w:tabs>
              <w:spacing w:after="0" w:line="240" w:lineRule="auto"/>
              <w:ind w:right="-18"/>
              <w:jc w:val="both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lastRenderedPageBreak/>
              <w:t xml:space="preserve">Ստացվում է, որ կալանավորված անձը զրկվում է իր նկատմամբ ընտրված խափանման միջոցը փոփոխելու (վերացնելու) հարցը վարույթն իրականացնող մարմնին ներկայացնելու հնարավորությունից: </w:t>
            </w:r>
          </w:p>
          <w:p w:rsidR="006A3EB1" w:rsidRPr="001C631A" w:rsidRDefault="00BA31FE" w:rsidP="002B1C54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Հարկ է արձանագրել, որ նույն կերպ ազատազրկված անձի՝ դատարան դիմելու իրավունքն է սահմանափակվում ՀՀ քրեական դատավարության օրենսգրքի 432-րդ գործող կարգավորումներով, որի հոդվածի 1-ին մասի համաձայն՝ «Այն դեպքում, երբ ազատազրկման դատապարտված անձը պատիժը կրելու ժամանակ հիվանդացել է խրոնիկ հոգեկան կամ այլ ծանր հիվանդությամբ, որն արգելք է հանդիսանում պատիժը կրելուն, դատարանը, </w:t>
            </w:r>
            <w:r w:rsidRPr="001C631A"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  <w:t>քրեական պատիժն իրականացնող հիմնարկի վարչակազմի միջնորդագրով, որը պետք է հիմնված լինի բժշկական հանձնաժողովի եզրակացության վրա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, իրավունք ունի որոշում կայացնել պատիժը հետագայում կրելուց նրան ազատելու մասին</w:t>
            </w:r>
            <w:r w:rsidR="003B5741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: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»:</w:t>
            </w:r>
          </w:p>
        </w:tc>
        <w:tc>
          <w:tcPr>
            <w:tcW w:w="2562" w:type="dxa"/>
            <w:gridSpan w:val="2"/>
          </w:tcPr>
          <w:p w:rsidR="00BC7CD0" w:rsidRPr="001C631A" w:rsidRDefault="00BA31FE" w:rsidP="002B1C54">
            <w:pPr>
              <w:tabs>
                <w:tab w:val="left" w:pos="0"/>
                <w:tab w:val="left" w:pos="342"/>
              </w:tabs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</w:rPr>
              <w:lastRenderedPageBreak/>
              <w:t>Չի ընդունվել</w:t>
            </w:r>
            <w:r w:rsidR="002B1C54" w:rsidRPr="001C631A"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  <w:lang w:val="hy-AM"/>
              </w:rPr>
              <w:t>:</w:t>
            </w:r>
          </w:p>
        </w:tc>
        <w:tc>
          <w:tcPr>
            <w:tcW w:w="4680" w:type="dxa"/>
            <w:gridSpan w:val="2"/>
          </w:tcPr>
          <w:p w:rsidR="003078FD" w:rsidRPr="001C631A" w:rsidRDefault="00BA31FE" w:rsidP="002B1C54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 xml:space="preserve">Հարկ է նշել, որ </w:t>
            </w:r>
            <w:r w:rsidR="003078FD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ՀՀ Կառավարության 2019 թվականի օգոստոսի 15-ի թիվ 1092-Ն որոշմամբ </w:t>
            </w:r>
            <w:r w:rsidR="003078FD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 xml:space="preserve">(այսուհետ՝ Որոշում) </w:t>
            </w:r>
            <w:r w:rsidR="003078FD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«Կալանավորված անձանց և դատապարտյալների բուժսանիտարական և բուժկանխարգելիչ օգնությունը կազմակերպելու, առողջապահական մարմինների բուժական հիմնարկներից </w:t>
            </w:r>
            <w:r w:rsidR="003078FD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lastRenderedPageBreak/>
              <w:t>օգտվելու և այդ  նպատակով դրանց բժշկական անձնակազմին ներգրավելու կարգը հաստատելու մասին» ՀՀ Կառավարության 2006թ.  մայիսի 26-ի թիվ 825-Ն որոշումը շարադրվել է նոր խմբագրությամբ:</w:t>
            </w:r>
          </w:p>
          <w:p w:rsidR="003078FD" w:rsidRPr="001C631A" w:rsidRDefault="003078FD" w:rsidP="002B1C54">
            <w:pPr>
              <w:autoSpaceDE w:val="0"/>
              <w:autoSpaceDN w:val="0"/>
              <w:adjustRightInd w:val="0"/>
              <w:spacing w:after="0" w:line="240" w:lineRule="auto"/>
              <w:ind w:right="-39" w:firstLine="567"/>
              <w:jc w:val="both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ab/>
              <w:t>Որոշման 2-րդ կետով սահմանված է. «Սույն որոշումն ուժի մեջ է մտնում պաշտոնական հրապարակմանը հաջորդող օրվանից՝բացառությամբ սույն որոշման հավելվածի 10-րդ գլխի, որն ուժի մեջ է մտնում Հայաստանի Հանրապետության արդարադատության նախարարությանը կից բժշկական հանձնաժողովի, դրան կից աշխատանքային խմբի գործունեության կարգը և վարձատրության չափորոշիչները սահմանելու մասին Հայաստանի Հանրապետության կառավարության որոշումն ուժի մեջ մտնելու պահից»:</w:t>
            </w:r>
          </w:p>
          <w:p w:rsidR="003078FD" w:rsidRPr="001C631A" w:rsidRDefault="003078FD" w:rsidP="002B1C54">
            <w:pPr>
              <w:pStyle w:val="NormalWeb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rFonts w:ascii="GHEA Grapalat" w:hAnsi="GHEA Grapalat"/>
                <w:b/>
                <w:color w:val="0D0D0D" w:themeColor="text1" w:themeTint="F2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lang w:val="hy-AM"/>
              </w:rPr>
              <w:t xml:space="preserve">Որոշման 10-րդ գլխի 91-րդ կետով սահմանվում է հետևյալը. </w:t>
            </w:r>
            <w:r w:rsidRPr="001C631A">
              <w:rPr>
                <w:rFonts w:ascii="GHEA Grapalat" w:hAnsi="GHEA Grapalat"/>
                <w:b/>
                <w:noProof/>
                <w:color w:val="0D0D0D" w:themeColor="text1" w:themeTint="F2"/>
                <w:lang w:val="hy-AM"/>
              </w:rPr>
              <w:t>«</w:t>
            </w:r>
            <w:r w:rsidRPr="001C631A">
              <w:rPr>
                <w:rFonts w:ascii="GHEA Grapalat" w:hAnsi="GHEA Grapalat"/>
                <w:b/>
                <w:color w:val="0D0D0D" w:themeColor="text1" w:themeTint="F2"/>
                <w:lang w:val="hy-AM"/>
              </w:rPr>
              <w:t>Բժշկական հանձնաժողովին կարող է՝</w:t>
            </w:r>
          </w:p>
          <w:p w:rsidR="003078FD" w:rsidRPr="001C631A" w:rsidRDefault="003078FD" w:rsidP="002B1C54">
            <w:pPr>
              <w:pStyle w:val="NormalWeb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1) </w:t>
            </w:r>
            <w:r w:rsidRPr="001C631A">
              <w:rPr>
                <w:rFonts w:ascii="GHEA Grapalat" w:hAnsi="GHEA Grapalat"/>
                <w:b/>
                <w:color w:val="0D0D0D" w:themeColor="text1" w:themeTint="F2"/>
                <w:lang w:val="hy-AM"/>
              </w:rPr>
              <w:t>գրավոր դիմել կալանավորված անձը կամ դատապարտյալը</w:t>
            </w:r>
            <w:r w:rsidRPr="001C631A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՝ գրության մեջ նշելով, որ համաձայն է, որ բժշկական գաղտնիք պարունակող տեղեկությունները փոխանցվեն </w:t>
            </w:r>
            <w:r w:rsidRPr="001C631A">
              <w:rPr>
                <w:rFonts w:ascii="GHEA Grapalat" w:hAnsi="GHEA Grapalat"/>
                <w:color w:val="0D0D0D" w:themeColor="text1" w:themeTint="F2"/>
                <w:lang w:val="hy-AM"/>
              </w:rPr>
              <w:lastRenderedPageBreak/>
              <w:t>բժշկական հանձնաժողովին, դրան կից աշխատանքային խմբերին, կամ՝</w:t>
            </w:r>
          </w:p>
          <w:p w:rsidR="008577EF" w:rsidRPr="001C631A" w:rsidRDefault="003078FD" w:rsidP="002B1C54">
            <w:pPr>
              <w:pStyle w:val="NormalWeb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lang w:val="hy-AM"/>
              </w:rPr>
              <w:t>2) կալանավորված անձին կամ դատապարտյալին բուժող ՊՈԱԿ-ի բժիշկը՝ գրավոր կարգով՝ նախապես ստանալով կալանավորված անձի կամ դատապարտյալի համաձայնությունը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lang w:val="hy-AM"/>
              </w:rPr>
              <w:t>»:</w:t>
            </w:r>
          </w:p>
          <w:p w:rsidR="007F2D74" w:rsidRPr="001C631A" w:rsidRDefault="003078FD" w:rsidP="002B1C54">
            <w:pPr>
              <w:pStyle w:val="Default"/>
              <w:ind w:firstLine="708"/>
              <w:jc w:val="both"/>
              <w:rPr>
                <w:rFonts w:ascii="GHEA Grapalat" w:hAnsi="GHEA Grapalat"/>
                <w:b/>
                <w:color w:val="0D0D0D" w:themeColor="text1" w:themeTint="F2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lang w:val="hy-AM"/>
              </w:rPr>
              <w:t>Վերորգյալից բխում է, որ կալան</w:t>
            </w:r>
            <w:r w:rsidR="008E379B" w:rsidRPr="001C631A">
              <w:rPr>
                <w:rFonts w:ascii="GHEA Grapalat" w:hAnsi="GHEA Grapalat"/>
                <w:noProof/>
                <w:color w:val="0D0D0D" w:themeColor="text1" w:themeTint="F2"/>
                <w:lang w:val="hy-AM"/>
              </w:rPr>
              <w:t>ա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lang w:val="hy-AM"/>
              </w:rPr>
              <w:t>վորված անձը կամ դատապարտյալ</w:t>
            </w:r>
            <w:r w:rsidR="00F02120" w:rsidRPr="001C631A">
              <w:rPr>
                <w:rFonts w:ascii="GHEA Grapalat" w:hAnsi="GHEA Grapalat"/>
                <w:noProof/>
                <w:color w:val="0D0D0D" w:themeColor="text1" w:themeTint="F2"/>
                <w:lang w:val="hy-AM"/>
              </w:rPr>
              <w:t>ն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lang w:val="hy-AM"/>
              </w:rPr>
              <w:t xml:space="preserve"> իրավունք ունի</w:t>
            </w:r>
            <w:r w:rsidR="008E379B" w:rsidRPr="001C631A">
              <w:rPr>
                <w:rFonts w:ascii="GHEA Grapalat" w:hAnsi="GHEA Grapalat"/>
                <w:noProof/>
                <w:color w:val="0D0D0D" w:themeColor="text1" w:themeTint="F2"/>
                <w:lang w:val="hy-AM"/>
              </w:rPr>
              <w:t xml:space="preserve"> իր նախաձեռնությամբ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lang w:val="hy-AM"/>
              </w:rPr>
              <w:t xml:space="preserve"> դիմելու </w:t>
            </w:r>
            <w:r w:rsidR="00F02120" w:rsidRPr="001C631A">
              <w:rPr>
                <w:rFonts w:ascii="GHEA Grapalat" w:hAnsi="GHEA Grapalat"/>
                <w:noProof/>
                <w:color w:val="0D0D0D" w:themeColor="text1" w:themeTint="F2"/>
                <w:lang w:val="hy-AM"/>
              </w:rPr>
              <w:t xml:space="preserve">բժշկական հանձնաժողովին: Միաժամանակ հարկ է նշել, որ </w:t>
            </w:r>
            <w:r w:rsidR="002471FA" w:rsidRPr="001C631A">
              <w:rPr>
                <w:rFonts w:ascii="GHEA Grapalat" w:hAnsi="GHEA Grapalat"/>
                <w:noProof/>
                <w:color w:val="0D0D0D" w:themeColor="text1" w:themeTint="F2"/>
                <w:lang w:val="hy-AM"/>
              </w:rPr>
              <w:t xml:space="preserve">Որոշման 10-րդ գլխի կարգավորումների հիման վրա ՀՀ արդարադատության նախարարության կողմից մշակվել է </w:t>
            </w:r>
            <w:r w:rsidR="002471FA" w:rsidRPr="001C631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hy-AM"/>
              </w:rPr>
              <w:t xml:space="preserve">Հայաստանի Հանրապետության քրեական օրենսգրքի և Հայաստանի Հանրապետության քրեական դատավարության օրենսգրքի համաձայն կալանավորված անձի ծանր հիվանդության (խանգարումներ, վիճակներ) հետևանքով խափանման միջոցը փոխելու նպատակահարմարության վերաբերյալ և Հայաստանի Հանրապետության արդարադատության նախարարության քրեակատարողական հիմնարկներում պահվող դատապարտյալին ծանր </w:t>
            </w:r>
            <w:r w:rsidR="002471FA" w:rsidRPr="001C631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hy-AM"/>
              </w:rPr>
              <w:lastRenderedPageBreak/>
              <w:t>հիվանդության (խանգարումներ, վիճակներ) հետևանքով պատժից ազատելու վերաբերյալ եզրակացություն տվող բժշկական հանձնաժողովի, դրան կից աշխատանքային խմբի գործունեության կարգը և վարձատրության չափորոշիչները սահմանելու մասին Հայաստանի Հանրապետության կառավարության որոշման նախագիծը</w:t>
            </w:r>
            <w:r w:rsidR="002471FA" w:rsidRPr="001C631A">
              <w:rPr>
                <w:rFonts w:ascii="GHEA Grapalat" w:hAnsi="GHEA Grapalat"/>
                <w:noProof/>
                <w:color w:val="0D0D0D" w:themeColor="text1" w:themeTint="F2"/>
                <w:lang w:val="hy-AM"/>
              </w:rPr>
              <w:t>, որով սահմանվել են հանձնաժողովի կազմավորման, հանձնաժողովի գործառույթների, լիազորությունների և գործունեության, հանձնաժողովին դիմելու և հանձնաժողովի աշխատանքների կազմակերպման վերաբերյալ կարգավորումները:</w:t>
            </w:r>
          </w:p>
          <w:p w:rsidR="00F02120" w:rsidRPr="001C631A" w:rsidRDefault="00F02120" w:rsidP="002B1C5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Կալանավորված անձի կամ դատապարտյալի կողմից </w:t>
            </w:r>
            <w:r w:rsidR="007C3DAE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բժշկական հանձնաժողովի եզրակացության հիման վրա անմիջապես 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հսկող դատախազին դիմելու իրավունք վերապահելու դեպքում</w:t>
            </w:r>
            <w:r w:rsidR="007C3DAE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  <w:r w:rsidR="0080612A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հնարավոր են իրավիճակներ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, երբ նույն </w:t>
            </w:r>
            <w:r w:rsidR="0080612A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անձի և նույն 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հարցի վերաբերյալ հսկող դատախազին կարող են ներկայացվել երկու միջնորդագրեր</w:t>
            </w:r>
            <w:r w:rsidR="0080612A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՝</w:t>
            </w:r>
            <w:r w:rsidR="008E379B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 մեկը կալանավորված անձի կամ դատապարտյալի կողմից, մյուսը՝ հիմնարկի վարչակազմի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: </w:t>
            </w:r>
          </w:p>
          <w:p w:rsidR="0080612A" w:rsidRPr="001C631A" w:rsidRDefault="003B5741" w:rsidP="007C3D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lastRenderedPageBreak/>
              <w:t>Գտնում ենք</w:t>
            </w:r>
            <w:r w:rsidR="00F02120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, որ </w:t>
            </w:r>
            <w:r w:rsidR="00F02120" w:rsidRPr="001C631A"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  <w:t>կալանավորված անձի կամ դատ</w:t>
            </w:r>
            <w:r w:rsidR="007C3DAE" w:rsidRPr="001C631A"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  <w:t>ա</w:t>
            </w:r>
            <w:r w:rsidR="00F02120" w:rsidRPr="001C631A"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  <w:t>պարտյալի իրավունքները որևէ կերպ չեն կարող սահմանափակվել</w:t>
            </w:r>
            <w:r w:rsidR="0080612A" w:rsidRPr="001C631A"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  <w:r w:rsidR="008E379B" w:rsidRPr="001C631A"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Նախագծով առաջարկվող </w:t>
            </w:r>
            <w:r w:rsidR="0080612A" w:rsidRPr="001C631A"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  <w:t>կարգավորումներով</w:t>
            </w:r>
            <w:r w:rsidR="00F02120" w:rsidRPr="001C631A"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  <w:t>, քանի հիմնարկի վարչակազմ</w:t>
            </w:r>
            <w:r w:rsidR="007C3DAE" w:rsidRPr="001C631A"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  <w:t>ն</w:t>
            </w:r>
            <w:r w:rsidR="00F02120" w:rsidRPr="001C631A"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 ստանալով բժշկական հանձնաժողովի եզրակացությունը պարտավոր է </w:t>
            </w:r>
            <w:r w:rsidR="008E379B" w:rsidRPr="001C631A"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  <w:t xml:space="preserve">այն </w:t>
            </w:r>
            <w:r w:rsidR="00F02120" w:rsidRPr="001C631A">
              <w:rPr>
                <w:rFonts w:ascii="GHEA Grapalat" w:hAnsi="GHEA Grapalat"/>
                <w:b/>
                <w:noProof/>
                <w:color w:val="0D0D0D" w:themeColor="text1" w:themeTint="F2"/>
                <w:sz w:val="24"/>
                <w:szCs w:val="24"/>
                <w:lang w:val="hy-AM"/>
              </w:rPr>
              <w:t>անհապաղ ուղարկել հսկող դատախազին կամ դատարան</w:t>
            </w:r>
            <w:r w:rsidR="00F02120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  <w:t>:</w:t>
            </w:r>
          </w:p>
          <w:p w:rsidR="007C3DAE" w:rsidRPr="001C631A" w:rsidRDefault="007C3DAE" w:rsidP="007C3D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</w:p>
        </w:tc>
      </w:tr>
      <w:tr w:rsidR="006F2371" w:rsidRPr="001C631A" w:rsidTr="00151E99">
        <w:trPr>
          <w:gridAfter w:val="1"/>
          <w:wAfter w:w="12" w:type="dxa"/>
          <w:trHeight w:val="77"/>
        </w:trPr>
        <w:tc>
          <w:tcPr>
            <w:tcW w:w="651" w:type="dxa"/>
          </w:tcPr>
          <w:p w:rsidR="006F2371" w:rsidRPr="001C631A" w:rsidRDefault="00E77FD4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lastRenderedPageBreak/>
              <w:t>8</w:t>
            </w:r>
            <w:r w:rsidR="006F2371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6F2371" w:rsidRPr="001C631A" w:rsidRDefault="00C1429B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ՀՀ պ</w:t>
            </w:r>
            <w:r w:rsidR="00A6614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ե</w:t>
            </w:r>
            <w:r w:rsidR="006F2371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տական եկամուտների կոմիտե</w:t>
            </w:r>
          </w:p>
          <w:p w:rsidR="006F2371" w:rsidRPr="001C631A" w:rsidRDefault="00790426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01</w:t>
            </w:r>
            <w:r w:rsidR="00A6614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.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02</w:t>
            </w:r>
            <w:r w:rsidR="00A6614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.20</w:t>
            </w: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20</w:t>
            </w:r>
            <w:r w:rsidR="00E357B9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թ.</w:t>
            </w:r>
            <w:r w:rsidR="00A66146"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 xml:space="preserve"> թիվ</w:t>
            </w:r>
          </w:p>
          <w:p w:rsidR="00A66146" w:rsidRPr="001C631A" w:rsidRDefault="00790426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/12.1/4531-2020 </w:t>
            </w:r>
            <w:proofErr w:type="spellStart"/>
            <w:r w:rsidR="00A66146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գրություն</w:t>
            </w:r>
            <w:proofErr w:type="spellEnd"/>
          </w:p>
          <w:p w:rsidR="002B1C54" w:rsidRPr="001C631A" w:rsidRDefault="002B1C54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590" w:type="dxa"/>
            <w:gridSpan w:val="2"/>
          </w:tcPr>
          <w:p w:rsidR="006F2371" w:rsidRPr="001C631A" w:rsidRDefault="00A66146" w:rsidP="002B1C54">
            <w:pPr>
              <w:tabs>
                <w:tab w:val="left" w:pos="270"/>
              </w:tabs>
              <w:spacing w:after="0" w:line="240" w:lineRule="auto"/>
              <w:ind w:right="-18"/>
              <w:jc w:val="both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shd w:val="clear" w:color="auto" w:fill="FFFFFF"/>
                <w:lang w:val="hy-AM" w:eastAsia="ru-RU"/>
              </w:rPr>
              <w:t>Առաջարկություններ և դիտողություններ չկան:</w:t>
            </w:r>
          </w:p>
        </w:tc>
        <w:tc>
          <w:tcPr>
            <w:tcW w:w="2562" w:type="dxa"/>
            <w:gridSpan w:val="2"/>
          </w:tcPr>
          <w:p w:rsidR="00A66146" w:rsidRPr="001C631A" w:rsidRDefault="00A66146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---</w:t>
            </w:r>
          </w:p>
          <w:p w:rsidR="006F2371" w:rsidRPr="001C631A" w:rsidRDefault="006F2371" w:rsidP="002B1C54">
            <w:pPr>
              <w:tabs>
                <w:tab w:val="left" w:pos="0"/>
                <w:tab w:val="left" w:pos="342"/>
              </w:tabs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A66146" w:rsidRPr="001C631A" w:rsidRDefault="00A66146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---</w:t>
            </w:r>
          </w:p>
          <w:p w:rsidR="006F2371" w:rsidRPr="001C631A" w:rsidRDefault="006F2371" w:rsidP="002B1C5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</w:p>
        </w:tc>
      </w:tr>
      <w:tr w:rsidR="00E357B9" w:rsidRPr="001C631A" w:rsidTr="00151E99">
        <w:trPr>
          <w:gridAfter w:val="1"/>
          <w:wAfter w:w="12" w:type="dxa"/>
          <w:trHeight w:val="77"/>
        </w:trPr>
        <w:tc>
          <w:tcPr>
            <w:tcW w:w="651" w:type="dxa"/>
          </w:tcPr>
          <w:p w:rsidR="00E357B9" w:rsidRPr="001C631A" w:rsidRDefault="00E357B9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2207" w:type="dxa"/>
          </w:tcPr>
          <w:p w:rsidR="00E357B9" w:rsidRPr="001C631A" w:rsidRDefault="00E357B9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ՀՀ առողջապահության նախարարություն</w:t>
            </w:r>
          </w:p>
          <w:p w:rsidR="00E357B9" w:rsidRPr="001C631A" w:rsidRDefault="00E357B9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23.01.2020թ.</w:t>
            </w:r>
          </w:p>
          <w:p w:rsidR="00E357B9" w:rsidRPr="001C631A" w:rsidRDefault="00E357B9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ԱԹ/11.2/1442-2020</w:t>
            </w:r>
          </w:p>
        </w:tc>
        <w:tc>
          <w:tcPr>
            <w:tcW w:w="4590" w:type="dxa"/>
            <w:gridSpan w:val="2"/>
          </w:tcPr>
          <w:p w:rsidR="00E357B9" w:rsidRPr="001C631A" w:rsidRDefault="00E357B9" w:rsidP="00596607">
            <w:pPr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)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Նախագծի 1-ին և 2-րդ հոդվածներով նախատեսված իրավադրույթների միջև առկա է հակասություն: Մասնավորապես` Նախագծի 1-ին հոդվածում նշված է, որ միջնորդագիրը քննում է հսկող դատախազը, ինչի արդյունքում որոշում է կայացնում այն բավարարելու կամ մերժելու մասին, իսկ Նախագծի 2-րդ հոդվածում նշված է, որ միջնորդագիրը քննում է դատարանը.</w:t>
            </w:r>
          </w:p>
        </w:tc>
        <w:tc>
          <w:tcPr>
            <w:tcW w:w="2562" w:type="dxa"/>
            <w:gridSpan w:val="2"/>
          </w:tcPr>
          <w:p w:rsidR="00E357B9" w:rsidRPr="001C631A" w:rsidRDefault="00E357B9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Չի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ընդունվել</w:t>
            </w:r>
            <w:proofErr w:type="spellEnd"/>
            <w:r w:rsidR="002B1C54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:</w:t>
            </w:r>
          </w:p>
        </w:tc>
        <w:tc>
          <w:tcPr>
            <w:tcW w:w="4680" w:type="dxa"/>
            <w:gridSpan w:val="2"/>
          </w:tcPr>
          <w:p w:rsidR="00E357B9" w:rsidRPr="001C631A" w:rsidRDefault="00E357B9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Նախագծի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հոդված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1-ում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առաջարկվող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լրացումները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վերաբերելի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են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ՀՀ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քրեական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դատավարության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օրենսգրքում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կալանքից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ազատ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արձակելու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նոր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հիմքի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նախատեսմանը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այն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է՝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ծ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անր հիվանդությամբ տառապող անձին կալանքից ազատելու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ն: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Տվյալ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իրավիճակում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քրեական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գործը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գտնվում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մինչդատական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վարույթում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, և </w:t>
            </w:r>
            <w:proofErr w:type="spellStart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Նախագծով</w:t>
            </w:r>
            <w:proofErr w:type="spellEnd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առաջարկվում</w:t>
            </w:r>
            <w:proofErr w:type="spellEnd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անձին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կալանքից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ազատ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արձակելու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lastRenderedPageBreak/>
              <w:t>միջնորդագիրը</w:t>
            </w:r>
            <w:proofErr w:type="spellEnd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քննելու</w:t>
            </w:r>
            <w:proofErr w:type="spellEnd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լիազորությամբ</w:t>
            </w:r>
            <w:proofErr w:type="spellEnd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օժտել</w:t>
            </w:r>
            <w:proofErr w:type="spellEnd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մինչդատական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վարույթի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օրինականության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նկատմամբ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հսկողություն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իրականացնող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դատախազ</w:t>
            </w:r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ին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:</w:t>
            </w:r>
          </w:p>
          <w:p w:rsidR="00E357B9" w:rsidRPr="001C631A" w:rsidRDefault="00E357B9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Նախագծի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հոդված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2-ով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առաջարկվող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լրացումները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ծանր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հիվանդության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հիմքով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պատժի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կրումից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անձին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ազատ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արձակելու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վերաբերյալ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միջնորդագրի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քննման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սեղմ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ժամկետ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սահմանելուն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է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վերաբերում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: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Սա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վերաբերելի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է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այն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դեպքերին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երբ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քրեական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գործով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արդեն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իսկ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կայացված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է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վերջնական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դատական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ակտ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սակայն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,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հետագայում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պարզելով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դատապարտյալի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ծանր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հիվանդության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առկայությունը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և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պատժի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կրման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հետ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դրա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անհամատեղելի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լինելու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փաստը</w:t>
            </w:r>
            <w:proofErr w:type="spellEnd"/>
            <w:r w:rsidR="009C0210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՝</w:t>
            </w:r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դատարանը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միջնորդագիրը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քննում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է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անհապաղ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քանի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որ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միջնորդագրի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քննման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հապաղումը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կարող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է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հանգեցնել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անդառնալի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հետևանքների</w:t>
            </w:r>
            <w:proofErr w:type="spellEnd"/>
            <w:r w:rsidR="008C2F52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:</w:t>
            </w:r>
          </w:p>
          <w:p w:rsidR="00596607" w:rsidRPr="001C631A" w:rsidRDefault="00596607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</w:p>
        </w:tc>
      </w:tr>
      <w:tr w:rsidR="00E357B9" w:rsidRPr="001C631A" w:rsidTr="00151E99">
        <w:trPr>
          <w:gridAfter w:val="1"/>
          <w:wAfter w:w="12" w:type="dxa"/>
          <w:trHeight w:val="77"/>
        </w:trPr>
        <w:tc>
          <w:tcPr>
            <w:tcW w:w="651" w:type="dxa"/>
          </w:tcPr>
          <w:p w:rsidR="00E357B9" w:rsidRPr="001C631A" w:rsidRDefault="00E357B9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07" w:type="dxa"/>
          </w:tcPr>
          <w:p w:rsidR="00E357B9" w:rsidRPr="001C631A" w:rsidRDefault="00E357B9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E357B9" w:rsidRPr="001C631A" w:rsidRDefault="00E357B9" w:rsidP="00596607">
            <w:pPr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2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)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Նախագծի ընդունման հիմնավորումների մեջ հղում է կատարվում ՀՀ քրեական օրենսգրքի 79-րդ հոդվածի 2-րդ մասին, ՀՀ քրեական դատավարության օրենսգրքի 432-րդ հոդվածի 1-ին և 3-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lastRenderedPageBreak/>
              <w:t xml:space="preserve">րդ մասերին, ինչպես նաև մի շարք ենթաօրենսդրական ակտերի: Վկայակոչված իրավանորմերի և ենթաօրենսդրական ակտերի մասով անհրաժեշտ ենք համարում նշել, որ դրանցով կարգավորվում են պատիժը կրելուն խոչընդոտող ծանր հիվանդության առկայության դեպքում պատիժը կրելուց ազատելուն, այսինքն` այն դեպքերին, երբ տվյալ անձն արդեն իսկ դատապարտվել է պատժի` համապատասխան դատական ակտով` դատավճռով: Միաժամանակ, ՀՀ քրեական դատավարության օրենսգրքի 432-րդ հոդվածը նույնպես վերաբերում է այն դեպքին, երբ ազատազրկման դատապարտված անձը պատիժը կրելու ժամանակ հիվանդացել է խրոնիկ հոգեկան կամ այլ ծանր հիվանդությամբ, որն արգելք է պատիժը կրելու համար: Ավելին` նույն հոդվածով նախատեսված է, որ այդ դեպքում դատարանը, քրեական պատիժն իրականացնող հիմնարկի վարչակազմի միջնորդագրով, որը պետք է հիմնված լինի բժշկական հանձնաժողովի եզրակացության վրա, իրավունք ունի որոշում կայացնել պատիժը հետագայում կրելուց նրան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lastRenderedPageBreak/>
              <w:t xml:space="preserve">ազատելու մասին: Միաժամանակ նախատեսված է, որ ծանր հիվանդությամբ հիվանդացած անձանց պատիժը հետագայում կրելուց ազատելու հարցը լուծելիս դատարանը հաշվի է առնում կատարված հանցագործության ծանրությունը, դատապարտյալի անձնավորությունը և այլ հանգամանքներ: Ինչ վերաբերում է ենթաօրենսդրական ակտերին, ապա անհրաժեշտ է նշել, որ դրանցով կարգավորվում են ծանր հիվանդության պատճառով խափանման միջոցը փոխելու հետ կապված իրավահարաբերությունները, և ոչ` խափանման միջոցը վերացնելու: </w:t>
            </w:r>
          </w:p>
          <w:p w:rsidR="00E357B9" w:rsidRPr="001C631A" w:rsidRDefault="00E357B9" w:rsidP="002B1C54">
            <w:pPr>
              <w:spacing w:after="0" w:line="240" w:lineRule="auto"/>
              <w:ind w:firstLine="567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Հաշվի առնելով նաև այն հանգամանքը, որ ՀՀ քրեական դատավարության օրենսգրքի 151-րդ հոդվածի 3-րդ մասը սահմանում է, որ կալանավորման և գրավի ձևով դատարանի ընտրած խափանման միջոցը կարող է փոփոխվել և վերացվել դատարանի կողմից, իսկ քրեական գործով մինչդատական վարույթում` նաև դատախազի կողմից, ինչպես նաև այն, որ նույն օրենսգրքի 134-րդ հոդվածի 4-րդ մասով նախատեսվում է, որ գրավը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lastRenderedPageBreak/>
              <w:t>համարվում է կալանավորման այլընտրանքային խափանման միջոց` առաջարկվում է խմբագրել Նախագծով առաջարկվող իրավադրույթներն այնպես, որ կիրառված կալանքը` որպես խափանման միջոց, փոխարինվի այլընտրանքային խափանման միջոցով: Նշվածն ուղղակիորեն բխում է նաև Հայաստանի Հանրապետության կառավարության 2019 թվականի օգոստոսի 15-ի թիվ 1092-Ն որոշման 90-րդ կետի բովանդակությունից:</w:t>
            </w:r>
          </w:p>
        </w:tc>
        <w:tc>
          <w:tcPr>
            <w:tcW w:w="2562" w:type="dxa"/>
            <w:gridSpan w:val="2"/>
          </w:tcPr>
          <w:p w:rsidR="00E357B9" w:rsidRPr="001C631A" w:rsidRDefault="008C2F52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vertAlign w:val="subscript"/>
              </w:rPr>
            </w:pP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lastRenderedPageBreak/>
              <w:t>Չի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ընդունվե</w:t>
            </w:r>
            <w:proofErr w:type="spellEnd"/>
            <w:r w:rsidR="009C0210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: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լ</w:t>
            </w:r>
          </w:p>
        </w:tc>
        <w:tc>
          <w:tcPr>
            <w:tcW w:w="4680" w:type="dxa"/>
            <w:gridSpan w:val="2"/>
          </w:tcPr>
          <w:p w:rsidR="00E357B9" w:rsidRPr="001C631A" w:rsidRDefault="00077792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Նախ</w:t>
            </w:r>
            <w:proofErr w:type="spellEnd"/>
            <w:r w:rsidR="009C0210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ևառաջ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հարկ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է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նշել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որ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ՀՀ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սահմանադրական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դատարանի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2019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հոկտեմբերի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15-ի 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br/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ՍԴՈ  1480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որոշմամբ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ՀՀ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սահմանադրական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դատարանն</w:t>
            </w:r>
            <w:proofErr w:type="spellEnd"/>
            <w:r w:rsidR="009C0210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անդրադառնալով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ՀՀ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դատավարության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օրենսգրքով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սահմանված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կալանավորման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գրավի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կիրառման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հիմքերին</w:t>
            </w:r>
            <w:proofErr w:type="spellEnd"/>
            <w:r w:rsidR="009C0210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ամրագրեց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գրավը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պետք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դիտարկել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իբրև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ինքնուրույն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պարտ</w:t>
            </w:r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ավորեցնելով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մինչև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2020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ապրիլի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15-ը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համապատ</w:t>
            </w:r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</w:t>
            </w:r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սխան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փոփոխություններ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ՀՀ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Միաժամանակ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հարկ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ընդգծել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ՀՀ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արդարադատության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մշակվել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ազգային</w:t>
            </w:r>
            <w:proofErr w:type="spellEnd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ժողովին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ներկայացվել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«ՀՀ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փոփոխություններ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լրացումներ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» ՀՀ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նախագիծը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համաձայն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որի</w:t>
            </w:r>
            <w:proofErr w:type="spellEnd"/>
            <w:r w:rsidR="009C0210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գրավը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կիրառվելու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ինքնուրույն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կալանավորումից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անկախ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Հետևաբար</w:t>
            </w:r>
            <w:proofErr w:type="spellEnd"/>
            <w:r w:rsidR="009C0210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ներկայացված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առաջարկությունները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չեն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կարող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ընդուն</w:t>
            </w:r>
            <w:proofErr w:type="spellEnd"/>
            <w:r w:rsidR="009C0210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վել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Կարևոր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փաստել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մինչդատական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վարույթում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կալանավորման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</w:t>
            </w:r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ի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րառմանը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խոչընդոտող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ծանր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հիվանդության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միջգերատեսչական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բժշկական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հանձնաժողովի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եզրակացությոան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անհապաղ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քննումը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հսկող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կալանքը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վերացնելը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բխում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մարդու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իրավունքների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շարք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սկզբունքներից</w:t>
            </w:r>
            <w:proofErr w:type="spellEnd"/>
            <w:r w:rsidR="000F5334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:</w:t>
            </w: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5334" w:rsidRPr="001C631A" w:rsidRDefault="000F5334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Նախագծի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1-ին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հոդվածով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կարգավորումը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նախատեսում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միայն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անձին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կալանքից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ազատելու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հիմք</w:t>
            </w:r>
            <w:proofErr w:type="spellEnd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ամրագրելուն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միջնորդագրի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քննման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ընթացակարգ</w:t>
            </w:r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ի</w:t>
            </w:r>
            <w:proofErr w:type="spellEnd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12A"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սահմանմանը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ինչը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ենթադրում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կալանքը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վերացնելուց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հետո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մարմինն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կիրառել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ազատազրկման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չկապված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յուրաքանչյուր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:</w:t>
            </w:r>
          </w:p>
          <w:p w:rsidR="0080612A" w:rsidRPr="001C631A" w:rsidRDefault="0080612A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Միաժամանակ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հարկ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նշել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Ձերբակալված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կալանավորված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պահելու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» ՀՀ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21-րդ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հոդվածով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սահմանվում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հետևյալը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. «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Ձերբակալված</w:t>
            </w:r>
            <w:proofErr w:type="spellEnd"/>
            <w:r w:rsidRPr="001C631A">
              <w:rPr>
                <w:rFonts w:ascii="Courier New" w:hAnsi="Courier New" w:cs="Courier New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կալանավորված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մոտ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ծանր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հիվանդություն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հայտնաբերելու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դեպքում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որը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կարող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հանգեցնել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նրա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հոգեկան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խանգարման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մահվան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հիմնարկի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պետը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բժշկական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եզրակացության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միջնորդում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վարույթն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իրականացնող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մարմնին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հսկողություն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դատախազին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հարկադրանքի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միջոցը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վերացնելու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փոխելու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</w:rPr>
              <w:t>»:</w:t>
            </w:r>
          </w:p>
          <w:p w:rsidR="000F5334" w:rsidRPr="001C631A" w:rsidRDefault="0080612A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Այսինքն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համանման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կարգավորումներ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արդեն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իսկ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առկա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են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սակայն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անհրաժեշտություն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է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առաջացել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դրանք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ամրագրել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ՀՀ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քրեական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դատավարության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օրենսգրքում</w:t>
            </w:r>
            <w:proofErr w:type="spellEnd"/>
            <w:r w:rsidR="00FC74B3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՝</w:t>
            </w:r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առկա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հակասությունները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և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բացերը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վերացնելու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նպատակով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միաժամանակ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քրեադատավարական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օրենքով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ամրագրել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միջնորդագրի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քննման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ժամկետները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:</w:t>
            </w:r>
          </w:p>
          <w:p w:rsidR="009C0210" w:rsidRPr="001C631A" w:rsidRDefault="009C0210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</w:p>
        </w:tc>
      </w:tr>
      <w:tr w:rsidR="00AE2B4B" w:rsidRPr="001C631A" w:rsidTr="00151E99">
        <w:trPr>
          <w:gridAfter w:val="1"/>
          <w:wAfter w:w="12" w:type="dxa"/>
          <w:trHeight w:val="77"/>
        </w:trPr>
        <w:tc>
          <w:tcPr>
            <w:tcW w:w="651" w:type="dxa"/>
          </w:tcPr>
          <w:p w:rsidR="00AE2B4B" w:rsidRPr="001C631A" w:rsidRDefault="00AE2B4B" w:rsidP="002B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07" w:type="dxa"/>
          </w:tcPr>
          <w:p w:rsidR="00AE2B4B" w:rsidRPr="001C631A" w:rsidRDefault="00AE2B4B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ՀՀ բարձրագույն դատական խորհուրդ</w:t>
            </w:r>
          </w:p>
          <w:p w:rsidR="00AE2B4B" w:rsidRPr="001C631A" w:rsidRDefault="00AE2B4B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 xml:space="preserve">01.02.2020թ. </w:t>
            </w:r>
          </w:p>
          <w:p w:rsidR="00AE2B4B" w:rsidRPr="001C631A" w:rsidRDefault="00AE2B4B" w:rsidP="002B1C5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</w:pPr>
            <w:r w:rsidRPr="001C631A">
              <w:rPr>
                <w:rFonts w:ascii="GHEA Grapalat" w:hAnsi="GHEA Grapalat"/>
                <w:noProof/>
                <w:color w:val="0D0D0D" w:themeColor="text1" w:themeTint="F2"/>
                <w:sz w:val="24"/>
                <w:szCs w:val="24"/>
              </w:rPr>
              <w:t>Ե-689</w:t>
            </w:r>
          </w:p>
        </w:tc>
        <w:tc>
          <w:tcPr>
            <w:tcW w:w="4590" w:type="dxa"/>
            <w:gridSpan w:val="2"/>
          </w:tcPr>
          <w:p w:rsidR="00AE2B4B" w:rsidRPr="001C631A" w:rsidRDefault="00AE2B4B" w:rsidP="002B1C54">
            <w:pPr>
              <w:spacing w:after="0" w:line="240" w:lineRule="auto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Հիմք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ընդունելով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Նորմատիվ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իրավական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ակտերի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մասին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» ՀՀ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օրենքի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14-րդ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հոդվածի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3-րդ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մասի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պահանջները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՝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Նախագծի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1-ին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հոդվածի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1-ին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կետից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առաջարկվում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է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հանել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«1-ին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մասը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»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բառերը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՝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հաշվի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առնելով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որ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լրացվում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է ՀՀ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քրեական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դատավարության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օրենսգրքի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142-րդ </w:t>
            </w:r>
            <w:proofErr w:type="spellStart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հոդվածը</w:t>
            </w:r>
            <w:proofErr w:type="spellEnd"/>
            <w:r w:rsidRPr="001C631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2562" w:type="dxa"/>
            <w:gridSpan w:val="2"/>
          </w:tcPr>
          <w:p w:rsidR="00AE2B4B" w:rsidRPr="001C631A" w:rsidRDefault="00AE2B4B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Ընդունվել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է</w:t>
            </w:r>
            <w:r w:rsidR="002B1C54"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:</w:t>
            </w:r>
          </w:p>
        </w:tc>
        <w:tc>
          <w:tcPr>
            <w:tcW w:w="4680" w:type="dxa"/>
            <w:gridSpan w:val="2"/>
          </w:tcPr>
          <w:p w:rsidR="00AE2B4B" w:rsidRPr="001C631A" w:rsidRDefault="00AE2B4B" w:rsidP="002B1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</w:pP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Նախագծում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կատարվել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են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համապատսխան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փոփոխություններ</w:t>
            </w:r>
            <w:proofErr w:type="spellEnd"/>
            <w:r w:rsidRPr="001C631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:</w:t>
            </w:r>
          </w:p>
        </w:tc>
      </w:tr>
    </w:tbl>
    <w:p w:rsidR="00663849" w:rsidRPr="001C631A" w:rsidRDefault="00663849" w:rsidP="002B1C54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sectPr w:rsidR="00663849" w:rsidRPr="001C631A" w:rsidSect="00FE09D4">
      <w:footerReference w:type="default" r:id="rId8"/>
      <w:pgSz w:w="15840" w:h="12240" w:orient="landscape"/>
      <w:pgMar w:top="1080" w:right="1440" w:bottom="162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DB" w:rsidRDefault="006D26DB" w:rsidP="00663849">
      <w:pPr>
        <w:spacing w:after="0" w:line="240" w:lineRule="auto"/>
      </w:pPr>
      <w:r>
        <w:separator/>
      </w:r>
    </w:p>
  </w:endnote>
  <w:endnote w:type="continuationSeparator" w:id="0">
    <w:p w:rsidR="006D26DB" w:rsidRDefault="006D26DB" w:rsidP="0066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8107"/>
      <w:docPartObj>
        <w:docPartGallery w:val="Page Numbers (Bottom of Page)"/>
        <w:docPartUnique/>
      </w:docPartObj>
    </w:sdtPr>
    <w:sdtContent>
      <w:p w:rsidR="00F02120" w:rsidRDefault="00F03D5F">
        <w:pPr>
          <w:pStyle w:val="Footer"/>
          <w:jc w:val="right"/>
        </w:pPr>
        <w:fldSimple w:instr=" PAGE   \* MERGEFORMAT ">
          <w:r w:rsidR="008025FD">
            <w:rPr>
              <w:noProof/>
            </w:rPr>
            <w:t>12</w:t>
          </w:r>
        </w:fldSimple>
      </w:p>
    </w:sdtContent>
  </w:sdt>
  <w:p w:rsidR="00F02120" w:rsidRDefault="00F02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DB" w:rsidRDefault="006D26DB" w:rsidP="00663849">
      <w:pPr>
        <w:spacing w:after="0" w:line="240" w:lineRule="auto"/>
      </w:pPr>
      <w:r>
        <w:separator/>
      </w:r>
    </w:p>
  </w:footnote>
  <w:footnote w:type="continuationSeparator" w:id="0">
    <w:p w:rsidR="006D26DB" w:rsidRDefault="006D26DB" w:rsidP="0066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048"/>
    <w:multiLevelType w:val="hybridMultilevel"/>
    <w:tmpl w:val="866E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6B7"/>
    <w:multiLevelType w:val="hybridMultilevel"/>
    <w:tmpl w:val="78BC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5065"/>
    <w:multiLevelType w:val="hybridMultilevel"/>
    <w:tmpl w:val="9B42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2356"/>
    <w:multiLevelType w:val="hybridMultilevel"/>
    <w:tmpl w:val="0D0272AA"/>
    <w:lvl w:ilvl="0" w:tplc="91CA6D14">
      <w:start w:val="1"/>
      <w:numFmt w:val="decimal"/>
      <w:lvlText w:val="%1)"/>
      <w:lvlJc w:val="left"/>
      <w:pPr>
        <w:ind w:left="78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51835"/>
    <w:multiLevelType w:val="hybridMultilevel"/>
    <w:tmpl w:val="DF3CB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645F7"/>
    <w:multiLevelType w:val="hybridMultilevel"/>
    <w:tmpl w:val="1D30204C"/>
    <w:lvl w:ilvl="0" w:tplc="5838C5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535543F"/>
    <w:multiLevelType w:val="hybridMultilevel"/>
    <w:tmpl w:val="C670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4A38"/>
    <w:multiLevelType w:val="hybridMultilevel"/>
    <w:tmpl w:val="2BD6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DDC"/>
    <w:multiLevelType w:val="hybridMultilevel"/>
    <w:tmpl w:val="CC1A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1669B"/>
    <w:multiLevelType w:val="hybridMultilevel"/>
    <w:tmpl w:val="16A4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B3874"/>
    <w:multiLevelType w:val="hybridMultilevel"/>
    <w:tmpl w:val="A482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B3DED"/>
    <w:multiLevelType w:val="hybridMultilevel"/>
    <w:tmpl w:val="36BAEBD6"/>
    <w:lvl w:ilvl="0" w:tplc="1416FD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035C2"/>
    <w:multiLevelType w:val="multilevel"/>
    <w:tmpl w:val="5A38A30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9A7909"/>
    <w:multiLevelType w:val="hybridMultilevel"/>
    <w:tmpl w:val="6444E6B0"/>
    <w:lvl w:ilvl="0" w:tplc="7F160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1765D6"/>
    <w:multiLevelType w:val="hybridMultilevel"/>
    <w:tmpl w:val="18223BBA"/>
    <w:lvl w:ilvl="0" w:tplc="CE1248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0E70"/>
    <w:multiLevelType w:val="hybridMultilevel"/>
    <w:tmpl w:val="F74CCD48"/>
    <w:lvl w:ilvl="0" w:tplc="04090011">
      <w:start w:val="1"/>
      <w:numFmt w:val="decimal"/>
      <w:lvlText w:val="%1)"/>
      <w:lvlJc w:val="left"/>
      <w:pPr>
        <w:ind w:left="967" w:hanging="82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BF223E"/>
    <w:multiLevelType w:val="hybridMultilevel"/>
    <w:tmpl w:val="35D4567A"/>
    <w:lvl w:ilvl="0" w:tplc="ABB48C3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59A6FD8"/>
    <w:multiLevelType w:val="hybridMultilevel"/>
    <w:tmpl w:val="92A6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E0DA6"/>
    <w:multiLevelType w:val="hybridMultilevel"/>
    <w:tmpl w:val="52C4AD38"/>
    <w:lvl w:ilvl="0" w:tplc="D2A0B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9A3B95"/>
    <w:multiLevelType w:val="hybridMultilevel"/>
    <w:tmpl w:val="B35C8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534BB"/>
    <w:multiLevelType w:val="hybridMultilevel"/>
    <w:tmpl w:val="5EF0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9"/>
  </w:num>
  <w:num w:numId="5">
    <w:abstractNumId w:val="18"/>
  </w:num>
  <w:num w:numId="6">
    <w:abstractNumId w:val="5"/>
  </w:num>
  <w:num w:numId="7">
    <w:abstractNumId w:val="15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17"/>
  </w:num>
  <w:num w:numId="16">
    <w:abstractNumId w:val="20"/>
  </w:num>
  <w:num w:numId="17">
    <w:abstractNumId w:val="2"/>
  </w:num>
  <w:num w:numId="18">
    <w:abstractNumId w:val="8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849"/>
    <w:rsid w:val="00003631"/>
    <w:rsid w:val="00003E82"/>
    <w:rsid w:val="0000501E"/>
    <w:rsid w:val="000072BB"/>
    <w:rsid w:val="00012FB1"/>
    <w:rsid w:val="0001450F"/>
    <w:rsid w:val="00014C4B"/>
    <w:rsid w:val="00014F7B"/>
    <w:rsid w:val="000261D8"/>
    <w:rsid w:val="000408E6"/>
    <w:rsid w:val="00041364"/>
    <w:rsid w:val="000458BF"/>
    <w:rsid w:val="00051895"/>
    <w:rsid w:val="000520D6"/>
    <w:rsid w:val="000740C6"/>
    <w:rsid w:val="0007598A"/>
    <w:rsid w:val="00077792"/>
    <w:rsid w:val="000846FD"/>
    <w:rsid w:val="00090A2F"/>
    <w:rsid w:val="0009539B"/>
    <w:rsid w:val="000A1B2F"/>
    <w:rsid w:val="000A7080"/>
    <w:rsid w:val="000B0180"/>
    <w:rsid w:val="000E79DE"/>
    <w:rsid w:val="000F1699"/>
    <w:rsid w:val="000F23BB"/>
    <w:rsid w:val="000F4111"/>
    <w:rsid w:val="000F5334"/>
    <w:rsid w:val="000F595E"/>
    <w:rsid w:val="0011040A"/>
    <w:rsid w:val="00113685"/>
    <w:rsid w:val="00121B3B"/>
    <w:rsid w:val="001276E2"/>
    <w:rsid w:val="00143D89"/>
    <w:rsid w:val="00144BC2"/>
    <w:rsid w:val="00151E99"/>
    <w:rsid w:val="00154D7D"/>
    <w:rsid w:val="00156331"/>
    <w:rsid w:val="0016213B"/>
    <w:rsid w:val="001626CD"/>
    <w:rsid w:val="00170524"/>
    <w:rsid w:val="0017175C"/>
    <w:rsid w:val="00175D01"/>
    <w:rsid w:val="00176F90"/>
    <w:rsid w:val="00192AE9"/>
    <w:rsid w:val="001A1566"/>
    <w:rsid w:val="001A5D12"/>
    <w:rsid w:val="001B03C6"/>
    <w:rsid w:val="001B4078"/>
    <w:rsid w:val="001C4213"/>
    <w:rsid w:val="001C631A"/>
    <w:rsid w:val="001C75EB"/>
    <w:rsid w:val="001E11CF"/>
    <w:rsid w:val="001F55DD"/>
    <w:rsid w:val="00200BFA"/>
    <w:rsid w:val="002032D7"/>
    <w:rsid w:val="00215D70"/>
    <w:rsid w:val="002200A8"/>
    <w:rsid w:val="0022307D"/>
    <w:rsid w:val="00230FC2"/>
    <w:rsid w:val="00234608"/>
    <w:rsid w:val="00234F64"/>
    <w:rsid w:val="00241364"/>
    <w:rsid w:val="00243AEB"/>
    <w:rsid w:val="002471FA"/>
    <w:rsid w:val="0025513A"/>
    <w:rsid w:val="00260A46"/>
    <w:rsid w:val="00261D5D"/>
    <w:rsid w:val="002708E7"/>
    <w:rsid w:val="00287981"/>
    <w:rsid w:val="002A08C3"/>
    <w:rsid w:val="002A519F"/>
    <w:rsid w:val="002B14F6"/>
    <w:rsid w:val="002B1C54"/>
    <w:rsid w:val="002B4259"/>
    <w:rsid w:val="002B55B9"/>
    <w:rsid w:val="002C3423"/>
    <w:rsid w:val="002D1756"/>
    <w:rsid w:val="002D19D1"/>
    <w:rsid w:val="002F351D"/>
    <w:rsid w:val="002F4055"/>
    <w:rsid w:val="002F5E86"/>
    <w:rsid w:val="003016B4"/>
    <w:rsid w:val="00302678"/>
    <w:rsid w:val="003078FD"/>
    <w:rsid w:val="00311B9B"/>
    <w:rsid w:val="00315467"/>
    <w:rsid w:val="00315731"/>
    <w:rsid w:val="00317593"/>
    <w:rsid w:val="00326E00"/>
    <w:rsid w:val="003421CB"/>
    <w:rsid w:val="00356440"/>
    <w:rsid w:val="00360004"/>
    <w:rsid w:val="0036236B"/>
    <w:rsid w:val="00371375"/>
    <w:rsid w:val="003733ED"/>
    <w:rsid w:val="003A2F07"/>
    <w:rsid w:val="003A3359"/>
    <w:rsid w:val="003A39E2"/>
    <w:rsid w:val="003B5741"/>
    <w:rsid w:val="003B5819"/>
    <w:rsid w:val="003D0983"/>
    <w:rsid w:val="003D7F90"/>
    <w:rsid w:val="003E110D"/>
    <w:rsid w:val="003E62C1"/>
    <w:rsid w:val="003E7043"/>
    <w:rsid w:val="003F68B0"/>
    <w:rsid w:val="00402B8F"/>
    <w:rsid w:val="004150B0"/>
    <w:rsid w:val="00416E3C"/>
    <w:rsid w:val="00430B31"/>
    <w:rsid w:val="00447D5F"/>
    <w:rsid w:val="004565BA"/>
    <w:rsid w:val="004829D8"/>
    <w:rsid w:val="004919E9"/>
    <w:rsid w:val="004B5E9F"/>
    <w:rsid w:val="004B695C"/>
    <w:rsid w:val="004C326A"/>
    <w:rsid w:val="004C423A"/>
    <w:rsid w:val="004D079A"/>
    <w:rsid w:val="004D2605"/>
    <w:rsid w:val="004D4037"/>
    <w:rsid w:val="004E24EC"/>
    <w:rsid w:val="004E7F93"/>
    <w:rsid w:val="004F1F2A"/>
    <w:rsid w:val="004F4583"/>
    <w:rsid w:val="004F7E7A"/>
    <w:rsid w:val="005105B1"/>
    <w:rsid w:val="005131F4"/>
    <w:rsid w:val="00520622"/>
    <w:rsid w:val="00542EC9"/>
    <w:rsid w:val="0056071A"/>
    <w:rsid w:val="005733C8"/>
    <w:rsid w:val="00596607"/>
    <w:rsid w:val="005C4C67"/>
    <w:rsid w:val="005E0244"/>
    <w:rsid w:val="005E13A9"/>
    <w:rsid w:val="005F03D5"/>
    <w:rsid w:val="005F14D1"/>
    <w:rsid w:val="005F18B5"/>
    <w:rsid w:val="005F30C1"/>
    <w:rsid w:val="005F41A8"/>
    <w:rsid w:val="006012C9"/>
    <w:rsid w:val="006063BB"/>
    <w:rsid w:val="00622CA3"/>
    <w:rsid w:val="00630330"/>
    <w:rsid w:val="00646BC9"/>
    <w:rsid w:val="00662978"/>
    <w:rsid w:val="00663849"/>
    <w:rsid w:val="00670209"/>
    <w:rsid w:val="00671563"/>
    <w:rsid w:val="00675579"/>
    <w:rsid w:val="006975CB"/>
    <w:rsid w:val="00697E2C"/>
    <w:rsid w:val="006A28B8"/>
    <w:rsid w:val="006A3EB1"/>
    <w:rsid w:val="006B217A"/>
    <w:rsid w:val="006C3759"/>
    <w:rsid w:val="006D0F67"/>
    <w:rsid w:val="006D26DB"/>
    <w:rsid w:val="006E2765"/>
    <w:rsid w:val="006E5657"/>
    <w:rsid w:val="006F13C6"/>
    <w:rsid w:val="006F1729"/>
    <w:rsid w:val="006F2371"/>
    <w:rsid w:val="00704193"/>
    <w:rsid w:val="00710736"/>
    <w:rsid w:val="00721C4C"/>
    <w:rsid w:val="00737EAD"/>
    <w:rsid w:val="0075190A"/>
    <w:rsid w:val="007652A2"/>
    <w:rsid w:val="0077431A"/>
    <w:rsid w:val="007746C8"/>
    <w:rsid w:val="007767BA"/>
    <w:rsid w:val="00776AE0"/>
    <w:rsid w:val="007815C5"/>
    <w:rsid w:val="00783037"/>
    <w:rsid w:val="00787246"/>
    <w:rsid w:val="00790426"/>
    <w:rsid w:val="00791F04"/>
    <w:rsid w:val="00797D1E"/>
    <w:rsid w:val="007A1389"/>
    <w:rsid w:val="007B2C88"/>
    <w:rsid w:val="007C3DAE"/>
    <w:rsid w:val="007D1BDD"/>
    <w:rsid w:val="007D3F5C"/>
    <w:rsid w:val="007D4173"/>
    <w:rsid w:val="007D65D8"/>
    <w:rsid w:val="007D6739"/>
    <w:rsid w:val="007F2D74"/>
    <w:rsid w:val="007F522F"/>
    <w:rsid w:val="007F5C67"/>
    <w:rsid w:val="008025FD"/>
    <w:rsid w:val="00804AD4"/>
    <w:rsid w:val="008060E7"/>
    <w:rsid w:val="0080612A"/>
    <w:rsid w:val="008068BF"/>
    <w:rsid w:val="00833D08"/>
    <w:rsid w:val="00840977"/>
    <w:rsid w:val="00853EAC"/>
    <w:rsid w:val="008577EF"/>
    <w:rsid w:val="008611EF"/>
    <w:rsid w:val="00861A90"/>
    <w:rsid w:val="00862881"/>
    <w:rsid w:val="00867DEE"/>
    <w:rsid w:val="0088762F"/>
    <w:rsid w:val="008B3FE1"/>
    <w:rsid w:val="008B409D"/>
    <w:rsid w:val="008B7F37"/>
    <w:rsid w:val="008C0897"/>
    <w:rsid w:val="008C2F52"/>
    <w:rsid w:val="008C3504"/>
    <w:rsid w:val="008E379B"/>
    <w:rsid w:val="008F38DF"/>
    <w:rsid w:val="00904DEA"/>
    <w:rsid w:val="00915638"/>
    <w:rsid w:val="00932C76"/>
    <w:rsid w:val="0093304C"/>
    <w:rsid w:val="0093502C"/>
    <w:rsid w:val="009359F1"/>
    <w:rsid w:val="00937349"/>
    <w:rsid w:val="009376A2"/>
    <w:rsid w:val="00961A0C"/>
    <w:rsid w:val="009740A6"/>
    <w:rsid w:val="00974DFC"/>
    <w:rsid w:val="00982D56"/>
    <w:rsid w:val="009870C2"/>
    <w:rsid w:val="00993183"/>
    <w:rsid w:val="00997530"/>
    <w:rsid w:val="009B0DE4"/>
    <w:rsid w:val="009B6F0D"/>
    <w:rsid w:val="009C0210"/>
    <w:rsid w:val="009D1A0A"/>
    <w:rsid w:val="009D3D2C"/>
    <w:rsid w:val="009D7580"/>
    <w:rsid w:val="009F0C3B"/>
    <w:rsid w:val="009F62DE"/>
    <w:rsid w:val="00A029EF"/>
    <w:rsid w:val="00A1380D"/>
    <w:rsid w:val="00A26611"/>
    <w:rsid w:val="00A44C1C"/>
    <w:rsid w:val="00A530B7"/>
    <w:rsid w:val="00A56B22"/>
    <w:rsid w:val="00A6422A"/>
    <w:rsid w:val="00A66146"/>
    <w:rsid w:val="00A66F03"/>
    <w:rsid w:val="00A95B35"/>
    <w:rsid w:val="00AA1960"/>
    <w:rsid w:val="00AA4D8B"/>
    <w:rsid w:val="00AA7CD4"/>
    <w:rsid w:val="00AB3A16"/>
    <w:rsid w:val="00AB772D"/>
    <w:rsid w:val="00AC5C7A"/>
    <w:rsid w:val="00AC7A02"/>
    <w:rsid w:val="00AC7E25"/>
    <w:rsid w:val="00AC7F95"/>
    <w:rsid w:val="00AD536C"/>
    <w:rsid w:val="00AD6AAE"/>
    <w:rsid w:val="00AD6B91"/>
    <w:rsid w:val="00AD73DB"/>
    <w:rsid w:val="00AE2B4B"/>
    <w:rsid w:val="00AF6FCF"/>
    <w:rsid w:val="00B123B3"/>
    <w:rsid w:val="00B16670"/>
    <w:rsid w:val="00B21350"/>
    <w:rsid w:val="00B2411B"/>
    <w:rsid w:val="00B3730E"/>
    <w:rsid w:val="00B46EFB"/>
    <w:rsid w:val="00B5265D"/>
    <w:rsid w:val="00B57FCB"/>
    <w:rsid w:val="00B80150"/>
    <w:rsid w:val="00B8579D"/>
    <w:rsid w:val="00B87A76"/>
    <w:rsid w:val="00B964D9"/>
    <w:rsid w:val="00BA0F87"/>
    <w:rsid w:val="00BA31FE"/>
    <w:rsid w:val="00BA50D6"/>
    <w:rsid w:val="00BC4A03"/>
    <w:rsid w:val="00BC7CD0"/>
    <w:rsid w:val="00BE17EF"/>
    <w:rsid w:val="00BE1CFC"/>
    <w:rsid w:val="00BE432F"/>
    <w:rsid w:val="00BE75BF"/>
    <w:rsid w:val="00C03489"/>
    <w:rsid w:val="00C1429B"/>
    <w:rsid w:val="00C21CD7"/>
    <w:rsid w:val="00C25979"/>
    <w:rsid w:val="00C32BA9"/>
    <w:rsid w:val="00C32CA9"/>
    <w:rsid w:val="00C33EAE"/>
    <w:rsid w:val="00C34FA8"/>
    <w:rsid w:val="00C43039"/>
    <w:rsid w:val="00C532A8"/>
    <w:rsid w:val="00C54C8C"/>
    <w:rsid w:val="00C64357"/>
    <w:rsid w:val="00C71410"/>
    <w:rsid w:val="00C83732"/>
    <w:rsid w:val="00C97C6A"/>
    <w:rsid w:val="00CA5463"/>
    <w:rsid w:val="00CB4053"/>
    <w:rsid w:val="00CB589A"/>
    <w:rsid w:val="00CC331B"/>
    <w:rsid w:val="00CC5C4F"/>
    <w:rsid w:val="00CC6245"/>
    <w:rsid w:val="00CC6D5A"/>
    <w:rsid w:val="00CE41BD"/>
    <w:rsid w:val="00CF1DC1"/>
    <w:rsid w:val="00CF3F7A"/>
    <w:rsid w:val="00D01734"/>
    <w:rsid w:val="00D017FC"/>
    <w:rsid w:val="00D23E7E"/>
    <w:rsid w:val="00D24D71"/>
    <w:rsid w:val="00D34156"/>
    <w:rsid w:val="00D4159B"/>
    <w:rsid w:val="00D44849"/>
    <w:rsid w:val="00D44E37"/>
    <w:rsid w:val="00D46002"/>
    <w:rsid w:val="00D503EF"/>
    <w:rsid w:val="00D70EBE"/>
    <w:rsid w:val="00D84240"/>
    <w:rsid w:val="00D86C45"/>
    <w:rsid w:val="00D94004"/>
    <w:rsid w:val="00DC0BA6"/>
    <w:rsid w:val="00DE14EE"/>
    <w:rsid w:val="00DF2F6F"/>
    <w:rsid w:val="00DF41C6"/>
    <w:rsid w:val="00E131C1"/>
    <w:rsid w:val="00E15296"/>
    <w:rsid w:val="00E25EB8"/>
    <w:rsid w:val="00E30B71"/>
    <w:rsid w:val="00E3306C"/>
    <w:rsid w:val="00E357B9"/>
    <w:rsid w:val="00E40D14"/>
    <w:rsid w:val="00E60486"/>
    <w:rsid w:val="00E70248"/>
    <w:rsid w:val="00E74837"/>
    <w:rsid w:val="00E7799B"/>
    <w:rsid w:val="00E77FD4"/>
    <w:rsid w:val="00EA114E"/>
    <w:rsid w:val="00EB2A08"/>
    <w:rsid w:val="00EB52AA"/>
    <w:rsid w:val="00EF70FC"/>
    <w:rsid w:val="00F02120"/>
    <w:rsid w:val="00F03D5F"/>
    <w:rsid w:val="00F147A7"/>
    <w:rsid w:val="00F22399"/>
    <w:rsid w:val="00F265E5"/>
    <w:rsid w:val="00F3159E"/>
    <w:rsid w:val="00F36CEA"/>
    <w:rsid w:val="00F41681"/>
    <w:rsid w:val="00F41874"/>
    <w:rsid w:val="00F41C1C"/>
    <w:rsid w:val="00F4222C"/>
    <w:rsid w:val="00F507D9"/>
    <w:rsid w:val="00F575FA"/>
    <w:rsid w:val="00F725E5"/>
    <w:rsid w:val="00F7772E"/>
    <w:rsid w:val="00F921F7"/>
    <w:rsid w:val="00F955CD"/>
    <w:rsid w:val="00F96EAA"/>
    <w:rsid w:val="00F97A82"/>
    <w:rsid w:val="00FA7965"/>
    <w:rsid w:val="00FB16CC"/>
    <w:rsid w:val="00FB187D"/>
    <w:rsid w:val="00FB774D"/>
    <w:rsid w:val="00FC2DD2"/>
    <w:rsid w:val="00FC3EA0"/>
    <w:rsid w:val="00FC4AB7"/>
    <w:rsid w:val="00FC74B3"/>
    <w:rsid w:val="00FD0D84"/>
    <w:rsid w:val="00FD3838"/>
    <w:rsid w:val="00FE09D4"/>
    <w:rsid w:val="00FE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66384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rsid w:val="00663849"/>
    <w:rPr>
      <w:rFonts w:ascii="Arial Armenian" w:eastAsia="Times New Roman" w:hAnsi="Arial Armenian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63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849"/>
  </w:style>
  <w:style w:type="paragraph" w:styleId="Footer">
    <w:name w:val="footer"/>
    <w:basedOn w:val="Normal"/>
    <w:link w:val="FooterChar"/>
    <w:uiPriority w:val="99"/>
    <w:unhideWhenUsed/>
    <w:rsid w:val="00663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49"/>
  </w:style>
  <w:style w:type="paragraph" w:styleId="NormalWeb">
    <w:name w:val="Normal (Web)"/>
    <w:basedOn w:val="Normal"/>
    <w:link w:val="NormalWebChar"/>
    <w:uiPriority w:val="99"/>
    <w:rsid w:val="0066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66384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63849"/>
    <w:rPr>
      <w:color w:val="0000FF"/>
      <w:u w:val="single"/>
    </w:rPr>
  </w:style>
  <w:style w:type="character" w:styleId="CommentReference">
    <w:name w:val="annotation reference"/>
    <w:rsid w:val="006638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6638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663849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66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384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6384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4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849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849"/>
    <w:rPr>
      <w:b/>
      <w:bCs/>
    </w:rPr>
  </w:style>
  <w:style w:type="character" w:styleId="Strong">
    <w:name w:val="Strong"/>
    <w:uiPriority w:val="22"/>
    <w:qFormat/>
    <w:rsid w:val="00A56B22"/>
    <w:rPr>
      <w:b/>
      <w:bCs/>
    </w:rPr>
  </w:style>
  <w:style w:type="paragraph" w:styleId="BodyText">
    <w:name w:val="Body Text"/>
    <w:basedOn w:val="Normal"/>
    <w:link w:val="BodyTextChar"/>
    <w:rsid w:val="002200A8"/>
    <w:pPr>
      <w:spacing w:after="140"/>
    </w:pPr>
    <w:rPr>
      <w:rFonts w:ascii="Calibri" w:eastAsia="Calibri" w:hAnsi="Calibri" w:cs="Times New Roman"/>
      <w:color w:val="00000A"/>
    </w:rPr>
  </w:style>
  <w:style w:type="character" w:customStyle="1" w:styleId="BodyTextChar">
    <w:name w:val="Body Text Char"/>
    <w:basedOn w:val="DefaultParagraphFont"/>
    <w:link w:val="BodyText"/>
    <w:rsid w:val="002200A8"/>
    <w:rPr>
      <w:rFonts w:ascii="Calibri" w:eastAsia="Calibri" w:hAnsi="Calibri" w:cs="Times New Roman"/>
      <w:color w:val="00000A"/>
    </w:rPr>
  </w:style>
  <w:style w:type="character" w:customStyle="1" w:styleId="a">
    <w:name w:val="Основной текст_"/>
    <w:basedOn w:val="DefaultParagraphFont"/>
    <w:link w:val="a0"/>
    <w:rsid w:val="00B57FCB"/>
    <w:rPr>
      <w:rFonts w:ascii="Sylfaen" w:eastAsia="Sylfaen" w:hAnsi="Sylfaen" w:cs="Sylfaen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B57FCB"/>
    <w:pPr>
      <w:widowControl w:val="0"/>
      <w:shd w:val="clear" w:color="auto" w:fill="FFFFFF"/>
      <w:spacing w:after="0" w:line="284" w:lineRule="exact"/>
      <w:jc w:val="center"/>
    </w:pPr>
    <w:rPr>
      <w:rFonts w:ascii="Sylfaen" w:eastAsia="Sylfaen" w:hAnsi="Sylfaen" w:cs="Sylfaen"/>
    </w:rPr>
  </w:style>
  <w:style w:type="character" w:customStyle="1" w:styleId="1pt">
    <w:name w:val="Основной текст + Интервал 1 pt"/>
    <w:basedOn w:val="a"/>
    <w:rsid w:val="00AB772D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a1">
    <w:name w:val="Основной текст + Полужирный"/>
    <w:basedOn w:val="a"/>
    <w:rsid w:val="00DF2F6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95pt">
    <w:name w:val="Основной текст + 9.5 pt"/>
    <w:aliases w:val="Полужирный"/>
    <w:basedOn w:val="a"/>
    <w:rsid w:val="00DF2F6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y-AM" w:eastAsia="hy-AM" w:bidi="hy-AM"/>
    </w:rPr>
  </w:style>
  <w:style w:type="paragraph" w:customStyle="1" w:styleId="1">
    <w:name w:val="Основной текст1"/>
    <w:basedOn w:val="Normal"/>
    <w:rsid w:val="00192AE9"/>
    <w:pPr>
      <w:widowControl w:val="0"/>
      <w:shd w:val="clear" w:color="auto" w:fill="FFFFFF"/>
      <w:spacing w:before="180" w:after="0" w:line="322" w:lineRule="exact"/>
      <w:jc w:val="both"/>
    </w:pPr>
    <w:rPr>
      <w:rFonts w:ascii="Tahoma" w:eastAsia="Tahoma" w:hAnsi="Tahoma" w:cs="Tahoma"/>
      <w:spacing w:val="5"/>
      <w:sz w:val="18"/>
      <w:szCs w:val="18"/>
      <w:lang w:val="ru-RU"/>
    </w:rPr>
  </w:style>
  <w:style w:type="character" w:customStyle="1" w:styleId="0pt">
    <w:name w:val="Основной текст + Полужирный;Курсив;Интервал 0 pt"/>
    <w:basedOn w:val="a"/>
    <w:rsid w:val="00192AE9"/>
    <w:rPr>
      <w:rFonts w:ascii="Tahoma" w:eastAsia="Tahoma" w:hAnsi="Tahoma" w:cs="Tahoma"/>
      <w:b/>
      <w:bCs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85pt0pt">
    <w:name w:val="Основной текст + 8;5 pt;Интервал 0 pt"/>
    <w:basedOn w:val="a"/>
    <w:rsid w:val="00192AE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FontStyle12">
    <w:name w:val="Font Style12"/>
    <w:uiPriority w:val="99"/>
    <w:rsid w:val="00260A46"/>
    <w:rPr>
      <w:rFonts w:ascii="Sylfaen" w:hAnsi="Sylfaen" w:cs="Sylfaen" w:hint="default"/>
      <w:sz w:val="22"/>
      <w:szCs w:val="22"/>
    </w:rPr>
  </w:style>
  <w:style w:type="paragraph" w:customStyle="1" w:styleId="Default">
    <w:name w:val="Default"/>
    <w:rsid w:val="002471FA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9C566-6C14-458E-B649-829821D3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N-Melkonyan</dc:creator>
  <cp:keywords>Mulberry 2.0</cp:keywords>
  <cp:lastModifiedBy>Ar-Sargsyan</cp:lastModifiedBy>
  <cp:revision>2</cp:revision>
  <cp:lastPrinted>2020-02-19T07:30:00Z</cp:lastPrinted>
  <dcterms:created xsi:type="dcterms:W3CDTF">2020-02-19T08:44:00Z</dcterms:created>
  <dcterms:modified xsi:type="dcterms:W3CDTF">2020-02-19T08:44:00Z</dcterms:modified>
</cp:coreProperties>
</file>