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29ADC" w14:textId="77777777" w:rsidR="00EE20D8" w:rsidRPr="00A36AFB" w:rsidRDefault="00EE20D8" w:rsidP="00EE20D8">
      <w:pPr>
        <w:widowControl w:val="0"/>
        <w:tabs>
          <w:tab w:val="left" w:pos="181"/>
          <w:tab w:val="left" w:pos="340"/>
        </w:tabs>
        <w:spacing w:after="0" w:line="360" w:lineRule="auto"/>
        <w:jc w:val="center"/>
        <w:textAlignment w:val="baseline"/>
        <w:rPr>
          <w:rFonts w:ascii="GHEA Grapalat" w:hAnsi="GHEA Grapalat" w:cs="Sylfaen"/>
          <w:sz w:val="24"/>
          <w:lang w:val="af-ZA"/>
        </w:rPr>
      </w:pPr>
      <w:r w:rsidRPr="00A36AFB">
        <w:rPr>
          <w:rFonts w:ascii="GHEA Grapalat" w:hAnsi="GHEA Grapalat" w:cs="Sylfaen"/>
          <w:sz w:val="24"/>
          <w:lang w:val="af-ZA"/>
        </w:rPr>
        <w:t>ԱՄՓՈՓԱԹԵՐԹ</w:t>
      </w:r>
    </w:p>
    <w:p w14:paraId="4AE4574E" w14:textId="4A0BB201" w:rsidR="009B4943" w:rsidRDefault="00EE20D8" w:rsidP="00EE20D8">
      <w:pPr>
        <w:spacing w:after="0" w:line="360" w:lineRule="auto"/>
        <w:jc w:val="center"/>
      </w:pPr>
      <w:r w:rsidRPr="008276F1">
        <w:rPr>
          <w:rFonts w:ascii="GHEA Grapalat" w:hAnsi="GHEA Grapalat" w:cs="Sylfaen"/>
          <w:sz w:val="24"/>
          <w:lang w:val="hy-AM"/>
        </w:rPr>
        <w:t>«</w:t>
      </w:r>
      <w:r>
        <w:rPr>
          <w:rFonts w:ascii="GHEA Grapalat" w:eastAsia="Calibri" w:hAnsi="GHEA Grapalat" w:cs="GHEA Grapalat"/>
          <w:sz w:val="24"/>
          <w:lang w:val="hy-AM" w:eastAsia="ru-RU"/>
        </w:rPr>
        <w:t>Հայաստանի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Հան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րապետությունում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հաշ</w:t>
      </w:r>
      <w:r>
        <w:rPr>
          <w:rFonts w:ascii="GHEA Grapalat" w:eastAsia="Calibri" w:hAnsi="GHEA Grapalat" w:cs="GHEA Grapalat"/>
          <w:sz w:val="24"/>
          <w:lang w:val="af-ZA" w:eastAsia="ru-RU"/>
        </w:rPr>
        <w:softHyphen/>
      </w:r>
      <w:r>
        <w:rPr>
          <w:rFonts w:ascii="GHEA Grapalat" w:eastAsia="Calibri" w:hAnsi="GHEA Grapalat" w:cs="GHEA Grapalat"/>
          <w:sz w:val="24"/>
          <w:lang w:val="hy-AM" w:eastAsia="ru-RU"/>
        </w:rPr>
        <w:t>վառված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մշտական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հաս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տա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տություն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չունեցող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ոչ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ռեզիդենտ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կազ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մակերպությունից ձեռք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բերվող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ապրանք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ների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, </w:t>
      </w:r>
      <w:r>
        <w:rPr>
          <w:rFonts w:ascii="GHEA Grapalat" w:eastAsia="Calibri" w:hAnsi="GHEA Grapalat" w:cs="GHEA Grapalat"/>
          <w:sz w:val="24"/>
          <w:lang w:val="hy-AM" w:eastAsia="ru-RU"/>
        </w:rPr>
        <w:t>ընդուն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վող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աշխա</w:t>
      </w:r>
      <w:r>
        <w:rPr>
          <w:rFonts w:ascii="GHEA Grapalat" w:eastAsia="Calibri" w:hAnsi="GHEA Grapalat" w:cs="GHEA Grapalat"/>
          <w:sz w:val="24"/>
          <w:lang w:val="af-ZA" w:eastAsia="ru-RU"/>
        </w:rPr>
        <w:softHyphen/>
      </w:r>
      <w:r>
        <w:rPr>
          <w:rFonts w:ascii="GHEA Grapalat" w:eastAsia="Calibri" w:hAnsi="GHEA Grapalat" w:cs="GHEA Grapalat"/>
          <w:sz w:val="24"/>
          <w:lang w:val="hy-AM" w:eastAsia="ru-RU"/>
        </w:rPr>
        <w:t>տանքների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և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(</w:t>
      </w:r>
      <w:r>
        <w:rPr>
          <w:rFonts w:ascii="GHEA Grapalat" w:eastAsia="Calibri" w:hAnsi="GHEA Grapalat" w:cs="GHEA Grapalat"/>
          <w:sz w:val="24"/>
          <w:lang w:val="hy-AM" w:eastAsia="ru-RU"/>
        </w:rPr>
        <w:t>կամ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) </w:t>
      </w:r>
      <w:r>
        <w:rPr>
          <w:rFonts w:ascii="GHEA Grapalat" w:eastAsia="Calibri" w:hAnsi="GHEA Grapalat" w:cs="GHEA Grapalat"/>
          <w:sz w:val="24"/>
          <w:lang w:val="hy-AM" w:eastAsia="ru-RU"/>
        </w:rPr>
        <w:t>ստացվող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ծառայությունների</w:t>
      </w:r>
      <w:r>
        <w:rPr>
          <w:rFonts w:ascii="GHEA Grapalat" w:eastAsia="Calibri" w:hAnsi="GHEA Grapalat" w:cs="GHEA Grapalat"/>
          <w:sz w:val="24"/>
          <w:lang w:val="af-ZA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մասով կատար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ված ծախ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սերի փաստաթղթավորման այլ կարգ</w:t>
      </w:r>
      <w:r w:rsidRPr="008276F1">
        <w:rPr>
          <w:rFonts w:ascii="GHEA Grapalat" w:hAnsi="GHEA Grapalat" w:cs="Sylfaen"/>
          <w:sz w:val="24"/>
          <w:lang w:val="hy-AM"/>
        </w:rPr>
        <w:t xml:space="preserve"> սահմանելու մասին»</w:t>
      </w:r>
      <w:r w:rsidRPr="00EA5B28">
        <w:rPr>
          <w:rFonts w:ascii="GHEA Grapalat" w:hAnsi="GHEA Grapalat" w:cs="Sylfaen"/>
          <w:sz w:val="24"/>
          <w:lang w:val="hy-AM"/>
        </w:rPr>
        <w:t xml:space="preserve"> </w:t>
      </w:r>
      <w:r w:rsidRPr="00EA5B28">
        <w:rPr>
          <w:rFonts w:ascii="GHEA Grapalat" w:hAnsi="GHEA Grapalat" w:cs="Sylfaen"/>
          <w:sz w:val="24"/>
          <w:lang w:val="nl-NL"/>
        </w:rPr>
        <w:t xml:space="preserve">ՀՀ կառավարության որոշման </w:t>
      </w:r>
      <w:r w:rsidRPr="00EA5B28">
        <w:rPr>
          <w:rFonts w:ascii="GHEA Grapalat" w:hAnsi="GHEA Grapalat" w:cs="Sylfaen"/>
          <w:sz w:val="24"/>
          <w:lang w:val="hy-AM"/>
        </w:rPr>
        <w:t>նախագծի</w:t>
      </w:r>
      <w:r w:rsidRPr="004D52FF">
        <w:rPr>
          <w:rFonts w:ascii="GHEA Grapalat" w:hAnsi="GHEA Grapalat" w:cs="Sylfaen"/>
          <w:sz w:val="24"/>
          <w:lang w:val="af-ZA"/>
        </w:rPr>
        <w:t xml:space="preserve"> վերաբերյալ ստացված առաջարկությունների, դրանց ընդունման կամ չընդունման վերաբերյալ</w:t>
      </w:r>
    </w:p>
    <w:p w14:paraId="34F62015" w14:textId="77777777" w:rsidR="009B4943" w:rsidRDefault="009B4943"/>
    <w:p w14:paraId="613989D0" w14:textId="77777777" w:rsidR="009B4943" w:rsidRDefault="009B4943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194"/>
        <w:gridCol w:w="5447"/>
        <w:gridCol w:w="2160"/>
        <w:gridCol w:w="3646"/>
      </w:tblGrid>
      <w:tr w:rsidR="009F569F" w:rsidRPr="00A53DDF" w14:paraId="532E1379" w14:textId="77777777" w:rsidTr="008E46B3"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D5A3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հ/</w:t>
            </w:r>
          </w:p>
          <w:p w14:paraId="0BD8CFB2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48E59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հեղինակը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ստացման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A607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2F23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3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02E55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Կատարված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9F569F" w:rsidRPr="00A53DDF" w14:paraId="063AD67F" w14:textId="77777777" w:rsidTr="008E46B3"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ADE353" w14:textId="77777777" w:rsidR="009B4943" w:rsidRPr="00A53DDF" w:rsidRDefault="009B4943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F6B3E2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5F9894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6D3770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F49D14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</w:t>
            </w:r>
          </w:p>
        </w:tc>
      </w:tr>
      <w:tr w:rsidR="009F569F" w:rsidRPr="00254DF8" w14:paraId="5542D613" w14:textId="77777777" w:rsidTr="008E46B3"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36B87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E606" w14:textId="77777777" w:rsidR="009B4943" w:rsidRPr="00A53DDF" w:rsidRDefault="00A234F7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="006A56DE"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Երևան֊Աուդիտ</w:t>
            </w:r>
            <w:proofErr w:type="spellEnd"/>
            <w:r w:rsidR="006A56DE"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56DE"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Կոնսալտ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»</w:t>
            </w:r>
            <w:r w:rsidR="006A56DE"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ՓԲԸ</w:t>
            </w:r>
          </w:p>
          <w:p w14:paraId="17052EB4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06.02.2020 21:25:29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5D8C" w14:textId="0A671B94" w:rsidR="009B4943" w:rsidRPr="00A53DDF" w:rsidRDefault="006A56DE" w:rsidP="00EE20D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Սույն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որոշումը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տարածվել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2018թ.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հունվարի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01-ից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հետո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ծագած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հարաբերությունների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վրա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քանզի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Հարկային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օրենսգրքի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55-րդ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13-րդ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25.06.19 ՀՕ-68-Ն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71-րդ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ուժի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մտնում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ծախսերի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փաստաթղթավորման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սահմանող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որոշումն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ուժի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մտնելու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պահից</w:t>
            </w:r>
            <w:proofErr w:type="spellEnd"/>
            <w:r w:rsidR="0063018D"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Լրացուցիչ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մեր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մտահոգությունն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ենք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արտահայտում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բանկային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փոխանցում</w:t>
            </w:r>
            <w:r w:rsidR="00EE20D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ծախսի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հիմնավորման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դարձնելու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կապակցությամբ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հաշվի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առնելով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պայմանագրային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հնարավոր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երկարաժամկետ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հարաբերությունների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առկայությունը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հաշվեգրման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սկզբունքով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ծախսի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ճանաչման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դրույթի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առկայությունը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Կարծում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ենք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հետագայում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իրավական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անորոշության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տեղիք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տալու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ծագած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ծագող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հարաբերություններ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բառակապակցությունը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A9981" w14:textId="77777777" w:rsidR="009B4943" w:rsidRPr="00A53DDF" w:rsidRDefault="00A53DDF" w:rsidP="00254DF8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ընդունվել:</w:t>
            </w:r>
          </w:p>
        </w:tc>
        <w:tc>
          <w:tcPr>
            <w:tcW w:w="3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B4F2" w14:textId="77777777" w:rsidR="00DB62E1" w:rsidRDefault="00A53DDF" w:rsidP="00254DF8">
            <w:pPr>
              <w:spacing w:after="0" w:line="240" w:lineRule="auto"/>
              <w:rPr>
                <w:rFonts w:ascii="GHEA Grapalat" w:hAnsi="GHEA Grapalat" w:cs="GHEA Grapalat"/>
                <w:sz w:val="24"/>
                <w:lang w:val="hy-AM" w:eastAsia="ru-RU"/>
              </w:rPr>
            </w:pP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«Հայաստանի Հանրապետության հարկային օրենսգրքում փոփոխություններ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լրացումներ կատարելու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2018 թվականի հունիսի 21-ի 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այաստանի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անրապետության հարկային օրենսգրքում փոփոխություններ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լրացումներ կատարելու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2017 թվականի դեկտեմբերի 21-ի 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այաստանի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անրապետության հարկային օրենսգրքում փոփոխություններ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լրացումներ կատարելու մասին»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ՀՕ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-266-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օրենքում փոփոխություններ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և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լրացումներ կատարելու մասին»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ՀՕ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-338-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օրենքում փոփոխություն կատարելու մասին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» ՀՀ օրենքի 71-րդ հոդվածի 7-րդ պարբերության համաձայն՝ ն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ույն օրենքի 13-րդ հոդվածի 4-րդ կետն </w:t>
            </w:r>
            <w:r w:rsidRPr="00A53DDF">
              <w:rPr>
                <w:rFonts w:ascii="GHEA Grapalat" w:hAnsi="GHEA Grapalat"/>
                <w:bCs/>
                <w:i/>
                <w:sz w:val="24"/>
                <w:szCs w:val="24"/>
                <w:u w:val="single"/>
                <w:lang w:val="hy-AM"/>
              </w:rPr>
              <w:t>ուժի մեջ է մտնում համապատասխան ծախսերի փաստաթղթավորման կարգը սահմանող՝ Կառավարության որոշումն ուժի մեջ մտնելու պահից:</w:t>
            </w:r>
            <w:r w:rsidRPr="00A53DD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Միաժամանակ, նախագծի 2-րդ կետի համաձայն՝ </w:t>
            </w:r>
            <w:r w:rsidR="00DB62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նախագծի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ուժի մեջ մտնելու ժամկետ է սահմանվել</w:t>
            </w:r>
            <w:r w:rsidR="00DB62E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DB62E1">
              <w:rPr>
                <w:rFonts w:ascii="GHEA Grapalat" w:hAnsi="GHEA Grapalat" w:cs="GHEA Grapalat"/>
                <w:sz w:val="24"/>
                <w:lang w:val="hy-AM" w:eastAsia="ru-RU"/>
              </w:rPr>
              <w:t>պաշտոնական հրապարակմանը հաջորդող օրը, սակայն նախագծի գործողությունը տարածվում է 2018 թվականի հունվարի 1-ից հետո ծագած</w:t>
            </w:r>
            <w:r w:rsidR="00DB62E1" w:rsidRPr="00D2478C">
              <w:rPr>
                <w:rFonts w:ascii="GHEA Grapalat" w:hAnsi="GHEA Grapalat" w:cs="GHEA Grapalat"/>
                <w:sz w:val="24"/>
                <w:lang w:val="hy-AM" w:eastAsia="ru-RU"/>
              </w:rPr>
              <w:t xml:space="preserve"> (</w:t>
            </w:r>
            <w:r w:rsidR="00DB62E1">
              <w:rPr>
                <w:rFonts w:ascii="GHEA Grapalat" w:hAnsi="GHEA Grapalat" w:cs="GHEA Grapalat"/>
                <w:sz w:val="24"/>
                <w:lang w:val="hy-AM" w:eastAsia="ru-RU"/>
              </w:rPr>
              <w:t>ծագող</w:t>
            </w:r>
            <w:r w:rsidR="00DB62E1" w:rsidRPr="00D2478C">
              <w:rPr>
                <w:rFonts w:ascii="GHEA Grapalat" w:hAnsi="GHEA Grapalat" w:cs="GHEA Grapalat"/>
                <w:sz w:val="24"/>
                <w:lang w:val="hy-AM" w:eastAsia="ru-RU"/>
              </w:rPr>
              <w:t>)</w:t>
            </w:r>
            <w:r w:rsidR="00DB62E1"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հարա</w:t>
            </w:r>
            <w:r w:rsidR="00DB62E1" w:rsidRPr="005A7AEC">
              <w:rPr>
                <w:rFonts w:ascii="GHEA Grapalat" w:hAnsi="GHEA Grapalat" w:cs="GHEA Grapalat"/>
                <w:sz w:val="24"/>
                <w:lang w:val="hy-AM" w:eastAsia="ru-RU"/>
              </w:rPr>
              <w:softHyphen/>
            </w:r>
            <w:r w:rsidR="00DB62E1">
              <w:rPr>
                <w:rFonts w:ascii="GHEA Grapalat" w:hAnsi="GHEA Grapalat" w:cs="GHEA Grapalat"/>
                <w:sz w:val="24"/>
                <w:lang w:val="hy-AM" w:eastAsia="ru-RU"/>
              </w:rPr>
              <w:lastRenderedPageBreak/>
              <w:t>բերու</w:t>
            </w:r>
            <w:r w:rsidR="00DB62E1">
              <w:rPr>
                <w:rFonts w:ascii="GHEA Grapalat" w:hAnsi="GHEA Grapalat" w:cs="GHEA Grapalat"/>
                <w:sz w:val="24"/>
                <w:lang w:val="hy-AM" w:eastAsia="ru-RU"/>
              </w:rPr>
              <w:softHyphen/>
              <w:t>թյուն</w:t>
            </w:r>
            <w:r w:rsidR="00DB62E1">
              <w:rPr>
                <w:rFonts w:ascii="GHEA Grapalat" w:hAnsi="GHEA Grapalat" w:cs="GHEA Grapalat"/>
                <w:sz w:val="24"/>
                <w:lang w:val="hy-AM" w:eastAsia="ru-RU"/>
              </w:rPr>
              <w:softHyphen/>
            </w:r>
            <w:r w:rsidR="00DB62E1">
              <w:rPr>
                <w:rFonts w:ascii="GHEA Grapalat" w:hAnsi="GHEA Grapalat" w:cs="GHEA Grapalat"/>
                <w:sz w:val="24"/>
                <w:lang w:val="hy-AM" w:eastAsia="ru-RU"/>
              </w:rPr>
              <w:softHyphen/>
              <w:t>ների վրա:</w:t>
            </w:r>
          </w:p>
          <w:p w14:paraId="768D5B89" w14:textId="77777777" w:rsidR="00DB62E1" w:rsidRDefault="00DB62E1" w:rsidP="00254DF8">
            <w:pPr>
              <w:spacing w:after="0" w:line="240" w:lineRule="auto"/>
              <w:rPr>
                <w:rFonts w:ascii="GHEA Grapalat" w:hAnsi="GHEA Grapalat" w:cs="GHEA Grapalat"/>
                <w:sz w:val="24"/>
                <w:lang w:val="hy-AM" w:eastAsia="ru-RU"/>
              </w:rPr>
            </w:pPr>
            <w:r>
              <w:rPr>
                <w:rFonts w:ascii="GHEA Grapalat" w:hAnsi="GHEA Grapalat" w:cs="GHEA Grapalat"/>
                <w:sz w:val="24"/>
                <w:lang w:val="hy-AM" w:eastAsia="ru-RU"/>
              </w:rPr>
              <w:t xml:space="preserve">Հաշվի առնելով վերոգրյալը՝ գտնում ենք, որ խնդրո առարկա նախագծով սահմանված կարգավորումները կարող են կիրառելի լինել 2018 թվականի հունվարի 1-ից հետո ծագող </w:t>
            </w:r>
            <w:r w:rsidRPr="00DB62E1">
              <w:rPr>
                <w:rFonts w:ascii="GHEA Grapalat" w:hAnsi="GHEA Grapalat" w:cs="GHEA Grapalat"/>
                <w:sz w:val="24"/>
                <w:lang w:val="hy-AM" w:eastAsia="ru-RU"/>
              </w:rPr>
              <w:t>(</w:t>
            </w:r>
            <w:r>
              <w:rPr>
                <w:rFonts w:ascii="GHEA Grapalat" w:hAnsi="GHEA Grapalat" w:cs="GHEA Grapalat"/>
                <w:sz w:val="24"/>
                <w:lang w:val="hy-AM" w:eastAsia="ru-RU"/>
              </w:rPr>
              <w:t>ծագած</w:t>
            </w:r>
            <w:r w:rsidRPr="00DB62E1">
              <w:rPr>
                <w:rFonts w:ascii="GHEA Grapalat" w:hAnsi="GHEA Grapalat" w:cs="GHEA Grapalat"/>
                <w:sz w:val="24"/>
                <w:lang w:val="hy-AM" w:eastAsia="ru-RU"/>
              </w:rPr>
              <w:t>)</w:t>
            </w:r>
            <w:r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հարաբերությունների վրա, քանի որ ՀՀ հարկային օրենսգրքով արդեն իսկ սահմանվել է, որ խնդրո առարկա դրույթը կարող է կիրառվել, եթե սահմանված է դրա կիրարկումն ապահովող Կառավարության համապատասխան որոշումը՝ անկախ դրանով սահմանված անցումային հարաբերություններից:</w:t>
            </w:r>
          </w:p>
          <w:p w14:paraId="27FD9CBE" w14:textId="77FF8C43" w:rsidR="009F569F" w:rsidRPr="00EE20D8" w:rsidRDefault="00DB62E1" w:rsidP="00254DF8">
            <w:pPr>
              <w:spacing w:after="0" w:line="240" w:lineRule="auto"/>
              <w:rPr>
                <w:rFonts w:ascii="GHEA Grapalat" w:hAnsi="GHEA Grapalat" w:cs="GHEA Grapalat"/>
                <w:sz w:val="24"/>
                <w:lang w:eastAsia="ru-RU"/>
              </w:rPr>
            </w:pPr>
            <w:r>
              <w:rPr>
                <w:rFonts w:ascii="GHEA Grapalat" w:hAnsi="GHEA Grapalat" w:cs="GHEA Grapalat"/>
                <w:sz w:val="24"/>
                <w:lang w:val="hy-AM" w:eastAsia="ru-RU"/>
              </w:rPr>
              <w:t xml:space="preserve">Բացի այդ, անհրաժեշտ է նկատել, որ նախագծով սահմանված կարգավորումները 2018 թվականի հունվարի 1-ից հետո ծագող </w:t>
            </w:r>
            <w:r w:rsidRPr="00DB62E1">
              <w:rPr>
                <w:rFonts w:ascii="GHEA Grapalat" w:hAnsi="GHEA Grapalat" w:cs="GHEA Grapalat"/>
                <w:sz w:val="24"/>
                <w:lang w:val="hy-AM" w:eastAsia="ru-RU"/>
              </w:rPr>
              <w:t>(</w:t>
            </w:r>
            <w:r>
              <w:rPr>
                <w:rFonts w:ascii="GHEA Grapalat" w:hAnsi="GHEA Grapalat" w:cs="GHEA Grapalat"/>
                <w:sz w:val="24"/>
                <w:lang w:val="hy-AM" w:eastAsia="ru-RU"/>
              </w:rPr>
              <w:t>ծագած</w:t>
            </w:r>
            <w:r w:rsidRPr="00DB62E1">
              <w:rPr>
                <w:rFonts w:ascii="GHEA Grapalat" w:hAnsi="GHEA Grapalat" w:cs="GHEA Grapalat"/>
                <w:sz w:val="24"/>
                <w:lang w:val="hy-AM" w:eastAsia="ru-RU"/>
              </w:rPr>
              <w:t>)</w:t>
            </w:r>
            <w:r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հարաբերությունների վրա</w:t>
            </w:r>
            <w:r w:rsidR="009F569F"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կիրառելու դրույթի սահմանումը հարկ վճարողներին </w:t>
            </w:r>
            <w:r w:rsidR="009F569F">
              <w:rPr>
                <w:rFonts w:ascii="GHEA Grapalat" w:hAnsi="GHEA Grapalat" w:cs="GHEA Grapalat"/>
                <w:sz w:val="24"/>
                <w:lang w:val="hy-AM" w:eastAsia="ru-RU"/>
              </w:rPr>
              <w:lastRenderedPageBreak/>
              <w:t>հնարավորություն է ընձեռելու շահութահարկով հարկման բազայի որոշման նպատակով համախառն եկամտից նվազեցնել նաև մինչև նախագծի ուժի մեջ մտնե</w:t>
            </w:r>
            <w:r w:rsidR="00EA0A48">
              <w:rPr>
                <w:rFonts w:ascii="GHEA Grapalat" w:hAnsi="GHEA Grapalat" w:cs="GHEA Grapalat"/>
                <w:sz w:val="24"/>
                <w:lang w:val="hy-AM" w:eastAsia="ru-RU"/>
              </w:rPr>
              <w:t>լ</w:t>
            </w:r>
            <w:r w:rsidR="009F569F">
              <w:rPr>
                <w:rFonts w:ascii="GHEA Grapalat" w:hAnsi="GHEA Grapalat" w:cs="GHEA Grapalat"/>
                <w:sz w:val="24"/>
                <w:lang w:val="hy-AM" w:eastAsia="ru-RU"/>
              </w:rPr>
              <w:t>ը կատարված նմանատիպ ծախսերը, ինչը</w:t>
            </w:r>
            <w:r w:rsidR="00EA0A48"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հարկ վճարողների իրավական վիճակը բարելավող դրույթ է՝ հաշվի առնելով այն հանգամանքը, որ 2018 թվականից գործող հարկային օրենսդրությամբ վերջիններս</w:t>
            </w:r>
            <w:r w:rsidR="00EE20D8">
              <w:rPr>
                <w:rFonts w:ascii="GHEA Grapalat" w:hAnsi="GHEA Grapalat" w:cs="GHEA Grapalat"/>
                <w:sz w:val="24"/>
                <w:lang w:eastAsia="ru-RU"/>
              </w:rPr>
              <w:t>,</w:t>
            </w:r>
            <w:r w:rsidR="00EA0A48"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ըստ էության</w:t>
            </w:r>
            <w:r w:rsidR="00EE20D8">
              <w:rPr>
                <w:rFonts w:ascii="GHEA Grapalat" w:hAnsi="GHEA Grapalat" w:cs="GHEA Grapalat"/>
                <w:sz w:val="24"/>
                <w:lang w:eastAsia="ru-RU"/>
              </w:rPr>
              <w:t>,</w:t>
            </w:r>
            <w:r w:rsidR="00EA0A48"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հնարավորություն չունեին նվազեցնել խնդրո առարկա ծախսերը:</w:t>
            </w:r>
          </w:p>
          <w:p w14:paraId="4772F62C" w14:textId="77777777" w:rsidR="009F569F" w:rsidRDefault="009F569F" w:rsidP="00254DF8">
            <w:pPr>
              <w:spacing w:after="0" w:line="240" w:lineRule="auto"/>
              <w:rPr>
                <w:rFonts w:ascii="GHEA Grapalat" w:hAnsi="GHEA Grapalat" w:cs="GHEA Grapalat"/>
                <w:sz w:val="24"/>
                <w:lang w:val="hy-AM" w:eastAsia="ru-RU"/>
              </w:rPr>
            </w:pPr>
            <w:r>
              <w:rPr>
                <w:rFonts w:ascii="GHEA Grapalat" w:hAnsi="GHEA Grapalat" w:cs="GHEA Grapalat"/>
                <w:sz w:val="24"/>
                <w:lang w:val="hy-AM" w:eastAsia="ru-RU"/>
              </w:rPr>
              <w:t xml:space="preserve">Ինչ վերաբերում է երկարաժամկետ պայմանագրային հարաբերությունների առկայության պարագայում ևս խնդրո առարկա ծախսերը </w:t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t>անկանխիկ եղանակով վճա</w:t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softHyphen/>
              <w:t>րումը հիմ</w:t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softHyphen/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softHyphen/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softHyphen/>
              <w:t>նա</w:t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softHyphen/>
              <w:t>վո</w:t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af-ZA" w:eastAsia="ru-RU"/>
              </w:rPr>
              <w:softHyphen/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t>րող փաս</w:t>
            </w:r>
            <w:r w:rsidRPr="009F569F"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softHyphen/>
            </w:r>
            <w:r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t xml:space="preserve">տաթղթերով փաստաթղթավորելու </w:t>
            </w:r>
            <w:r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lastRenderedPageBreak/>
              <w:t xml:space="preserve">տրամաբանությանը, ապա այդ կապակցությամբ գտնում ենք, որ </w:t>
            </w:r>
            <w:r>
              <w:rPr>
                <w:rFonts w:ascii="GHEA Grapalat" w:hAnsi="GHEA Grapalat" w:cs="GHEA Grapalat"/>
                <w:sz w:val="24"/>
                <w:lang w:val="hy-AM" w:eastAsia="ru-RU"/>
              </w:rPr>
              <w:t xml:space="preserve">երկարաժամկետ պայմանագրային հարաբերությունների առկայությունը դեռևս </w:t>
            </w:r>
            <w:r w:rsidR="00A234F7">
              <w:rPr>
                <w:rFonts w:ascii="GHEA Grapalat" w:hAnsi="GHEA Grapalat" w:cs="GHEA Grapalat"/>
                <w:sz w:val="24"/>
                <w:lang w:val="hy-AM" w:eastAsia="ru-RU"/>
              </w:rPr>
              <w:t>չի հաստատում ապրանքների ձեռքբերման, աշխատանքների ընդունման կամ ծառայությունների ստացման հանգամանքը:</w:t>
            </w:r>
            <w:r>
              <w:rPr>
                <w:rFonts w:ascii="GHEA Grapalat" w:hAnsi="GHEA Grapalat" w:cs="GHEA Grapalat"/>
                <w:bCs/>
                <w:iCs/>
                <w:sz w:val="24"/>
                <w:lang w:val="hy-AM" w:eastAsia="ru-RU"/>
              </w:rPr>
              <w:t xml:space="preserve"> </w:t>
            </w:r>
          </w:p>
          <w:p w14:paraId="205AC4F6" w14:textId="5846A77F" w:rsidR="009B4943" w:rsidRPr="00EE20D8" w:rsidRDefault="009F569F" w:rsidP="00EE20D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lang w:val="hy-AM" w:eastAsia="ru-RU"/>
              </w:rPr>
              <w:t>Միաժամանակ, հայտնում ենք, որ անհասկանալի է</w:t>
            </w:r>
            <w:r w:rsidR="00EE20D8">
              <w:rPr>
                <w:rFonts w:ascii="GHEA Grapalat" w:hAnsi="GHEA Grapalat" w:cs="GHEA Grapalat"/>
                <w:sz w:val="24"/>
                <w:lang w:eastAsia="ru-RU"/>
              </w:rPr>
              <w:t>,</w:t>
            </w:r>
            <w:r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թե ինչ անորոշությունների տեղիք կարող է տալ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«</w:t>
            </w:r>
            <w:r w:rsidRPr="009F569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ծագած (ծագող) հարաբերություններ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»</w:t>
            </w:r>
            <w:r w:rsidRPr="009F569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E20D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արտահայտությունը</w:t>
            </w:r>
            <w:proofErr w:type="spellEnd"/>
            <w:r w:rsidR="00EE20D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</w:tr>
      <w:tr w:rsidR="009F569F" w:rsidRPr="00254DF8" w14:paraId="599B1CE4" w14:textId="77777777" w:rsidTr="008E46B3"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8666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FB552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Արմեն Պետրոսյան</w:t>
            </w:r>
          </w:p>
          <w:p w14:paraId="7EDBE274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06.02.2020 14:04:56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B784C" w14:textId="03D24888" w:rsidR="009B4943" w:rsidRPr="00A53DDF" w:rsidRDefault="006A56DE" w:rsidP="00254DF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Նախագծում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ասվում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="00EA0A4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ս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ույն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որոշումն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ուժի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մտնում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պաշտոնական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հրապարակմանը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հաջորդող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օրվանից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տարածվում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2018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թվականի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հունվարի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1-ից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հետո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ծագած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ծագող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հարաբերությունների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վրա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իսկ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55-րդ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13-րդ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վերջին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նախադասությունը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 25.06.19 ՀՕ-68-Ն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օրենքի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71-րդ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ուժի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մտնում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ծախսերի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փաստաթղթավորման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սահմանող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 xml:space="preserve">ԿԱՌԱՎԱՐՈՒԹՅԱՆ ՈՐՈՇՈՒՄՆ ՈՒԺԻ ՄԵՋ ՄՏՆԵԼՈՒ ՊԱՀԻՑ: 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Ստացվում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55-րդ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13-րդ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մասի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վերջին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նախադասությունը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ուժի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մտնելու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սույն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18D"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</w:t>
            </w: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հրապարակման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պահից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անկախ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թվականի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հունվարի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1-ից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հետո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ծագած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հարաբերությունների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վրա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տարածվելու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հանգամանքից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իսկ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2018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թվականի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հունվարի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1-ից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մինչ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սույն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որոշման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հրապարակման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կարգը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հիմնազուրկ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(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լիազորություն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առկա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եղել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)։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D4B4" w14:textId="77777777" w:rsidR="009B4943" w:rsidRPr="00A234F7" w:rsidRDefault="00A234F7" w:rsidP="00254DF8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34F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ընդունվել:</w:t>
            </w:r>
          </w:p>
        </w:tc>
        <w:tc>
          <w:tcPr>
            <w:tcW w:w="3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AFBD" w14:textId="77777777" w:rsidR="00A234F7" w:rsidRPr="00A234F7" w:rsidRDefault="00A234F7" w:rsidP="00254DF8">
            <w:pPr>
              <w:spacing w:line="240" w:lineRule="auto"/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«</w:t>
            </w:r>
            <w:r w:rsidRPr="00A234F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Երևան֊Աուդիտ Կոնսալտ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»</w:t>
            </w:r>
            <w:r w:rsidRPr="00A234F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ՓԲԸ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-ի կողմից ներկայացված առաջարկության չընդունման հիմնավորումը:</w:t>
            </w:r>
          </w:p>
          <w:p w14:paraId="4EC0E842" w14:textId="77777777" w:rsidR="009B4943" w:rsidRPr="00A234F7" w:rsidRDefault="009B4943" w:rsidP="00254DF8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F569F" w:rsidRPr="00254DF8" w14:paraId="3ACF32DE" w14:textId="77777777" w:rsidTr="008E46B3"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04CC4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D14C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Հայկ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Մարգարյան</w:t>
            </w:r>
            <w:proofErr w:type="spellEnd"/>
          </w:p>
          <w:p w14:paraId="41D31F22" w14:textId="77777777" w:rsidR="009B4943" w:rsidRPr="00A53DDF" w:rsidRDefault="006A56DE" w:rsidP="00254D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06.02.2020 11:19:28</w:t>
            </w:r>
          </w:p>
        </w:tc>
        <w:tc>
          <w:tcPr>
            <w:tcW w:w="5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42FA" w14:textId="77777777" w:rsidR="009B4943" w:rsidRPr="00A53DDF" w:rsidRDefault="006A56DE" w:rsidP="00254DF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Նախագծի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2-րդ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կետով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հարկային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օրենսգրքի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55-րդ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հոդվածով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փաստաթղթերով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չփաստաթղթավորելու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դեպքում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կարող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փաստաթղթավորվել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հարկ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վճարողի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կողմից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կատարված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անկանխիկ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եղանակով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վճարումը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հիմնավորող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ոչ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ռեզիդենտ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կողմից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դուրս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գրված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Այսինքն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ստացվում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որ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արտասահմանյան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գործուղումների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դեպքում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երբ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աշխատակիցը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հյուրանոցում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կեցության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դիմաց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վճարում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կանխիկով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դա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համարվի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փաստաթղթավորված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ծախս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վճարման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անկանխիկ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եղանակը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վերանայել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նշված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նախադասության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&lt;&lt;և&gt;&gt;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շաղկապը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փոխարինել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&lt;&lt;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&gt;&gt;-</w:t>
            </w:r>
            <w:proofErr w:type="spellStart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ով</w:t>
            </w:r>
            <w:proofErr w:type="spellEnd"/>
            <w:r w:rsidRPr="00A53DD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52AD" w14:textId="35353E62" w:rsidR="009B4943" w:rsidRPr="00A234F7" w:rsidRDefault="00A234F7" w:rsidP="00254DF8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34F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</w:t>
            </w:r>
            <w:r w:rsidR="00EA0A4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A234F7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ընդունվել:</w:t>
            </w:r>
          </w:p>
        </w:tc>
        <w:tc>
          <w:tcPr>
            <w:tcW w:w="3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C993B" w14:textId="06BCAB1D" w:rsidR="009B4943" w:rsidRPr="00EE20D8" w:rsidRDefault="00A234F7" w:rsidP="00EE20D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A234F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Առաջարկության ընդունումը հանգեցնելու է չարաշահումների ռիսկերի մեծացման՝ հաշվի առնելով այն հանգամանքը, որ կանխիկ վճարումներ կատարելու դեպքում որևէ ձևով չի կարող հիմնավորվել հարկ վճարողների կողմից </w:t>
            </w:r>
            <w:r w:rsidRPr="00A234F7">
              <w:rPr>
                <w:rFonts w:ascii="GHEA Grapalat" w:hAnsi="GHEA Grapalat" w:cs="GHEA Grapalat"/>
                <w:sz w:val="24"/>
                <w:lang w:val="hy-AM" w:eastAsia="ru-RU"/>
              </w:rPr>
              <w:t>ապրանքների ձեռքբերման, աշխատանքների ընդունման կամ ծառայությունների ստացման</w:t>
            </w:r>
            <w:r>
              <w:rPr>
                <w:rFonts w:ascii="GHEA Grapalat" w:hAnsi="GHEA Grapalat" w:cs="GHEA Grapalat"/>
                <w:sz w:val="24"/>
                <w:lang w:val="hy-AM" w:eastAsia="ru-RU"/>
              </w:rPr>
              <w:t xml:space="preserve"> հանգամանքը: Ինչ վերաբերում է </w:t>
            </w:r>
            <w:r w:rsidRPr="00A234F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արտասահմանյան գործուղումների դեպքում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կեցության դիմաց կանխիկ</w:t>
            </w:r>
            <w:r w:rsidR="00EE20D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20D8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lastRenderedPageBreak/>
              <w:t>եղանակով</w:t>
            </w:r>
            <w:proofErr w:type="spellEnd"/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կատարվող վճարումներին, ապա այդ կապակցությամբ հարկ է նկատել, որ նշյալ նախագիծը չի տարածվում արտասահմանյան գործուղման դեպքում կատարվող ծախսերի փաստաթղթավորման վրա</w:t>
            </w:r>
            <w:r w:rsidR="00254DF8" w:rsidRPr="00254DF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="00254DF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իսկ արտասահմանյան գործուղման դեպքում կատարվող ծախսերի փաստաթղթավորումն իրականացվում է ՀՀ հարկային օրենսգրքի 111-րդ հոդվածով սահմանված կարգով</w:t>
            </w:r>
            <w:r w:rsidR="00EE20D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:</w:t>
            </w:r>
            <w:bookmarkStart w:id="0" w:name="_GoBack"/>
            <w:bookmarkEnd w:id="0"/>
          </w:p>
        </w:tc>
      </w:tr>
    </w:tbl>
    <w:p w14:paraId="39DF3E99" w14:textId="77777777" w:rsidR="006A56DE" w:rsidRPr="00A234F7" w:rsidRDefault="006A56DE">
      <w:pPr>
        <w:rPr>
          <w:lang w:val="hy-AM"/>
        </w:rPr>
      </w:pPr>
    </w:p>
    <w:sectPr w:rsidR="006A56DE" w:rsidRPr="00A234F7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3"/>
    <w:rsid w:val="00254DF8"/>
    <w:rsid w:val="00293E14"/>
    <w:rsid w:val="003E4AF6"/>
    <w:rsid w:val="0063018D"/>
    <w:rsid w:val="006A56DE"/>
    <w:rsid w:val="008E46B3"/>
    <w:rsid w:val="009B4943"/>
    <w:rsid w:val="009F569F"/>
    <w:rsid w:val="00A234F7"/>
    <w:rsid w:val="00A53DDF"/>
    <w:rsid w:val="00DB62E1"/>
    <w:rsid w:val="00EA0A48"/>
    <w:rsid w:val="00E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B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A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A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A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A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700</Words>
  <Characters>5129</Characters>
  <Application>Microsoft Office Word</Application>
  <DocSecurity>0</DocSecurity>
  <Lines>238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Doydoyan</dc:creator>
  <cp:keywords>https://mul2-minfin.gov.am/tasks/151841/oneclick/ampopatert_e_draft.docx?token=c12cf768854d27ef3f26ca4c9a2f933e</cp:keywords>
  <cp:lastModifiedBy>Arman Poghosyan</cp:lastModifiedBy>
  <cp:revision>4</cp:revision>
  <cp:lastPrinted>2020-02-18T08:12:00Z</cp:lastPrinted>
  <dcterms:created xsi:type="dcterms:W3CDTF">2020-03-02T12:39:00Z</dcterms:created>
  <dcterms:modified xsi:type="dcterms:W3CDTF">2020-03-20T14:28:00Z</dcterms:modified>
</cp:coreProperties>
</file>