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2" w:rsidRPr="00B34BCF" w:rsidRDefault="00462BB2" w:rsidP="00E47131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34BC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47131" w:rsidRDefault="00AE20FD" w:rsidP="003934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47131">
        <w:rPr>
          <w:rFonts w:ascii="GHEA Grapalat" w:hAnsi="GHEA Grapalat"/>
          <w:sz w:val="24"/>
          <w:szCs w:val="24"/>
          <w:lang w:val="hy-AM"/>
        </w:rPr>
        <w:t xml:space="preserve">Վարորդական իրավունքի վկայական ստանալու համար վարորդի թեկնածուն պետք է ՀՀ պետական բյուջե վճարի «Պետական տուրքի մասին» օրենքով սահմանված 3.000-ական ՀՀ դրամ պետական </w:t>
      </w:r>
      <w:r w:rsidRPr="00AB40E0">
        <w:rPr>
          <w:rFonts w:ascii="GHEA Grapalat" w:hAnsi="GHEA Grapalat"/>
          <w:sz w:val="24"/>
          <w:szCs w:val="24"/>
          <w:lang w:val="hy-AM"/>
        </w:rPr>
        <w:t xml:space="preserve">տուրք յուրաքանչյուր քննության համար (տեսական - գործնական) և 12.000 ՀՀ դրամ </w:t>
      </w:r>
      <w:r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արորդական վկայական տալու </w:t>
      </w:r>
      <w:r w:rsidR="00E47131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(վարորդական վկայական</w:t>
      </w:r>
      <w:r w:rsidR="00E47131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AB40E0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40E0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փոխանակելու, կորած վարորդական վկայականի փոխարե</w:t>
      </w:r>
      <w:r w:rsidR="00AB40E0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նորը </w:t>
      </w:r>
      <w:r w:rsidR="00AB40E0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տալու) համար</w:t>
      </w:r>
      <w:r w:rsidR="00AB40E0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541EA" w:rsidRPr="00AB40E0">
        <w:rPr>
          <w:rFonts w:ascii="GHEA Grapalat" w:hAnsi="GHEA Grapalat"/>
          <w:sz w:val="24"/>
          <w:szCs w:val="24"/>
          <w:lang w:val="hy-AM"/>
        </w:rPr>
        <w:t>իսկ «Ոստիկանության մասին» օրենքի 40.1-րդ հոդվածի 3-րդ մասի համաձայն՝ նաև 10.000</w:t>
      </w:r>
      <w:r w:rsidR="00E47131" w:rsidRPr="00AB40E0">
        <w:rPr>
          <w:rFonts w:ascii="GHEA Grapalat" w:hAnsi="GHEA Grapalat"/>
          <w:sz w:val="24"/>
          <w:szCs w:val="24"/>
          <w:lang w:val="hy-AM"/>
        </w:rPr>
        <w:t xml:space="preserve"> ՀՀ դրամ՝ </w:t>
      </w:r>
      <w:r w:rsidR="00E47131" w:rsidRPr="00AB40E0">
        <w:rPr>
          <w:rFonts w:ascii="GHEA Grapalat" w:hAnsi="GHEA Grapalat"/>
          <w:color w:val="000000"/>
          <w:sz w:val="24"/>
          <w:szCs w:val="24"/>
          <w:lang w:val="hy-AM"/>
        </w:rPr>
        <w:t>տրանսպորտային միջոց վարելու իրավունքի վկայական ստանալու գործնական քննություն ընդունելու համար։</w:t>
      </w:r>
    </w:p>
    <w:p w:rsidR="00AB40E0" w:rsidRPr="00F34C36" w:rsidRDefault="00F97EFA" w:rsidP="003934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Ընդհանուր առմամբ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E47131">
        <w:rPr>
          <w:rFonts w:ascii="GHEA Grapalat" w:hAnsi="GHEA Grapalat"/>
          <w:sz w:val="24"/>
          <w:szCs w:val="24"/>
          <w:lang w:val="hy-AM"/>
        </w:rPr>
        <w:t>արորդական իրավունքի վկայական ստանալու համար վարորդի թեկնածուն պետք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վճարի 2</w:t>
      </w:r>
      <w:r w:rsidRPr="00F97EFA">
        <w:rPr>
          <w:rFonts w:ascii="GHEA Grapalat" w:hAnsi="GHEA Grapalat"/>
          <w:color w:val="000000"/>
          <w:sz w:val="24"/>
          <w:szCs w:val="24"/>
          <w:lang w:val="hy-AM"/>
        </w:rPr>
        <w:t xml:space="preserve">8.000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ՀՀ դրամ գումար</w:t>
      </w:r>
      <w:r w:rsidR="00F34C36" w:rsidRPr="00F34C3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402"/>
        <w:gridCol w:w="3686"/>
        <w:gridCol w:w="3543"/>
      </w:tblGrid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Տարեթիվ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Գործնական քննության </w:t>
            </w:r>
          </w:p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դիմած </w:t>
            </w:r>
          </w:p>
        </w:tc>
        <w:tc>
          <w:tcPr>
            <w:tcW w:w="3543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Ստացած</w:t>
            </w:r>
          </w:p>
        </w:tc>
      </w:tr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2015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123</w:t>
            </w:r>
          </w:p>
        </w:tc>
        <w:tc>
          <w:tcPr>
            <w:tcW w:w="3543" w:type="dxa"/>
          </w:tcPr>
          <w:p w:rsidR="00AA6409" w:rsidRPr="00AA6409" w:rsidRDefault="00CE055A" w:rsidP="003934D0">
            <w:pPr>
              <w:ind w:left="293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</w:t>
            </w:r>
            <w:r w:rsidR="00AA6409" w:rsidRPr="00AA6409">
              <w:rPr>
                <w:rFonts w:ascii="GHEA Grapalat" w:hAnsi="GHEA Grapalat"/>
                <w:sz w:val="24"/>
                <w:szCs w:val="24"/>
              </w:rPr>
              <w:t>38.084</w:t>
            </w:r>
          </w:p>
        </w:tc>
      </w:tr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2016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889</w:t>
            </w:r>
          </w:p>
        </w:tc>
        <w:tc>
          <w:tcPr>
            <w:tcW w:w="3543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42.854</w:t>
            </w:r>
          </w:p>
        </w:tc>
      </w:tr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2017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541</w:t>
            </w:r>
          </w:p>
        </w:tc>
        <w:tc>
          <w:tcPr>
            <w:tcW w:w="3543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46.960</w:t>
            </w:r>
          </w:p>
        </w:tc>
      </w:tr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2018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561</w:t>
            </w:r>
          </w:p>
        </w:tc>
        <w:tc>
          <w:tcPr>
            <w:tcW w:w="3543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25.503</w:t>
            </w:r>
          </w:p>
        </w:tc>
      </w:tr>
      <w:tr w:rsidR="00AA6409" w:rsidRPr="00DF76A5" w:rsidTr="00AA6409">
        <w:trPr>
          <w:jc w:val="center"/>
        </w:trPr>
        <w:tc>
          <w:tcPr>
            <w:tcW w:w="3402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2019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 w:rsidRPr="00AA6409">
              <w:rPr>
                <w:rFonts w:ascii="GHEA Grapalat" w:hAnsi="GHEA Grapalat"/>
                <w:sz w:val="24"/>
                <w:szCs w:val="24"/>
              </w:rPr>
              <w:t>.</w:t>
            </w:r>
            <w:r w:rsidRPr="00AA6409">
              <w:rPr>
                <w:rFonts w:ascii="GHEA Grapalat" w:hAnsi="GHEA Grapalat"/>
                <w:sz w:val="24"/>
                <w:szCs w:val="24"/>
                <w:lang w:val="hy-AM"/>
              </w:rPr>
              <w:t>932</w:t>
            </w:r>
          </w:p>
        </w:tc>
        <w:tc>
          <w:tcPr>
            <w:tcW w:w="3543" w:type="dxa"/>
          </w:tcPr>
          <w:p w:rsidR="00AA6409" w:rsidRPr="00AA6409" w:rsidRDefault="00AA6409" w:rsidP="003934D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6409">
              <w:rPr>
                <w:rFonts w:ascii="GHEA Grapalat" w:hAnsi="GHEA Grapalat"/>
                <w:sz w:val="24"/>
                <w:szCs w:val="24"/>
              </w:rPr>
              <w:t>28.491</w:t>
            </w:r>
          </w:p>
        </w:tc>
      </w:tr>
    </w:tbl>
    <w:p w:rsidR="00AC0C08" w:rsidRDefault="00C65CE2" w:rsidP="003934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Այսպես</w:t>
      </w:r>
      <w:r w:rsidR="00AC0C08" w:rsidRPr="00AC0C08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794123" w:rsidRDefault="00AC0C08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0C08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C65CE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65CE2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C65CE2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արորդական վկայական տալու (վարորդական վկայականը փոխանակելու, վարորդական վկայական տալու (</w:t>
      </w:r>
      <w:r w:rsidR="00065195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վարորդական վկայական</w:t>
      </w:r>
      <w:r w:rsidR="00065195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065195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փոխանակելու, կորած վարորդական վկայականի փոխարե</w:t>
      </w:r>
      <w:r w:rsidR="00065195" w:rsidRPr="00AB40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նորը </w:t>
      </w:r>
      <w:r w:rsidR="00065195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տալու)</w:t>
      </w:r>
      <w:r w:rsidR="00C65CE2" w:rsidRPr="00BC33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</w:t>
      </w:r>
      <w:r w:rsidR="00C65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վճարվող 12</w:t>
      </w:r>
      <w:r w:rsidR="00C65CE2" w:rsidRPr="00C65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.000</w:t>
      </w:r>
      <w:r w:rsidR="00C65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դրամից </w:t>
      </w:r>
      <w:r w:rsidR="000962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ընդամենը 2</w:t>
      </w:r>
      <w:r w:rsidR="000962DD" w:rsidRPr="000962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.2</w:t>
      </w:r>
      <w:r w:rsidR="00DD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</w:t>
      </w:r>
      <w:r w:rsidR="000962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դրամն է հանդիսանում 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փաստացի ծախս, որը գոյանում է պլաստիկ քարտի 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մեկ քարտի հաշվարկով 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1.536 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վկայականը տպագրող կինեգրամ պաշտպանիչ թաղանթի 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վկայականի համար հաշվարկով 408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վկայականը տպագրման ներկող գունավոր </w:t>
      </w:r>
      <w:r w:rsidR="000651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ապավենի 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վկայականի համար հաշվարկով 158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776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վկայականը տպագրման </w:t>
      </w:r>
      <w:r w:rsidR="008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թափանցիկ պաշտպանիչ թաղանթ</w:t>
      </w:r>
      <w:r w:rsidR="005936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մեկ վկայականի համար հաշվարկով </w:t>
      </w:r>
      <w:r w:rsidR="005936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157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</w:t>
      </w:r>
      <w:r w:rsidR="002A1F75" w:rsidRPr="002A1F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7941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փաստացի օգտագործումից։</w:t>
      </w:r>
    </w:p>
    <w:p w:rsidR="00DD3EC2" w:rsidRDefault="00DD3EC2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Ստացվում է, որ յուաքանչյուր տպագրված վարորդական վկյականից պետական բյուջե ստացվող եկամուտը կազմում է</w:t>
      </w:r>
      <w:r w:rsidR="00B66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6F4A" w:rsidRPr="00E045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9.741</w:t>
      </w:r>
      <w:r w:rsidR="00B66F4A" w:rsidRPr="00B66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6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դրամ։</w:t>
      </w:r>
    </w:p>
    <w:p w:rsidR="00B66F4A" w:rsidRDefault="00B66F4A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2019 թվականին տպագրվել է 28</w:t>
      </w:r>
      <w:r w:rsidRPr="00B66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.491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վարորդական վկայական, հետևաբար միան 1-ին անգամ տպագրվող վկայականների դիմաց պետական բյուջե որպես եկամուտ գանձվել է </w:t>
      </w:r>
      <w:r w:rsidRPr="00E045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277.530.831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 գումար, իսկ նման դինամիկայի դեպքում միայն 1-ին անգամ տպագրվող վկայականների դիմաց պետական բյուջե որպես եկամուտ գանձվող գումարը 4 տարի անց կկազմի </w:t>
      </w:r>
      <w:r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1.1</w:t>
      </w:r>
      <w:r w:rsidR="007C5CBF"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0.123.324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դրամ։</w:t>
      </w:r>
    </w:p>
    <w:p w:rsidR="00E43D7E" w:rsidRDefault="00204C4B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04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E43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գործող և նախագծով առաջարկվող կարգի իրական պայմաններում գործնական քննության </w:t>
      </w:r>
      <w:r w:rsidR="005E1D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տարածության առա</w:t>
      </w:r>
      <w:r w:rsidR="00421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5E1D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ելագույն երկարությունը 4 կիլոմետր է</w:t>
      </w:r>
      <w:r w:rsidR="00550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ավտոդրոմում մեկ շրջապտույտը 1 կիլոմետր</w:t>
      </w:r>
      <w:r w:rsidR="008832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BF6695" w:rsidRDefault="00CA72C3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Թեթև մարդատար տրանսպորտային միջոցի վառելիքի ծախսը 100 կիլոմետրի</w:t>
      </w:r>
      <w:r w:rsidR="004B2C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միջին հաշվարկով կազմում է 10 լիտր բենզինային վառելիք, իսկ բեռնատարի</w:t>
      </w:r>
      <w:r w:rsidR="00BF6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BF6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02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BF6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լիտր։</w:t>
      </w:r>
    </w:p>
    <w:p w:rsidR="004B2CD9" w:rsidRDefault="000D0280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Ստացվում է, որ </w:t>
      </w:r>
      <w:r w:rsidR="00A52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կիլոմետր վազքի դեպքում թեթև մարդատար տրանսպորտային միջոցի վա</w:t>
      </w:r>
      <w:r w:rsidR="00A5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ելիքի ծա</w:t>
      </w:r>
      <w:r w:rsidR="00841E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սը կկազմի 0</w:t>
      </w:r>
      <w:r w:rsidRPr="000D02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A52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լիտր, իսկ բեռնատարի դեպքում 1</w:t>
      </w:r>
      <w:r w:rsidRPr="000D02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A52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լիտր։</w:t>
      </w:r>
    </w:p>
    <w:p w:rsidR="00627DEA" w:rsidRDefault="00381C4E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Ներկայիս գործող սակագնով </w:t>
      </w:r>
      <w:r w:rsidR="00DD7A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B54E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կիլոմետր վազքի համար բենզինային վառելիքի գումարը</w:t>
      </w:r>
      <w:r w:rsidR="00841E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թեթև մարդատարների համար </w:t>
      </w:r>
      <w:r w:rsidR="00B54E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կկազմի</w:t>
      </w:r>
      <w:r w:rsidR="00550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A52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50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բեռնատարի դեպքում 500 ՀՀ դրամ։</w:t>
      </w:r>
    </w:p>
    <w:p w:rsidR="009805C6" w:rsidRPr="00E80238" w:rsidRDefault="009805C6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Թեթև մարդատար տրանսպորտային միջոցի </w:t>
      </w:r>
      <w:r w:rsidR="00A5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ԿԱՍԿՈ</w:t>
      </w:r>
      <w:r w:rsidR="00A5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պայամանագրի ա</w:t>
      </w:r>
      <w:r w:rsidR="008F1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ժեքը տարեկան կազմում է 170</w:t>
      </w:r>
      <w:r w:rsidRPr="009805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.000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բեռնատարինը </w:t>
      </w:r>
      <w:r w:rsidRPr="009805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296.000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="00DB44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հետևաբար</w:t>
      </w:r>
      <w:r w:rsidR="00322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թեթև մարդատար տրանսպորտային միջոցի համար օրական ծախսը կազմում է 366 ՀՀ դրամ, իսկ բեռնատարինը 811 ՀՀ դրամ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741B1" w:rsidRDefault="003C3F74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Բնապահպանական տարեկան տուրքը</w:t>
      </w:r>
      <w:r w:rsidR="009805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թեթև մարդատար տրանսպորտային միջոցի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</w:t>
      </w:r>
      <w:r w:rsidR="009805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կազմում է </w:t>
      </w:r>
      <w:r w:rsidR="00D62B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.500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բեռնատարինը 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3C3F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3C3F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հետևաբար թեթև մարդատար տրանսպորտային միջոցի համար օրական ծախսը կազմում է 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բեռնատարինը </w:t>
      </w:r>
      <w:r w:rsidR="00E80238" w:rsidRP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</w:t>
      </w:r>
      <w:r w:rsidR="00E802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="000741B1" w:rsidRPr="000741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741B1" w:rsidRDefault="000741B1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Արդյունքում ստացվում է, որ թեթև մարդատար տրանսպորտային միջոցի համար օրական ընդհանուր ծախսը կազմում է </w:t>
      </w:r>
      <w:r w:rsidRPr="00204C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578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դրամ, իսկ բեռնատարինը </w:t>
      </w:r>
      <w:r w:rsidRPr="00204C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1338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="00204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B63DC2" w:rsidRDefault="00487355" w:rsidP="003934D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</w:t>
      </w:r>
      <w:r w:rsidR="00816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6253" w:rsidRPr="00AB40E0">
        <w:rPr>
          <w:rFonts w:ascii="GHEA Grapalat" w:hAnsi="GHEA Grapalat"/>
          <w:color w:val="000000"/>
          <w:sz w:val="24"/>
          <w:szCs w:val="24"/>
          <w:lang w:val="hy-AM"/>
        </w:rPr>
        <w:t>տրանսպորտային միջոց վարելու իրավունքի վկայական ստանալու գործնական քննություն ընդունելու համար</w:t>
      </w:r>
      <w:r w:rsidR="00816253">
        <w:rPr>
          <w:rFonts w:ascii="GHEA Grapalat" w:hAnsi="GHEA Grapalat"/>
          <w:color w:val="000000"/>
          <w:sz w:val="24"/>
          <w:szCs w:val="24"/>
          <w:lang w:val="hy-AM"/>
        </w:rPr>
        <w:t xml:space="preserve"> գանձվող 10</w:t>
      </w:r>
      <w:r w:rsidR="00816253" w:rsidRPr="00816253">
        <w:rPr>
          <w:rFonts w:ascii="GHEA Grapalat" w:hAnsi="GHEA Grapalat"/>
          <w:color w:val="000000"/>
          <w:sz w:val="24"/>
          <w:szCs w:val="24"/>
          <w:lang w:val="hy-AM"/>
        </w:rPr>
        <w:t>.000</w:t>
      </w:r>
      <w:r w:rsidR="00816253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դրամից հանենք 1338 ՀՀ դրամ օրական ծախսի արժեքը, ապա կստացվի, որ օրական քննա</w:t>
      </w:r>
      <w:r w:rsidR="008A447B">
        <w:rPr>
          <w:rFonts w:ascii="GHEA Grapalat" w:hAnsi="GHEA Grapalat"/>
          <w:color w:val="000000"/>
          <w:sz w:val="24"/>
          <w:szCs w:val="24"/>
          <w:lang w:val="hy-AM"/>
        </w:rPr>
        <w:t>կան</w:t>
      </w:r>
      <w:r w:rsidR="00816253">
        <w:rPr>
          <w:rFonts w:ascii="GHEA Grapalat" w:hAnsi="GHEA Grapalat"/>
          <w:color w:val="000000"/>
          <w:sz w:val="24"/>
          <w:szCs w:val="24"/>
          <w:lang w:val="hy-AM"/>
        </w:rPr>
        <w:t xml:space="preserve"> բոլոր տրանսպորտային միջոցները շահագործվելու դեպքում</w:t>
      </w:r>
      <w:r w:rsidR="00116870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բյուջե վճարվող</w:t>
      </w:r>
      <w:r w:rsidR="00816253">
        <w:rPr>
          <w:rFonts w:ascii="GHEA Grapalat" w:hAnsi="GHEA Grapalat"/>
          <w:color w:val="000000"/>
          <w:sz w:val="24"/>
          <w:szCs w:val="24"/>
          <w:lang w:val="hy-AM"/>
        </w:rPr>
        <w:t xml:space="preserve"> առավելագույն օրական եկամուտը </w:t>
      </w:r>
      <w:r w:rsidR="00116870" w:rsidRPr="00CF5D31">
        <w:rPr>
          <w:rFonts w:ascii="GHEA Grapalat" w:hAnsi="GHEA Grapalat"/>
          <w:b/>
          <w:color w:val="000000"/>
          <w:sz w:val="24"/>
          <w:szCs w:val="24"/>
          <w:lang w:val="hy-AM"/>
        </w:rPr>
        <w:t>8.662</w:t>
      </w:r>
      <w:r w:rsidR="00116870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 w:rsidR="005A0179">
        <w:rPr>
          <w:rFonts w:ascii="GHEA Grapalat" w:hAnsi="GHEA Grapalat"/>
          <w:color w:val="000000"/>
          <w:sz w:val="24"/>
          <w:szCs w:val="24"/>
          <w:lang w:val="hy-AM"/>
        </w:rPr>
        <w:t>, իսկ տարեկան եկամուտը</w:t>
      </w:r>
      <w:r w:rsidR="00856879">
        <w:rPr>
          <w:rFonts w:ascii="GHEA Grapalat" w:hAnsi="GHEA Grapalat"/>
          <w:color w:val="000000"/>
          <w:sz w:val="24"/>
          <w:szCs w:val="24"/>
          <w:lang w:val="hy-AM"/>
        </w:rPr>
        <w:t xml:space="preserve"> տարեկան միջինը</w:t>
      </w:r>
      <w:r w:rsidR="005A017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6879">
        <w:rPr>
          <w:rFonts w:ascii="GHEA Grapalat" w:hAnsi="GHEA Grapalat"/>
          <w:color w:val="000000"/>
          <w:sz w:val="24"/>
          <w:szCs w:val="24"/>
          <w:lang w:val="hy-AM"/>
        </w:rPr>
        <w:t>50</w:t>
      </w:r>
      <w:r w:rsidR="00856879" w:rsidRPr="00856879">
        <w:rPr>
          <w:rFonts w:ascii="GHEA Grapalat" w:hAnsi="GHEA Grapalat"/>
          <w:color w:val="000000"/>
          <w:sz w:val="24"/>
          <w:szCs w:val="24"/>
          <w:lang w:val="hy-AM"/>
        </w:rPr>
        <w:t xml:space="preserve">.000 </w:t>
      </w:r>
      <w:r w:rsidR="00856879">
        <w:rPr>
          <w:rFonts w:ascii="GHEA Grapalat" w:hAnsi="GHEA Grapalat"/>
          <w:color w:val="000000"/>
          <w:sz w:val="24"/>
          <w:szCs w:val="24"/>
          <w:lang w:val="hy-AM"/>
        </w:rPr>
        <w:t xml:space="preserve">գործնական քննություն անցնելու համար դիմողների վճարների դեպքում կկազմի </w:t>
      </w:r>
      <w:r w:rsidR="00856879" w:rsidRPr="007C5CBF">
        <w:rPr>
          <w:rFonts w:ascii="GHEA Grapalat" w:hAnsi="GHEA Grapalat"/>
          <w:b/>
          <w:color w:val="000000"/>
          <w:sz w:val="24"/>
          <w:szCs w:val="24"/>
          <w:lang w:val="hy-AM"/>
        </w:rPr>
        <w:t>433.100.000</w:t>
      </w:r>
      <w:r w:rsidR="00856879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 w:rsidR="00386B8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386B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նման դինամիկայի դեպքում միայն </w:t>
      </w:r>
      <w:r w:rsidR="00386B8F">
        <w:rPr>
          <w:rFonts w:ascii="GHEA Grapalat" w:hAnsi="GHEA Grapalat"/>
          <w:color w:val="000000"/>
          <w:sz w:val="24"/>
          <w:szCs w:val="24"/>
          <w:lang w:val="hy-AM"/>
        </w:rPr>
        <w:t xml:space="preserve">գործնական քննություն անցնելու համար դիմողների վճարների </w:t>
      </w:r>
      <w:r w:rsidR="00386B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դիմաց պետական բյուջե որպես եկամուտ գանձվող գումարը 4 տարի անց կկազմի </w:t>
      </w:r>
      <w:r w:rsidR="00386B8F"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</w:t>
      </w:r>
      <w:r w:rsidR="00386B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732</w:t>
      </w:r>
      <w:r w:rsidR="00386B8F"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="00386B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400</w:t>
      </w:r>
      <w:r w:rsidR="00386B8F" w:rsidRPr="002A6C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="00386B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000</w:t>
      </w:r>
      <w:r w:rsidR="00386B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="0011687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9A67CA" w:rsidRDefault="009A67CA" w:rsidP="003934D0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</w:t>
      </w:r>
      <w:r w:rsidR="00230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եմ համարում ընդգծ</w:t>
      </w:r>
      <w:r w:rsidR="00FF15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լ, որ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E47131">
        <w:rPr>
          <w:rFonts w:ascii="GHEA Grapalat" w:hAnsi="GHEA Grapalat"/>
          <w:sz w:val="24"/>
          <w:szCs w:val="24"/>
          <w:lang w:val="hy-AM"/>
        </w:rPr>
        <w:t>արորդական իրավունքի վկայական ստանալու համար վարորդի թեկնածու</w:t>
      </w:r>
      <w:r>
        <w:rPr>
          <w:rFonts w:ascii="GHEA Grapalat" w:hAnsi="GHEA Grapalat"/>
          <w:sz w:val="24"/>
          <w:szCs w:val="24"/>
          <w:lang w:val="hy-AM"/>
        </w:rPr>
        <w:t>ի միայն գործնական քննությանը մասնակցելու համար վճարվող 3</w:t>
      </w:r>
      <w:r w:rsidRPr="009A67CA">
        <w:rPr>
          <w:rFonts w:ascii="GHEA Grapalat" w:hAnsi="GHEA Grapalat"/>
          <w:sz w:val="24"/>
          <w:szCs w:val="24"/>
          <w:lang w:val="hy-AM"/>
        </w:rPr>
        <w:t>.000</w:t>
      </w:r>
      <w:r>
        <w:rPr>
          <w:rFonts w:ascii="GHEA Grapalat" w:hAnsi="GHEA Grapalat"/>
          <w:sz w:val="24"/>
          <w:szCs w:val="24"/>
          <w:lang w:val="hy-AM"/>
        </w:rPr>
        <w:t xml:space="preserve"> ՀՀ դրամն ամբողջությամբ պետք է համարել պետական բյուջե գանձվող եկամուտ</w:t>
      </w:r>
      <w:r w:rsidR="00755611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5611">
        <w:rPr>
          <w:rFonts w:ascii="GHEA Grapalat" w:hAnsi="GHEA Grapalat"/>
          <w:color w:val="000000"/>
          <w:sz w:val="24"/>
          <w:szCs w:val="24"/>
          <w:lang w:val="hy-AM"/>
        </w:rPr>
        <w:t>իսկ տարեկան եկամուտը տարեկան միջինը 50</w:t>
      </w:r>
      <w:r w:rsidR="00755611" w:rsidRPr="00856879">
        <w:rPr>
          <w:rFonts w:ascii="GHEA Grapalat" w:hAnsi="GHEA Grapalat"/>
          <w:color w:val="000000"/>
          <w:sz w:val="24"/>
          <w:szCs w:val="24"/>
          <w:lang w:val="hy-AM"/>
        </w:rPr>
        <w:t xml:space="preserve">.000 </w:t>
      </w:r>
      <w:r w:rsidR="00755611">
        <w:rPr>
          <w:rFonts w:ascii="GHEA Grapalat" w:hAnsi="GHEA Grapalat"/>
          <w:color w:val="000000"/>
          <w:sz w:val="24"/>
          <w:szCs w:val="24"/>
          <w:lang w:val="hy-AM"/>
        </w:rPr>
        <w:t xml:space="preserve">գործնական քննություն անցնելու համար դիմողների վճարների դեպքում կկազմի </w:t>
      </w:r>
      <w:r w:rsidR="00755611">
        <w:rPr>
          <w:rFonts w:ascii="GHEA Grapalat" w:hAnsi="GHEA Grapalat"/>
          <w:b/>
          <w:color w:val="000000"/>
          <w:sz w:val="24"/>
          <w:szCs w:val="24"/>
          <w:lang w:val="hy-AM"/>
        </w:rPr>
        <w:t>150</w:t>
      </w:r>
      <w:r w:rsidR="00755611" w:rsidRPr="007C5CB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755611"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="00755611" w:rsidRPr="007C5CBF">
        <w:rPr>
          <w:rFonts w:ascii="GHEA Grapalat" w:hAnsi="GHEA Grapalat"/>
          <w:b/>
          <w:color w:val="000000"/>
          <w:sz w:val="24"/>
          <w:szCs w:val="24"/>
          <w:lang w:val="hy-AM"/>
        </w:rPr>
        <w:t>00.000</w:t>
      </w:r>
      <w:r w:rsidR="00755611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55611" w:rsidRPr="00755611" w:rsidRDefault="00755611" w:rsidP="003934D0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Այսպիսով</w:t>
      </w:r>
      <w:r w:rsidR="00E62E0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մեկ տարում միջինը պետական բյուջե կգանձվի </w:t>
      </w:r>
      <w:r w:rsidRPr="00755611">
        <w:rPr>
          <w:rFonts w:ascii="GHEA Grapalat" w:hAnsi="GHEA Grapalat"/>
          <w:b/>
          <w:sz w:val="24"/>
          <w:szCs w:val="24"/>
          <w:lang w:val="hy-AM"/>
        </w:rPr>
        <w:t>860.000.000</w:t>
      </w:r>
      <w:r w:rsidRPr="007556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դրամ</w:t>
      </w:r>
      <w:r w:rsidR="00D51279">
        <w:rPr>
          <w:rFonts w:ascii="GHEA Grapalat" w:hAnsi="GHEA Grapalat"/>
          <w:sz w:val="24"/>
          <w:szCs w:val="24"/>
          <w:lang w:val="hy-AM"/>
        </w:rPr>
        <w:t xml:space="preserve"> եկամուտ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64180A" w:rsidRDefault="009A67CA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Հետևաբար</w:t>
      </w:r>
      <w:r w:rsidR="006B1251" w:rsidRPr="006B12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6B12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հաշվի առնելով, որ որոշման նախագծի 5-րդ կետի 1-ին ենթակետով </w:t>
      </w:r>
      <w:r w:rsidR="006B1251" w:rsidRPr="006B1251">
        <w:rPr>
          <w:rFonts w:ascii="GHEA Grapalat" w:hAnsi="GHEA Grapalat"/>
          <w:color w:val="000000"/>
          <w:sz w:val="24"/>
          <w:szCs w:val="24"/>
          <w:lang w:val="hy-AM"/>
        </w:rPr>
        <w:t>ճանապարհային ոստիկանության տարածքային ստորաբաժանումներ</w:t>
      </w:r>
      <w:r w:rsidR="006B125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6B1251" w:rsidRPr="006B1251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գործնական քննություն ընդունելու համար նախատեսված տրանսպորտային և տեխնիկական միջոցներով ապահովել</w:t>
      </w:r>
      <w:r w:rsidR="006B1251">
        <w:rPr>
          <w:rFonts w:ascii="GHEA Grapalat" w:hAnsi="GHEA Grapalat"/>
          <w:color w:val="000000"/>
          <w:sz w:val="24"/>
          <w:szCs w:val="24"/>
          <w:lang w:val="hy-AM"/>
        </w:rPr>
        <w:t>ու գործընթացի ավարտը սահմանվել է</w:t>
      </w:r>
      <w:r w:rsidR="006B1251" w:rsidRPr="006B1251">
        <w:rPr>
          <w:rFonts w:ascii="GHEA Grapalat" w:hAnsi="GHEA Grapalat"/>
          <w:color w:val="000000"/>
          <w:sz w:val="24"/>
          <w:szCs w:val="24"/>
          <w:lang w:val="hy-AM"/>
        </w:rPr>
        <w:t xml:space="preserve"> մինչև 2027 թվականի դեկտեմբերի 31-ը</w:t>
      </w:r>
      <w:r w:rsidR="006B1251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կարծում եմ, որ </w:t>
      </w:r>
      <w:r w:rsidR="002912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նախագծով ՀՀ </w:t>
      </w:r>
      <w:r w:rsidR="00422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բյուջեից ենթադրվող ծախսերն արդարացված են</w:t>
      </w:r>
      <w:r w:rsidR="006418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6B1251" w:rsidRPr="003934D0" w:rsidRDefault="003B126B" w:rsidP="003934D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 է նկատել, որ </w:t>
      </w:r>
      <w:r w:rsidR="00FE54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ներկայումս գործող ՀՀ կառավարության </w:t>
      </w:r>
      <w:r w:rsidR="00FE54B4" w:rsidRPr="00FE54B4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կառավարության 2008 թվականի սեպտեմբերի 18-ի </w:t>
      </w:r>
      <w:r w:rsidR="00FE54B4" w:rsidRPr="00FE54B4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FE54B4" w:rsidRPr="00FE54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Վարորդական վկայական ստանալու համար քննություններ ընդունելու և վարորդական վկայական տալու կարգը, վարորդական վկայական ստանալու համար պարտադիր ներկայացնելու ենթակա փաստաթղթերի ցանկը, ինչպես նաև ազգային ու միջազգային վարորդական վկայականների ձևերն ու նկարագրերը սահմանելու մասին</w:t>
      </w:r>
      <w:r w:rsidR="00FE54B4" w:rsidRPr="00FE54B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FE54B4" w:rsidRPr="00FE54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54B4" w:rsidRPr="00FE54B4">
        <w:rPr>
          <w:rFonts w:ascii="GHEA Grapalat" w:hAnsi="GHEA Grapalat"/>
          <w:bCs/>
          <w:color w:val="000000"/>
          <w:sz w:val="24"/>
          <w:szCs w:val="24"/>
          <w:lang w:val="hy-AM"/>
        </w:rPr>
        <w:t>N 1158-Ն որոշ</w:t>
      </w:r>
      <w:r w:rsidR="00FE54B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ման </w:t>
      </w:r>
      <w:r w:rsidR="0037268D">
        <w:rPr>
          <w:rFonts w:ascii="GHEA Grapalat" w:hAnsi="GHEA Grapalat"/>
          <w:bCs/>
          <w:color w:val="000000"/>
          <w:sz w:val="24"/>
          <w:szCs w:val="24"/>
          <w:lang w:val="hy-AM"/>
        </w:rPr>
        <w:t>4-րդ կետի 1-ին ենթակետի համաձայն</w:t>
      </w:r>
      <w:r w:rsidR="0037268D" w:rsidRPr="003934D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՝ </w:t>
      </w:r>
      <w:r w:rsidR="0037268D" w:rsidRP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ճանապարհային ոստիկանության մարզային ստորաբաժանումները գործնական քննություն ընդունելու համար նախատեսված տրանսպորտային և տեխնիկական միջոցներով ապահովելու գործընթացի վերջնաժամկետը նախատեսված է եղել մինչև 2017 թվականի դեկտեմբերի 31-ը</w:t>
      </w:r>
      <w:r w:rsidR="00521363" w:rsidRP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 չի կատարվել</w:t>
      </w:r>
      <w:r w:rsidR="00714A2C" w:rsidRP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ավելին այդ ժամկետ</w:t>
      </w:r>
      <w:r w:rsidR="00F735A5" w:rsidRP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F735A5" w:rsidRPr="003934D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20.09.12</w:t>
      </w:r>
      <w:r w:rsidR="00FB24E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թ</w:t>
      </w:r>
      <w:r w:rsidR="00FB24ED" w:rsidRPr="00FB24E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.</w:t>
      </w:r>
      <w:bookmarkStart w:id="0" w:name="_GoBack"/>
      <w:bookmarkEnd w:id="0"/>
      <w:r w:rsidR="00F735A5" w:rsidRPr="003934D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N 1204-Ն, և 30.04.15</w:t>
      </w:r>
      <w:r w:rsidR="00FB24E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թ</w:t>
      </w:r>
      <w:r w:rsidR="00FB24ED" w:rsidRPr="00FB24E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F735A5" w:rsidRPr="003934D0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N 460-Ն</w:t>
      </w:r>
      <w:r w:rsidR="00F735A5" w:rsidRP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որոշումներով խմբագրվել է՝ գործընթացի ավարտի ժամկետը սահմանելով նախ 2014թ. դեկտեմբերի 31-ը, այնուհետև 2017թ. դեկտեմբերի 31-ը</w:t>
      </w:r>
      <w:r w:rsidR="003934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4180A" w:rsidRDefault="0064180A" w:rsidP="000741B1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4180A" w:rsidRDefault="0064180A" w:rsidP="000741B1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62BB2" w:rsidRPr="00AB40E0" w:rsidRDefault="0064180A" w:rsidP="00123488">
      <w:pPr>
        <w:spacing w:after="0" w:line="276" w:lineRule="auto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B34BC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ՃԱՆԱՊԱՐՀԱՅԻՆ ՈՍՏԻԿԱՆՈՒԹՅՈՒՆ   </w:t>
      </w:r>
    </w:p>
    <w:sectPr w:rsidR="00462BB2" w:rsidRPr="00AB40E0" w:rsidSect="00F0582F">
      <w:pgSz w:w="12240" w:h="15840"/>
      <w:pgMar w:top="568" w:right="616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484F"/>
    <w:rsid w:val="00043869"/>
    <w:rsid w:val="00065195"/>
    <w:rsid w:val="000741B1"/>
    <w:rsid w:val="00091C7E"/>
    <w:rsid w:val="000962DD"/>
    <w:rsid w:val="000D0280"/>
    <w:rsid w:val="00116870"/>
    <w:rsid w:val="00123488"/>
    <w:rsid w:val="001776E8"/>
    <w:rsid w:val="001D5866"/>
    <w:rsid w:val="00204C4B"/>
    <w:rsid w:val="00213F3B"/>
    <w:rsid w:val="00230CA0"/>
    <w:rsid w:val="0026484F"/>
    <w:rsid w:val="00273AE6"/>
    <w:rsid w:val="002912C5"/>
    <w:rsid w:val="002A1F75"/>
    <w:rsid w:val="002A6C64"/>
    <w:rsid w:val="00322D83"/>
    <w:rsid w:val="0037268D"/>
    <w:rsid w:val="00381C4E"/>
    <w:rsid w:val="00386B8F"/>
    <w:rsid w:val="003934D0"/>
    <w:rsid w:val="003B126B"/>
    <w:rsid w:val="003C3F74"/>
    <w:rsid w:val="00421165"/>
    <w:rsid w:val="004222CD"/>
    <w:rsid w:val="00427445"/>
    <w:rsid w:val="00462BB2"/>
    <w:rsid w:val="00487355"/>
    <w:rsid w:val="004A3506"/>
    <w:rsid w:val="004B1AD1"/>
    <w:rsid w:val="004B2CD9"/>
    <w:rsid w:val="00521363"/>
    <w:rsid w:val="00550BE6"/>
    <w:rsid w:val="00566938"/>
    <w:rsid w:val="0059368C"/>
    <w:rsid w:val="005A0179"/>
    <w:rsid w:val="005E1DD0"/>
    <w:rsid w:val="005E7719"/>
    <w:rsid w:val="00627DEA"/>
    <w:rsid w:val="0064180A"/>
    <w:rsid w:val="006B1251"/>
    <w:rsid w:val="00714A2C"/>
    <w:rsid w:val="00755611"/>
    <w:rsid w:val="00762F88"/>
    <w:rsid w:val="00794123"/>
    <w:rsid w:val="007C5CBF"/>
    <w:rsid w:val="00816253"/>
    <w:rsid w:val="00841E32"/>
    <w:rsid w:val="00856879"/>
    <w:rsid w:val="008832F6"/>
    <w:rsid w:val="008A447B"/>
    <w:rsid w:val="008A72C3"/>
    <w:rsid w:val="008E0F51"/>
    <w:rsid w:val="008E380E"/>
    <w:rsid w:val="008F1420"/>
    <w:rsid w:val="009541EA"/>
    <w:rsid w:val="009805C6"/>
    <w:rsid w:val="009A67CA"/>
    <w:rsid w:val="009B3AFA"/>
    <w:rsid w:val="009E4C24"/>
    <w:rsid w:val="009F25A8"/>
    <w:rsid w:val="00A52BB0"/>
    <w:rsid w:val="00A57D56"/>
    <w:rsid w:val="00AA4BB2"/>
    <w:rsid w:val="00AA6409"/>
    <w:rsid w:val="00AB40E0"/>
    <w:rsid w:val="00AC0C08"/>
    <w:rsid w:val="00AE20FD"/>
    <w:rsid w:val="00B34BCF"/>
    <w:rsid w:val="00B54EE1"/>
    <w:rsid w:val="00B63DC2"/>
    <w:rsid w:val="00B66F4A"/>
    <w:rsid w:val="00BA4946"/>
    <w:rsid w:val="00BC339A"/>
    <w:rsid w:val="00BF6695"/>
    <w:rsid w:val="00C65CE2"/>
    <w:rsid w:val="00CA72C3"/>
    <w:rsid w:val="00CD702C"/>
    <w:rsid w:val="00CE055A"/>
    <w:rsid w:val="00CF5D31"/>
    <w:rsid w:val="00D51279"/>
    <w:rsid w:val="00D62BF2"/>
    <w:rsid w:val="00D6713D"/>
    <w:rsid w:val="00D703CF"/>
    <w:rsid w:val="00DB44E4"/>
    <w:rsid w:val="00DD3EC2"/>
    <w:rsid w:val="00DD7A40"/>
    <w:rsid w:val="00E045C4"/>
    <w:rsid w:val="00E336F5"/>
    <w:rsid w:val="00E43D7E"/>
    <w:rsid w:val="00E47131"/>
    <w:rsid w:val="00E62E00"/>
    <w:rsid w:val="00E80238"/>
    <w:rsid w:val="00F0582F"/>
    <w:rsid w:val="00F05CB3"/>
    <w:rsid w:val="00F34C36"/>
    <w:rsid w:val="00F735A5"/>
    <w:rsid w:val="00F8524D"/>
    <w:rsid w:val="00F97EFA"/>
    <w:rsid w:val="00FB24ED"/>
    <w:rsid w:val="00FE54B4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40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C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3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Nelli Manandyan</cp:lastModifiedBy>
  <cp:revision>110</cp:revision>
  <cp:lastPrinted>2020-03-10T10:35:00Z</cp:lastPrinted>
  <dcterms:created xsi:type="dcterms:W3CDTF">2020-03-10T06:25:00Z</dcterms:created>
  <dcterms:modified xsi:type="dcterms:W3CDTF">2020-03-23T13:03:00Z</dcterms:modified>
</cp:coreProperties>
</file>