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40" w:rsidRPr="00591243" w:rsidRDefault="007C1F40" w:rsidP="007C1F40">
      <w:pPr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ՆԱԽԱԳԻԾ</w:t>
      </w:r>
    </w:p>
    <w:p w:rsidR="007C1F40" w:rsidRPr="00591243" w:rsidRDefault="007C1F40" w:rsidP="007C1F40">
      <w:pPr>
        <w:ind w:left="-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9124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7C1F40" w:rsidRPr="00591243" w:rsidRDefault="007C1F40" w:rsidP="007C1F40">
      <w:pPr>
        <w:ind w:left="-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91243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left="-426"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C1F40" w:rsidRPr="00591243" w:rsidRDefault="002C5FF4" w:rsidP="007C1F40">
      <w:pPr>
        <w:spacing w:line="360" w:lineRule="auto"/>
        <w:ind w:left="-426"/>
        <w:jc w:val="center"/>
        <w:rPr>
          <w:rFonts w:ascii="GHEA Grapalat" w:hAnsi="GHEA Grapalat"/>
          <w:sz w:val="24"/>
          <w:szCs w:val="24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20</w:t>
      </w:r>
      <w:r w:rsidR="00E40BAA" w:rsidRPr="00591243">
        <w:rPr>
          <w:rFonts w:ascii="GHEA Grapalat" w:hAnsi="GHEA Grapalat"/>
          <w:sz w:val="24"/>
          <w:szCs w:val="24"/>
          <w:lang w:val="hy-AM"/>
        </w:rPr>
        <w:t>20</w:t>
      </w:r>
      <w:r w:rsidR="005876F7" w:rsidRPr="00591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>թվականի</w:t>
      </w:r>
      <w:r w:rsidR="00EA3F90">
        <w:rPr>
          <w:rFonts w:ascii="GHEA Grapalat" w:hAnsi="GHEA Grapalat"/>
          <w:sz w:val="24"/>
          <w:szCs w:val="24"/>
          <w:lang w:val="hy-AM"/>
        </w:rPr>
        <w:t xml:space="preserve"> _____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>___-ի   N</w:t>
      </w:r>
      <w:r w:rsidR="00F45DEF" w:rsidRPr="00591243">
        <w:rPr>
          <w:rFonts w:ascii="GHEA Grapalat" w:hAnsi="GHEA Grapalat"/>
          <w:sz w:val="24"/>
          <w:szCs w:val="24"/>
          <w:lang w:val="hy-AM"/>
        </w:rPr>
        <w:t xml:space="preserve">    -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>Ն</w:t>
      </w:r>
    </w:p>
    <w:p w:rsidR="007C1F40" w:rsidRPr="00591243" w:rsidRDefault="007C1F40" w:rsidP="007C1F40">
      <w:pPr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24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 2013 ԹՎԱԿԱՆԻ ՓԵՏՐՎԱՐԻ 21-Ի N 218-Ն ՈՐՈՇՄԱՆ ՄԵՋ ՓՈՓՈԽՈՒԹՅՈՒՆՆԵՐ ԿԱՏԱՐԵԼՈՒ ՄԱՍԻՆ</w:t>
      </w:r>
    </w:p>
    <w:p w:rsidR="007C1F40" w:rsidRPr="00591243" w:rsidRDefault="007C1F40" w:rsidP="007C1F40">
      <w:pPr>
        <w:spacing w:after="120"/>
        <w:ind w:left="-425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7C1F40" w:rsidRPr="00591243" w:rsidRDefault="00D26570" w:rsidP="008A2DF4">
      <w:pPr>
        <w:tabs>
          <w:tab w:val="left" w:pos="993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2E7CBD" w:rsidRPr="00591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66776" w:rsidRPr="00591243">
        <w:rPr>
          <w:rFonts w:ascii="GHEA Grapalat" w:hAnsi="GHEA Grapalat"/>
          <w:sz w:val="24"/>
          <w:szCs w:val="24"/>
          <w:lang w:val="hy-AM"/>
        </w:rPr>
        <w:t>«Նորմատիվ իրավական ակտերի մասին» Հայաստանի Հանրապետության օրենքի 3</w:t>
      </w:r>
      <w:r w:rsidR="00CB0611">
        <w:rPr>
          <w:rFonts w:ascii="GHEA Grapalat" w:hAnsi="GHEA Grapalat"/>
          <w:sz w:val="24"/>
          <w:szCs w:val="24"/>
          <w:lang w:val="hy-AM"/>
        </w:rPr>
        <w:t>4</w:t>
      </w:r>
      <w:r w:rsidR="00D66776" w:rsidRPr="00591243">
        <w:rPr>
          <w:rFonts w:ascii="GHEA Grapalat" w:hAnsi="GHEA Grapalat"/>
          <w:sz w:val="24"/>
          <w:szCs w:val="24"/>
          <w:lang w:val="hy-AM"/>
        </w:rPr>
        <w:t>-րդ հոդված</w:t>
      </w:r>
      <w:r w:rsidRPr="00591243">
        <w:rPr>
          <w:rFonts w:ascii="GHEA Grapalat" w:hAnsi="GHEA Grapalat"/>
          <w:sz w:val="24"/>
          <w:szCs w:val="24"/>
          <w:lang w:val="hy-AM"/>
        </w:rPr>
        <w:t>ը</w:t>
      </w:r>
      <w:r w:rsidR="00BE5ED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E5ED5" w:rsidRPr="00EC07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«Սննդամթերքի անվտանգության</w:t>
      </w:r>
      <w:r w:rsidR="00BE5E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E5ED5" w:rsidRPr="00EC07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BE5E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E5ED5" w:rsidRPr="00EC07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վերահսկողության մասին» օրենքի 13-րդ հոդվածի 3-րդ մաս</w:t>
      </w:r>
      <w:r w:rsidR="00BE5ED5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 w:rsidR="00D66776" w:rsidRPr="00591243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 որոշում է.</w:t>
      </w:r>
    </w:p>
    <w:p w:rsidR="00F07925" w:rsidRPr="00591243" w:rsidRDefault="007C1F40" w:rsidP="008A2DF4">
      <w:pPr>
        <w:tabs>
          <w:tab w:val="left" w:pos="993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1. Հայաստանի Հանրապետության կառավարության 2013 թվականի փետրվարի 21-ի «Հայաստանի Հանրապետություն ներմուծվող սննդամթերքի ռիսկայնության հիման վրա հսկողության մեթոդաբանությունը հաստատելու մասին» N</w:t>
      </w:r>
      <w:r w:rsidR="002E7CBD" w:rsidRPr="005912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1243">
        <w:rPr>
          <w:rFonts w:ascii="GHEA Grapalat" w:hAnsi="GHEA Grapalat"/>
          <w:sz w:val="24"/>
          <w:szCs w:val="24"/>
          <w:lang w:val="hy-AM"/>
        </w:rPr>
        <w:t>218-Ն որոշման</w:t>
      </w:r>
      <w:r w:rsidR="00113D88" w:rsidRPr="00591243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9E0CE5" w:rsidRPr="00591243">
        <w:rPr>
          <w:rFonts w:ascii="GHEA Grapalat" w:hAnsi="GHEA Grapalat"/>
          <w:sz w:val="24"/>
          <w:szCs w:val="24"/>
          <w:lang w:val="hy-AM"/>
        </w:rPr>
        <w:t>Ո</w:t>
      </w:r>
      <w:r w:rsidR="00113D88" w:rsidRPr="00591243">
        <w:rPr>
          <w:rFonts w:ascii="GHEA Grapalat" w:hAnsi="GHEA Grapalat"/>
          <w:sz w:val="24"/>
          <w:szCs w:val="24"/>
          <w:lang w:val="hy-AM"/>
        </w:rPr>
        <w:t>րոշում)</w:t>
      </w:r>
      <w:r w:rsidR="00F07925" w:rsidRPr="00591243">
        <w:rPr>
          <w:rFonts w:ascii="GHEA Grapalat" w:hAnsi="GHEA Grapalat"/>
          <w:sz w:val="24"/>
          <w:szCs w:val="24"/>
          <w:lang w:val="hy-AM"/>
        </w:rPr>
        <w:t xml:space="preserve"> մեջ կատարել հետևյան փոփոխություններ</w:t>
      </w:r>
      <w:r w:rsidR="00953EF5" w:rsidRPr="00591243">
        <w:rPr>
          <w:rFonts w:ascii="GHEA Grapalat" w:hAnsi="GHEA Grapalat"/>
          <w:sz w:val="24"/>
          <w:szCs w:val="24"/>
          <w:lang w:val="hy-AM"/>
        </w:rPr>
        <w:t>ը</w:t>
      </w:r>
      <w:r w:rsidR="00F07925" w:rsidRPr="00591243">
        <w:rPr>
          <w:rFonts w:ascii="GHEA Grapalat" w:hAnsi="GHEA Grapalat"/>
          <w:sz w:val="24"/>
          <w:szCs w:val="24"/>
          <w:lang w:val="hy-AM"/>
        </w:rPr>
        <w:t>.</w:t>
      </w:r>
    </w:p>
    <w:p w:rsidR="00F07925" w:rsidRPr="00591243" w:rsidRDefault="00F07925" w:rsidP="008A2DF4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91243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7C1F40" w:rsidRPr="00591243">
        <w:rPr>
          <w:rFonts w:ascii="GHEA Grapalat" w:hAnsi="GHEA Grapalat" w:cs="Sylfaen"/>
          <w:sz w:val="24"/>
          <w:szCs w:val="24"/>
          <w:lang w:val="hy-AM"/>
        </w:rPr>
        <w:t>նախաբան</w:t>
      </w:r>
      <w:r w:rsidRPr="00591243">
        <w:rPr>
          <w:rFonts w:ascii="GHEA Grapalat" w:hAnsi="GHEA Grapalat" w:cs="Sylfaen"/>
          <w:sz w:val="24"/>
          <w:szCs w:val="24"/>
          <w:lang w:val="hy-AM"/>
        </w:rPr>
        <w:t>ում</w:t>
      </w:r>
      <w:r w:rsidR="007C1F40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«Հայաստանի Հանրապետությունում ստուգումների կազմակերպման և անցկացման մասին» Հայաստանի Հանրապետության օրենքի 2.1-ին հոդվածի 2-րդ մասին» բառերը փոխարինել «Սննդամթերքի անվտանգության պետական վերահսկողության մասին» Հայաստանի Հանրապետության օրենքի 13-րդ հոդվածի 3-րդ մասին» բառերով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7C1F40" w:rsidRPr="00591243" w:rsidRDefault="00C93B26" w:rsidP="008A2DF4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Ո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>րոշման հավելվածը շարադրել նոր խմբագրությամբ՝ համաձայն հավելվածի:</w:t>
      </w:r>
    </w:p>
    <w:p w:rsidR="007C1F40" w:rsidRPr="00591243" w:rsidRDefault="007C1F40" w:rsidP="008A2DF4">
      <w:pPr>
        <w:tabs>
          <w:tab w:val="left" w:pos="993"/>
        </w:tabs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</w:t>
      </w:r>
      <w:r w:rsidR="00D26570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հաջորդող </w:t>
      </w:r>
      <w:r w:rsidR="00D26570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1F40" w:rsidRPr="00591243" w:rsidRDefault="007C1F40" w:rsidP="007C1F40">
      <w:pPr>
        <w:spacing w:after="0"/>
        <w:ind w:left="-426" w:firstLine="708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:rsidR="007C1F40" w:rsidRPr="00591243" w:rsidRDefault="007C1F40" w:rsidP="00FE5A25">
      <w:pPr>
        <w:spacing w:after="0" w:line="240" w:lineRule="auto"/>
        <w:ind w:left="6480" w:firstLine="708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591243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Հավելված </w:t>
      </w:r>
      <w:r w:rsidRPr="00591243">
        <w:rPr>
          <w:rFonts w:ascii="GHEA Grapalat" w:hAnsi="GHEA Grapalat"/>
          <w:bCs/>
          <w:sz w:val="24"/>
          <w:szCs w:val="24"/>
          <w:lang w:val="hy-AM"/>
        </w:rPr>
        <w:br/>
        <w:t>ՀՀ կառավարության</w:t>
      </w:r>
      <w:r w:rsidR="00824D11" w:rsidRPr="00591243">
        <w:rPr>
          <w:rFonts w:ascii="GHEA Grapalat" w:hAnsi="GHEA Grapalat"/>
          <w:bCs/>
          <w:sz w:val="24"/>
          <w:szCs w:val="24"/>
          <w:lang w:val="hy-AM"/>
        </w:rPr>
        <w:t xml:space="preserve"> 20</w:t>
      </w:r>
      <w:r w:rsidR="00E40BAA" w:rsidRPr="00591243">
        <w:rPr>
          <w:rFonts w:ascii="GHEA Grapalat" w:hAnsi="GHEA Grapalat"/>
          <w:bCs/>
          <w:sz w:val="24"/>
          <w:szCs w:val="24"/>
          <w:lang w:val="hy-AM"/>
        </w:rPr>
        <w:t>20</w:t>
      </w:r>
      <w:r w:rsidRPr="00591243">
        <w:rPr>
          <w:rFonts w:ascii="GHEA Grapalat" w:hAnsi="GHEA Grapalat"/>
          <w:bCs/>
          <w:sz w:val="24"/>
          <w:szCs w:val="24"/>
          <w:lang w:val="hy-AM"/>
        </w:rPr>
        <w:t xml:space="preserve"> թվականի</w:t>
      </w:r>
      <w:r w:rsidR="00FE5A25">
        <w:rPr>
          <w:rFonts w:ascii="GHEA Grapalat" w:hAnsi="GHEA Grapalat"/>
          <w:bCs/>
          <w:sz w:val="24"/>
          <w:szCs w:val="24"/>
          <w:lang w:val="hy-AM"/>
        </w:rPr>
        <w:br/>
      </w:r>
      <w:r w:rsidRPr="00591243">
        <w:rPr>
          <w:rFonts w:ascii="GHEA Grapalat" w:hAnsi="GHEA Grapalat"/>
          <w:bCs/>
          <w:sz w:val="24"/>
          <w:szCs w:val="24"/>
          <w:lang w:val="hy-AM"/>
        </w:rPr>
        <w:t>___-ի</w:t>
      </w:r>
      <w:r w:rsidR="00EA3F90">
        <w:rPr>
          <w:rFonts w:ascii="GHEA Grapalat" w:hAnsi="GHEA Grapalat"/>
          <w:bCs/>
          <w:sz w:val="24"/>
          <w:szCs w:val="24"/>
          <w:lang w:val="hy-AM"/>
        </w:rPr>
        <w:t xml:space="preserve"> N _</w:t>
      </w:r>
      <w:r w:rsidRPr="00591243">
        <w:rPr>
          <w:rFonts w:ascii="GHEA Grapalat" w:hAnsi="GHEA Grapalat"/>
          <w:bCs/>
          <w:sz w:val="24"/>
          <w:szCs w:val="24"/>
          <w:lang w:val="hy-AM"/>
        </w:rPr>
        <w:t>__-Ն որոշման</w:t>
      </w:r>
    </w:p>
    <w:p w:rsidR="007C1F40" w:rsidRPr="00591243" w:rsidRDefault="007C1F40" w:rsidP="00FE5A25">
      <w:pPr>
        <w:shd w:val="clear" w:color="auto" w:fill="FFFFFF"/>
        <w:spacing w:after="0" w:line="240" w:lineRule="auto"/>
        <w:ind w:left="6480"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7C1F40" w:rsidRPr="00591243" w:rsidRDefault="007C1F40" w:rsidP="00FE5A25">
      <w:pPr>
        <w:spacing w:after="0" w:line="240" w:lineRule="auto"/>
        <w:ind w:left="6480" w:firstLine="708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591243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591243">
        <w:rPr>
          <w:rFonts w:ascii="GHEA Grapalat" w:hAnsi="GHEA Grapalat"/>
          <w:bCs/>
          <w:sz w:val="24"/>
          <w:szCs w:val="24"/>
          <w:lang w:val="hy-AM"/>
        </w:rPr>
        <w:br/>
        <w:t>ՀՀ կառավարության 2013 թվականի</w:t>
      </w:r>
      <w:r w:rsidRPr="00591243">
        <w:rPr>
          <w:rFonts w:ascii="GHEA Grapalat" w:hAnsi="GHEA Grapalat"/>
          <w:bCs/>
          <w:sz w:val="24"/>
          <w:szCs w:val="24"/>
          <w:lang w:val="hy-AM"/>
        </w:rPr>
        <w:br/>
        <w:t>փետրվարի 21-ի N 218-Ն որոշման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 ՀԱՆՐԱՊԵՏՈՒԹՅՈՒՆ ՆԵՐՄՈՒԾՎՈՂ ՍՆՆԴԱՄԹԵՐՔԻ ՌԻՍԿԱՅՆՈՒԹՅԱՆ ՀԻՄԱՆ ՎՐԱ ՀՍԿՈՂՈՒԹՅԱՆ ՄԵԹՈԴԱԲԱՆՈՒԹՅՈՒՆ</w:t>
      </w:r>
    </w:p>
    <w:p w:rsidR="006F0BC2" w:rsidRDefault="006F0BC2" w:rsidP="007C1F40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Calibri"/>
          <w:sz w:val="24"/>
          <w:szCs w:val="24"/>
          <w:lang w:val="hy-AM" w:eastAsia="ru-RU"/>
        </w:rPr>
      </w:pP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7C1F40" w:rsidRPr="00591243" w:rsidRDefault="007F5882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1</w:t>
      </w:r>
      <w:r w:rsidR="007C1F40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 ԸՆԴՀԱՆՈՒՐ ԴՐՈՒՅԹՆԵՐ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7C1F40" w:rsidRPr="00591243" w:rsidRDefault="007C1F40" w:rsidP="008A2DF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1. Սույն իրավական ակտով կարգավորվում են ներմուծվող սննդամթերքի</w:t>
      </w:r>
      <w:r w:rsidR="00CC1C93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ռիսկայնությունը որոշող չափանիշների ընդհանուր նկարագիրը և գնահատված ռիսկերի հիման վրա </w:t>
      </w:r>
      <w:r w:rsidR="00EE058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սահմանային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հսկողության </w:t>
      </w:r>
      <w:r w:rsidR="00EE058F">
        <w:rPr>
          <w:rFonts w:ascii="GHEA Grapalat" w:eastAsia="Times New Roman" w:hAnsi="GHEA Grapalat"/>
          <w:sz w:val="24"/>
          <w:szCs w:val="24"/>
          <w:lang w:val="en-US" w:eastAsia="ru-RU"/>
        </w:rPr>
        <w:t>(</w:t>
      </w:r>
      <w:r w:rsidR="00EE058F">
        <w:rPr>
          <w:rFonts w:ascii="GHEA Grapalat" w:eastAsia="Times New Roman" w:hAnsi="GHEA Grapalat"/>
          <w:sz w:val="24"/>
          <w:szCs w:val="24"/>
          <w:lang w:val="hy-AM" w:eastAsia="ru-RU"/>
        </w:rPr>
        <w:t>այսուհետ՝ վերահսկողություն</w:t>
      </w:r>
      <w:r w:rsidR="00EE058F">
        <w:rPr>
          <w:rFonts w:ascii="GHEA Grapalat" w:eastAsia="Times New Roman" w:hAnsi="GHEA Grapalat"/>
          <w:sz w:val="24"/>
          <w:szCs w:val="24"/>
          <w:lang w:val="en-US" w:eastAsia="ru-RU"/>
        </w:rPr>
        <w:t>)</w:t>
      </w:r>
      <w:r w:rsidR="00EE058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հետ կապված հարաբերությունները, որի նպատակն է </w:t>
      </w:r>
      <w:r w:rsidR="0039765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վտանգավոր </w:t>
      </w:r>
      <w:r w:rsidR="00E76D2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սննդամթերքի </w:t>
      </w:r>
      <w:r w:rsidR="0039765F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ներմուծ</w:t>
      </w:r>
      <w:r w:rsidR="0039765F">
        <w:rPr>
          <w:rFonts w:ascii="GHEA Grapalat" w:eastAsia="Times New Roman" w:hAnsi="GHEA Grapalat"/>
          <w:sz w:val="24"/>
          <w:szCs w:val="24"/>
          <w:lang w:val="hy-AM" w:eastAsia="ru-RU"/>
        </w:rPr>
        <w:t>ման</w:t>
      </w:r>
      <w:r w:rsidR="0039765F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կանխ</w:t>
      </w:r>
      <w:r w:rsidR="00EE058F">
        <w:rPr>
          <w:rFonts w:ascii="GHEA Grapalat" w:eastAsia="Times New Roman" w:hAnsi="GHEA Grapalat"/>
          <w:sz w:val="24"/>
          <w:szCs w:val="24"/>
          <w:lang w:val="hy-AM" w:eastAsia="ru-RU"/>
        </w:rPr>
        <w:t>ումը,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E058F">
        <w:rPr>
          <w:rFonts w:ascii="GHEA Grapalat" w:eastAsia="Times New Roman" w:hAnsi="GHEA Grapalat"/>
          <w:sz w:val="24"/>
          <w:szCs w:val="24"/>
          <w:lang w:val="hy-AM" w:eastAsia="ru-RU"/>
        </w:rPr>
        <w:t>ինչպես նա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սահմանային անցման կետերում </w:t>
      </w:r>
      <w:r w:rsidR="00E76D2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պետական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վերահսկողության համապատասխան գործիքակազմի (փաստաթղթային ստուգում, նույնականացում, զննում, նմուշառում</w:t>
      </w:r>
      <w:r w:rsidR="008A2DF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6966E6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152E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9A485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փորձաքննություն</w:t>
      </w:r>
      <w:r w:rsidR="008A2DF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5C0A7D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E058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ընտրության իրականացումը</w:t>
      </w:r>
      <w:r w:rsidR="0039765F">
        <w:rPr>
          <w:rFonts w:ascii="GHEA Grapalat" w:eastAsia="Times New Roman" w:hAnsi="GHEA Grapalat"/>
          <w:sz w:val="24"/>
          <w:szCs w:val="24"/>
          <w:lang w:val="hy-AM" w:eastAsia="ru-RU"/>
        </w:rPr>
        <w:t>՝ կախված սննդամթերքի ռիսկայնության աստիճանից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7A36D2" w:rsidRPr="00591243" w:rsidRDefault="007C1F40" w:rsidP="008A2DF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="009C6AD3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Սննդամթերքի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ներմուծման սահմանային </w:t>
      </w:r>
      <w:r w:rsidR="00B772FA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պետական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վերահսկողության ընթացքում իրականացվող </w:t>
      </w:r>
      <w:r w:rsidR="00725B9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գործիքակազմի ընտրությունը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հիմնված է ներմուծվող </w:t>
      </w:r>
      <w:r w:rsidR="00B0403F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սննդամթերքի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ընդհանուր ռիսկի վրա, որն իրենից ներկայացնում է </w:t>
      </w:r>
      <w:r w:rsidR="007A36D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ըստ </w:t>
      </w:r>
      <w:r w:rsidR="00B0403F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սննդամթերքի </w:t>
      </w:r>
      <w:r w:rsidR="007A36D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տեսակի ռիսկերի, յուրաքանչյուր</w:t>
      </w:r>
      <w:r w:rsidR="005B677B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47ADD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սննդամթերքին </w:t>
      </w:r>
      <w:r w:rsidR="007A36D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բնորոշ (անհատական) ռիսկերի և ռիսկայնությունը որոշող այլ չափանիշների հանրագումար:</w:t>
      </w:r>
    </w:p>
    <w:p w:rsidR="007A36D2" w:rsidRDefault="007A36D2" w:rsidP="007C1F4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F0BC2" w:rsidRPr="00591243" w:rsidRDefault="006F0BC2" w:rsidP="007C1F4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7C1F40" w:rsidRPr="00591243" w:rsidRDefault="007F5882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</w:t>
      </w:r>
      <w:r w:rsidR="007C1F40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. </w:t>
      </w:r>
      <w:r w:rsidR="00B30E6A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ՌԻՍԿԱՅՆՈՒԹՅՈՒՆ</w:t>
      </w:r>
      <w:r w:rsidR="00725B94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</w:t>
      </w:r>
      <w:r w:rsidR="00B30E6A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ԸՍՏ </w:t>
      </w:r>
      <w:r w:rsidR="00D36A25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ՍՆՆԴԱՄԹԵՐՔԻ</w:t>
      </w:r>
      <w:r w:rsidR="00B30E6A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ՏԵՍԱԿԻ</w:t>
      </w:r>
      <w:r w:rsidR="007C1F40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="007F6C2E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Ռ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իսկ</w:t>
      </w:r>
      <w:r w:rsidR="007F6C2E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FA24EA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990B09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ըստ  սննդամթերքի</w:t>
      </w:r>
      <w:r w:rsidR="005F7065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(արտադրանքի)</w:t>
      </w:r>
      <w:r w:rsidR="00990B09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տեսակի</w:t>
      </w:r>
      <w:r w:rsidR="005A4803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47FD7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դասակարգվում է </w:t>
      </w:r>
      <w:r w:rsidR="005A4803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բարձր, միջին և </w:t>
      </w:r>
      <w:r w:rsidR="00990B09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ցածր ռիսկայության</w:t>
      </w:r>
      <w:r w:rsidR="00725B9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4B142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25B9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համաձայն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N 1 </w:t>
      </w:r>
      <w:r w:rsidR="00725B9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աղյուսակի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885881" w:rsidRDefault="00885881" w:rsidP="006F0BC2">
      <w:pPr>
        <w:shd w:val="clear" w:color="auto" w:fill="FFFFFF"/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F0BC2" w:rsidRPr="00591243" w:rsidRDefault="006F0BC2" w:rsidP="006F0BC2">
      <w:pPr>
        <w:shd w:val="clear" w:color="auto" w:fill="FFFFFF"/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990B09" w:rsidRPr="00591243" w:rsidRDefault="00990B09" w:rsidP="00AB45FA">
      <w:pPr>
        <w:shd w:val="clear" w:color="auto" w:fill="FFFFFF"/>
        <w:spacing w:after="0" w:line="240" w:lineRule="auto"/>
        <w:ind w:left="7080" w:firstLine="708"/>
        <w:jc w:val="right"/>
        <w:rPr>
          <w:rFonts w:ascii="GHEA Grapalat" w:eastAsia="Times New Roman" w:hAnsi="GHEA Grapalat" w:cs="Arial"/>
          <w:sz w:val="24"/>
          <w:szCs w:val="24"/>
          <w:lang w:val="hy-AM" w:eastAsia="ru-RU"/>
        </w:rPr>
        <w:sectPr w:rsidR="00990B09" w:rsidRPr="00591243" w:rsidSect="004F5E78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85881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N 1</w:t>
      </w:r>
      <w:r w:rsidR="00885881" w:rsidRPr="00591243">
        <w:rPr>
          <w:rFonts w:eastAsia="Times New Roman" w:cs="Calibri"/>
          <w:sz w:val="24"/>
          <w:szCs w:val="24"/>
          <w:lang w:val="hy-AM" w:eastAsia="ru-RU"/>
        </w:rPr>
        <w:t> </w:t>
      </w:r>
      <w:r w:rsidR="00885881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աղյուսակ </w:t>
      </w:r>
    </w:p>
    <w:p w:rsidR="007C1F40" w:rsidRPr="00591243" w:rsidRDefault="007C1F40" w:rsidP="00AB45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lastRenderedPageBreak/>
        <w:t>Ռիսկայնությունը` ըստ սննդամթերքի</w:t>
      </w:r>
      <w:r w:rsidR="005F7065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(արտադրանքի)</w:t>
      </w: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տեսակի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tbl>
      <w:tblPr>
        <w:tblW w:w="211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220"/>
        <w:gridCol w:w="3060"/>
        <w:gridCol w:w="1620"/>
        <w:gridCol w:w="5200"/>
        <w:gridCol w:w="3398"/>
        <w:gridCol w:w="2612"/>
      </w:tblGrid>
      <w:tr w:rsidR="00591243" w:rsidRPr="00591243" w:rsidTr="00AB45FA">
        <w:trPr>
          <w:gridAfter w:val="3"/>
          <w:wAfter w:w="11210" w:type="dxa"/>
          <w:trHeight w:val="301"/>
        </w:trPr>
        <w:tc>
          <w:tcPr>
            <w:tcW w:w="52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A6C" w:rsidRPr="00591243" w:rsidRDefault="004D1A6C" w:rsidP="007C64D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Արտադրանքի անվանումը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A6C" w:rsidRPr="00591243" w:rsidRDefault="00177BD8" w:rsidP="00177BD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Արտաքին տնտեսական գործունեության ապրանքային անվանացանկ</w:t>
            </w:r>
            <w:r w:rsidR="00FA4275" w:rsidRPr="00591243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 xml:space="preserve"> (ԱՏԳ ԱԱ)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A6C" w:rsidRPr="00591243" w:rsidRDefault="004D1A6C" w:rsidP="007C64D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Ռիսկի միավորը</w:t>
            </w:r>
          </w:p>
        </w:tc>
      </w:tr>
      <w:tr w:rsidR="00591243" w:rsidRPr="00591243" w:rsidTr="00AB45FA">
        <w:trPr>
          <w:gridAfter w:val="3"/>
          <w:wAfter w:w="11210" w:type="dxa"/>
          <w:trHeight w:val="301"/>
        </w:trPr>
        <w:tc>
          <w:tcPr>
            <w:tcW w:w="99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0B09" w:rsidRPr="00591243" w:rsidRDefault="00990B09" w:rsidP="007C64D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Բարձր ռիսկային</w:t>
            </w:r>
            <w:r w:rsidR="00CC477A"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="00CC477A"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(</w:t>
            </w:r>
            <w:r w:rsidR="00CC477A"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10-ից 20 միավոր</w:t>
            </w:r>
            <w:r w:rsidR="00CC477A"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591243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A6C" w:rsidRPr="00591243" w:rsidRDefault="004D1A6C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Միս և մսից սննդային ենթամթերք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A6C" w:rsidRPr="00591243" w:rsidRDefault="004D1A6C" w:rsidP="007C64D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0201- 0210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A6C" w:rsidRPr="00591243" w:rsidRDefault="00B1640F" w:rsidP="007C64D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591243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D1A6C" w:rsidRPr="00591243" w:rsidRDefault="004D1A6C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D1A6C" w:rsidRPr="00591243" w:rsidRDefault="004D1A6C" w:rsidP="007C64D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D1A6C" w:rsidRPr="00591243" w:rsidRDefault="004D1A6C" w:rsidP="007C64D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591243" w:rsidRPr="00591243" w:rsidTr="00AB45FA">
        <w:trPr>
          <w:gridAfter w:val="3"/>
          <w:wAfter w:w="11210" w:type="dxa"/>
          <w:trHeight w:val="582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0A1" w:rsidRPr="00591243" w:rsidRDefault="003650A1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Ձուկ և խեցգետնակերպեր,</w:t>
            </w:r>
            <w:r w:rsidR="005540DB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 </w:t>
            </w: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կակղամորթեր և ջրային</w:t>
            </w:r>
            <w:r w:rsidR="005A5D91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 </w:t>
            </w: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այլ</w:t>
            </w:r>
            <w:r w:rsidR="005A5D91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 </w:t>
            </w: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անողնաշարավորներ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0A1" w:rsidRPr="00591243" w:rsidRDefault="003650A1" w:rsidP="007B39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0301</w:t>
            </w:r>
            <w:r w:rsidR="007B39C2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-</w:t>
            </w: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0308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50A1" w:rsidRPr="00591243" w:rsidRDefault="00B1640F" w:rsidP="007217C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591243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0A1" w:rsidRPr="00591243" w:rsidRDefault="003650A1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Պատրաստի սննդամթերք մսից, ձկից կամ խեցգետնանմաններից, կակղամարմիններից և ջրային այլ անողնաշարավորներից</w:t>
            </w:r>
            <w:r w:rsidR="00D6574E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, պատրաստի կամ պահածոյացված ձուկ, ձկնկիթ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0A1" w:rsidRPr="00591243" w:rsidRDefault="003650A1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1601-1605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50A1" w:rsidRPr="00591243" w:rsidRDefault="00B1640F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591243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650A1" w:rsidRPr="00591243" w:rsidRDefault="003650A1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650A1" w:rsidRPr="00591243" w:rsidRDefault="003650A1" w:rsidP="007C64D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650A1" w:rsidRPr="00591243" w:rsidRDefault="003650A1" w:rsidP="007C64D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591243" w:rsidRPr="00591243" w:rsidTr="00AB45FA">
        <w:trPr>
          <w:gridAfter w:val="3"/>
          <w:wAfter w:w="11210" w:type="dxa"/>
          <w:trHeight w:val="494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0A1" w:rsidRPr="00591243" w:rsidRDefault="0048748E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Կաթնամթերք</w:t>
            </w:r>
            <w:r w:rsidR="007B39C2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 </w:t>
            </w:r>
          </w:p>
          <w:p w:rsidR="00D36A25" w:rsidRPr="00591243" w:rsidRDefault="00D36A25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0A1" w:rsidRPr="00591243" w:rsidRDefault="003650A1" w:rsidP="00B15FF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0401-04</w:t>
            </w:r>
            <w:r w:rsidR="0048748E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06</w:t>
            </w:r>
            <w:r w:rsidR="005A5D91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, 2105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50A1" w:rsidRPr="00591243" w:rsidRDefault="00B1640F" w:rsidP="00B15FF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591243" w:rsidRPr="00591243" w:rsidTr="00AB45FA">
        <w:trPr>
          <w:gridAfter w:val="3"/>
          <w:wAfter w:w="11210" w:type="dxa"/>
          <w:trHeight w:val="447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48E" w:rsidRPr="00591243" w:rsidRDefault="0048748E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Թռչնի ձու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48E" w:rsidRPr="00591243" w:rsidRDefault="0048748E" w:rsidP="00B15FF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0407-0408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748E" w:rsidRPr="00D30ABF" w:rsidRDefault="00D30ABF" w:rsidP="00B15FF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20</w:t>
            </w:r>
          </w:p>
        </w:tc>
      </w:tr>
      <w:tr w:rsidR="00591243" w:rsidRPr="00591243" w:rsidTr="00AB45FA">
        <w:trPr>
          <w:gridAfter w:val="3"/>
          <w:wAfter w:w="11210" w:type="dxa"/>
          <w:trHeight w:val="60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9C2" w:rsidRPr="00591243" w:rsidRDefault="007B39C2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Կենդանական ծագման սննդամթերք՝ այլ տեղում չնշված կամ չներառված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9C2" w:rsidRPr="00591243" w:rsidRDefault="007B39C2" w:rsidP="003650A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0410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9C2" w:rsidRPr="00591243" w:rsidRDefault="00B1640F" w:rsidP="00673A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591243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D91" w:rsidRPr="00591243" w:rsidRDefault="005A5D91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Մթերքներ սոուսներ պատրաստելու համար, պատրաստի ապուրներ ու արգանակներ</w:t>
            </w:r>
          </w:p>
          <w:p w:rsidR="00D36A25" w:rsidRPr="00591243" w:rsidRDefault="00D36A25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D91" w:rsidRPr="00591243" w:rsidRDefault="005A5D91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2103-2105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5D91" w:rsidRPr="00591243" w:rsidRDefault="00B1640F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591243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973" w:rsidRPr="00591243" w:rsidRDefault="00992973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Կենդանիների (բացի ձկների) աղիներ, պարկեր և ստամոքսներ, ամբողջական և կտորներով, թարմ և սառեցված, աղաջրում և աղած, չորացված և ապխտած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973" w:rsidRPr="00591243" w:rsidRDefault="00992973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0504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2973" w:rsidRPr="00591243" w:rsidRDefault="00B1640F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591243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973" w:rsidRPr="00591243" w:rsidRDefault="00992973" w:rsidP="001566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Մակարոնեղենային արտադրանք լցոնով, </w:t>
            </w:r>
            <w:r w:rsidR="001566AB"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ջերմային մշակման </w:t>
            </w: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ենթարկված կամ չենթարկված, կամ այլ եղենակով մշակված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973" w:rsidRPr="00591243" w:rsidRDefault="00992973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190220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2973" w:rsidRPr="00591243" w:rsidRDefault="00B1640F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591243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973" w:rsidRPr="00591243" w:rsidRDefault="00992973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Սպիտակուցային խտանյութեր և թելիկավոր և շերտավոր սպիտակուցային նյութեր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973" w:rsidRPr="00591243" w:rsidRDefault="00992973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210610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2973" w:rsidRPr="00591243" w:rsidRDefault="00B1640F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591243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973" w:rsidRPr="00591243" w:rsidRDefault="00992973" w:rsidP="005A5D9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Վիտամինների և հանքային նյութերի խառնուրդ, նախատեսված սնուցման հավասարակշռված լրացման համար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973" w:rsidRPr="00591243" w:rsidRDefault="00992973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2106909803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2973" w:rsidRPr="00591243" w:rsidRDefault="00B1640F" w:rsidP="00B7145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773A6A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Ձուկ՝ չորացրած, ապխտած, աղ դրված կամ աղաջրի մեջ դրված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0305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73A6A" w:rsidRPr="00773A6A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15</w:t>
            </w:r>
          </w:p>
        </w:tc>
      </w:tr>
      <w:tr w:rsidR="00773A6A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Վաղ հասակի երեխաների համար նախատեսված պատրաստի սննդամթերք, նախատեսված մանրածախ առևտրի համար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1901100000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773A6A" w:rsidRPr="00591243" w:rsidTr="00AB45FA">
        <w:trPr>
          <w:gridAfter w:val="3"/>
          <w:wAfter w:w="11210" w:type="dxa"/>
          <w:trHeight w:val="510"/>
        </w:trPr>
        <w:tc>
          <w:tcPr>
            <w:tcW w:w="99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Միջին ռիսկային </w:t>
            </w: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</w:t>
            </w: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-ից 9 միավոր</w:t>
            </w: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773A6A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lastRenderedPageBreak/>
              <w:t>Բանջարեղեն և որոշ ուտելի արմատապտուղներ և</w:t>
            </w: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br/>
              <w:t>պալարապտուղներ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0701-0714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773A6A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Ուտելի մրգեր և ընկույզներ. ցիտրուսային պտուղների կեղև ու դդմի կճեպներ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0801-0814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773A6A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Խեցգետնակերպեր չորացրած, աղ դրված կամ աղաջրի մեջ դրված.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0306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4D0A54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</w:t>
            </w:r>
          </w:p>
        </w:tc>
      </w:tr>
      <w:tr w:rsidR="00773A6A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Կենդանական կամ բուսական ծագում ունեցող ճարպեր և յուղեր ու դրանց տրոհումից ստացվող մթերքները. պատրաստի սննդային ճարպեր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1501-1520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773A6A" w:rsidRPr="00591243" w:rsidTr="00AB45FA">
        <w:trPr>
          <w:gridAfter w:val="3"/>
          <w:wAfter w:w="11210" w:type="dxa"/>
          <w:trHeight w:val="510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Կակաո և դրանից պատրաստված մթերք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1801-1806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4D0A54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</w:t>
            </w:r>
          </w:p>
        </w:tc>
      </w:tr>
      <w:tr w:rsidR="00773A6A" w:rsidRPr="00591243" w:rsidTr="00AB45FA">
        <w:trPr>
          <w:trHeight w:val="447"/>
        </w:trPr>
        <w:tc>
          <w:tcPr>
            <w:tcW w:w="99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Ցածր ռիսկային </w:t>
            </w: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-ից </w:t>
            </w: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</w:t>
            </w: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միավոր</w:t>
            </w: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98" w:type="dxa"/>
            <w:gridSpan w:val="2"/>
            <w:vAlign w:val="center"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2612" w:type="dxa"/>
            <w:vAlign w:val="center"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15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Բնական մեղր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Սուրճ, թեյ, մատե կամ պարագվայական թեյ և համեմունքներ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0901-0910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Հացազգիներ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1001-1008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</w:p>
        </w:tc>
      </w:tr>
      <w:tr w:rsidR="00773A6A" w:rsidRPr="00591243" w:rsidTr="00F7374E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Ալրաղացաձավարային արդյունաբերության արտադրանք. ածիկ,</w:t>
            </w: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br/>
              <w:t>օսլաներ, ինուլին, հացահատիկային սոսնձանյութ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1101-1109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2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652"/>
        </w:trPr>
        <w:tc>
          <w:tcPr>
            <w:tcW w:w="52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773A6A" w:rsidRPr="00591243" w:rsidRDefault="00773A6A" w:rsidP="00773A6A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Յուղատու սերմեր և պտուղներ, այլ սերմեր, պտուղներ և հատիկներ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773A6A" w:rsidRPr="00591243" w:rsidRDefault="00773A6A" w:rsidP="00773A6A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1201-1208</w:t>
            </w:r>
          </w:p>
          <w:p w:rsidR="00773A6A" w:rsidRPr="00591243" w:rsidRDefault="00773A6A" w:rsidP="00773A6A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73A6A" w:rsidRPr="00591243" w:rsidRDefault="00773A6A" w:rsidP="00773A6A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1</w:t>
            </w:r>
          </w:p>
          <w:p w:rsidR="00773A6A" w:rsidRPr="00591243" w:rsidRDefault="00773A6A" w:rsidP="00773A6A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Շաքար և շաքարից պատրաստված հրուշակեղեն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1701-1704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Պատրաստի մթերք` հացաբույսերի հատիկներից, ալյուրից, օսլայից կամ կաթից, ալյուրից պատրաստված հրուշակեղեն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1901-1905 (բացի 1901100000 կոդի)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Բանջարեղենի, մրգերի, ընկույզների կամ բույսերի այլ մասերի վերամշակումից ստացվող մթերք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2001-2009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Սննդամթերք` այլ տեղ չնշված կամ չներառված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2106 (բացի 210610 կոդի)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Ալկոհոլային և ոչ</w:t>
            </w:r>
            <w:r w:rsidR="009B07D8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 </w:t>
            </w: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ալկոհոլային խմիչքներ և քացախ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2201-2209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Կերակրի աղ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2501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</w:p>
        </w:tc>
      </w:tr>
      <w:tr w:rsidR="00773A6A" w:rsidRPr="00591243" w:rsidTr="00AB45FA">
        <w:trPr>
          <w:gridAfter w:val="3"/>
          <w:wAfter w:w="11210" w:type="dxa"/>
          <w:trHeight w:val="329"/>
        </w:trPr>
        <w:tc>
          <w:tcPr>
            <w:tcW w:w="5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A6A" w:rsidRPr="00591243" w:rsidRDefault="00773A6A" w:rsidP="00773A6A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</w:tr>
      <w:tr w:rsidR="00773A6A" w:rsidRPr="00591243" w:rsidTr="00AB45FA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010" w:type="dxa"/>
          <w:trHeight w:val="96"/>
        </w:trPr>
        <w:tc>
          <w:tcPr>
            <w:tcW w:w="15100" w:type="dxa"/>
            <w:gridSpan w:val="4"/>
            <w:tcBorders>
              <w:top w:val="single" w:sz="12" w:space="0" w:color="auto"/>
            </w:tcBorders>
          </w:tcPr>
          <w:p w:rsidR="00773A6A" w:rsidRPr="00591243" w:rsidRDefault="00773A6A" w:rsidP="00773A6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</w:pPr>
          </w:p>
        </w:tc>
      </w:tr>
    </w:tbl>
    <w:p w:rsidR="007C1F40" w:rsidRPr="00591243" w:rsidRDefault="007C1F40" w:rsidP="00F737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sectPr w:rsidR="007C1F40" w:rsidRPr="00591243" w:rsidSect="00AB45FA">
          <w:pgSz w:w="11906" w:h="16838"/>
          <w:pgMar w:top="709" w:right="810" w:bottom="425" w:left="1134" w:header="709" w:footer="709" w:gutter="0"/>
          <w:cols w:space="708"/>
          <w:docGrid w:linePitch="360"/>
        </w:sectPr>
      </w:pPr>
    </w:p>
    <w:p w:rsidR="0028267F" w:rsidRPr="00591243" w:rsidRDefault="0028267F" w:rsidP="00F7374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00230C" w:rsidRPr="00591243" w:rsidRDefault="0000230C" w:rsidP="000023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Աղյուսակ </w:t>
      </w:r>
      <w:r w:rsidRPr="00591243">
        <w:rPr>
          <w:rFonts w:ascii="GHEA Grapalat" w:eastAsia="Times New Roman" w:hAnsi="GHEA Grapalat"/>
          <w:sz w:val="24"/>
          <w:szCs w:val="24"/>
          <w:lang w:val="en-US" w:eastAsia="ru-RU"/>
        </w:rPr>
        <w:t>N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1-ում չներառված սննդամթերքի (արտադրանքի) տեսակի ռիսկայնությունը դասակարգվում է  ցածր ռիսկայ</w:t>
      </w:r>
      <w:r w:rsidR="00F9074E">
        <w:rPr>
          <w:rFonts w:ascii="GHEA Grapalat" w:eastAsia="Times New Roman" w:hAnsi="GHEA Grapalat"/>
          <w:sz w:val="24"/>
          <w:szCs w:val="24"/>
          <w:lang w:val="hy-AM" w:eastAsia="ru-RU"/>
        </w:rPr>
        <w:t>ին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ռիսկի միավոր սահմանվում </w:t>
      </w:r>
      <w:r w:rsidR="00F7374E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է</w:t>
      </w:r>
      <w:r w:rsidR="00F7374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1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00230C" w:rsidRDefault="0000230C" w:rsidP="007A36D2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B46CD1" w:rsidRPr="00591243" w:rsidRDefault="00B46CD1" w:rsidP="007A36D2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7A36D2" w:rsidRPr="00591243" w:rsidRDefault="0028267F" w:rsidP="00B46CD1">
      <w:pPr>
        <w:shd w:val="clear" w:color="auto" w:fill="FFFFFF"/>
        <w:spacing w:after="0" w:line="240" w:lineRule="auto"/>
        <w:ind w:firstLine="708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3</w:t>
      </w:r>
      <w:r w:rsidR="007C1F40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. </w:t>
      </w:r>
      <w:r w:rsidR="007F6C2E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ՍՆՆԴԱՄԹԵՐ</w:t>
      </w:r>
      <w:r w:rsidR="003C4F9B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Ք</w:t>
      </w:r>
      <w:r w:rsidR="007F6C2E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ԻՆ </w:t>
      </w:r>
      <w:r w:rsidR="007A36D2" w:rsidRPr="0059124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ԲՆՈՐՈՇ (ԱՆՀԱՏԱԿԱՆ) ՌԻՍԿԵՐ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  <w:r w:rsidR="007A36D2" w:rsidRPr="0059124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</w:p>
    <w:p w:rsidR="007C1F40" w:rsidRPr="00591243" w:rsidRDefault="000070F5" w:rsidP="007C1F4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5</w:t>
      </w:r>
      <w:r w:rsidR="007C1F4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7F6C2E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Սննդամթեր</w:t>
      </w:r>
      <w:r w:rsidR="005876F7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ք</w:t>
      </w:r>
      <w:r w:rsidR="007F6C2E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ին </w:t>
      </w:r>
      <w:r w:rsidR="007904F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բնորոշ </w:t>
      </w:r>
      <w:r w:rsidR="005F7065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անհատական</w:t>
      </w:r>
      <w:r w:rsidR="007C1F4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ռիսկի </w:t>
      </w:r>
      <w:r w:rsidR="006C10D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գնահատման </w:t>
      </w:r>
      <w:r w:rsidR="007C1F4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չափանիշներն են`</w:t>
      </w:r>
    </w:p>
    <w:p w:rsidR="007C1F40" w:rsidRPr="00591243" w:rsidRDefault="00935D0C" w:rsidP="00935D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1)</w:t>
      </w:r>
      <w:r w:rsidR="00725B9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C1F4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արտադրողի մոտ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ներդրված սննդամթերքի արտադրման որակի և անվտանգության կառավարման համակարգերը, </w:t>
      </w:r>
    </w:p>
    <w:p w:rsidR="00572B1B" w:rsidRPr="00591243" w:rsidRDefault="00572B1B" w:rsidP="00935D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</w:t>
      </w:r>
      <w:r w:rsidR="00F14AA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սննդամթերքի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տեղափոխման պայմանները.</w:t>
      </w:r>
    </w:p>
    <w:p w:rsidR="000070F5" w:rsidRPr="00B46CD1" w:rsidRDefault="00FA24EA" w:rsidP="00B46CD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3)</w:t>
      </w:r>
      <w:r w:rsidR="00F14AA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սննդամթերքի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խմբաքանակի զանգվածը (քանակը, ծավալը)</w:t>
      </w:r>
      <w:r w:rsidR="008903AA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7C1F40" w:rsidRPr="00591243" w:rsidRDefault="000070F5" w:rsidP="007C1F4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591243">
        <w:rPr>
          <w:rFonts w:ascii="GHEA Grapalat" w:hAnsi="GHEA Grapalat"/>
          <w:sz w:val="24"/>
          <w:szCs w:val="24"/>
          <w:lang w:val="hy-AM"/>
        </w:rPr>
        <w:t>6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 xml:space="preserve">. </w:t>
      </w:r>
      <w:r w:rsidR="00EB09CE" w:rsidRPr="00591243">
        <w:rPr>
          <w:rFonts w:ascii="GHEA Grapalat" w:hAnsi="GHEA Grapalat"/>
          <w:sz w:val="24"/>
          <w:szCs w:val="24"/>
          <w:lang w:val="hy-AM"/>
        </w:rPr>
        <w:t xml:space="preserve">Դասակարգումն  ըստ արտադրողի մոտ ներդրված կառավարման համակարգերի  կախված է 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 xml:space="preserve">ներմուծված սննդամթերքի արտադրությունում ներդրված սննդամթերքի </w:t>
      </w:r>
      <w:r w:rsidR="00F3096A" w:rsidRPr="00591243">
        <w:rPr>
          <w:rFonts w:ascii="GHEA Grapalat" w:hAnsi="GHEA Grapalat"/>
          <w:sz w:val="24"/>
          <w:szCs w:val="24"/>
          <w:lang w:val="hy-AM"/>
        </w:rPr>
        <w:t xml:space="preserve">որակի և 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>անվտանգության կառավարման համակարգերի</w:t>
      </w:r>
      <w:r w:rsidR="00F3096A" w:rsidRPr="00591243">
        <w:rPr>
          <w:rFonts w:ascii="GHEA Grapalat" w:hAnsi="GHEA Grapalat"/>
          <w:sz w:val="24"/>
          <w:szCs w:val="24"/>
          <w:lang w:val="hy-AM"/>
        </w:rPr>
        <w:t xml:space="preserve"> հավաստագրերի</w:t>
      </w:r>
      <w:r w:rsidR="007C1F40" w:rsidRPr="00591243">
        <w:rPr>
          <w:rFonts w:ascii="GHEA Grapalat" w:hAnsi="GHEA Grapalat"/>
          <w:sz w:val="24"/>
          <w:szCs w:val="24"/>
          <w:lang w:val="hy-AM"/>
        </w:rPr>
        <w:t xml:space="preserve"> առկայությունից կամ բացակայությունից,</w:t>
      </w:r>
      <w:r w:rsidR="00F3096A" w:rsidRPr="00591243">
        <w:rPr>
          <w:rFonts w:ascii="GHEA Grapalat" w:hAnsi="GHEA Grapalat"/>
          <w:sz w:val="24"/>
          <w:szCs w:val="24"/>
          <w:lang w:val="hy-AM"/>
        </w:rPr>
        <w:t xml:space="preserve"> որոնց հավաստիությունը հնարավոր է ստուգել </w:t>
      </w:r>
      <w:r w:rsidR="0080685E" w:rsidRPr="00591243">
        <w:rPr>
          <w:rFonts w:ascii="GHEA Grapalat" w:hAnsi="GHEA Grapalat"/>
          <w:sz w:val="24"/>
          <w:szCs w:val="24"/>
          <w:lang w:val="hy-AM"/>
        </w:rPr>
        <w:t xml:space="preserve">համացանցի </w:t>
      </w:r>
      <w:r w:rsidR="00F3096A" w:rsidRPr="00591243">
        <w:rPr>
          <w:rFonts w:ascii="GHEA Grapalat" w:hAnsi="GHEA Grapalat"/>
          <w:sz w:val="24"/>
          <w:szCs w:val="24"/>
          <w:lang w:val="hy-AM"/>
        </w:rPr>
        <w:t>միջոցով</w:t>
      </w:r>
      <w:r w:rsidR="00725B94" w:rsidRPr="00591243">
        <w:rPr>
          <w:rFonts w:ascii="GHEA Grapalat" w:hAnsi="GHEA Grapalat"/>
          <w:sz w:val="24"/>
          <w:szCs w:val="24"/>
          <w:lang w:val="hy-AM"/>
        </w:rPr>
        <w:t>՝ համաձայն</w:t>
      </w:r>
      <w:r w:rsidR="00AA45CD" w:rsidRPr="00591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F40" w:rsidRPr="0059124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N 2</w:t>
      </w:r>
      <w:r w:rsidR="007C1F40" w:rsidRPr="00591243">
        <w:rPr>
          <w:rFonts w:eastAsia="Times New Roman" w:cs="Calibri"/>
          <w:sz w:val="24"/>
          <w:szCs w:val="24"/>
          <w:lang w:val="hy-AM" w:eastAsia="ru-RU"/>
        </w:rPr>
        <w:t> </w:t>
      </w:r>
      <w:r w:rsidR="00AA45CD" w:rsidRPr="0059124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աղյուսակ</w:t>
      </w:r>
      <w:r w:rsidR="00725B94" w:rsidRPr="0059124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="00B64398" w:rsidRPr="0059124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</w:t>
      </w:r>
      <w:r w:rsidR="007C1F40" w:rsidRPr="0059124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</w:p>
    <w:p w:rsidR="006434C7" w:rsidRPr="00591243" w:rsidRDefault="006434C7" w:rsidP="007C1F4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22CD4" w:rsidRPr="00591243" w:rsidRDefault="00622CD4" w:rsidP="006434C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N 2</w:t>
      </w: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  <w:r w:rsidRPr="0059124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աղյուսակ </w:t>
      </w:r>
    </w:p>
    <w:p w:rsidR="007C1F40" w:rsidRPr="00591243" w:rsidRDefault="007C1F40" w:rsidP="006434C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Դասակարգումն ըստ </w:t>
      </w:r>
      <w:r w:rsidR="00990B09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արտադրողի մոտ </w:t>
      </w: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ներդրված կառավարման համակարգ</w:t>
      </w:r>
      <w:r w:rsidR="00990B09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երի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825"/>
        <w:gridCol w:w="1138"/>
      </w:tblGrid>
      <w:tr w:rsidR="00591243" w:rsidRPr="00591243" w:rsidTr="00A2261B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F40" w:rsidRPr="00591243" w:rsidRDefault="005F7065" w:rsidP="00A2261B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Ռիսկը</w:t>
            </w: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F40" w:rsidRPr="00591243" w:rsidRDefault="007C1F40" w:rsidP="00A2261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Սննդամթերքի անվտանգության</w:t>
            </w: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կառավաման համակարգը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F40" w:rsidRPr="00591243" w:rsidRDefault="007C1F40" w:rsidP="00A2261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Միավորը</w:t>
            </w:r>
          </w:p>
        </w:tc>
      </w:tr>
      <w:tr w:rsidR="00591243" w:rsidRPr="00591243" w:rsidTr="00A2261B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F40" w:rsidRPr="00591243" w:rsidRDefault="000070F5" w:rsidP="00A2261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Միջին</w:t>
            </w: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5C6" w:rsidRPr="001775C6" w:rsidRDefault="007C1F40" w:rsidP="003168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75C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Սննդամթերքի արտադրությունում ներդրված չեն սննդամթերքի </w:t>
            </w:r>
            <w:r w:rsidR="0031684C" w:rsidRPr="001775C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որակի և </w:t>
            </w:r>
            <w:r w:rsidRPr="001775C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անվտանգության կառավարման համակարգեր`</w:t>
            </w:r>
            <w:r w:rsidRPr="001775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առնվազն վտանգի վերլուծության և հսկման կրիտիկական կետերի համակարգ</w:t>
            </w:r>
            <w:r w:rsidR="0031684C" w:rsidRPr="001775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75C6">
              <w:rPr>
                <w:rFonts w:ascii="GHEA Grapalat" w:hAnsi="GHEA Grapalat"/>
                <w:sz w:val="24"/>
                <w:szCs w:val="24"/>
                <w:lang w:val="hy-AM"/>
              </w:rPr>
              <w:t>ՎՎՀԿԿ</w:t>
            </w:r>
            <w:r w:rsidRPr="001775C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(</w:t>
            </w:r>
            <w:r w:rsidRPr="001775C6">
              <w:rPr>
                <w:rFonts w:ascii="GHEA Grapalat" w:hAnsi="GHEA Grapalat"/>
                <w:sz w:val="24"/>
                <w:szCs w:val="24"/>
                <w:lang w:val="hy-AM"/>
              </w:rPr>
              <w:t>HACCP</w:t>
            </w:r>
            <w:r w:rsidR="0031684C" w:rsidRPr="001775C6">
              <w:rPr>
                <w:rFonts w:ascii="GHEA Grapalat" w:hAnsi="GHEA Grapalat"/>
                <w:sz w:val="24"/>
                <w:szCs w:val="24"/>
                <w:lang w:val="hy-AM"/>
              </w:rPr>
              <w:t>, ISO), առկա չեն հավաստագրեր (</w:t>
            </w:r>
            <w:r w:rsidR="00F3096A" w:rsidRPr="001775C6">
              <w:rPr>
                <w:rFonts w:ascii="GHEA Grapalat" w:hAnsi="GHEA Grapalat"/>
                <w:sz w:val="24"/>
                <w:szCs w:val="24"/>
                <w:lang w:val="hy-AM"/>
              </w:rPr>
              <w:t>GLOBALGAP</w:t>
            </w:r>
            <w:r w:rsidR="008C3D99" w:rsidRPr="001775C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5A145C" w:rsidRPr="001775C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1775C6" w:rsidRPr="001775C6" w:rsidRDefault="001775C6" w:rsidP="001775C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75C6">
              <w:rPr>
                <w:rFonts w:ascii="GHEA Grapalat" w:hAnsi="GHEA Grapalat"/>
                <w:sz w:val="24"/>
                <w:szCs w:val="24"/>
                <w:lang w:val="hy-AM"/>
              </w:rPr>
              <w:t>Երրորդ երկրներից սննդամթերքի ներմուծման դեպքում արտադրանքի՝ սննդամթերքի անվտանգությանը ներկայացվող Եվրասիական տնտեսության միության (այսուհետ՝ ԵԱՏՄ) տեխնիկական կանոնակարգերով սահմանված պահանջներին  համապատասխանում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F40" w:rsidRPr="00591243" w:rsidRDefault="00227A90" w:rsidP="00A2261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4</w:t>
            </w:r>
          </w:p>
        </w:tc>
      </w:tr>
      <w:tr w:rsidR="00591243" w:rsidRPr="00591243" w:rsidTr="00A2261B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F40" w:rsidRPr="00591243" w:rsidRDefault="000E7046" w:rsidP="00A2261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Ց</w:t>
            </w:r>
            <w:r w:rsidR="005F7065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ածր</w:t>
            </w: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ED8" w:rsidRPr="009E484B" w:rsidRDefault="007C1F40" w:rsidP="003168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Սննդամթերքի արտադրությունում ներդրված են սննդամթերքի </w:t>
            </w:r>
            <w:r w:rsidR="0031684C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որակի և </w:t>
            </w: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անվտանգության կառավարման համակարգեր`</w:t>
            </w:r>
            <w:r w:rsidRPr="005912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վտանգի վերլուծության և հսկման կրիտիկական կետերի համակարգ</w:t>
            </w:r>
            <w:r w:rsidR="00F3096A" w:rsidRPr="00591243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591243">
              <w:rPr>
                <w:rFonts w:ascii="GHEA Grapalat" w:hAnsi="GHEA Grapalat"/>
                <w:sz w:val="24"/>
                <w:szCs w:val="24"/>
                <w:lang w:val="hy-AM"/>
              </w:rPr>
              <w:t>ՎՎՀԿԿ</w:t>
            </w: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(</w:t>
            </w:r>
            <w:r w:rsidRPr="00591243">
              <w:rPr>
                <w:rFonts w:ascii="GHEA Grapalat" w:hAnsi="GHEA Grapalat"/>
                <w:sz w:val="24"/>
                <w:szCs w:val="24"/>
                <w:lang w:val="hy-AM"/>
              </w:rPr>
              <w:t>HACCP</w:t>
            </w:r>
            <w:r w:rsidR="00F3096A" w:rsidRPr="0059124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3A7CC2" w:rsidRPr="00591243">
              <w:rPr>
                <w:rFonts w:ascii="GHEA Grapalat" w:hAnsi="GHEA Grapalat"/>
                <w:sz w:val="24"/>
                <w:szCs w:val="24"/>
                <w:lang w:val="hy-AM"/>
              </w:rPr>
              <w:t xml:space="preserve"> ISO)</w:t>
            </w:r>
            <w:r w:rsidR="00F3096A" w:rsidRPr="005912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CC2" w:rsidRPr="00591243">
              <w:rPr>
                <w:rFonts w:ascii="GHEA Grapalat" w:hAnsi="GHEA Grapalat"/>
                <w:sz w:val="24"/>
                <w:szCs w:val="24"/>
                <w:lang w:val="hy-AM"/>
              </w:rPr>
              <w:t>առկա են հավաստագրեր (</w:t>
            </w:r>
            <w:r w:rsidR="00F3096A" w:rsidRPr="00591243">
              <w:rPr>
                <w:rFonts w:ascii="GHEA Grapalat" w:hAnsi="GHEA Grapalat"/>
                <w:sz w:val="24"/>
                <w:szCs w:val="24"/>
                <w:lang w:val="hy-AM"/>
              </w:rPr>
              <w:t>GLOBALGAP</w:t>
            </w:r>
            <w:r w:rsidRPr="00591243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A23789" w:rsidRPr="0059124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F40" w:rsidRPr="00591243" w:rsidRDefault="007C1F40" w:rsidP="00A2261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0</w:t>
            </w:r>
          </w:p>
        </w:tc>
      </w:tr>
    </w:tbl>
    <w:p w:rsidR="007A36D2" w:rsidRPr="00591243" w:rsidRDefault="007C1F40" w:rsidP="00B46C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7A36D2" w:rsidRPr="00591243" w:rsidRDefault="007A36D2" w:rsidP="007A36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7A36D2" w:rsidRPr="00591243" w:rsidRDefault="000070F5" w:rsidP="00EE67E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7</w:t>
      </w:r>
      <w:r w:rsidR="007A36D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622CD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Դասակարգումն ըստ ս</w:t>
      </w:r>
      <w:r w:rsidR="007A36D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ննդամթերքի տեղափոխման </w:t>
      </w:r>
      <w:r w:rsidR="00336BAD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պայմանների իրականա</w:t>
      </w:r>
      <w:r w:rsidR="00622CD4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ցվում է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ստվյալ </w:t>
      </w:r>
      <w:r w:rsidR="00336BAD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սննդամթերքը տեղափոխող փոխադրամիջոցներին </w:t>
      </w:r>
      <w:r w:rsidR="00EE67EF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ներկայացվող պահանջների համապատասխանության </w:t>
      </w:r>
      <w:r w:rsidR="007A36D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ապահ</w:t>
      </w:r>
      <w:r w:rsidR="0056624A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ով</w:t>
      </w:r>
      <w:r w:rsidR="00862DAC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ումից ելնելով</w:t>
      </w:r>
      <w:r w:rsidR="000215C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`</w:t>
      </w:r>
      <w:r w:rsidR="00862DAC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A36D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համաձայն  N 3 աղյուսակի:</w:t>
      </w:r>
    </w:p>
    <w:p w:rsidR="0028267F" w:rsidRPr="00591243" w:rsidRDefault="0028267F" w:rsidP="00B46CD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0070F5" w:rsidRPr="00591243" w:rsidRDefault="007A36D2" w:rsidP="00CD6DF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7A36D2" w:rsidRPr="00591243" w:rsidRDefault="00CD6DFA" w:rsidP="000070F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 3 աղյուսակ </w:t>
      </w:r>
    </w:p>
    <w:p w:rsidR="007A36D2" w:rsidRPr="00591243" w:rsidRDefault="007A36D2" w:rsidP="000070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Դասակարգումն՝ ըստ  տեղափոխման պայմանների</w:t>
      </w:r>
      <w:r w:rsidRPr="00591243">
        <w:rPr>
          <w:rFonts w:eastAsia="Times New Roman" w:cs="Calibri"/>
          <w:sz w:val="24"/>
          <w:szCs w:val="24"/>
          <w:lang w:val="hy-AM" w:eastAsia="ru-RU"/>
        </w:rPr>
        <w:t> 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7823"/>
        <w:gridCol w:w="1138"/>
      </w:tblGrid>
      <w:tr w:rsidR="00591243" w:rsidRPr="00591243" w:rsidTr="000259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EE67EF" w:rsidP="000259B9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Ռիսկը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7A36D2" w:rsidP="000259B9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 xml:space="preserve"> Տեղափոխմանը ներկայացվող պայմանները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7A36D2" w:rsidP="000259B9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Միավորը</w:t>
            </w:r>
          </w:p>
        </w:tc>
      </w:tr>
      <w:tr w:rsidR="00591243" w:rsidRPr="00591243" w:rsidTr="000259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0E7046" w:rsidP="000259B9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Բ</w:t>
            </w:r>
            <w:r w:rsidR="00EE67EF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7A36D2" w:rsidP="000070F5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="00EE67EF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Փոխադրամիջոցների</w:t>
            </w: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պայմանները չեն համապատասխանում սննդամթերքի տվյալ տեսակի փոխադրման</w:t>
            </w:r>
            <w:r w:rsidR="00EE67EF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ը</w:t>
            </w:r>
            <w:r w:rsidR="00995FB0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="00EE67EF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ներկայացվող պահանջներին</w:t>
            </w:r>
            <w:r w:rsidR="000070F5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A67212" w:rsidP="00FE2020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20</w:t>
            </w:r>
          </w:p>
        </w:tc>
      </w:tr>
      <w:tr w:rsidR="00591243" w:rsidRPr="00591243" w:rsidTr="000259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0E7046" w:rsidP="000259B9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lastRenderedPageBreak/>
              <w:t>Ց</w:t>
            </w:r>
            <w:r w:rsidR="00EE67EF" w:rsidRPr="00591243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7A36D2" w:rsidP="000070F5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Տեղափոխման պայմանները համապատասխանում են սննդամթերքի տվյալ տեսակի փոխադրմա</w:t>
            </w:r>
            <w:r w:rsidR="000070F5" w:rsidRPr="0059124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 համար ներկայացվող պահանջներին: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2" w:rsidRPr="00591243" w:rsidRDefault="007A36D2" w:rsidP="00FE2020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0</w:t>
            </w:r>
          </w:p>
        </w:tc>
      </w:tr>
    </w:tbl>
    <w:p w:rsidR="007A36D2" w:rsidRPr="00591243" w:rsidRDefault="007A36D2" w:rsidP="007C1F4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8903AA" w:rsidRPr="00591243" w:rsidRDefault="008903AA" w:rsidP="00A45A56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8903AA" w:rsidRPr="00591243" w:rsidRDefault="000070F5" w:rsidP="00FA24EA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="00662BD2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="008E3C56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Դասակարգումն ըստ ն</w:t>
      </w:r>
      <w:r w:rsidR="00FA24EA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երմուծված</w:t>
      </w:r>
      <w:r w:rsidR="008903AA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A24EA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սննդամթերքի </w:t>
      </w:r>
      <w:r w:rsidR="008E3C56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զանգվածի </w:t>
      </w:r>
      <w:r w:rsidR="00FA24EA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="008E3C56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քանակի, ծավալի</w:t>
      </w:r>
      <w:r w:rsidR="00FA24EA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4B1420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  <w:r w:rsidR="00FA24EA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E3C56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իրականացվում </w:t>
      </w:r>
      <w:r w:rsidR="008903AA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 համաձայն N 4 աղյուսակի:</w:t>
      </w:r>
    </w:p>
    <w:p w:rsidR="008903AA" w:rsidRPr="00591243" w:rsidRDefault="008E3C56" w:rsidP="000070F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 4 աղյուսակ </w:t>
      </w:r>
    </w:p>
    <w:p w:rsidR="00FA24EA" w:rsidRPr="00591243" w:rsidRDefault="008903AA" w:rsidP="000070F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Դասակարգումն՝ ըստ  </w:t>
      </w:r>
      <w:r w:rsidRPr="0059124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զանգվածի</w:t>
      </w:r>
      <w:r w:rsidR="005D7BE1" w:rsidRPr="0059124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="008E3C56" w:rsidRPr="0059124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քանակ, ծավալ)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5604"/>
        <w:gridCol w:w="3301"/>
      </w:tblGrid>
      <w:tr w:rsidR="00591243" w:rsidRPr="00591243" w:rsidTr="00264A76">
        <w:tc>
          <w:tcPr>
            <w:tcW w:w="1008" w:type="dxa"/>
          </w:tcPr>
          <w:p w:rsidR="00264A76" w:rsidRPr="00591243" w:rsidRDefault="00264A76" w:rsidP="007C1F40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Ռիսկը</w:t>
            </w:r>
          </w:p>
        </w:tc>
        <w:tc>
          <w:tcPr>
            <w:tcW w:w="5750" w:type="dxa"/>
          </w:tcPr>
          <w:p w:rsidR="00264A76" w:rsidRPr="00591243" w:rsidRDefault="004B1420" w:rsidP="004B1420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>Զանգվածը</w:t>
            </w:r>
            <w:r w:rsidRPr="00591243">
              <w:rPr>
                <w:rFonts w:cs="Calibri"/>
                <w:b/>
                <w:bCs/>
                <w:sz w:val="24"/>
                <w:szCs w:val="24"/>
                <w:shd w:val="clear" w:color="auto" w:fill="FFFFFF"/>
                <w:lang w:val="hy-AM"/>
              </w:rPr>
              <w:t> </w:t>
            </w:r>
            <w:r w:rsidR="00264A76" w:rsidRPr="00591243">
              <w:rPr>
                <w:rFonts w:ascii="GHEA Grapalat" w:hAnsi="GHEA Grapalat" w:cs="Arial Unicode"/>
                <w:b/>
                <w:bCs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264A76" w:rsidRPr="0059124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>կգ կամ լիտր)</w:t>
            </w:r>
          </w:p>
        </w:tc>
        <w:tc>
          <w:tcPr>
            <w:tcW w:w="3380" w:type="dxa"/>
          </w:tcPr>
          <w:p w:rsidR="00264A76" w:rsidRPr="00591243" w:rsidRDefault="00264A76" w:rsidP="007C1F40">
            <w:pP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Միավորը</w:t>
            </w:r>
          </w:p>
        </w:tc>
      </w:tr>
      <w:tr w:rsidR="00591243" w:rsidRPr="00591243" w:rsidTr="00264A76">
        <w:tc>
          <w:tcPr>
            <w:tcW w:w="1008" w:type="dxa"/>
          </w:tcPr>
          <w:p w:rsidR="00264A76" w:rsidRPr="00591243" w:rsidRDefault="00264A76" w:rsidP="007C1F40">
            <w:pP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Բարձր</w:t>
            </w:r>
          </w:p>
        </w:tc>
        <w:tc>
          <w:tcPr>
            <w:tcW w:w="5750" w:type="dxa"/>
          </w:tcPr>
          <w:p w:rsidR="00264A76" w:rsidRPr="00591243" w:rsidRDefault="00264A76" w:rsidP="0028267F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60</w:t>
            </w:r>
            <w:r w:rsidR="0028267F"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0-ից</w:t>
            </w: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28267F"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ավել</w:t>
            </w:r>
          </w:p>
        </w:tc>
        <w:tc>
          <w:tcPr>
            <w:tcW w:w="3380" w:type="dxa"/>
          </w:tcPr>
          <w:p w:rsidR="00264A76" w:rsidRPr="00591243" w:rsidRDefault="00227A90" w:rsidP="00264A76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4</w:t>
            </w:r>
          </w:p>
        </w:tc>
      </w:tr>
      <w:tr w:rsidR="00591243" w:rsidRPr="00591243" w:rsidTr="00264A76">
        <w:tc>
          <w:tcPr>
            <w:tcW w:w="1008" w:type="dxa"/>
          </w:tcPr>
          <w:p w:rsidR="00264A76" w:rsidRPr="00591243" w:rsidRDefault="00264A76" w:rsidP="007C1F40">
            <w:pP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Միջին</w:t>
            </w:r>
          </w:p>
        </w:tc>
        <w:tc>
          <w:tcPr>
            <w:tcW w:w="5750" w:type="dxa"/>
          </w:tcPr>
          <w:p w:rsidR="00264A76" w:rsidRPr="00591243" w:rsidRDefault="00264A76" w:rsidP="0028267F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30</w:t>
            </w:r>
            <w:r w:rsidR="0028267F" w:rsidRPr="00591243">
              <w:rPr>
                <w:rFonts w:ascii="GHEA Grapalat" w:eastAsia="Times New Roman" w:hAnsi="GHEA Grapalat" w:cs="Arial"/>
                <w:sz w:val="24"/>
                <w:szCs w:val="24"/>
                <w:lang w:val="en-US" w:eastAsia="ru-RU"/>
              </w:rPr>
              <w:t>0-</w:t>
            </w:r>
            <w:r w:rsidR="0028267F"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ից</w:t>
            </w:r>
            <w:r w:rsidR="00A3498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ավել՝</w:t>
            </w: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 600</w:t>
            </w:r>
            <w:r w:rsidR="00A3498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-ը</w:t>
            </w:r>
            <w:r w:rsidR="0028267F"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ներառյալ</w:t>
            </w:r>
          </w:p>
        </w:tc>
        <w:tc>
          <w:tcPr>
            <w:tcW w:w="3380" w:type="dxa"/>
          </w:tcPr>
          <w:p w:rsidR="00264A76" w:rsidRPr="00591243" w:rsidRDefault="00227A90" w:rsidP="00264A76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2</w:t>
            </w:r>
          </w:p>
        </w:tc>
      </w:tr>
      <w:tr w:rsidR="00591243" w:rsidRPr="00591243" w:rsidTr="00264A76">
        <w:tc>
          <w:tcPr>
            <w:tcW w:w="1008" w:type="dxa"/>
          </w:tcPr>
          <w:p w:rsidR="00264A76" w:rsidRPr="00591243" w:rsidRDefault="00264A76" w:rsidP="007C1F40">
            <w:pP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Ցածր</w:t>
            </w:r>
          </w:p>
        </w:tc>
        <w:tc>
          <w:tcPr>
            <w:tcW w:w="5750" w:type="dxa"/>
          </w:tcPr>
          <w:p w:rsidR="00264A76" w:rsidRPr="00591243" w:rsidRDefault="00A23789" w:rsidP="00264A76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="00264A76"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ինչև 300</w:t>
            </w:r>
            <w:r w:rsidR="00A3498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-ը</w:t>
            </w:r>
            <w:r w:rsidR="0028267F"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ներառյալ</w:t>
            </w:r>
          </w:p>
        </w:tc>
        <w:tc>
          <w:tcPr>
            <w:tcW w:w="3380" w:type="dxa"/>
          </w:tcPr>
          <w:p w:rsidR="00264A76" w:rsidRPr="00591243" w:rsidRDefault="006434C7" w:rsidP="00264A76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1</w:t>
            </w:r>
          </w:p>
        </w:tc>
      </w:tr>
    </w:tbl>
    <w:p w:rsidR="00264A76" w:rsidRPr="00591243" w:rsidRDefault="00264A76" w:rsidP="0028267F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264A76" w:rsidRPr="00591243" w:rsidRDefault="00264A76" w:rsidP="007C1F4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7A36D2" w:rsidRPr="00591243" w:rsidRDefault="00227A90" w:rsidP="00D949D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4</w:t>
      </w:r>
      <w:r w:rsidR="005F7065" w:rsidRPr="00591243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. ՌԻՍԿԻ</w:t>
      </w:r>
      <w:r w:rsidR="001F5CD5" w:rsidRPr="00591243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ԱՅԼ ՉԱՓԱՆԻՇ</w:t>
      </w:r>
    </w:p>
    <w:p w:rsidR="007A36D2" w:rsidRPr="00591243" w:rsidRDefault="007A36D2" w:rsidP="00D949D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5F7065" w:rsidRPr="00591243" w:rsidRDefault="000070F5" w:rsidP="00C5062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="00995FB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995FB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Ռիսկի </w:t>
      </w:r>
      <w:r w:rsidR="006D2AF3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այլ չափանիշ է</w:t>
      </w:r>
      <w:r w:rsidR="00C5062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BF7A6D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5F7065" w:rsidRPr="00591243">
        <w:rPr>
          <w:rFonts w:ascii="GHEA Grapalat" w:hAnsi="GHEA Grapalat"/>
          <w:sz w:val="24"/>
          <w:szCs w:val="24"/>
          <w:lang w:val="hy-AM"/>
        </w:rPr>
        <w:t>արագ արձագանքման միջազգային համակարգերի,</w:t>
      </w:r>
      <w:r w:rsidR="006B2BB7" w:rsidRPr="00591243">
        <w:rPr>
          <w:rFonts w:ascii="GHEA Grapalat" w:hAnsi="GHEA Grapalat"/>
          <w:sz w:val="24"/>
          <w:szCs w:val="24"/>
          <w:lang w:val="hy-AM"/>
        </w:rPr>
        <w:t xml:space="preserve"> այլ երկրների լիազոր մարմինների,</w:t>
      </w:r>
      <w:r w:rsidR="005F7065" w:rsidRPr="00591243">
        <w:rPr>
          <w:rFonts w:ascii="GHEA Grapalat" w:hAnsi="GHEA Grapalat"/>
          <w:sz w:val="24"/>
          <w:szCs w:val="24"/>
          <w:lang w:val="hy-AM"/>
        </w:rPr>
        <w:t xml:space="preserve"> Հ</w:t>
      </w:r>
      <w:r w:rsidR="00047F8F" w:rsidRPr="0059124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5F7065" w:rsidRPr="00591243">
        <w:rPr>
          <w:rFonts w:ascii="GHEA Grapalat" w:hAnsi="GHEA Grapalat"/>
          <w:sz w:val="24"/>
          <w:szCs w:val="24"/>
          <w:lang w:val="hy-AM"/>
        </w:rPr>
        <w:t>Հ</w:t>
      </w:r>
      <w:r w:rsidR="00047F8F" w:rsidRPr="00591243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5F7065" w:rsidRPr="00591243">
        <w:rPr>
          <w:rFonts w:ascii="GHEA Grapalat" w:hAnsi="GHEA Grapalat"/>
          <w:sz w:val="24"/>
          <w:szCs w:val="24"/>
          <w:lang w:val="hy-AM"/>
        </w:rPr>
        <w:t xml:space="preserve"> սննդամթերքի անվտանգության բնագավառի լիազոր մարմնի կողմից սննդի շղթայի փուլերի վերահսկողության արդյունքներով սննդամթերքի վտանգավորության </w:t>
      </w:r>
      <w:r w:rsidR="006B2BB7" w:rsidRPr="00591243">
        <w:rPr>
          <w:rFonts w:ascii="GHEA Grapalat" w:hAnsi="GHEA Grapalat"/>
          <w:sz w:val="24"/>
          <w:szCs w:val="24"/>
          <w:lang w:val="hy-AM"/>
        </w:rPr>
        <w:t xml:space="preserve">վերաբերյալ հաղորդումների </w:t>
      </w:r>
      <w:r w:rsidR="005F7065" w:rsidRPr="0059124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047F8F" w:rsidRPr="00591243">
        <w:rPr>
          <w:rFonts w:ascii="GHEA Grapalat" w:hAnsi="GHEA Grapalat"/>
          <w:sz w:val="24"/>
          <w:szCs w:val="24"/>
          <w:lang w:val="hy-AM"/>
        </w:rPr>
        <w:t>Եվրասի</w:t>
      </w:r>
      <w:r w:rsidR="00136967" w:rsidRPr="00591243">
        <w:rPr>
          <w:rFonts w:ascii="GHEA Grapalat" w:hAnsi="GHEA Grapalat"/>
          <w:sz w:val="24"/>
          <w:szCs w:val="24"/>
          <w:lang w:val="hy-AM"/>
        </w:rPr>
        <w:t>ա</w:t>
      </w:r>
      <w:r w:rsidR="00047F8F" w:rsidRPr="00591243">
        <w:rPr>
          <w:rFonts w:ascii="GHEA Grapalat" w:hAnsi="GHEA Grapalat"/>
          <w:sz w:val="24"/>
          <w:szCs w:val="24"/>
          <w:lang w:val="hy-AM"/>
        </w:rPr>
        <w:t xml:space="preserve">կան </w:t>
      </w:r>
      <w:r w:rsidR="00136967" w:rsidRPr="00591243">
        <w:rPr>
          <w:rFonts w:ascii="GHEA Grapalat" w:hAnsi="GHEA Grapalat"/>
          <w:sz w:val="24"/>
          <w:szCs w:val="24"/>
          <w:lang w:val="hy-AM"/>
        </w:rPr>
        <w:t>տնտեսական միության</w:t>
      </w:r>
      <w:r w:rsidR="007E769B" w:rsidRPr="00591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6967" w:rsidRPr="00591243">
        <w:rPr>
          <w:rFonts w:ascii="GHEA Grapalat" w:hAnsi="GHEA Grapalat"/>
          <w:sz w:val="24"/>
          <w:szCs w:val="24"/>
          <w:lang w:val="hy-AM"/>
        </w:rPr>
        <w:t>(այսուհետ` ԵՏՄ)</w:t>
      </w:r>
      <w:r w:rsidR="005F7065" w:rsidRPr="00591243">
        <w:rPr>
          <w:rFonts w:ascii="GHEA Grapalat" w:hAnsi="GHEA Grapalat"/>
          <w:sz w:val="24"/>
          <w:szCs w:val="24"/>
          <w:lang w:val="hy-AM"/>
        </w:rPr>
        <w:t xml:space="preserve"> անդամ երկրների կողմից լաբորատոր խիստ հսկողության սահմանման վերաբերյալ </w:t>
      </w:r>
      <w:r w:rsidR="00BF7A6D" w:rsidRPr="00591243">
        <w:rPr>
          <w:rFonts w:ascii="GHEA Grapalat" w:hAnsi="GHEA Grapalat"/>
          <w:sz w:val="24"/>
          <w:szCs w:val="24"/>
          <w:lang w:val="hy-AM"/>
        </w:rPr>
        <w:t>տեղեկատվության</w:t>
      </w:r>
      <w:r w:rsidR="00CA3352" w:rsidRPr="00591243">
        <w:rPr>
          <w:rFonts w:ascii="GHEA Grapalat" w:hAnsi="GHEA Grapalat"/>
          <w:sz w:val="24"/>
          <w:szCs w:val="24"/>
          <w:lang w:val="hy-AM"/>
        </w:rPr>
        <w:t xml:space="preserve"> առկայությունը կամ դրա բացակայություն</w:t>
      </w:r>
      <w:r w:rsidR="00BD7685" w:rsidRPr="00591243">
        <w:rPr>
          <w:rFonts w:ascii="GHEA Grapalat" w:hAnsi="GHEA Grapalat"/>
          <w:sz w:val="24"/>
          <w:szCs w:val="24"/>
          <w:lang w:val="hy-AM"/>
        </w:rPr>
        <w:t>ը</w:t>
      </w:r>
      <w:r w:rsidR="00CA3352" w:rsidRPr="00591243">
        <w:rPr>
          <w:rFonts w:ascii="GHEA Grapalat" w:hAnsi="GHEA Grapalat"/>
          <w:sz w:val="24"/>
          <w:szCs w:val="24"/>
          <w:lang w:val="hy-AM"/>
        </w:rPr>
        <w:t xml:space="preserve">` </w:t>
      </w:r>
      <w:r w:rsidR="00BF7A6D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դասակարգվում է</w:t>
      </w:r>
      <w:r w:rsidR="00CA3352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համաձայն  N</w:t>
      </w:r>
      <w:r w:rsidR="00BF7A6D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5 աղյուսակի:</w:t>
      </w:r>
      <w:r w:rsidR="005F7065" w:rsidRPr="0059124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50620" w:rsidRPr="00591243" w:rsidRDefault="00CA3352" w:rsidP="00A6721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91243">
        <w:rPr>
          <w:rFonts w:ascii="GHEA Grapalat" w:eastAsia="Times New Roman" w:hAnsi="GHEA Grapalat"/>
          <w:sz w:val="24"/>
          <w:szCs w:val="24"/>
          <w:lang w:val="hy-AM"/>
        </w:rPr>
        <w:t xml:space="preserve">N 5 </w:t>
      </w:r>
      <w:r w:rsidRPr="00591243">
        <w:rPr>
          <w:rFonts w:ascii="GHEA Grapalat" w:eastAsia="Times New Roman" w:hAnsi="GHEA Grapalat" w:cs="Sylfaen"/>
          <w:sz w:val="24"/>
          <w:szCs w:val="24"/>
          <w:lang w:val="hy-AM"/>
        </w:rPr>
        <w:t>աղյուսակ</w:t>
      </w:r>
      <w:r w:rsidR="00C50620" w:rsidRPr="00591243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C50620" w:rsidRPr="00591243">
        <w:rPr>
          <w:rFonts w:ascii="GHEA Grapalat" w:eastAsia="Times New Roman" w:hAnsi="GHEA Grapalat"/>
          <w:sz w:val="24"/>
          <w:szCs w:val="24"/>
          <w:lang w:val="hy-AM"/>
        </w:rPr>
        <w:t xml:space="preserve">                       </w:t>
      </w:r>
    </w:p>
    <w:p w:rsidR="00C50620" w:rsidRPr="00591243" w:rsidRDefault="00C50620" w:rsidP="00A67212">
      <w:pPr>
        <w:spacing w:after="0" w:line="240" w:lineRule="auto"/>
        <w:ind w:firstLine="313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9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Դասակարգումն՝ ըստ արագ արձագանքման միջազգային համակարգերի, </w:t>
      </w:r>
      <w:r w:rsidR="006B2BB7" w:rsidRPr="0059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այլ երկրների լիազոր մարմինների հաղորդումների, </w:t>
      </w:r>
      <w:r w:rsidRPr="0059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ԵԱՏՄ</w:t>
      </w:r>
      <w:r w:rsidR="00BF7A6D" w:rsidRPr="0059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-ի</w:t>
      </w:r>
      <w:r w:rsidRPr="005912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միջոցով ստացված տվյալների կամ լիազոր մարմնի վերահսկողության արդյունքների</w:t>
      </w:r>
      <w:r w:rsidRPr="00591243">
        <w:rPr>
          <w:rFonts w:eastAsia="Times New Roman" w:cs="Calibri"/>
          <w:sz w:val="24"/>
          <w:szCs w:val="24"/>
          <w:lang w:val="hy-AM"/>
        </w:rPr>
        <w:t> </w:t>
      </w:r>
    </w:p>
    <w:tbl>
      <w:tblPr>
        <w:tblW w:w="89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6206"/>
        <w:gridCol w:w="1138"/>
      </w:tblGrid>
      <w:tr w:rsidR="00591243" w:rsidRPr="00591243" w:rsidTr="000259B9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620" w:rsidRPr="00591243" w:rsidRDefault="00C50620" w:rsidP="000259B9">
            <w:pPr>
              <w:spacing w:after="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Ռիսկը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620" w:rsidRPr="00591243" w:rsidRDefault="00C50620" w:rsidP="000259B9">
            <w:pPr>
              <w:spacing w:after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Սննդամթերքի վտանգավորության վերաբերյալ ծանուցում կամ վերահսկողության արդյունքներ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620" w:rsidRPr="00591243" w:rsidRDefault="00C50620" w:rsidP="000259B9">
            <w:pPr>
              <w:spacing w:after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Միավորը</w:t>
            </w:r>
          </w:p>
        </w:tc>
      </w:tr>
      <w:tr w:rsidR="00591243" w:rsidRPr="00591243" w:rsidTr="000259B9">
        <w:trPr>
          <w:trHeight w:val="411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620" w:rsidRPr="00591243" w:rsidRDefault="00BA7B6F" w:rsidP="000259B9">
            <w:pPr>
              <w:spacing w:after="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Բ</w:t>
            </w:r>
            <w:r w:rsidR="00C50620" w:rsidRPr="00591243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արձր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620" w:rsidRPr="00591243" w:rsidRDefault="00C50620" w:rsidP="000259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91243">
              <w:rPr>
                <w:rFonts w:ascii="GHEA Grapalat" w:hAnsi="GHEA Grapalat"/>
                <w:lang w:val="hy-AM"/>
              </w:rPr>
              <w:t xml:space="preserve"> </w:t>
            </w:r>
            <w:r w:rsidRPr="00591243">
              <w:rPr>
                <w:rFonts w:ascii="GHEA Grapalat" w:hAnsi="GHEA Grapalat" w:cs="Sylfaen"/>
                <w:bCs/>
                <w:lang w:val="hy-AM"/>
              </w:rPr>
              <w:t xml:space="preserve">Արագ արձագանքման միջազգային համակարգերի, </w:t>
            </w:r>
            <w:r w:rsidR="006B2BB7" w:rsidRPr="00591243">
              <w:rPr>
                <w:rFonts w:ascii="GHEA Grapalat" w:hAnsi="GHEA Grapalat" w:cs="Sylfaen"/>
                <w:bCs/>
                <w:lang w:val="hy-AM"/>
              </w:rPr>
              <w:t xml:space="preserve">այլ երկրների լիազոր մարմինների հաղորդումների, </w:t>
            </w:r>
            <w:r w:rsidRPr="00591243">
              <w:rPr>
                <w:rFonts w:ascii="GHEA Grapalat" w:hAnsi="GHEA Grapalat" w:cs="Sylfaen"/>
                <w:bCs/>
                <w:lang w:val="hy-AM"/>
              </w:rPr>
              <w:t>ԵԱՏՄ</w:t>
            </w:r>
            <w:r w:rsidR="00BF7A6D" w:rsidRPr="00591243">
              <w:rPr>
                <w:rFonts w:ascii="GHEA Grapalat" w:hAnsi="GHEA Grapalat" w:cs="Sylfaen"/>
                <w:bCs/>
                <w:lang w:val="hy-AM"/>
              </w:rPr>
              <w:t>-ի</w:t>
            </w:r>
            <w:r w:rsidRPr="00591243">
              <w:rPr>
                <w:rFonts w:ascii="GHEA Grapalat" w:hAnsi="GHEA Grapalat" w:cs="Sylfaen"/>
                <w:bCs/>
                <w:lang w:val="hy-AM"/>
              </w:rPr>
              <w:t xml:space="preserve"> միջոցով ստացված տվյալների կամ լիազոր մարմնի վերահսկողության արդյունքներով սննդամթերքի վտանգավորության վերաբերյալ տեղեկատվության առկայություն</w:t>
            </w:r>
            <w:r w:rsidR="00BA7B6F" w:rsidRPr="00591243">
              <w:rPr>
                <w:rFonts w:ascii="GHEA Grapalat" w:hAnsi="GHEA Grapalat" w:cs="Sylfaen"/>
                <w:bCs/>
                <w:lang w:val="hy-AM"/>
              </w:rPr>
              <w:t>: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620" w:rsidRPr="00591243" w:rsidRDefault="00A67212" w:rsidP="000259B9">
            <w:pPr>
              <w:spacing w:after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20</w:t>
            </w:r>
          </w:p>
        </w:tc>
      </w:tr>
      <w:tr w:rsidR="00591243" w:rsidRPr="00591243" w:rsidTr="000259B9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620" w:rsidRPr="00591243" w:rsidRDefault="00BA7B6F" w:rsidP="000259B9">
            <w:pPr>
              <w:spacing w:after="0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Ց</w:t>
            </w:r>
            <w:r w:rsidR="00C50620" w:rsidRPr="005912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ածր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620" w:rsidRPr="00591243" w:rsidRDefault="00C50620" w:rsidP="000259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91243">
              <w:rPr>
                <w:rFonts w:ascii="GHEA Grapalat" w:hAnsi="GHEA Grapalat" w:cs="Sylfaen"/>
                <w:bCs/>
                <w:lang w:val="hy-AM"/>
              </w:rPr>
              <w:t>Արագ արձագանքման միջազգային համակարգերի, ԵԱՏՄ միջոցով ստացված տվյալների կամ լիազոր մարմնի վերահսկողության արդյունքներով սննդամթերքի վտանգավորության վերաբերյալ տեղեկատվության բացակայություն</w:t>
            </w:r>
            <w:r w:rsidR="00E95442" w:rsidRPr="00591243">
              <w:rPr>
                <w:rFonts w:ascii="GHEA Grapalat" w:hAnsi="GHEA Grapalat" w:cs="Sylfaen"/>
                <w:bCs/>
                <w:lang w:val="hy-AM"/>
              </w:rPr>
              <w:t>: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620" w:rsidRPr="00591243" w:rsidRDefault="00C50620" w:rsidP="000259B9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0</w:t>
            </w:r>
          </w:p>
        </w:tc>
      </w:tr>
    </w:tbl>
    <w:p w:rsidR="00227A90" w:rsidRPr="00591243" w:rsidRDefault="00227A90" w:rsidP="00B46CD1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227A90" w:rsidRPr="00591243" w:rsidRDefault="00227A90" w:rsidP="005160E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6D04A2" w:rsidRPr="00591243" w:rsidRDefault="00227A90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5</w:t>
      </w:r>
      <w:r w:rsidR="00CA3352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</w:t>
      </w:r>
      <w:r w:rsidR="007237F8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7C1F40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Ս</w:t>
      </w:r>
      <w:r w:rsidR="00CA3352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ՆՆԴԱՄԹԵՐՔԻ</w:t>
      </w:r>
      <w:r w:rsidR="007C1F40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CA3352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ԸՆԴՀԱՆՈՒՐ</w:t>
      </w:r>
      <w:r w:rsidR="007C1F40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CA3352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ՌԻՍԿԱՅՆՈՒԹՅԱՆ</w:t>
      </w:r>
      <w:r w:rsidR="005F720D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ՈՐՈՇՈՒՄ</w:t>
      </w:r>
      <w:r w:rsidR="007237F8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</w:t>
      </w:r>
      <w:r w:rsidR="005F720D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ԵՎ ԸՆԴՀԱՆՈՒՐ ՌԻՍԿԻՆ ՀԱՄԱՊԱՏԱՍԽԱՆ ՎԵՐԱՀՍԿՈՂ</w:t>
      </w:r>
      <w:r w:rsidR="00140D25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ՈՒԹՅԱՆ</w:t>
      </w:r>
      <w:r w:rsidR="005F720D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70207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ԻՐԱԿԱՆԱՑՈՒՄ</w:t>
      </w:r>
      <w:r w:rsidR="005F720D" w:rsidRPr="0059124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</w:t>
      </w:r>
      <w:r w:rsidR="007C1F40"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591243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CA3352" w:rsidRDefault="00A67212" w:rsidP="00CA335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>10</w:t>
      </w:r>
      <w:r w:rsidR="005F720D" w:rsidRPr="00591243">
        <w:rPr>
          <w:rFonts w:ascii="GHEA Grapalat" w:eastAsia="Times New Roman" w:hAnsi="GHEA Grapalat" w:cs="Arial"/>
          <w:sz w:val="24"/>
          <w:szCs w:val="24"/>
          <w:lang w:val="hy-AM" w:eastAsia="ru-RU"/>
        </w:rPr>
        <w:t>. Սննդամթերքի ընդհանուր ռիսկայնության դասակարգումն իրականցվում է համաձայն N6 աղյուսակի:</w:t>
      </w:r>
    </w:p>
    <w:p w:rsidR="00B46CD1" w:rsidRDefault="00B46CD1" w:rsidP="00CA335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B46CD1" w:rsidRPr="00591243" w:rsidRDefault="00B46CD1" w:rsidP="00CA335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7C1F40" w:rsidRPr="00591243" w:rsidRDefault="00FE2020" w:rsidP="007C1F4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N</w:t>
      </w:r>
      <w:r w:rsidR="007953FC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F2E8D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 </w:t>
      </w:r>
      <w:r w:rsidR="007C1F4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աղյուսակ </w:t>
      </w:r>
    </w:p>
    <w:tbl>
      <w:tblPr>
        <w:tblW w:w="7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2268"/>
      </w:tblGrid>
      <w:tr w:rsidR="00591243" w:rsidRPr="00591243" w:rsidTr="00E95442">
        <w:trPr>
          <w:tblCellSpacing w:w="0" w:type="dxa"/>
          <w:jc w:val="center"/>
        </w:trPr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42" w:rsidRPr="00591243" w:rsidRDefault="00E95442" w:rsidP="00A2261B">
            <w:pPr>
              <w:spacing w:after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Խմբաքանակի ընդհանուր ռիսկայնությունը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42" w:rsidRPr="00591243" w:rsidRDefault="00E95442" w:rsidP="00A2261B">
            <w:pPr>
              <w:spacing w:after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591243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Միավորը</w:t>
            </w:r>
          </w:p>
        </w:tc>
      </w:tr>
      <w:tr w:rsidR="00591243" w:rsidRPr="00591243" w:rsidTr="00E95442">
        <w:trPr>
          <w:tblCellSpacing w:w="0" w:type="dxa"/>
          <w:jc w:val="center"/>
        </w:trPr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42" w:rsidRPr="00591243" w:rsidRDefault="00E95442" w:rsidP="00A2261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591243">
              <w:rPr>
                <w:rFonts w:ascii="GHEA Grapalat" w:hAnsi="GHEA Grapalat"/>
                <w:lang w:val="hy-AM"/>
              </w:rPr>
              <w:t>Բարձր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42" w:rsidRPr="00591243" w:rsidRDefault="00A67212" w:rsidP="00227A90">
            <w:pPr>
              <w:spacing w:after="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  <w:r w:rsidR="00E95442" w:rsidRPr="005912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</w:t>
            </w:r>
            <w:r w:rsidR="00227A90" w:rsidRPr="005912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ավել</w:t>
            </w:r>
          </w:p>
        </w:tc>
      </w:tr>
      <w:tr w:rsidR="00591243" w:rsidRPr="00591243" w:rsidTr="00E95442">
        <w:trPr>
          <w:tblCellSpacing w:w="0" w:type="dxa"/>
          <w:jc w:val="center"/>
        </w:trPr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42" w:rsidRPr="00591243" w:rsidRDefault="00227A90" w:rsidP="00A2261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591243">
              <w:rPr>
                <w:rFonts w:ascii="GHEA Grapalat" w:hAnsi="GHEA Grapalat"/>
                <w:lang w:val="hy-AM"/>
              </w:rPr>
              <w:t>Միջին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42" w:rsidRPr="00591243" w:rsidRDefault="00227A90" w:rsidP="00227A90">
            <w:pPr>
              <w:spacing w:after="0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="00A67212" w:rsidRPr="005912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  <w:r w:rsidRPr="005912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-19</w:t>
            </w:r>
          </w:p>
        </w:tc>
      </w:tr>
      <w:tr w:rsidR="00591243" w:rsidRPr="00591243" w:rsidTr="00847906">
        <w:trPr>
          <w:tblCellSpacing w:w="0" w:type="dxa"/>
          <w:jc w:val="center"/>
        </w:trPr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A90" w:rsidRPr="00591243" w:rsidRDefault="00227A90" w:rsidP="008479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591243">
              <w:rPr>
                <w:rFonts w:ascii="GHEA Grapalat" w:hAnsi="GHEA Grapalat"/>
                <w:lang w:val="hy-AM"/>
              </w:rPr>
              <w:t>Ցածր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A90" w:rsidRPr="00591243" w:rsidRDefault="00227A90" w:rsidP="00227A90">
            <w:pPr>
              <w:spacing w:after="0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5912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0-9</w:t>
            </w:r>
          </w:p>
        </w:tc>
      </w:tr>
    </w:tbl>
    <w:p w:rsidR="007C1F40" w:rsidRPr="00591243" w:rsidRDefault="007C1F40" w:rsidP="007C1F4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27A90" w:rsidRPr="00591243" w:rsidRDefault="00227A90" w:rsidP="00B46CD1">
      <w:pPr>
        <w:shd w:val="clear" w:color="auto" w:fill="FFFFFF"/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7C1F40" w:rsidRPr="00591243" w:rsidRDefault="00A67212" w:rsidP="005876F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11</w:t>
      </w:r>
      <w:r w:rsidR="007C1F4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. Ընդհանուր ռիսկայնության` բարձր</w:t>
      </w:r>
      <w:r w:rsidR="00227A9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, միջին</w:t>
      </w:r>
      <w:r w:rsidR="007C1F4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ցածր խմբերին դասված սննդամթերքի նկատմամբ իրականացվող վերահսկողության տեսակներն են՝</w:t>
      </w:r>
    </w:p>
    <w:p w:rsidR="005729D7" w:rsidRPr="00591243" w:rsidRDefault="007C1F4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1) ընդհանուր բարձր ռիսկայնությամբ դեպքում` փաստաթղթային ստուգում, նույն</w:t>
      </w:r>
      <w:r w:rsidR="00377D2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ականացում, զննում, նմուշառում,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ազգային հավատարմագրման համակարգերում հավատարմագրված և ԵՏՄ</w:t>
      </w:r>
      <w:r w:rsidR="00377D20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-ի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սերտիֆիկացման ու փորձարկման լաբորատորիաների (կենտրոնների) միասնական ռեեստրում ներառված լաբորատորիաներում</w:t>
      </w:r>
      <w:r w:rsidRPr="00591243">
        <w:rPr>
          <w:rFonts w:ascii="GHEA Grapalat" w:hAnsi="GHEA Grapalat" w:cs="Segoe UI"/>
          <w:sz w:val="24"/>
          <w:szCs w:val="24"/>
          <w:lang w:val="hy-AM"/>
        </w:rPr>
        <w:t xml:space="preserve"> իրականացված 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լաբորատոր փորձաքննությա</w:t>
      </w:r>
      <w:r w:rsidR="004052C8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ն իրականացում</w:t>
      </w:r>
      <w:r w:rsidR="00140D2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140D25">
        <w:rPr>
          <w:rFonts w:ascii="GHEA Grapalat" w:eastAsia="Times New Roman" w:hAnsi="GHEA Grapalat"/>
          <w:sz w:val="24"/>
          <w:szCs w:val="24"/>
          <w:lang w:val="en-US" w:eastAsia="ru-RU"/>
        </w:rPr>
        <w:t>(</w:t>
      </w:r>
      <w:r w:rsidR="00140D25">
        <w:rPr>
          <w:rFonts w:ascii="GHEA Grapalat" w:eastAsia="Times New Roman" w:hAnsi="GHEA Grapalat"/>
          <w:sz w:val="24"/>
          <w:szCs w:val="24"/>
          <w:lang w:val="hy-AM" w:eastAsia="ru-RU"/>
        </w:rPr>
        <w:t>այսուհետ՝ փորձաքննության իրականացում</w:t>
      </w:r>
      <w:r w:rsidR="00140D25">
        <w:rPr>
          <w:rFonts w:ascii="GHEA Grapalat" w:eastAsia="Times New Roman" w:hAnsi="GHEA Grapalat"/>
          <w:sz w:val="24"/>
          <w:szCs w:val="24"/>
          <w:lang w:val="en-US" w:eastAsia="ru-RU"/>
        </w:rPr>
        <w:t>)</w:t>
      </w:r>
      <w:r w:rsidR="004052C8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CA22CE" w:rsidRPr="00591243" w:rsidRDefault="007C1F40" w:rsidP="00227A9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ընդհանուր </w:t>
      </w:r>
      <w:r w:rsidR="00CA22CE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միջին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ռիսկայնության դեպքում՝ </w:t>
      </w:r>
      <w:r w:rsidR="00CA22CE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փաստաթղթային ստ</w:t>
      </w:r>
      <w:r w:rsidR="00140D25">
        <w:rPr>
          <w:rFonts w:ascii="GHEA Grapalat" w:eastAsia="Times New Roman" w:hAnsi="GHEA Grapalat"/>
          <w:sz w:val="24"/>
          <w:szCs w:val="24"/>
          <w:lang w:val="hy-AM" w:eastAsia="ru-RU"/>
        </w:rPr>
        <w:t>ուգում, նույնականացում և զննում, իսկ սննդամթերքի անվտանգության վերաբերյալ հիմնավոր կասկածն</w:t>
      </w:r>
      <w:r w:rsidR="00157569">
        <w:rPr>
          <w:rFonts w:ascii="GHEA Grapalat" w:eastAsia="Times New Roman" w:hAnsi="GHEA Grapalat"/>
          <w:sz w:val="24"/>
          <w:szCs w:val="24"/>
          <w:lang w:val="hy-AM" w:eastAsia="ru-RU"/>
        </w:rPr>
        <w:t>եր</w:t>
      </w:r>
      <w:r w:rsidR="00140D25">
        <w:rPr>
          <w:rFonts w:ascii="GHEA Grapalat" w:eastAsia="Times New Roman" w:hAnsi="GHEA Grapalat"/>
          <w:sz w:val="24"/>
          <w:szCs w:val="24"/>
          <w:lang w:val="hy-AM" w:eastAsia="ru-RU"/>
        </w:rPr>
        <w:t>ի առկայության դեպքում՝ նմուշառում և փորձաքննության իրականացում:</w:t>
      </w:r>
    </w:p>
    <w:p w:rsidR="00227A90" w:rsidRPr="00591243" w:rsidRDefault="00227A90" w:rsidP="00227A9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3) ընդհանուր ցածր ռիսկայնության դեպքում՝ միայն փաստաթղթային</w:t>
      </w:r>
      <w:r w:rsidR="00CA22CE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ստուգում</w:t>
      </w:r>
      <w:r w:rsidR="00E80115"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նույնականացում</w:t>
      </w:r>
      <w:r w:rsidRPr="0059124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4052C8" w:rsidRDefault="004052C8" w:rsidP="004052C8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12.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Եթե 11-րդ կետով սահմանված վերահսկողական գործառույթների իրականացման արդյունքում Հայաստանի Հանրապետության օրենսդրությամբ սահմանված  սննդամթերքի անվտանգության պահանջների հետ կապված անհամապատասխանություն չի հայտնաբերվում, ապա </w:t>
      </w:r>
      <w:r w:rsidR="00140D2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մեկ աշխատանքային օրվա ընթացքում 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թույլատրվում է սննդամթերքի տվյալ խմբաքանակի ներմուծումը:</w:t>
      </w:r>
    </w:p>
    <w:p w:rsidR="00140D25" w:rsidRPr="00140D25" w:rsidRDefault="00140D25" w:rsidP="00140D25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591243">
        <w:rPr>
          <w:rFonts w:ascii="GHEA Grapalat" w:hAnsi="GHEA Grapalat"/>
          <w:sz w:val="24"/>
          <w:szCs w:val="24"/>
          <w:lang w:val="hy-AM"/>
        </w:rPr>
        <w:t>.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Եթե 11-րդ կետով սահմանված վերահսկողական գործառույթների իրականացման արդյունքում </w:t>
      </w:r>
      <w:r w:rsidR="000073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հայտնաբերվում է </w:t>
      </w:r>
      <w:r w:rsidR="000073A8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անհամապատասխանություն</w:t>
      </w:r>
      <w:r w:rsidR="000073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օրենսդրությամբ սահմանված  սննդամթերքի անվտանգության պահանջների</w:t>
      </w:r>
      <w:r w:rsidR="000073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ն, 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ապա </w:t>
      </w:r>
      <w:r w:rsidR="000073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արգելվում է </w:t>
      </w:r>
      <w:r w:rsidR="000073A8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սննդամթերքի տվյալ խմբաքանակի ներմուծումը</w:t>
      </w:r>
      <w:r w:rsidR="000073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մեկ աշխատանքային օրվա ընթացքում </w:t>
      </w:r>
      <w:r w:rsidR="000073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այդ մասին </w:t>
      </w:r>
      <w:r w:rsidR="005B67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պատշաճ կերպով </w:t>
      </w:r>
      <w:bookmarkStart w:id="0" w:name="_GoBack"/>
      <w:bookmarkEnd w:id="0"/>
      <w:r w:rsidR="000073A8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ծանուցվում է ներմուծումն իրականացնող տնտեսավարող սուբյեկտին՝ նշելով ներմուծման արգելքի հիմքերը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6434C7" w:rsidRPr="00591243" w:rsidRDefault="00A67212" w:rsidP="00AF1AC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1</w:t>
      </w:r>
      <w:r w:rsidR="000073A8">
        <w:rPr>
          <w:rFonts w:ascii="GHEA Grapalat" w:hAnsi="GHEA Grapalat"/>
          <w:sz w:val="24"/>
          <w:szCs w:val="24"/>
          <w:lang w:val="hy-AM"/>
        </w:rPr>
        <w:t>4</w:t>
      </w:r>
      <w:r w:rsidR="001303EC" w:rsidRPr="00591243">
        <w:rPr>
          <w:rFonts w:ascii="GHEA Grapalat" w:hAnsi="GHEA Grapalat"/>
          <w:sz w:val="24"/>
          <w:szCs w:val="24"/>
          <w:lang w:val="hy-AM"/>
        </w:rPr>
        <w:t>.</w:t>
      </w:r>
      <w:r w:rsidR="004052C8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96A19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Եթե միևնույն կազմակերպության կողմից արտադրված միևնույն տեսակի սննդամթերքում  </w:t>
      </w:r>
      <w:r w:rsidR="00FA15CC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</w:t>
      </w:r>
      <w:r w:rsidR="00962DFF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կինում </w:t>
      </w:r>
      <w:r w:rsidR="00096A19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ներմուծման պահին կամ շուկայահանման ընթացքում հայտնաբերվ</w:t>
      </w:r>
      <w:r w:rsidR="004052C8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</w:t>
      </w:r>
      <w:r w:rsidR="00096A19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են սննդամթերքի անվտանգության պահանջների հետ կապված անհամապատասխանություն, ապա </w:t>
      </w:r>
      <w:r w:rsidR="00591243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տվյալ կազմակերպության կողմից արտադրված տվյալ տեսակի սննդամթերքի </w:t>
      </w:r>
      <w:r w:rsidR="00096A19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հաջորդ երեք ներմուծման ընթացքում</w:t>
      </w:r>
      <w:r w:rsidR="00AF1ACC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խմբաքանակի </w:t>
      </w:r>
      <w:r w:rsidR="00AF1ACC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ընդ</w:t>
      </w:r>
      <w:r w:rsidR="00A31440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AF1ACC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անուր ռիսկայնությունը համարվում է բարձր և վերահսկողությունը իրականացվում է </w:t>
      </w:r>
      <w:r w:rsidR="00EC4B97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096A19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կետի 1-ին ենթակետ</w:t>
      </w:r>
      <w:r w:rsidR="00AF1ACC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 սահմանված ընթացակարգով:</w:t>
      </w:r>
    </w:p>
    <w:p w:rsidR="009B7B41" w:rsidRPr="00591243" w:rsidRDefault="00C510CC" w:rsidP="00591243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243">
        <w:rPr>
          <w:rFonts w:ascii="GHEA Grapalat" w:hAnsi="GHEA Grapalat"/>
          <w:sz w:val="24"/>
          <w:szCs w:val="24"/>
          <w:lang w:val="hy-AM"/>
        </w:rPr>
        <w:t>1</w:t>
      </w:r>
      <w:r w:rsidR="000073A8">
        <w:rPr>
          <w:rFonts w:ascii="GHEA Grapalat" w:hAnsi="GHEA Grapalat"/>
          <w:sz w:val="24"/>
          <w:szCs w:val="24"/>
          <w:lang w:val="hy-AM"/>
        </w:rPr>
        <w:t>5</w:t>
      </w:r>
      <w:r w:rsidRPr="00591243">
        <w:rPr>
          <w:rFonts w:ascii="GHEA Grapalat" w:hAnsi="GHEA Grapalat"/>
          <w:sz w:val="24"/>
          <w:szCs w:val="24"/>
          <w:lang w:val="hy-AM"/>
        </w:rPr>
        <w:t>.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</w:t>
      </w:r>
      <w:r w:rsidR="00116958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կետով սահմանված կարգով վերահսկողություն իրականացնելու </w:t>
      </w:r>
      <w:r w:rsidR="00591243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արդյունքում </w:t>
      </w:r>
      <w:r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91243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սննդամթերքի անվտանգության պահանջների հետ կապված անհամապատասխանություն </w:t>
      </w:r>
      <w:r w:rsidR="0011695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չհայտնաբերելու դեպքում</w:t>
      </w:r>
      <w:r w:rsidR="00591243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տվյալ կազմակերպության կողմից արտադրված տվյալ տեսակի սննդամթերքը հետագայում ներմուծելիս խմբաքանակի ընդհանուր ռիսկը հաշվարկվում է </w:t>
      </w:r>
      <w:r w:rsidR="0011695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հավելվածի 3-</w:t>
      </w:r>
      <w:r w:rsidR="00591243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116958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591243" w:rsidRPr="00591243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կետերով սահմանված կարգով:</w:t>
      </w:r>
    </w:p>
    <w:sectPr w:rsidR="009B7B41" w:rsidRPr="00591243" w:rsidSect="002D3AB9">
      <w:pgSz w:w="11906" w:h="16838"/>
      <w:pgMar w:top="70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40"/>
    <w:rsid w:val="0000230C"/>
    <w:rsid w:val="000070F5"/>
    <w:rsid w:val="000073A8"/>
    <w:rsid w:val="000152E0"/>
    <w:rsid w:val="000215C2"/>
    <w:rsid w:val="000321EE"/>
    <w:rsid w:val="00047F8F"/>
    <w:rsid w:val="00047FD7"/>
    <w:rsid w:val="00093DB3"/>
    <w:rsid w:val="00096A19"/>
    <w:rsid w:val="000A30F1"/>
    <w:rsid w:val="000E7046"/>
    <w:rsid w:val="00113D88"/>
    <w:rsid w:val="00116958"/>
    <w:rsid w:val="00121268"/>
    <w:rsid w:val="001303EC"/>
    <w:rsid w:val="00132E1B"/>
    <w:rsid w:val="00135783"/>
    <w:rsid w:val="00136967"/>
    <w:rsid w:val="00140D25"/>
    <w:rsid w:val="00152D84"/>
    <w:rsid w:val="001566AB"/>
    <w:rsid w:val="00157569"/>
    <w:rsid w:val="001775C6"/>
    <w:rsid w:val="00177BD8"/>
    <w:rsid w:val="001814DF"/>
    <w:rsid w:val="00185A53"/>
    <w:rsid w:val="001F5CD5"/>
    <w:rsid w:val="00206264"/>
    <w:rsid w:val="00210EBC"/>
    <w:rsid w:val="00213BB2"/>
    <w:rsid w:val="00227A90"/>
    <w:rsid w:val="0025020C"/>
    <w:rsid w:val="002534D2"/>
    <w:rsid w:val="00264A76"/>
    <w:rsid w:val="0027147E"/>
    <w:rsid w:val="0028267F"/>
    <w:rsid w:val="00287D85"/>
    <w:rsid w:val="002B3E50"/>
    <w:rsid w:val="002C5FF4"/>
    <w:rsid w:val="002C6ED7"/>
    <w:rsid w:val="002D33EF"/>
    <w:rsid w:val="002D3AB9"/>
    <w:rsid w:val="002E3259"/>
    <w:rsid w:val="002E7CBD"/>
    <w:rsid w:val="002F0DFC"/>
    <w:rsid w:val="002F4008"/>
    <w:rsid w:val="002F5B6E"/>
    <w:rsid w:val="00311DA2"/>
    <w:rsid w:val="0031684C"/>
    <w:rsid w:val="00320E9C"/>
    <w:rsid w:val="00322F0B"/>
    <w:rsid w:val="00336BAD"/>
    <w:rsid w:val="00361247"/>
    <w:rsid w:val="003650A1"/>
    <w:rsid w:val="00366B73"/>
    <w:rsid w:val="0037606D"/>
    <w:rsid w:val="00377D20"/>
    <w:rsid w:val="00384377"/>
    <w:rsid w:val="00387DCC"/>
    <w:rsid w:val="0039765F"/>
    <w:rsid w:val="003A7CC2"/>
    <w:rsid w:val="003C46BA"/>
    <w:rsid w:val="003C4F9B"/>
    <w:rsid w:val="003D0D0E"/>
    <w:rsid w:val="003E6C6E"/>
    <w:rsid w:val="00400B72"/>
    <w:rsid w:val="00404F95"/>
    <w:rsid w:val="004052C8"/>
    <w:rsid w:val="0041308F"/>
    <w:rsid w:val="00430A16"/>
    <w:rsid w:val="004550BE"/>
    <w:rsid w:val="00472C0B"/>
    <w:rsid w:val="0048748E"/>
    <w:rsid w:val="004B1420"/>
    <w:rsid w:val="004B1F88"/>
    <w:rsid w:val="004D0A54"/>
    <w:rsid w:val="004D1A6C"/>
    <w:rsid w:val="004F3ED8"/>
    <w:rsid w:val="00500738"/>
    <w:rsid w:val="005160E8"/>
    <w:rsid w:val="005540DB"/>
    <w:rsid w:val="0056624A"/>
    <w:rsid w:val="005729D7"/>
    <w:rsid w:val="00572B1B"/>
    <w:rsid w:val="0058600E"/>
    <w:rsid w:val="005876F7"/>
    <w:rsid w:val="00591243"/>
    <w:rsid w:val="00596220"/>
    <w:rsid w:val="00596618"/>
    <w:rsid w:val="005A145C"/>
    <w:rsid w:val="005A4803"/>
    <w:rsid w:val="005A5D91"/>
    <w:rsid w:val="005B1E95"/>
    <w:rsid w:val="005B3E49"/>
    <w:rsid w:val="005B677B"/>
    <w:rsid w:val="005B67F4"/>
    <w:rsid w:val="005C0A7D"/>
    <w:rsid w:val="005D7BE1"/>
    <w:rsid w:val="005F51CA"/>
    <w:rsid w:val="005F7065"/>
    <w:rsid w:val="005F720D"/>
    <w:rsid w:val="00616B30"/>
    <w:rsid w:val="00622CD4"/>
    <w:rsid w:val="00626102"/>
    <w:rsid w:val="006269D4"/>
    <w:rsid w:val="0063175C"/>
    <w:rsid w:val="006410A4"/>
    <w:rsid w:val="006434C7"/>
    <w:rsid w:val="00654B1B"/>
    <w:rsid w:val="006618E6"/>
    <w:rsid w:val="00662BD2"/>
    <w:rsid w:val="00673AEA"/>
    <w:rsid w:val="00685554"/>
    <w:rsid w:val="006966E6"/>
    <w:rsid w:val="006B2BB7"/>
    <w:rsid w:val="006C10D8"/>
    <w:rsid w:val="006C696E"/>
    <w:rsid w:val="006D04A2"/>
    <w:rsid w:val="006D2AF3"/>
    <w:rsid w:val="006E7A7B"/>
    <w:rsid w:val="006F0BC2"/>
    <w:rsid w:val="0070207E"/>
    <w:rsid w:val="00713148"/>
    <w:rsid w:val="007237F8"/>
    <w:rsid w:val="00723D12"/>
    <w:rsid w:val="00725B94"/>
    <w:rsid w:val="00747ADD"/>
    <w:rsid w:val="00757264"/>
    <w:rsid w:val="00773A6A"/>
    <w:rsid w:val="0077522E"/>
    <w:rsid w:val="007904F4"/>
    <w:rsid w:val="0079490B"/>
    <w:rsid w:val="007953FC"/>
    <w:rsid w:val="00797A5C"/>
    <w:rsid w:val="007A36D2"/>
    <w:rsid w:val="007B39C2"/>
    <w:rsid w:val="007B7D05"/>
    <w:rsid w:val="007C1F40"/>
    <w:rsid w:val="007C64DA"/>
    <w:rsid w:val="007D0DD1"/>
    <w:rsid w:val="007D119A"/>
    <w:rsid w:val="007D6EBB"/>
    <w:rsid w:val="007E56AD"/>
    <w:rsid w:val="007E769B"/>
    <w:rsid w:val="007F4754"/>
    <w:rsid w:val="007F5882"/>
    <w:rsid w:val="007F6C2E"/>
    <w:rsid w:val="007F79AC"/>
    <w:rsid w:val="0080685E"/>
    <w:rsid w:val="008128E1"/>
    <w:rsid w:val="00824D11"/>
    <w:rsid w:val="008467E5"/>
    <w:rsid w:val="008542F6"/>
    <w:rsid w:val="00862DAC"/>
    <w:rsid w:val="00865B43"/>
    <w:rsid w:val="008804EA"/>
    <w:rsid w:val="00885881"/>
    <w:rsid w:val="008903AA"/>
    <w:rsid w:val="00893530"/>
    <w:rsid w:val="008A0A13"/>
    <w:rsid w:val="008A13FC"/>
    <w:rsid w:val="008A2B72"/>
    <w:rsid w:val="008A2DF4"/>
    <w:rsid w:val="008C3D99"/>
    <w:rsid w:val="008D7D59"/>
    <w:rsid w:val="008E3C56"/>
    <w:rsid w:val="008E46C5"/>
    <w:rsid w:val="009274F3"/>
    <w:rsid w:val="00935D0C"/>
    <w:rsid w:val="00945F01"/>
    <w:rsid w:val="00953EF5"/>
    <w:rsid w:val="00962DFF"/>
    <w:rsid w:val="00964511"/>
    <w:rsid w:val="00974F4A"/>
    <w:rsid w:val="009812C5"/>
    <w:rsid w:val="00985AEA"/>
    <w:rsid w:val="00990B09"/>
    <w:rsid w:val="00992973"/>
    <w:rsid w:val="00995FB0"/>
    <w:rsid w:val="009A03FE"/>
    <w:rsid w:val="009A33F3"/>
    <w:rsid w:val="009A4854"/>
    <w:rsid w:val="009A6E45"/>
    <w:rsid w:val="009B07D8"/>
    <w:rsid w:val="009B79D0"/>
    <w:rsid w:val="009B7B41"/>
    <w:rsid w:val="009C6AD3"/>
    <w:rsid w:val="009E0CE5"/>
    <w:rsid w:val="009E484B"/>
    <w:rsid w:val="00A23789"/>
    <w:rsid w:val="00A31440"/>
    <w:rsid w:val="00A3498B"/>
    <w:rsid w:val="00A441C1"/>
    <w:rsid w:val="00A45A56"/>
    <w:rsid w:val="00A64610"/>
    <w:rsid w:val="00A67212"/>
    <w:rsid w:val="00A67E9A"/>
    <w:rsid w:val="00A71A40"/>
    <w:rsid w:val="00A72C5E"/>
    <w:rsid w:val="00A96D4C"/>
    <w:rsid w:val="00AA45CD"/>
    <w:rsid w:val="00AB45FA"/>
    <w:rsid w:val="00AD37A3"/>
    <w:rsid w:val="00AD5192"/>
    <w:rsid w:val="00AD59A9"/>
    <w:rsid w:val="00AE19C5"/>
    <w:rsid w:val="00AF1ACC"/>
    <w:rsid w:val="00B0403F"/>
    <w:rsid w:val="00B125B3"/>
    <w:rsid w:val="00B14D7A"/>
    <w:rsid w:val="00B15DB4"/>
    <w:rsid w:val="00B1640F"/>
    <w:rsid w:val="00B16A43"/>
    <w:rsid w:val="00B211CA"/>
    <w:rsid w:val="00B2679D"/>
    <w:rsid w:val="00B30E6A"/>
    <w:rsid w:val="00B46CD1"/>
    <w:rsid w:val="00B53585"/>
    <w:rsid w:val="00B64398"/>
    <w:rsid w:val="00B74A9B"/>
    <w:rsid w:val="00B772FA"/>
    <w:rsid w:val="00BA7B6F"/>
    <w:rsid w:val="00BD7685"/>
    <w:rsid w:val="00BE5ED5"/>
    <w:rsid w:val="00BF7A6D"/>
    <w:rsid w:val="00C03577"/>
    <w:rsid w:val="00C100E4"/>
    <w:rsid w:val="00C50620"/>
    <w:rsid w:val="00C510CC"/>
    <w:rsid w:val="00C5709F"/>
    <w:rsid w:val="00C60B1E"/>
    <w:rsid w:val="00C93B26"/>
    <w:rsid w:val="00C9440C"/>
    <w:rsid w:val="00CA22CE"/>
    <w:rsid w:val="00CA3352"/>
    <w:rsid w:val="00CB0611"/>
    <w:rsid w:val="00CB7740"/>
    <w:rsid w:val="00CC1C93"/>
    <w:rsid w:val="00CC477A"/>
    <w:rsid w:val="00CD6DFA"/>
    <w:rsid w:val="00CF2261"/>
    <w:rsid w:val="00CF2E8D"/>
    <w:rsid w:val="00D26570"/>
    <w:rsid w:val="00D30ABF"/>
    <w:rsid w:val="00D36A25"/>
    <w:rsid w:val="00D44311"/>
    <w:rsid w:val="00D445C4"/>
    <w:rsid w:val="00D56D52"/>
    <w:rsid w:val="00D6574E"/>
    <w:rsid w:val="00D66776"/>
    <w:rsid w:val="00D70E9A"/>
    <w:rsid w:val="00D90BA9"/>
    <w:rsid w:val="00D9236B"/>
    <w:rsid w:val="00D949D0"/>
    <w:rsid w:val="00DE03C8"/>
    <w:rsid w:val="00DF7B36"/>
    <w:rsid w:val="00E14F24"/>
    <w:rsid w:val="00E359C6"/>
    <w:rsid w:val="00E40BAA"/>
    <w:rsid w:val="00E41926"/>
    <w:rsid w:val="00E76D22"/>
    <w:rsid w:val="00E80115"/>
    <w:rsid w:val="00E95442"/>
    <w:rsid w:val="00E97A0F"/>
    <w:rsid w:val="00EA3F90"/>
    <w:rsid w:val="00EB09CE"/>
    <w:rsid w:val="00EB7293"/>
    <w:rsid w:val="00EC4B97"/>
    <w:rsid w:val="00ED5AEA"/>
    <w:rsid w:val="00ED7425"/>
    <w:rsid w:val="00EE058F"/>
    <w:rsid w:val="00EE67EF"/>
    <w:rsid w:val="00F0356D"/>
    <w:rsid w:val="00F07925"/>
    <w:rsid w:val="00F14649"/>
    <w:rsid w:val="00F14AA2"/>
    <w:rsid w:val="00F3096A"/>
    <w:rsid w:val="00F41004"/>
    <w:rsid w:val="00F45DEF"/>
    <w:rsid w:val="00F644F2"/>
    <w:rsid w:val="00F7374E"/>
    <w:rsid w:val="00F77A09"/>
    <w:rsid w:val="00F81C7C"/>
    <w:rsid w:val="00F9074E"/>
    <w:rsid w:val="00F946EB"/>
    <w:rsid w:val="00FA15CC"/>
    <w:rsid w:val="00FA24EA"/>
    <w:rsid w:val="00FA2E5D"/>
    <w:rsid w:val="00FA4275"/>
    <w:rsid w:val="00FE08AC"/>
    <w:rsid w:val="00FE2020"/>
    <w:rsid w:val="00FE5A25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BFBF"/>
  <w15:docId w15:val="{D36C9264-24EC-4FFA-BFDE-86F00B61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C1F40"/>
    <w:rPr>
      <w:b/>
      <w:bCs/>
    </w:rPr>
  </w:style>
  <w:style w:type="character" w:styleId="Emphasis">
    <w:name w:val="Emphasis"/>
    <w:basedOn w:val="DefaultParagraphFont"/>
    <w:uiPriority w:val="20"/>
    <w:qFormat/>
    <w:rsid w:val="007C1F40"/>
    <w:rPr>
      <w:i/>
      <w:iCs/>
    </w:rPr>
  </w:style>
  <w:style w:type="paragraph" w:customStyle="1" w:styleId="mcntmsonormal">
    <w:name w:val="mcntmsonormal"/>
    <w:basedOn w:val="Normal"/>
    <w:rsid w:val="007C1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07925"/>
    <w:pPr>
      <w:ind w:left="720"/>
      <w:contextualSpacing/>
    </w:pPr>
  </w:style>
  <w:style w:type="table" w:styleId="TableGrid">
    <w:name w:val="Table Grid"/>
    <w:basedOn w:val="TableNormal"/>
    <w:uiPriority w:val="59"/>
    <w:rsid w:val="0026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3632-6DDC-4CFB-8592-EA8BA2D4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https:/mul-fsss.gov.am/tasks/docs/attachment.php?id=109763&amp;fn=naxagicV+Lr.docx&amp;out=1&amp;token=3b638d86e6457073fa8f</cp:keywords>
  <cp:lastModifiedBy>a a</cp:lastModifiedBy>
  <cp:revision>44</cp:revision>
  <dcterms:created xsi:type="dcterms:W3CDTF">2020-02-11T08:50:00Z</dcterms:created>
  <dcterms:modified xsi:type="dcterms:W3CDTF">2020-04-03T08:12:00Z</dcterms:modified>
</cp:coreProperties>
</file>