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B8361A" w14:textId="3AFB931E" w:rsidR="00C51D4D" w:rsidRDefault="00B07FA0" w:rsidP="0042287C">
      <w:pPr>
        <w:spacing w:line="276" w:lineRule="auto"/>
        <w:jc w:val="center"/>
        <w:rPr>
          <w:rFonts w:ascii="GHEA Grapalat" w:hAnsi="GHEA Grapalat"/>
          <w:b/>
          <w:bCs/>
          <w:sz w:val="28"/>
          <w:szCs w:val="28"/>
        </w:rPr>
      </w:pPr>
      <w:r w:rsidRPr="00B07FA0">
        <w:rPr>
          <w:rFonts w:ascii="GHEA Grapalat" w:hAnsi="GHEA Grapalat"/>
          <w:b/>
          <w:bCs/>
          <w:sz w:val="28"/>
          <w:szCs w:val="28"/>
        </w:rPr>
        <w:t>ԱՄՓՈՓԱԹԵՐԹ</w:t>
      </w:r>
    </w:p>
    <w:p w14:paraId="5F03C743" w14:textId="67B796DB" w:rsidR="00B07FA0" w:rsidRDefault="00035CB8" w:rsidP="0042287C">
      <w:pPr>
        <w:spacing w:line="276" w:lineRule="auto"/>
        <w:jc w:val="center"/>
        <w:rPr>
          <w:rFonts w:ascii="GHEA Grapalat" w:hAnsi="GHEA Grapalat"/>
          <w:sz w:val="28"/>
          <w:szCs w:val="28"/>
        </w:rPr>
      </w:pPr>
      <w:r w:rsidRPr="00035CB8">
        <w:rPr>
          <w:rFonts w:ascii="GHEA Grapalat" w:hAnsi="GHEA Grapalat"/>
          <w:sz w:val="28"/>
          <w:szCs w:val="28"/>
        </w:rPr>
        <w:t xml:space="preserve">««Հանրային հատվածի կազմակերպությունների հաշվապահական հաշվառման մասին» Հայաստանի Հանրապետության օրենքում փոփոխություններ և լրացումներ կատարելու մասին» ՀՀ օրենքի </w:t>
      </w:r>
      <w:r w:rsidR="00F97E77">
        <w:rPr>
          <w:rFonts w:ascii="GHEA Grapalat" w:hAnsi="GHEA Grapalat"/>
          <w:sz w:val="28"/>
          <w:szCs w:val="28"/>
        </w:rPr>
        <w:t>նախագ</w:t>
      </w:r>
      <w:r w:rsidRPr="00035CB8">
        <w:rPr>
          <w:rFonts w:ascii="GHEA Grapalat" w:hAnsi="GHEA Grapalat"/>
          <w:sz w:val="28"/>
          <w:szCs w:val="28"/>
        </w:rPr>
        <w:t>ծ</w:t>
      </w:r>
      <w:r>
        <w:rPr>
          <w:rFonts w:ascii="GHEA Grapalat" w:hAnsi="GHEA Grapalat"/>
          <w:sz w:val="28"/>
          <w:szCs w:val="28"/>
        </w:rPr>
        <w:t xml:space="preserve">ի </w:t>
      </w:r>
      <w:r w:rsidR="00064441">
        <w:rPr>
          <w:rFonts w:ascii="GHEA Grapalat" w:hAnsi="GHEA Grapalat"/>
          <w:sz w:val="28"/>
          <w:szCs w:val="28"/>
          <w:lang w:val="en-US"/>
        </w:rPr>
        <w:t>վերաբերյալ</w:t>
      </w:r>
      <w:r w:rsidR="00305461">
        <w:rPr>
          <w:rFonts w:ascii="GHEA Grapalat" w:hAnsi="GHEA Grapalat"/>
          <w:sz w:val="28"/>
          <w:szCs w:val="28"/>
          <w:lang w:val="en-US"/>
        </w:rPr>
        <w:t xml:space="preserve"> </w:t>
      </w:r>
      <w:r w:rsidR="00F31063" w:rsidRPr="00F31063">
        <w:rPr>
          <w:rFonts w:ascii="GHEA Grapalat" w:hAnsi="GHEA Grapalat"/>
          <w:sz w:val="28"/>
          <w:szCs w:val="28"/>
          <w:lang w:val="en-US"/>
        </w:rPr>
        <w:t>ՀՀ վարչապետի աշխատակազմի ֆինանսատնտեսագիտական վարչության</w:t>
      </w:r>
      <w:r w:rsidR="00064441">
        <w:rPr>
          <w:rFonts w:ascii="GHEA Grapalat" w:hAnsi="GHEA Grapalat"/>
          <w:sz w:val="28"/>
          <w:szCs w:val="28"/>
          <w:lang w:val="en-US"/>
        </w:rPr>
        <w:t xml:space="preserve"> </w:t>
      </w:r>
      <w:r w:rsidR="00064441" w:rsidRPr="00064441">
        <w:rPr>
          <w:rFonts w:ascii="GHEA Grapalat" w:hAnsi="GHEA Grapalat"/>
          <w:sz w:val="28"/>
          <w:szCs w:val="28"/>
        </w:rPr>
        <w:t>առաջարկությունների</w:t>
      </w:r>
      <w:r w:rsidR="00215BD6">
        <w:rPr>
          <w:rFonts w:ascii="GHEA Grapalat" w:hAnsi="GHEA Grapalat"/>
          <w:sz w:val="28"/>
          <w:szCs w:val="28"/>
          <w:lang w:val="en-US"/>
        </w:rPr>
        <w:t xml:space="preserve"> </w:t>
      </w:r>
    </w:p>
    <w:p w14:paraId="0EFDD25E" w14:textId="77777777" w:rsidR="0074025E" w:rsidRPr="0074025E" w:rsidRDefault="0074025E" w:rsidP="0042287C">
      <w:pPr>
        <w:spacing w:line="276" w:lineRule="auto"/>
        <w:jc w:val="center"/>
        <w:rPr>
          <w:rFonts w:ascii="GHEA Grapalat" w:hAnsi="GHEA Grapalat"/>
          <w:sz w:val="28"/>
          <w:szCs w:val="28"/>
        </w:rPr>
      </w:pPr>
      <w:bookmarkStart w:id="0" w:name="_GoBack"/>
      <w:bookmarkEnd w:id="0"/>
    </w:p>
    <w:tbl>
      <w:tblPr>
        <w:tblStyle w:val="TableGrid"/>
        <w:tblW w:w="1488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4678"/>
        <w:gridCol w:w="1701"/>
        <w:gridCol w:w="5386"/>
      </w:tblGrid>
      <w:tr w:rsidR="00054658" w:rsidRPr="00305461" w14:paraId="365E5614" w14:textId="7FE9BD40" w:rsidTr="00F31063">
        <w:trPr>
          <w:trHeight w:val="324"/>
          <w:tblHeader/>
        </w:trPr>
        <w:tc>
          <w:tcPr>
            <w:tcW w:w="851" w:type="dxa"/>
            <w:vAlign w:val="center"/>
          </w:tcPr>
          <w:p w14:paraId="61831565" w14:textId="26471CD3" w:rsidR="00054658" w:rsidRPr="00305461" w:rsidRDefault="00054658" w:rsidP="0030546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6"/>
                <w:szCs w:val="26"/>
              </w:rPr>
            </w:pPr>
            <w:r w:rsidRPr="00305461">
              <w:rPr>
                <w:rFonts w:ascii="GHEA Grapalat" w:hAnsi="GHEA Grapalat"/>
                <w:b/>
                <w:bCs/>
                <w:sz w:val="26"/>
                <w:szCs w:val="26"/>
              </w:rPr>
              <w:t>Հ/Հ</w:t>
            </w:r>
          </w:p>
        </w:tc>
        <w:tc>
          <w:tcPr>
            <w:tcW w:w="2268" w:type="dxa"/>
            <w:vAlign w:val="center"/>
          </w:tcPr>
          <w:p w14:paraId="19E41925" w14:textId="606E3414" w:rsidR="00054658" w:rsidRPr="00305461" w:rsidRDefault="00054658" w:rsidP="0030546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6"/>
                <w:szCs w:val="26"/>
                <w:lang w:val="en-US"/>
              </w:rPr>
            </w:pPr>
            <w:r w:rsidRPr="00305461">
              <w:rPr>
                <w:rFonts w:ascii="GHEA Grapalat" w:hAnsi="GHEA Grapalat"/>
                <w:b/>
                <w:bCs/>
                <w:sz w:val="26"/>
                <w:szCs w:val="26"/>
                <w:lang w:val="en-US"/>
              </w:rPr>
              <w:t>Մարմինը</w:t>
            </w:r>
          </w:p>
        </w:tc>
        <w:tc>
          <w:tcPr>
            <w:tcW w:w="4678" w:type="dxa"/>
            <w:vAlign w:val="center"/>
          </w:tcPr>
          <w:p w14:paraId="202B3908" w14:textId="6F7FEE41" w:rsidR="00054658" w:rsidRPr="00305461" w:rsidRDefault="00054658" w:rsidP="00F97E77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6"/>
                <w:szCs w:val="26"/>
              </w:rPr>
            </w:pPr>
            <w:r w:rsidRPr="00305461">
              <w:rPr>
                <w:rFonts w:ascii="GHEA Grapalat" w:hAnsi="GHEA Grapalat"/>
                <w:b/>
                <w:bCs/>
                <w:sz w:val="26"/>
                <w:szCs w:val="26"/>
              </w:rPr>
              <w:t>Առաջարկության բովանդակությունը</w:t>
            </w:r>
          </w:p>
        </w:tc>
        <w:tc>
          <w:tcPr>
            <w:tcW w:w="1701" w:type="dxa"/>
            <w:vAlign w:val="center"/>
          </w:tcPr>
          <w:p w14:paraId="3537BD1A" w14:textId="3FE29F42" w:rsidR="00054658" w:rsidRPr="00305461" w:rsidRDefault="00054658" w:rsidP="00F97E77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6"/>
                <w:szCs w:val="26"/>
              </w:rPr>
            </w:pPr>
            <w:r w:rsidRPr="00305461">
              <w:rPr>
                <w:rFonts w:ascii="GHEA Grapalat" w:hAnsi="GHEA Grapalat"/>
                <w:b/>
                <w:bCs/>
                <w:sz w:val="26"/>
                <w:szCs w:val="26"/>
              </w:rPr>
              <w:t>Եզրակա</w:t>
            </w:r>
            <w:r w:rsidR="00A561E2" w:rsidRPr="00305461">
              <w:rPr>
                <w:rFonts w:ascii="GHEA Grapalat" w:hAnsi="GHEA Grapalat"/>
                <w:b/>
                <w:bCs/>
                <w:sz w:val="26"/>
                <w:szCs w:val="26"/>
                <w:lang w:val="en-US"/>
              </w:rPr>
              <w:t>-</w:t>
            </w:r>
            <w:r w:rsidRPr="00305461">
              <w:rPr>
                <w:rFonts w:ascii="GHEA Grapalat" w:hAnsi="GHEA Grapalat"/>
                <w:b/>
                <w:bCs/>
                <w:sz w:val="26"/>
                <w:szCs w:val="26"/>
              </w:rPr>
              <w:t>ցություն</w:t>
            </w:r>
          </w:p>
        </w:tc>
        <w:tc>
          <w:tcPr>
            <w:tcW w:w="5386" w:type="dxa"/>
            <w:vAlign w:val="center"/>
          </w:tcPr>
          <w:p w14:paraId="450E2F25" w14:textId="002689E4" w:rsidR="00054658" w:rsidRPr="00305461" w:rsidRDefault="00054658" w:rsidP="00F97E77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6"/>
                <w:szCs w:val="26"/>
                <w:lang w:val="en-US"/>
              </w:rPr>
            </w:pPr>
            <w:r w:rsidRPr="00305461">
              <w:rPr>
                <w:rFonts w:ascii="GHEA Grapalat" w:hAnsi="GHEA Grapalat"/>
                <w:b/>
                <w:bCs/>
                <w:sz w:val="26"/>
                <w:szCs w:val="26"/>
                <w:lang w:val="en-US"/>
              </w:rPr>
              <w:t>Մեկնաբանություն</w:t>
            </w:r>
          </w:p>
        </w:tc>
      </w:tr>
      <w:tr w:rsidR="00054658" w:rsidRPr="00305461" w14:paraId="38E49A53" w14:textId="4C3371B0" w:rsidTr="00F31063">
        <w:trPr>
          <w:trHeight w:val="336"/>
        </w:trPr>
        <w:tc>
          <w:tcPr>
            <w:tcW w:w="851" w:type="dxa"/>
            <w:vAlign w:val="center"/>
          </w:tcPr>
          <w:p w14:paraId="5C19099E" w14:textId="0BE71D4F" w:rsidR="00054658" w:rsidRPr="00305461" w:rsidRDefault="00054658" w:rsidP="0030546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05461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14:paraId="084927C5" w14:textId="7ED0CFC2" w:rsidR="00054658" w:rsidRPr="00305461" w:rsidRDefault="00054658" w:rsidP="0030546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305461"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</w:p>
        </w:tc>
        <w:tc>
          <w:tcPr>
            <w:tcW w:w="4678" w:type="dxa"/>
            <w:vAlign w:val="center"/>
          </w:tcPr>
          <w:p w14:paraId="66392BC0" w14:textId="63F7F4EC" w:rsidR="00054658" w:rsidRPr="00305461" w:rsidRDefault="00054658" w:rsidP="00F97E7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305461"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</w:p>
        </w:tc>
        <w:tc>
          <w:tcPr>
            <w:tcW w:w="1701" w:type="dxa"/>
            <w:vAlign w:val="center"/>
          </w:tcPr>
          <w:p w14:paraId="3A5062A1" w14:textId="3E6C7383" w:rsidR="00054658" w:rsidRPr="00305461" w:rsidRDefault="00054658" w:rsidP="00F97E7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305461"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</w:p>
        </w:tc>
        <w:tc>
          <w:tcPr>
            <w:tcW w:w="5386" w:type="dxa"/>
            <w:vAlign w:val="center"/>
          </w:tcPr>
          <w:p w14:paraId="6C9D3F35" w14:textId="2255C855" w:rsidR="00054658" w:rsidRPr="00305461" w:rsidRDefault="00BB37AC" w:rsidP="00F97E7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305461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</w:p>
        </w:tc>
      </w:tr>
      <w:tr w:rsidR="00054658" w:rsidRPr="00305461" w14:paraId="2AF3DF4A" w14:textId="678EBF06" w:rsidTr="0074025E">
        <w:trPr>
          <w:trHeight w:val="755"/>
        </w:trPr>
        <w:tc>
          <w:tcPr>
            <w:tcW w:w="851" w:type="dxa"/>
            <w:vAlign w:val="center"/>
          </w:tcPr>
          <w:p w14:paraId="350121D8" w14:textId="6E728DE1" w:rsidR="00054658" w:rsidRPr="00305461" w:rsidRDefault="00054658" w:rsidP="00305461">
            <w:pPr>
              <w:spacing w:line="276" w:lineRule="auto"/>
              <w:jc w:val="center"/>
              <w:rPr>
                <w:rFonts w:ascii="Cambria Math" w:hAnsi="Cambria Math"/>
                <w:sz w:val="24"/>
                <w:szCs w:val="24"/>
                <w:lang w:val="en-US"/>
              </w:rPr>
            </w:pPr>
            <w:r w:rsidRPr="00305461">
              <w:rPr>
                <w:rFonts w:ascii="GHEA Grapalat" w:hAnsi="GHEA Grapalat"/>
                <w:sz w:val="24"/>
                <w:szCs w:val="24"/>
              </w:rPr>
              <w:t>1</w:t>
            </w:r>
            <w:r w:rsidRPr="00305461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2268" w:type="dxa"/>
            <w:vAlign w:val="center"/>
          </w:tcPr>
          <w:p w14:paraId="5ABC842A" w14:textId="2DDB1766" w:rsidR="00054658" w:rsidRPr="00305461" w:rsidRDefault="00F31063" w:rsidP="00F31063">
            <w:pPr>
              <w:pStyle w:val="ListParagraph"/>
              <w:spacing w:line="276" w:lineRule="auto"/>
              <w:ind w:left="0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t>ՀՀ վարչապետի աշխատակազմի ֆինանսատնտեսագիտական վարչությ</w:t>
            </w:r>
            <w:r>
              <w:rPr>
                <w:rFonts w:ascii="GHEA Grapalat" w:hAnsi="GHEA Grapalat"/>
                <w:sz w:val="24"/>
                <w:szCs w:val="24"/>
              </w:rPr>
              <w:t>ուն</w:t>
            </w:r>
          </w:p>
        </w:tc>
        <w:tc>
          <w:tcPr>
            <w:tcW w:w="4678" w:type="dxa"/>
          </w:tcPr>
          <w:p w14:paraId="4EA59EFC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t>Օրենքի նախագծի 3-րդ հոդվածով առաջարկվում է գործող օրենքի 4-րդ հոդվածի  2-րդ մասը շարադրել հետևյալ խմբագրությամբ.</w:t>
            </w:r>
          </w:p>
          <w:p w14:paraId="42D10808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t xml:space="preserve">«2. Լիազոր մարմինն իր իրավասության սահմաններում հաստատում է` </w:t>
            </w:r>
          </w:p>
          <w:p w14:paraId="682DF69E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t xml:space="preserve">1) Հայաստանի Հանրապետության հանրային հատվածի հաշվապահական հաշվառման ստանդարտը, </w:t>
            </w:r>
          </w:p>
          <w:p w14:paraId="465AF1D3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t>2) կազմակերպությունների հաշվապահական հաշվառման հաշվային պլանը և դրա կիրառման հրահանգը,</w:t>
            </w:r>
          </w:p>
          <w:p w14:paraId="29FC111B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t xml:space="preserve">3) կազմակերպությունների հաշվապահական հաշվառման քաղաքականության օրինակելի մոդելը, </w:t>
            </w:r>
          </w:p>
          <w:p w14:paraId="46291066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t xml:space="preserve">4) կազմակերպությունների ֆինանսական հաշվետվությունների </w:t>
            </w: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օրինակելի փաթեթը և լրացման ցուցումները, </w:t>
            </w:r>
          </w:p>
          <w:p w14:paraId="3066FFDC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t xml:space="preserve">5) կազմակերպություններում հողամասերի և շենքերի վերագնահատման անցկացման ժամկետները և մեթոդաբանությունը, </w:t>
            </w:r>
          </w:p>
          <w:p w14:paraId="7A72567D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t>6) կազմակերպություններում նյութական ակտիվը որպես հիմնական միջոց դասակարգելու նվազագույն արժեքը,</w:t>
            </w:r>
          </w:p>
          <w:p w14:paraId="0F6CE2C3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t xml:space="preserve">7) կազմակերպություններում նոր հիմնական միջոցների և սկզբնական արժեքով հաշվառվող կենսաբանական ակտիվների մաշվածության հաշվարկման նորմատի-վա¬յին օգտակար ծառայության ժամկետները, </w:t>
            </w:r>
          </w:p>
          <w:p w14:paraId="5F44154D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t xml:space="preserve">8) կազմակերպությունների դեբիտորական պարտքերի հնարավոր կորուստների պահուստի ձևավորման, դեբիտորական պարտքերի անհուսալի ճանաչման, դուրսգրման և հաշվապահական հաշվառման մեջ արտացոլման կարգը. </w:t>
            </w:r>
          </w:p>
          <w:p w14:paraId="51F2093B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t>9) սույն օրենքով նախատեսված իրավական այլ ակտեր:»</w:t>
            </w:r>
          </w:p>
          <w:p w14:paraId="4D59099B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t xml:space="preserve">Այսինքն, առաջարկվում է, որ լիազոր մարմինը (ֆինանսների </w:t>
            </w: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նախարարություն) հաստատի օրենքի 4-րդ հոդվածի  2-րդ մասում թվարկված 1-9  ենթակետերի վերաբերյալ իրավական ակտերը: </w:t>
            </w:r>
          </w:p>
          <w:p w14:paraId="6BD24BBC" w14:textId="22A16DE3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t xml:space="preserve">Անհարժեշտ ենք համարում նշել, որ ներկայայումս Հայաստանի Հանրապետությունում գործող «Հաշվապահական հաշվառման մասին» և «Հանրային հատվածի կազմակերպությունների հաշվապահական հաշվառման մասին»  ՀՀ օրենքներից բխող նույնաբնույթ որոշ իրավական ակտեր ընդունված են տարբեր մոտեցումներով: </w:t>
            </w:r>
          </w:p>
          <w:p w14:paraId="7DB04F9F" w14:textId="4D3F96CF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t xml:space="preserve">Այսպես, օրինակ, «Հաշվապահական հաշվառման մասին» օրենքով նախատեսված ֆինանսական հաշվետվությունների միջազգային ստանդարտները կիրառության մեջ է դրվել ՀՀ կառավարության 11.03.2010թ. «Ֆինանսական հաշվետվությունների միջազգային ստանդարտները և միջազգային ստանդարտների ուղեցույցները հրապարակելու մասին» N 235-Ն որոշումով, իսկ «Հանրային հատվածի կազմակերպությունների հաշվապահական հաշվառման մասին»  </w:t>
            </w: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ՀՀ օրենքով նախատեսված հանրային հատվածի հաշվապահական հաշվառման ստանդարտը հաստատված է ՀՀ ֆինանսների նախարարի 24.10.2014 N 725-Ն հրամանով:</w:t>
            </w:r>
          </w:p>
          <w:p w14:paraId="6FEB8F5A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t>Կամ ՀՀ կառավարության 05.10.2017թ. N 1373-Ն որոշումով հաստատվել է շահութահարկ վճարողների դեբիտորական պարտքերի հնարավոր կորուստների պահուստի ձևավորման, դեբիտորական ու կրեդիտորական պարտքերի անհուսալի ճանաչման և դուրսգրման կարգը, իսկ ըստ ներկայացրած օրենքի նախագծի՝ օրենքի 4-րդ հոդվածի  2-րդ մասում կատարվող նոր խմբագրությամբ նախատեսվում է, որ    հանրային հատվածի կազմակերպությունների դեբիտորական պարտքերի հնարավոր կորուստների պահուստի ձևավորման, դեբիտորական պարտքերի անհուսալի ճանաչման, դուրսգրման և հաշվապահական հաշվառման մեջ արտացոլման կարգը հաստատում է  լիազոր մարմինը:</w:t>
            </w:r>
          </w:p>
          <w:p w14:paraId="3AE774FE" w14:textId="64661ED4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t xml:space="preserve">Գտնում ենք, որ «Հաշվապահական </w:t>
            </w: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հաշվառման մասին» և «Հանրային հատվածի կազմակերպությունների հաշվապահական հաշվառման մասին»  ՀՀ օրենքներից բխող նույնաբնույթ համապատասխան իրավական ակտերը պետք է ընդունվեն նույնական մոտեցմամբ՝ բացառելով նրանց նկատմամբ տարբերկված մոտեցումը: </w:t>
            </w:r>
          </w:p>
          <w:p w14:paraId="5C801382" w14:textId="505DAD25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t>Նկատի ունենալով, որ ՀՀ կառավարության որշումները ունեն իրավական ավելի բարձր կարգավիճակ և հանրայնության ավելի բարձր աստիճան քան լիազոր մարմնի ընդունած իրավական ակտերը, գտնում ենք, որ ներկայացված օրենքի նախագիծը անհրաժեշտ է լրամշակել նախատեսելով «Հաշվապահական հաշվառման մասին» և «Հանրային հատվածի կազմակերպությունների հաշվապահական հաշվառման մասին»  ՀՀ օրենքից բխող իրավական ակտերի ընդունման նույնական մոտեցում, մասնավորապես, վերը նշված նույնաբնույթ իրավական ակտերի ընդունումը նախատեսելով ՀՀ կառավարության որոշումների տեսքով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(</w:t>
            </w: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t xml:space="preserve">թերևս նաև հանրային հատվածի </w:t>
            </w: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կազմակերպությունների ակտիվների և պարտավորությունների պարտադիր գույքագրման անցկացման կարգը և ժամկետները):</w:t>
            </w:r>
          </w:p>
          <w:p w14:paraId="3F9AD176" w14:textId="387936E5" w:rsidR="00054658" w:rsidRPr="00305461" w:rsidRDefault="00F31063" w:rsidP="00F31063">
            <w:pPr>
              <w:pStyle w:val="ListParagraph"/>
              <w:spacing w:line="276" w:lineRule="auto"/>
              <w:ind w:left="0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31063">
              <w:rPr>
                <w:rFonts w:ascii="GHEA Grapalat" w:hAnsi="GHEA Grapalat"/>
                <w:sz w:val="24"/>
                <w:szCs w:val="24"/>
                <w:lang w:val="en-US"/>
              </w:rPr>
              <w:t>Ելնելով վերը նշվածից առաջարկում ենք օրենքի նախագիծը լրամշակել վերը նշված դիտողություններին և առաջարկություններին համապատասխան:</w:t>
            </w:r>
          </w:p>
        </w:tc>
        <w:tc>
          <w:tcPr>
            <w:tcW w:w="1701" w:type="dxa"/>
          </w:tcPr>
          <w:p w14:paraId="5254DC75" w14:textId="6D6B0961" w:rsidR="00054658" w:rsidRPr="00305461" w:rsidRDefault="00F31063" w:rsidP="00F97E7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Չի ընդունվել</w:t>
            </w:r>
          </w:p>
          <w:p w14:paraId="44F5A4EC" w14:textId="77777777" w:rsidR="00054658" w:rsidRPr="00305461" w:rsidRDefault="00054658" w:rsidP="00F97E7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7C0AF75E" w14:textId="77777777" w:rsidR="00054658" w:rsidRPr="00305461" w:rsidRDefault="00054658" w:rsidP="00F97E7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01369D72" w14:textId="77777777" w:rsidR="00054658" w:rsidRPr="00305461" w:rsidRDefault="00054658" w:rsidP="00F97E77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14:paraId="316280CC" w14:textId="762F63B3" w:rsidR="00054658" w:rsidRPr="00305461" w:rsidRDefault="00054658" w:rsidP="00F97E77">
            <w:pPr>
              <w:spacing w:line="276" w:lineRule="auto"/>
              <w:rPr>
                <w:rFonts w:ascii="Cambria Math" w:hAnsi="Cambria Math"/>
                <w:sz w:val="24"/>
                <w:szCs w:val="24"/>
              </w:rPr>
            </w:pPr>
          </w:p>
        </w:tc>
        <w:tc>
          <w:tcPr>
            <w:tcW w:w="5386" w:type="dxa"/>
          </w:tcPr>
          <w:p w14:paraId="79938904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>«Հաշվապահական հաշվառման մասին» ՀՕ-282-Ն և «Հաշվապահական հաշվառման և աուդիտորական գործունեության կարգավորման և հանրային վերահսկողության մասին» ՀՕ-284-Ն ՀՀ օրենքներն ընդունվել են 2019 թվականի դեկտեմբերի 4-ին և ուժի մեջ մտել 2020 թվականի հունվարի 1-ից։</w:t>
            </w:r>
          </w:p>
          <w:p w14:paraId="2BFC5943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 xml:space="preserve">«Հաշվապահական հաշվառման և աուդիտորական գործունեության կարգավորման և հանրային վերահսկողության մասին» ՀՀ օրենքի (այսուհետ՝ Օրենք) 3-րդ հոդվածի համաձայն՝ Հայաստանի Հանրապետությունում հաշվապահական հաշվառման և աուդիտորական գործունեության ոլորտում քաղաքականություն իրականացնող մարմինը ֆինանսների նախարարությունն է՝ համաձայն </w:t>
            </w:r>
            <w:r w:rsidRPr="00F31063">
              <w:rPr>
                <w:rFonts w:ascii="GHEA Grapalat" w:hAnsi="GHEA Grapalat"/>
                <w:sz w:val="24"/>
                <w:szCs w:val="24"/>
              </w:rPr>
              <w:lastRenderedPageBreak/>
              <w:t>«Կառավարության կառուցվածքի և գործունեության մասին» օրենքի:</w:t>
            </w:r>
          </w:p>
          <w:p w14:paraId="0AF92E18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>Օրենքի 5-րդ հոդվածի 1-ին մասի համաձայն՝ հանրային վերահսկողության խորհուրդը հաշվապահական հաշվառման և աուդիտորական գործունեության կարգավորման նկատմամբ հանրային վերահսկողության գործառույթներ իրականացնելու նպատակով նույն օրենքի համաձայն՝ ֆինանսների նախարարությանը կից ստեղծված մարմին է:</w:t>
            </w:r>
          </w:p>
          <w:p w14:paraId="1469FE87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>Օրենքի 6-րդ հոդվածի 2-րդ մասի համաձայն՝ հանրային վերահսկողության խորհուրդն ապահովում է՝</w:t>
            </w:r>
          </w:p>
          <w:p w14:paraId="4156302C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>ա. ամբողջական ՖՀՄՍ-ների, ֆինանսական հաշվետվությունների հայեցակարգային հիմունքների, ՓՄԿ-ների ՖՀՄՍ-ի, ինչպես նաև դրանցում տեղի ունեցած փոփոխությունների և լրացումների թարգմանությունն ու դրանց պաշտոնական հրապարակումը,</w:t>
            </w:r>
          </w:p>
          <w:p w14:paraId="2282EB7E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 xml:space="preserve">բ. հանրային հետաքրքրություն ներկայացնող կազմակերպությունների և խոշոր կազմակերպությունների ֆինանսատնտեսական գործունեության հաշվապահական հաշվառման օրինակելի հաշվային պլանի և օրինակելի հաշվային </w:t>
            </w:r>
            <w:r w:rsidRPr="00F31063">
              <w:rPr>
                <w:rFonts w:ascii="GHEA Grapalat" w:hAnsi="GHEA Grapalat"/>
                <w:sz w:val="24"/>
                <w:szCs w:val="24"/>
              </w:rPr>
              <w:lastRenderedPageBreak/>
              <w:t>պլանի կիրառման հրահանգի, ինչպես նաև ցուցադրական ֆինանսական հաշվետվությունների մշակումը,</w:t>
            </w:r>
          </w:p>
          <w:p w14:paraId="1390FCA5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>գ. փոքր և միջին կազմակերպությունների ֆինանսատնտեսական գործունեության հաշվապահական հաշվառման օրինակելի հաշվային պլանի և օրինակելի հաշվային պլանի կիրառման հրահանգի, ինչպես նաև ցուցադրական ֆինանսական հաշվետվությունների մշակումը,</w:t>
            </w:r>
          </w:p>
          <w:p w14:paraId="3C38FE70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>դ. միկրոկազմակերպությունների հաշվապահական հաշվառման վարման և ֆինանսական հաշվետվությունների պատրաստման ձեռնարկի, ինչպես նաև ֆինանսատնտեսական գործունեության հաշվապահական հաշվառման օրինակելի հաշվային պլանի և հաշվային պլանի կիրառման հրահանգի մշակումը,</w:t>
            </w:r>
          </w:p>
          <w:p w14:paraId="7185E6E0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>ե. «Հաշվապահական հաշվառման մասին» օրենքով նախատեսված՝ հաշվապահական հաշվառումը կարգավորող այլ նորմատիվ իրավական ակտերի նախագծերի մշակումը,</w:t>
            </w:r>
          </w:p>
          <w:p w14:paraId="38F71790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>զ. «Աուդիտորական գործունեության մասին» օրենքով նախատեսված՝ աուդիտորական գործունեությունը կարգավորող այլ նորմատիվ իրավական ակտերի նախագծերի մշակումը,</w:t>
            </w:r>
          </w:p>
          <w:p w14:paraId="7A4FB046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 xml:space="preserve">է. աուդիտորական գործունեության </w:t>
            </w:r>
            <w:r w:rsidRPr="00F31063">
              <w:rPr>
                <w:rFonts w:ascii="GHEA Grapalat" w:hAnsi="GHEA Grapalat"/>
                <w:sz w:val="24"/>
                <w:szCs w:val="24"/>
              </w:rPr>
              <w:lastRenderedPageBreak/>
              <w:t>միջազգային ստանդարտների, Մասնագիտական էթիկայի կանոնագրքի, ինչպես նաև դրանցում տեղի ունեցած փոփոխությունների և լրացումների թարգմանությունն ու դրանց պաշտոնական հրապարակումը:</w:t>
            </w:r>
          </w:p>
          <w:p w14:paraId="702EC02D" w14:textId="77777777" w:rsid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5E2A59C6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>Ընդ որում, Օրենքի 6-րդ հոդվածի 5-րդ մասի համաձայն՝ Օրենքի 6-րդ հոդվածի 2-րդ մասի համաձայն՝ թարգմանված կամ մշակված՝ հաշվապահական հաշվառումը և աուդիտորական գործունեությունը կարգավորող նորմատիվ իրավական ակտերի նախագծերը հանրային վերահսկողության խորհուրդը ներկայացնում է քաղաքականություն իրականացնող մարմին՝ հաստատման և օրենսդրությամբ սահմանված պահանջներին համապատասխան պաշտոնական հրապարակման համար:</w:t>
            </w:r>
          </w:p>
          <w:p w14:paraId="4C8F7735" w14:textId="77777777" w:rsid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19C2F3F3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 xml:space="preserve">Հաշվի առնելով վերը նշվածը՝ հայտնում ենք, որ մասնավոր հատվածի հաշվապահական հաշվառումը կարգավորող՝ վերը նշված նորմատիվ իրավական ակտերը, այդ թվում՝ ֆինանսական հաշվետվությունների միջազգային ստանդարտները, Օրենքի համաձայն հաստատվում են ՀՀ ֆինանսների </w:t>
            </w:r>
            <w:r w:rsidRPr="00F31063">
              <w:rPr>
                <w:rFonts w:ascii="GHEA Grapalat" w:hAnsi="GHEA Grapalat"/>
                <w:sz w:val="24"/>
                <w:szCs w:val="24"/>
              </w:rPr>
              <w:lastRenderedPageBreak/>
              <w:t>նախարարության կողմից։</w:t>
            </w:r>
          </w:p>
          <w:p w14:paraId="36DD05A5" w14:textId="77777777" w:rsid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67155DC8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>Հարկ է նշել, որ «Հաշվապահական հաշվառման մասին» ՀՀ օրենքի համաձայն՝ ոլորտը կարգավորող բոլոր նորմատիվ իրավական ակտերն (այդ թվում՝ ակտիվների և պարտավորությունների պարտադիր գույքագրման անցկացման կարգը) ընդունելու լիազորությունը վերապահված է ՀՀ ֆինանսների նախարարությանը։ Բացառություն է հանդիսանում միայն համակարգչային ծրագրերի` հաշվապահական հաշվառման ոլորտը կարգավորող օրենսդրության պահանջներին համապատասխանության որոշման կարգը, որը «Հաշվապահական հաշվառման մասին» ՀՀ օրենքի 7-րդ հոդվածի 3-րդ մասի համաձայն՝ սահմանում է Կառավարությունը։</w:t>
            </w:r>
          </w:p>
          <w:p w14:paraId="39BBBDD0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 xml:space="preserve">Ինչ վերաբերում է ՀՀ կառավարության 2017 թվականի հոկտեմբերի 5-ի թիվ 1373-Ն որոշմամբ հաստատված՝ շահութահարկ վճարողների (բացառությամբ բանկերի, վարկային կազմակերպությունների, ապահովագրական ընկերությունների և արժեթղթերի շուկայի մասնագիտացված անձանց) դեբիտորական պարտքերի հնարավոր կորուստների պահուստի </w:t>
            </w:r>
            <w:r w:rsidRPr="00F31063">
              <w:rPr>
                <w:rFonts w:ascii="GHEA Grapalat" w:hAnsi="GHEA Grapalat"/>
                <w:sz w:val="24"/>
                <w:szCs w:val="24"/>
              </w:rPr>
              <w:lastRenderedPageBreak/>
              <w:t>(պահուստաֆոնդի) ձևավորման, դեբիտորական ու կրեդիտորական պարտքերի անհուսալի ճանաչման և դուրսգրման կարգին, ապա հայտնում ենք, որ վերջինիս նպատակն ու կարգավորման շրջանակը դուրս է «Հաշվապահական հաշվառման մասին» ՀՀ օրենքի գործողության ոլորտից և այն կարգավորում է կազմակերպությունների հարկային հաշվառման հետ կապված հարցեր՝ հարկային օրենսդրության պահանջների համաձայն։</w:t>
            </w:r>
          </w:p>
          <w:p w14:paraId="582E592A" w14:textId="77777777" w:rsid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726DAD93" w14:textId="3D94F055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 xml:space="preserve">Միաժամանակ, հարկ ենք համարում նշել, որ ««Հանրային հատվածի կազմակերպությունների հաշվապահական հաշվառման մասին» ՀՀ օրենքում փոփոխություններ և լրացումներ կատարելու մասին» ՀՀ օրենքի նախագծի (այսուհետ՝ Նախագիծ) 3-րդ հոդվածում նշված իրավական ակտերն, ըստ էության, արդեն իսկ հաստատված են ՀՀ ֆինանսների նախարարի հրամաններով, սակայն քանի որ դրանց մի մասն ընդունելու լիազորությունը ՀՀ ֆինանսների նախարարությանը վերապահված է ոչ թե ուղղակիորեն օրենքով, այլ ենթաօրենսդրական նորմատիվ իրավական ակտերով՝ Նախագծով </w:t>
            </w:r>
            <w:r w:rsidRPr="00F31063">
              <w:rPr>
                <w:rFonts w:ascii="GHEA Grapalat" w:hAnsi="GHEA Grapalat"/>
                <w:sz w:val="24"/>
                <w:szCs w:val="24"/>
              </w:rPr>
              <w:lastRenderedPageBreak/>
              <w:t>առաջարկվել է ապահովել 2015 թվականի դեկտեմբերի 6-ին ընդունված ՀՀ Սահմանադրության պահանջների իրացումը։</w:t>
            </w:r>
          </w:p>
          <w:p w14:paraId="74A8D882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>Ստորև ներկայացված է ՀՀ ֆինանսների նախարարի վերը նշված իրավական ակտերի ցանկը.</w:t>
            </w:r>
          </w:p>
          <w:p w14:paraId="0C86FA07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>•</w:t>
            </w:r>
            <w:r w:rsidRPr="00F31063">
              <w:rPr>
                <w:rFonts w:ascii="GHEA Grapalat" w:hAnsi="GHEA Grapalat"/>
                <w:sz w:val="24"/>
                <w:szCs w:val="24"/>
              </w:rPr>
              <w:tab/>
              <w:t>ՀՀ ֆինանսների նախարարի 2014 թվականի հոկտեմբերի 24-ի «Հայաստանի Հանրապետության հանրային հատվածի հաշվապահական հաշվառման ստանդարտը հաստատելու մասին» թիվ 725-Ն հրաման,</w:t>
            </w:r>
          </w:p>
          <w:p w14:paraId="31328954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>•</w:t>
            </w:r>
            <w:r w:rsidRPr="00F31063">
              <w:rPr>
                <w:rFonts w:ascii="GHEA Grapalat" w:hAnsi="GHEA Grapalat"/>
                <w:sz w:val="24"/>
                <w:szCs w:val="24"/>
              </w:rPr>
              <w:tab/>
              <w:t>ՀՀ ֆինանսների նախարարի 2015 թվականի ապրիլի 9-ի «Հանրային հատվածի կազմակերպությունների հաշվապահական հաշվառման հաշվային պլանը և դրա կիրառման հրահանգը հաստատելու մասին» թիվ 207-Ն հրաման,</w:t>
            </w:r>
          </w:p>
          <w:p w14:paraId="7ACB2A7D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>•</w:t>
            </w:r>
            <w:r w:rsidRPr="00F31063">
              <w:rPr>
                <w:rFonts w:ascii="GHEA Grapalat" w:hAnsi="GHEA Grapalat"/>
                <w:sz w:val="24"/>
                <w:szCs w:val="24"/>
              </w:rPr>
              <w:tab/>
              <w:t>ՀՀ ֆինանսների նախարարի 2015 թվականի հուլիսի 7-ի «Հանրային հատվածի կազմակերպությունների հաշվապահական հաշվառման քաղաքականության օրինակելի մոդելը հաստատելու մասին» թիվ 457-Ն հրաման,</w:t>
            </w:r>
          </w:p>
          <w:p w14:paraId="5F29E87B" w14:textId="6204A731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>•</w:t>
            </w:r>
            <w:r w:rsidRPr="00F31063">
              <w:rPr>
                <w:rFonts w:ascii="GHEA Grapalat" w:hAnsi="GHEA Grapalat"/>
                <w:sz w:val="24"/>
                <w:szCs w:val="24"/>
              </w:rPr>
              <w:tab/>
              <w:t xml:space="preserve">ՀՀ ֆինանսների նախարարի 2017 թվականի հունվարի 30-ի «Հայաստանի Հանրապետության հանրային հատվածի կազմակերպությունների ֆինանսական </w:t>
            </w:r>
            <w:r w:rsidRPr="00F31063">
              <w:rPr>
                <w:rFonts w:ascii="GHEA Grapalat" w:hAnsi="GHEA Grapalat"/>
                <w:sz w:val="24"/>
                <w:szCs w:val="24"/>
              </w:rPr>
              <w:lastRenderedPageBreak/>
              <w:t>հաշվետվությունների օրինակելի փաթեթը հաստատելու մասին» թիվ 27-Ն հրաման,</w:t>
            </w:r>
          </w:p>
          <w:p w14:paraId="65C8A640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>•</w:t>
            </w:r>
            <w:r w:rsidRPr="00F31063">
              <w:rPr>
                <w:rFonts w:ascii="GHEA Grapalat" w:hAnsi="GHEA Grapalat"/>
                <w:sz w:val="24"/>
                <w:szCs w:val="24"/>
              </w:rPr>
              <w:tab/>
              <w:t>ՀՀ ֆինանսների նախարարի 2016 թվականի մարտի 9-ի «Հայաստանի Հանրապետության հանրային հատվածի կազմակերպություններում հաշվապահական հաշվառման նպատակով հողամասերի և շենքերի իրական արժեքով գնահատման ուղեցույցը հաստատելու մասին» թիվ 143-Ա հրաման,</w:t>
            </w:r>
          </w:p>
          <w:p w14:paraId="5D9ED0D8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>•</w:t>
            </w:r>
            <w:r w:rsidRPr="00F31063">
              <w:rPr>
                <w:rFonts w:ascii="GHEA Grapalat" w:hAnsi="GHEA Grapalat"/>
                <w:sz w:val="24"/>
                <w:szCs w:val="24"/>
              </w:rPr>
              <w:tab/>
              <w:t>ՀՀ ֆինանսների նախարարի 2015 թվականի հուլիսի 28-ի «Հանրային հատվածի կազմակերպություններում նյութական ակտիվը որպես հիմնական միջոց դասակարգելու նվազագույն արժեքը սահմանելու մասին» թիվ 523-Ն հրաման,</w:t>
            </w:r>
          </w:p>
          <w:p w14:paraId="30BEE861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>•</w:t>
            </w:r>
            <w:r w:rsidRPr="00F31063">
              <w:rPr>
                <w:rFonts w:ascii="GHEA Grapalat" w:hAnsi="GHEA Grapalat"/>
                <w:sz w:val="24"/>
                <w:szCs w:val="24"/>
              </w:rPr>
              <w:tab/>
              <w:t>ՀՀ ֆինանսների նախարարի 2016 թվականի հունվարի 8-ի «Հանրային հատվածի կազմակերպություններում նոր հիմնական միջոցների և սկզբնական արժեքով հաշվառվող կենսաբանական ակտիվների մաշվածության հաշվարկման նորմատի¬վա-յին օգտակար ծառայության ժամկետները սահմանելու մասին» թիվ 3-Ն հրաման,</w:t>
            </w:r>
          </w:p>
          <w:p w14:paraId="26E59905" w14:textId="77777777" w:rsidR="00F31063" w:rsidRP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>•</w:t>
            </w:r>
            <w:r w:rsidRPr="00F31063">
              <w:rPr>
                <w:rFonts w:ascii="GHEA Grapalat" w:hAnsi="GHEA Grapalat"/>
                <w:sz w:val="24"/>
                <w:szCs w:val="24"/>
              </w:rPr>
              <w:tab/>
              <w:t xml:space="preserve">ՀՀ ֆինանսների նախարարի 2018 թվականի դեկտեմբերի 20-ի «Հանրային հատվածի կազմակերպությունների </w:t>
            </w:r>
            <w:r w:rsidRPr="00F31063">
              <w:rPr>
                <w:rFonts w:ascii="GHEA Grapalat" w:hAnsi="GHEA Grapalat"/>
                <w:sz w:val="24"/>
                <w:szCs w:val="24"/>
              </w:rPr>
              <w:lastRenderedPageBreak/>
              <w:t>դեբիտորական պարտքերի հնարավոր կորուստների պահուստի ձևավորման, դեբիտորական պարտքերի անհուսալի ճանաչման, դուրսգրման և հաշվապահական հաշվառման մեջ արտացոլման կարգը հաստատելու մասին» թիվ 622-Ա հրաման։</w:t>
            </w:r>
          </w:p>
          <w:p w14:paraId="678EE687" w14:textId="77777777" w:rsidR="00F31063" w:rsidRDefault="00F31063" w:rsidP="00F3106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6A43433C" w14:textId="1F2FFCB1" w:rsidR="00054658" w:rsidRPr="00305461" w:rsidRDefault="00F31063" w:rsidP="0074025E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31063">
              <w:rPr>
                <w:rFonts w:ascii="GHEA Grapalat" w:hAnsi="GHEA Grapalat"/>
                <w:sz w:val="24"/>
                <w:szCs w:val="24"/>
              </w:rPr>
              <w:t xml:space="preserve">Հաշվի առնելով վերը նշվածը, ինչպես նաև </w:t>
            </w:r>
            <w:r w:rsidR="0074025E">
              <w:rPr>
                <w:rFonts w:ascii="GHEA Grapalat" w:hAnsi="GHEA Grapalat"/>
                <w:sz w:val="24"/>
                <w:szCs w:val="24"/>
              </w:rPr>
              <w:t xml:space="preserve">դիրքորոշումն առ </w:t>
            </w:r>
            <w:r w:rsidRPr="00F31063">
              <w:rPr>
                <w:rFonts w:ascii="GHEA Grapalat" w:hAnsi="GHEA Grapalat"/>
                <w:sz w:val="24"/>
                <w:szCs w:val="24"/>
              </w:rPr>
              <w:t>այն, որ «Հաշվապահական հաշվառման մասին» և «Հանրային հատվածի կազմակերպությունների հաշվապահական հաշվառման մասին» ՀՀ օրենքներից բխող նույնաբնույթ համապատասխան իրավական ակտերը պետք է ընդունվեն նույնական մոտեցմամբ, կարծում ենք, որ ««Հանրային հատվածի կազմակերպությունների հաշվապահական հաշվառման մասին» ՀՀ օրենքում փոփոխություններ և լրացումներ կատարելու մասին» ՀՀ օրենքի նախագիծը լրամշակելու անհրաժեշտություն չկա։</w:t>
            </w:r>
          </w:p>
        </w:tc>
      </w:tr>
    </w:tbl>
    <w:p w14:paraId="15271998" w14:textId="77777777" w:rsidR="00B07FA0" w:rsidRPr="0074025E" w:rsidRDefault="00B07FA0" w:rsidP="00807E81">
      <w:pPr>
        <w:spacing w:line="276" w:lineRule="auto"/>
        <w:rPr>
          <w:rFonts w:ascii="GHEA Grapalat" w:hAnsi="GHEA Grapalat"/>
          <w:sz w:val="28"/>
          <w:szCs w:val="28"/>
        </w:rPr>
      </w:pPr>
    </w:p>
    <w:sectPr w:rsidR="00B07FA0" w:rsidRPr="0074025E" w:rsidSect="0074025E">
      <w:pgSz w:w="15840" w:h="12240" w:orient="landscape"/>
      <w:pgMar w:top="567" w:right="794" w:bottom="62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82F8A"/>
    <w:multiLevelType w:val="hybridMultilevel"/>
    <w:tmpl w:val="9B3CFC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AF300E"/>
    <w:multiLevelType w:val="hybridMultilevel"/>
    <w:tmpl w:val="411892F0"/>
    <w:lvl w:ilvl="0" w:tplc="0A1ACBA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190EAD"/>
    <w:multiLevelType w:val="hybridMultilevel"/>
    <w:tmpl w:val="D11E07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50A02"/>
    <w:multiLevelType w:val="hybridMultilevel"/>
    <w:tmpl w:val="0592EAE6"/>
    <w:lvl w:ilvl="0" w:tplc="40A2DCB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CAB"/>
    <w:rsid w:val="00003CAB"/>
    <w:rsid w:val="000076AB"/>
    <w:rsid w:val="000149D8"/>
    <w:rsid w:val="00035CB8"/>
    <w:rsid w:val="0004554D"/>
    <w:rsid w:val="00053D49"/>
    <w:rsid w:val="00054658"/>
    <w:rsid w:val="00064441"/>
    <w:rsid w:val="000653A6"/>
    <w:rsid w:val="00073D15"/>
    <w:rsid w:val="000A095B"/>
    <w:rsid w:val="000A36C4"/>
    <w:rsid w:val="000C29BA"/>
    <w:rsid w:val="000C7904"/>
    <w:rsid w:val="000D53D4"/>
    <w:rsid w:val="000D6F67"/>
    <w:rsid w:val="00122BEF"/>
    <w:rsid w:val="001425FA"/>
    <w:rsid w:val="00152966"/>
    <w:rsid w:val="001578CB"/>
    <w:rsid w:val="00161DAB"/>
    <w:rsid w:val="0016583A"/>
    <w:rsid w:val="001718D5"/>
    <w:rsid w:val="00176B62"/>
    <w:rsid w:val="00197B78"/>
    <w:rsid w:val="001B5E96"/>
    <w:rsid w:val="001C7A8E"/>
    <w:rsid w:val="001D1E0D"/>
    <w:rsid w:val="001E2A6D"/>
    <w:rsid w:val="001E6CA8"/>
    <w:rsid w:val="001F1D22"/>
    <w:rsid w:val="001F2114"/>
    <w:rsid w:val="002148CE"/>
    <w:rsid w:val="00215BD6"/>
    <w:rsid w:val="00224FF4"/>
    <w:rsid w:val="002271AC"/>
    <w:rsid w:val="00254248"/>
    <w:rsid w:val="00270902"/>
    <w:rsid w:val="002713A6"/>
    <w:rsid w:val="0027257F"/>
    <w:rsid w:val="002946FC"/>
    <w:rsid w:val="002A4FE5"/>
    <w:rsid w:val="002A65C6"/>
    <w:rsid w:val="002B4C31"/>
    <w:rsid w:val="002C2CBF"/>
    <w:rsid w:val="002C3EB9"/>
    <w:rsid w:val="002C422C"/>
    <w:rsid w:val="002D3B16"/>
    <w:rsid w:val="00302FA3"/>
    <w:rsid w:val="00305461"/>
    <w:rsid w:val="003437F2"/>
    <w:rsid w:val="0034434E"/>
    <w:rsid w:val="003677F7"/>
    <w:rsid w:val="0038249A"/>
    <w:rsid w:val="00383B5B"/>
    <w:rsid w:val="00387D6F"/>
    <w:rsid w:val="00391662"/>
    <w:rsid w:val="00392D2F"/>
    <w:rsid w:val="003C2E13"/>
    <w:rsid w:val="003C3A00"/>
    <w:rsid w:val="003D10F6"/>
    <w:rsid w:val="003D3F05"/>
    <w:rsid w:val="003F0B6F"/>
    <w:rsid w:val="0042287C"/>
    <w:rsid w:val="00434084"/>
    <w:rsid w:val="00442238"/>
    <w:rsid w:val="00444BFF"/>
    <w:rsid w:val="00445254"/>
    <w:rsid w:val="00457B03"/>
    <w:rsid w:val="00461989"/>
    <w:rsid w:val="00463663"/>
    <w:rsid w:val="00491C12"/>
    <w:rsid w:val="00491EB2"/>
    <w:rsid w:val="004A097F"/>
    <w:rsid w:val="004A0F0D"/>
    <w:rsid w:val="004A71ED"/>
    <w:rsid w:val="004A7840"/>
    <w:rsid w:val="004D364E"/>
    <w:rsid w:val="004F0897"/>
    <w:rsid w:val="00534EA1"/>
    <w:rsid w:val="005465B6"/>
    <w:rsid w:val="00546D6D"/>
    <w:rsid w:val="00555B8F"/>
    <w:rsid w:val="005C1D1C"/>
    <w:rsid w:val="005C64CF"/>
    <w:rsid w:val="005E74BD"/>
    <w:rsid w:val="005F3222"/>
    <w:rsid w:val="00622B2C"/>
    <w:rsid w:val="0064325F"/>
    <w:rsid w:val="00650878"/>
    <w:rsid w:val="0066444A"/>
    <w:rsid w:val="0066766F"/>
    <w:rsid w:val="006719CD"/>
    <w:rsid w:val="006729CD"/>
    <w:rsid w:val="006A115B"/>
    <w:rsid w:val="006D03AF"/>
    <w:rsid w:val="006E07A9"/>
    <w:rsid w:val="006E2756"/>
    <w:rsid w:val="006F269F"/>
    <w:rsid w:val="00706850"/>
    <w:rsid w:val="00715C6F"/>
    <w:rsid w:val="0074025E"/>
    <w:rsid w:val="00755D2B"/>
    <w:rsid w:val="007676B7"/>
    <w:rsid w:val="00780687"/>
    <w:rsid w:val="00792AA4"/>
    <w:rsid w:val="00796B09"/>
    <w:rsid w:val="00797B61"/>
    <w:rsid w:val="007A2C7F"/>
    <w:rsid w:val="007A5B76"/>
    <w:rsid w:val="007B0B4C"/>
    <w:rsid w:val="007B1514"/>
    <w:rsid w:val="007C0988"/>
    <w:rsid w:val="007F7C82"/>
    <w:rsid w:val="00804957"/>
    <w:rsid w:val="00807E81"/>
    <w:rsid w:val="00814CF3"/>
    <w:rsid w:val="00822345"/>
    <w:rsid w:val="00841CDF"/>
    <w:rsid w:val="00843D1E"/>
    <w:rsid w:val="00844465"/>
    <w:rsid w:val="008569DB"/>
    <w:rsid w:val="008757E3"/>
    <w:rsid w:val="00881F0A"/>
    <w:rsid w:val="00892761"/>
    <w:rsid w:val="008C18D4"/>
    <w:rsid w:val="008F52F6"/>
    <w:rsid w:val="009079E3"/>
    <w:rsid w:val="00907C6F"/>
    <w:rsid w:val="0092290C"/>
    <w:rsid w:val="00927F89"/>
    <w:rsid w:val="00943049"/>
    <w:rsid w:val="0094651F"/>
    <w:rsid w:val="0095156B"/>
    <w:rsid w:val="009601CA"/>
    <w:rsid w:val="00967C7A"/>
    <w:rsid w:val="009C0136"/>
    <w:rsid w:val="00A33FF0"/>
    <w:rsid w:val="00A45F61"/>
    <w:rsid w:val="00A46C16"/>
    <w:rsid w:val="00A47F81"/>
    <w:rsid w:val="00A5314D"/>
    <w:rsid w:val="00A53E4B"/>
    <w:rsid w:val="00A561E2"/>
    <w:rsid w:val="00A672F5"/>
    <w:rsid w:val="00A80C72"/>
    <w:rsid w:val="00A8272D"/>
    <w:rsid w:val="00A8307E"/>
    <w:rsid w:val="00A91E72"/>
    <w:rsid w:val="00AA6944"/>
    <w:rsid w:val="00AC1B43"/>
    <w:rsid w:val="00AC53F5"/>
    <w:rsid w:val="00AD0BDB"/>
    <w:rsid w:val="00AD1FA7"/>
    <w:rsid w:val="00B03712"/>
    <w:rsid w:val="00B06897"/>
    <w:rsid w:val="00B07FA0"/>
    <w:rsid w:val="00B1081E"/>
    <w:rsid w:val="00B13677"/>
    <w:rsid w:val="00B23DF5"/>
    <w:rsid w:val="00B25E83"/>
    <w:rsid w:val="00B4789B"/>
    <w:rsid w:val="00B652CA"/>
    <w:rsid w:val="00B840CA"/>
    <w:rsid w:val="00B8748C"/>
    <w:rsid w:val="00B8797F"/>
    <w:rsid w:val="00BA28E3"/>
    <w:rsid w:val="00BB37AC"/>
    <w:rsid w:val="00BE0C6D"/>
    <w:rsid w:val="00BF4A78"/>
    <w:rsid w:val="00C17CBA"/>
    <w:rsid w:val="00C2692C"/>
    <w:rsid w:val="00C26E27"/>
    <w:rsid w:val="00C45919"/>
    <w:rsid w:val="00C51D4D"/>
    <w:rsid w:val="00C67ED4"/>
    <w:rsid w:val="00C708D5"/>
    <w:rsid w:val="00C72A94"/>
    <w:rsid w:val="00C86A33"/>
    <w:rsid w:val="00C92D2C"/>
    <w:rsid w:val="00CB4FF8"/>
    <w:rsid w:val="00CB52A9"/>
    <w:rsid w:val="00CD0006"/>
    <w:rsid w:val="00D0584A"/>
    <w:rsid w:val="00D11D9B"/>
    <w:rsid w:val="00D11F6C"/>
    <w:rsid w:val="00D27E5B"/>
    <w:rsid w:val="00D30616"/>
    <w:rsid w:val="00D407CB"/>
    <w:rsid w:val="00D42EC5"/>
    <w:rsid w:val="00D70A17"/>
    <w:rsid w:val="00D7261A"/>
    <w:rsid w:val="00DB2230"/>
    <w:rsid w:val="00DE2DC3"/>
    <w:rsid w:val="00DE30FF"/>
    <w:rsid w:val="00DF0B49"/>
    <w:rsid w:val="00E04081"/>
    <w:rsid w:val="00E10FCB"/>
    <w:rsid w:val="00E234E0"/>
    <w:rsid w:val="00E332B4"/>
    <w:rsid w:val="00E432D5"/>
    <w:rsid w:val="00E45F3E"/>
    <w:rsid w:val="00E4615A"/>
    <w:rsid w:val="00E5073F"/>
    <w:rsid w:val="00E60B3C"/>
    <w:rsid w:val="00E67B5B"/>
    <w:rsid w:val="00E837A4"/>
    <w:rsid w:val="00E97351"/>
    <w:rsid w:val="00EB0DD7"/>
    <w:rsid w:val="00EC77A5"/>
    <w:rsid w:val="00EE189A"/>
    <w:rsid w:val="00EE2280"/>
    <w:rsid w:val="00EF43A3"/>
    <w:rsid w:val="00EF5E50"/>
    <w:rsid w:val="00EF71B0"/>
    <w:rsid w:val="00F00155"/>
    <w:rsid w:val="00F05C4D"/>
    <w:rsid w:val="00F20CE2"/>
    <w:rsid w:val="00F25D6E"/>
    <w:rsid w:val="00F26DBB"/>
    <w:rsid w:val="00F31063"/>
    <w:rsid w:val="00F35607"/>
    <w:rsid w:val="00F4215D"/>
    <w:rsid w:val="00F47926"/>
    <w:rsid w:val="00F57B3B"/>
    <w:rsid w:val="00F76DB4"/>
    <w:rsid w:val="00F83EBF"/>
    <w:rsid w:val="00F97E77"/>
    <w:rsid w:val="00FA24EE"/>
    <w:rsid w:val="00FB2B06"/>
    <w:rsid w:val="00FC5B65"/>
    <w:rsid w:val="00FE50B3"/>
    <w:rsid w:val="00FE6EAF"/>
    <w:rsid w:val="00FF32BF"/>
    <w:rsid w:val="00FF5D8C"/>
    <w:rsid w:val="00FF6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03D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7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7F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FA0"/>
    <w:rPr>
      <w:rFonts w:ascii="Segoe UI" w:hAnsi="Segoe UI" w:cs="Segoe UI"/>
      <w:noProof/>
      <w:sz w:val="18"/>
      <w:szCs w:val="18"/>
      <w:lang w:val="hy-AM"/>
    </w:rPr>
  </w:style>
  <w:style w:type="paragraph" w:styleId="ListParagraph">
    <w:name w:val="List Paragraph"/>
    <w:basedOn w:val="Normal"/>
    <w:uiPriority w:val="34"/>
    <w:qFormat/>
    <w:rsid w:val="00EC77A5"/>
    <w:pPr>
      <w:ind w:left="720"/>
      <w:contextualSpacing/>
    </w:pPr>
  </w:style>
  <w:style w:type="character" w:customStyle="1" w:styleId="-">
    <w:name w:val="Интернет-ссылка"/>
    <w:qFormat/>
    <w:rsid w:val="00054658"/>
    <w:rPr>
      <w:color w:val="000080"/>
      <w:u w:val="singl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54658"/>
    <w:rPr>
      <w:sz w:val="24"/>
      <w:lang w:val="en-GB" w:eastAsia="en-GB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054658"/>
    <w:pPr>
      <w:spacing w:before="100" w:beforeAutospacing="1" w:after="100" w:afterAutospacing="1" w:line="240" w:lineRule="auto"/>
    </w:pPr>
    <w:rPr>
      <w:noProof w:val="0"/>
      <w:sz w:val="24"/>
      <w:lang w:val="en-GB" w:eastAsia="en-GB"/>
    </w:rPr>
  </w:style>
  <w:style w:type="paragraph" w:styleId="Revision">
    <w:name w:val="Revision"/>
    <w:hidden/>
    <w:uiPriority w:val="99"/>
    <w:semiHidden/>
    <w:rsid w:val="00555B8F"/>
    <w:pPr>
      <w:spacing w:after="0" w:line="240" w:lineRule="auto"/>
    </w:pPr>
    <w:rPr>
      <w:noProof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7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7F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FA0"/>
    <w:rPr>
      <w:rFonts w:ascii="Segoe UI" w:hAnsi="Segoe UI" w:cs="Segoe UI"/>
      <w:noProof/>
      <w:sz w:val="18"/>
      <w:szCs w:val="18"/>
      <w:lang w:val="hy-AM"/>
    </w:rPr>
  </w:style>
  <w:style w:type="paragraph" w:styleId="ListParagraph">
    <w:name w:val="List Paragraph"/>
    <w:basedOn w:val="Normal"/>
    <w:uiPriority w:val="34"/>
    <w:qFormat/>
    <w:rsid w:val="00EC77A5"/>
    <w:pPr>
      <w:ind w:left="720"/>
      <w:contextualSpacing/>
    </w:pPr>
  </w:style>
  <w:style w:type="character" w:customStyle="1" w:styleId="-">
    <w:name w:val="Интернет-ссылка"/>
    <w:qFormat/>
    <w:rsid w:val="00054658"/>
    <w:rPr>
      <w:color w:val="000080"/>
      <w:u w:val="singl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54658"/>
    <w:rPr>
      <w:sz w:val="24"/>
      <w:lang w:val="en-GB" w:eastAsia="en-GB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054658"/>
    <w:pPr>
      <w:spacing w:before="100" w:beforeAutospacing="1" w:after="100" w:afterAutospacing="1" w:line="240" w:lineRule="auto"/>
    </w:pPr>
    <w:rPr>
      <w:noProof w:val="0"/>
      <w:sz w:val="24"/>
      <w:lang w:val="en-GB" w:eastAsia="en-GB"/>
    </w:rPr>
  </w:style>
  <w:style w:type="paragraph" w:styleId="Revision">
    <w:name w:val="Revision"/>
    <w:hidden/>
    <w:uiPriority w:val="99"/>
    <w:semiHidden/>
    <w:rsid w:val="00555B8F"/>
    <w:pPr>
      <w:spacing w:after="0" w:line="240" w:lineRule="auto"/>
    </w:pPr>
    <w:rPr>
      <w:noProof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6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24809-2B30-4A8F-8717-6CCA378AB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1687</Words>
  <Characters>9616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Gurgen Sargsyan</dc:creator>
  <cp:keywords>Mulberry 2.0</cp:keywords>
  <dc:description/>
  <cp:lastModifiedBy>RAFFI</cp:lastModifiedBy>
  <cp:revision>83</cp:revision>
  <cp:lastPrinted>2019-08-23T07:04:00Z</cp:lastPrinted>
  <dcterms:created xsi:type="dcterms:W3CDTF">2019-09-02T13:24:00Z</dcterms:created>
  <dcterms:modified xsi:type="dcterms:W3CDTF">2020-04-06T11:10:00Z</dcterms:modified>
</cp:coreProperties>
</file>