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BC" w:rsidRPr="00DC3136" w:rsidRDefault="00F92406" w:rsidP="00676FBC">
      <w:pPr>
        <w:pStyle w:val="a3"/>
        <w:jc w:val="center"/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</w:pPr>
      <w:r w:rsidRPr="00DC3136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Ա Մ Փ Ո Փ Ա Թ Ե Ր Թ</w:t>
      </w:r>
    </w:p>
    <w:p w:rsidR="00676FBC" w:rsidRPr="00DC3136" w:rsidRDefault="00676FBC" w:rsidP="00676FBC">
      <w:pPr>
        <w:pStyle w:val="a3"/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</w:pPr>
    </w:p>
    <w:p w:rsidR="00676FBC" w:rsidRPr="00F3058F" w:rsidRDefault="00DC3136" w:rsidP="00C56517">
      <w:pPr>
        <w:pStyle w:val="a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014F6F">
        <w:rPr>
          <w:rFonts w:ascii="GHEA Grapalat" w:hAnsi="GHEA Grapalat"/>
          <w:lang w:val="hy-AM"/>
        </w:rPr>
        <w:t>«</w:t>
      </w:r>
      <w:r w:rsidRPr="00F3058F">
        <w:rPr>
          <w:rFonts w:ascii="GHEA Grapalat" w:hAnsi="GHEA Grapalat"/>
          <w:lang w:val="hy-AM"/>
        </w:rPr>
        <w:t>ՀՐԱԶԴԱՆԻ</w:t>
      </w:r>
      <w:r w:rsidRPr="00014F6F">
        <w:rPr>
          <w:rFonts w:ascii="GHEA Grapalat" w:hAnsi="GHEA Grapalat"/>
          <w:lang w:val="hy-AM"/>
        </w:rPr>
        <w:t xml:space="preserve"> </w:t>
      </w:r>
      <w:r w:rsidRPr="00F3058F">
        <w:rPr>
          <w:rFonts w:ascii="GHEA Grapalat" w:hAnsi="GHEA Grapalat"/>
          <w:lang w:val="hy-AM"/>
        </w:rPr>
        <w:t>ՄԱՐԶԱՅԻՆ</w:t>
      </w:r>
      <w:r w:rsidRPr="00014F6F">
        <w:rPr>
          <w:rFonts w:ascii="GHEA Grapalat" w:hAnsi="GHEA Grapalat"/>
          <w:lang w:val="hy-AM"/>
        </w:rPr>
        <w:t xml:space="preserve"> </w:t>
      </w:r>
      <w:r w:rsidRPr="00F3058F">
        <w:rPr>
          <w:rFonts w:ascii="GHEA Grapalat" w:hAnsi="GHEA Grapalat"/>
          <w:lang w:val="hy-AM"/>
        </w:rPr>
        <w:t>ԱՐՅԱՆ</w:t>
      </w:r>
      <w:r w:rsidRPr="00014F6F">
        <w:rPr>
          <w:rFonts w:ascii="GHEA Grapalat" w:hAnsi="GHEA Grapalat"/>
          <w:lang w:val="hy-AM"/>
        </w:rPr>
        <w:t xml:space="preserve"> </w:t>
      </w:r>
      <w:r w:rsidRPr="00F3058F">
        <w:rPr>
          <w:rFonts w:ascii="GHEA Grapalat" w:hAnsi="GHEA Grapalat"/>
          <w:lang w:val="hy-AM"/>
        </w:rPr>
        <w:t>ԲԱՆԿ</w:t>
      </w:r>
      <w:r w:rsidRPr="00014F6F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ԵՎ </w:t>
      </w:r>
      <w:r w:rsidRPr="00014F6F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 xml:space="preserve">ՀՀ </w:t>
      </w:r>
      <w:r w:rsidRPr="00014F6F">
        <w:rPr>
          <w:rFonts w:ascii="GHEA Grapalat" w:hAnsi="GHEA Grapalat"/>
          <w:lang w:val="hy-AM"/>
        </w:rPr>
        <w:t>ԱՐՄԱՎԻՐԻ ՄԱՐԶԻ</w:t>
      </w:r>
      <w:r>
        <w:rPr>
          <w:rFonts w:ascii="GHEA Grapalat" w:hAnsi="GHEA Grapalat"/>
          <w:lang w:val="hy-AM"/>
        </w:rPr>
        <w:t xml:space="preserve"> ԱՐՄԱՎԻՐԻ</w:t>
      </w:r>
      <w:r w:rsidRPr="00014F6F">
        <w:rPr>
          <w:rFonts w:ascii="GHEA Grapalat" w:hAnsi="GHEA Grapalat"/>
          <w:lang w:val="hy-AM"/>
        </w:rPr>
        <w:t xml:space="preserve"> ԱՐՅԱՆ ՓՈԽՆԵՐԱՐԿՄԱՆ ԿԱՅԱՆ</w:t>
      </w:r>
      <w:r>
        <w:rPr>
          <w:rFonts w:ascii="GHEA Grapalat" w:hAnsi="GHEA Grapalat"/>
          <w:lang w:val="hy-AM"/>
        </w:rPr>
        <w:t>»</w:t>
      </w:r>
      <w:r w:rsidRPr="00652060">
        <w:rPr>
          <w:rFonts w:ascii="GHEA Grapalat" w:hAnsi="GHEA Grapalat"/>
          <w:lang w:val="hy-AM"/>
        </w:rPr>
        <w:t xml:space="preserve"> </w:t>
      </w:r>
      <w:r w:rsidRPr="005A13AC">
        <w:rPr>
          <w:rFonts w:ascii="GHEA Grapalat" w:hAnsi="GHEA Grapalat"/>
          <w:lang w:val="hy-AM"/>
        </w:rPr>
        <w:t>ՊԵՏԱԿԱՆ ՓԱԿ ԲԱԺՆԵՏԻՐԱԿԱՆ ԸՆԿԵՐՈՒԹՅՈՒՆՆԵՐԸ</w:t>
      </w:r>
      <w:r>
        <w:rPr>
          <w:rFonts w:ascii="GHEA Grapalat" w:hAnsi="GHEA Grapalat"/>
          <w:lang w:val="hy-AM"/>
        </w:rPr>
        <w:t xml:space="preserve">,  </w:t>
      </w:r>
      <w:r w:rsidRPr="00014F6F">
        <w:rPr>
          <w:rFonts w:ascii="GHEA Grapalat" w:hAnsi="GHEA Grapalat"/>
          <w:lang w:val="hy-AM"/>
        </w:rPr>
        <w:t>«ԼՈՌՈՒ ՄԱՐԶԱՅԻՆ ԱՐՅԱՆ ՓՈԽՆԵՐԱՐԿՄԱՆ ԿԱՅԱՆ»</w:t>
      </w:r>
      <w:r>
        <w:rPr>
          <w:rFonts w:ascii="GHEA Grapalat" w:hAnsi="GHEA Grapalat"/>
          <w:lang w:val="hy-AM"/>
        </w:rPr>
        <w:t>, «ԳՅՈՒՄՐՈՒ</w:t>
      </w:r>
      <w:r w:rsidRPr="00014F6F">
        <w:rPr>
          <w:rFonts w:ascii="GHEA Grapalat" w:hAnsi="GHEA Grapalat"/>
          <w:lang w:val="hy-AM"/>
        </w:rPr>
        <w:t xml:space="preserve"> ԱՐՅԱՆ ՓՈԽՆԵՐԱՐԿՄԱՆ ԿԱՅԱՆ»</w:t>
      </w:r>
      <w:r>
        <w:rPr>
          <w:rFonts w:ascii="GHEA Grapalat" w:hAnsi="GHEA Grapalat"/>
          <w:lang w:val="hy-AM"/>
        </w:rPr>
        <w:t xml:space="preserve"> ԵՎ </w:t>
      </w:r>
      <w:r w:rsidRPr="00014F6F">
        <w:rPr>
          <w:rFonts w:ascii="GHEA Grapalat" w:hAnsi="GHEA Grapalat"/>
          <w:lang w:val="hy-AM"/>
        </w:rPr>
        <w:t>«ՍՅՈՒՆԻՔԻ ՄԱՐԶԱՅԻՆ ԱՐՅԱՆ ՓՈԽՆԵՐԱՐԿՄԱՆ ԿԱՅԱՆ»</w:t>
      </w:r>
      <w:r>
        <w:rPr>
          <w:rFonts w:ascii="GHEA Grapalat" w:hAnsi="GHEA Grapalat"/>
          <w:lang w:val="hy-AM"/>
        </w:rPr>
        <w:t xml:space="preserve"> </w:t>
      </w:r>
      <w:r w:rsidRPr="00246703">
        <w:rPr>
          <w:rFonts w:ascii="GHEA Grapalat" w:hAnsi="GHEA Grapalat"/>
          <w:lang w:val="hy-AM"/>
        </w:rPr>
        <w:t>ՓԱԿ ԲԱԺՆԵՏԻՐԱԿԱՆ ԸՆԿԵՐՈՒԹՅ</w:t>
      </w:r>
      <w:r>
        <w:rPr>
          <w:rFonts w:ascii="GHEA Grapalat" w:hAnsi="GHEA Grapalat"/>
          <w:lang w:val="hy-AM"/>
        </w:rPr>
        <w:t>ՈՒՆՆԵՐԸ ՀՀ ԱՆ «ՊՐՈՖԵՍՈՐ Ռ.Հ</w:t>
      </w:r>
      <w:r w:rsidR="004230A6">
        <w:rPr>
          <w:rFonts w:ascii="GHEA Grapalat" w:hAnsi="GHEA Grapalat"/>
          <w:lang w:val="hy-AM"/>
        </w:rPr>
        <w:t>.</w:t>
      </w:r>
      <w:r w:rsidRPr="007A3EAD">
        <w:rPr>
          <w:rFonts w:ascii="GHEA Grapalat" w:hAnsi="GHEA Grapalat"/>
          <w:lang w:val="hy-AM"/>
        </w:rPr>
        <w:t>ՅՈԼՅԱՆԻ ԱՆՎԱՆ ԱՐՅՈՒՆԱԲԱՆԱԿԱՆ ԿԵՆՏՐՈՆ» ՓԱԿ ԲԱԺՆԵՏԻՐԱԿԱՆ ԸՆԿԵՐՈՒԹՅԱՆ</w:t>
      </w:r>
      <w:r>
        <w:rPr>
          <w:rFonts w:ascii="GHEA Grapalat" w:hAnsi="GHEA Grapalat"/>
          <w:lang w:val="hy-AM"/>
        </w:rPr>
        <w:t xml:space="preserve">Ը </w:t>
      </w:r>
      <w:r w:rsidRPr="001A5920">
        <w:rPr>
          <w:rFonts w:ascii="GHEA Grapalat" w:hAnsi="GHEA Grapalat"/>
          <w:lang w:val="hy-AM"/>
        </w:rPr>
        <w:t>ՄԻԱՑ</w:t>
      </w:r>
      <w:r>
        <w:rPr>
          <w:rFonts w:ascii="GHEA Grapalat" w:hAnsi="GHEA Grapalat"/>
          <w:lang w:val="hy-AM"/>
        </w:rPr>
        <w:t>ՄԱՆ ՁԵՎ</w:t>
      </w:r>
      <w:r w:rsidRPr="001A5920">
        <w:rPr>
          <w:rFonts w:ascii="GHEA Grapalat" w:hAnsi="GHEA Grapalat"/>
          <w:lang w:val="hy-AM"/>
        </w:rPr>
        <w:t xml:space="preserve">ՈՎ ՎԵՐԱԿԱԶՄԱԿԵՐՊԵԼՈՒ ՄԱՍԻՆ» </w:t>
      </w:r>
      <w:r w:rsidR="00C56517" w:rsidRPr="00F3058F">
        <w:rPr>
          <w:rFonts w:ascii="GHEA Grapalat" w:hAnsi="GHEA Grapalat"/>
          <w:lang w:val="hy-AM"/>
        </w:rPr>
        <w:t xml:space="preserve">ԿԱՌԱՎԱՐՈՒԹՅԱՆ  ՈՐՈՇՄԱՆ </w:t>
      </w:r>
      <w:r w:rsidR="00A45B09" w:rsidRPr="00F3058F">
        <w:rPr>
          <w:rFonts w:ascii="GHEA Grapalat" w:hAnsi="GHEA Grapalat"/>
          <w:lang w:val="hy-AM"/>
        </w:rPr>
        <w:t xml:space="preserve">ՆԱԽԱԳԾԻ </w:t>
      </w:r>
      <w:r w:rsidR="00E2390C" w:rsidRPr="00F3058F">
        <w:rPr>
          <w:rFonts w:ascii="GHEA Grapalat" w:hAnsi="GHEA Grapalat"/>
          <w:lang w:val="hy-AM"/>
        </w:rPr>
        <w:t>ՎԵՐԱԲԵՐՅԱԼ ՍՏԱՑՎԱԾ ԴԻՏՈՂՈՒԹՅՈՒՆՆԵՐԻ ԵՎ ԱՌԱՋԱՐԿՈՒԹՅՈՒՆՆԵՐԻ</w:t>
      </w:r>
    </w:p>
    <w:p w:rsidR="00CC3670" w:rsidRPr="00AB5930" w:rsidRDefault="00B45AED" w:rsidP="00817D96">
      <w:pPr>
        <w:pStyle w:val="a3"/>
        <w:tabs>
          <w:tab w:val="left" w:pos="6740"/>
        </w:tabs>
        <w:ind w:left="0"/>
        <w:jc w:val="both"/>
        <w:rPr>
          <w:rFonts w:ascii="GHEA Grapalat" w:hAnsi="GHEA Grapalat"/>
        </w:rPr>
      </w:pPr>
      <w:r w:rsidRPr="00F3058F">
        <w:rPr>
          <w:rFonts w:ascii="GHEA Grapalat" w:hAnsi="GHEA Grapalat"/>
          <w:lang w:val="hy-AM"/>
        </w:rPr>
        <w:tab/>
      </w:r>
    </w:p>
    <w:p w:rsidR="00CC3670" w:rsidRPr="00CC3670" w:rsidRDefault="00CC3670" w:rsidP="00817D96">
      <w:pPr>
        <w:pStyle w:val="a3"/>
        <w:tabs>
          <w:tab w:val="left" w:pos="6740"/>
        </w:tabs>
        <w:ind w:left="0"/>
        <w:jc w:val="both"/>
        <w:rPr>
          <w:rFonts w:ascii="GHEA Grapalat" w:hAnsi="GHEA Grapalat"/>
          <w:sz w:val="12"/>
          <w:lang w:val="hy-AM"/>
        </w:rPr>
      </w:pPr>
    </w:p>
    <w:p w:rsidR="005702E9" w:rsidRPr="005702E9" w:rsidRDefault="005702E9" w:rsidP="00817D96">
      <w:pPr>
        <w:pStyle w:val="a3"/>
        <w:tabs>
          <w:tab w:val="left" w:pos="6740"/>
        </w:tabs>
        <w:ind w:left="0"/>
        <w:jc w:val="both"/>
        <w:rPr>
          <w:rFonts w:ascii="GHEA Grapalat" w:hAnsi="GHEA Grapalat"/>
          <w:sz w:val="12"/>
          <w:lang w:val="hy-AM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0"/>
        <w:gridCol w:w="4678"/>
      </w:tblGrid>
      <w:tr w:rsidR="002D044C" w:rsidRPr="00FF4B9B" w:rsidTr="008E6AFB">
        <w:trPr>
          <w:trHeight w:val="762"/>
        </w:trPr>
        <w:tc>
          <w:tcPr>
            <w:tcW w:w="4536" w:type="dxa"/>
          </w:tcPr>
          <w:p w:rsidR="002D044C" w:rsidRPr="00FF4B9B" w:rsidRDefault="002D044C" w:rsidP="00462A6D">
            <w:pPr>
              <w:pStyle w:val="a3"/>
              <w:ind w:left="0"/>
              <w:rPr>
                <w:rFonts w:ascii="GHEA Grapalat" w:hAnsi="GHEA Grapalat"/>
                <w:b/>
                <w:i/>
                <w:iCs/>
                <w:sz w:val="22"/>
                <w:szCs w:val="22"/>
                <w:lang w:val="af-ZA"/>
              </w:rPr>
            </w:pP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Առարկության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>,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առաջարկության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հեղինակը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 (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գրության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af-ZA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ստացման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ամսաթիվը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af-ZA"/>
              </w:rPr>
              <w:t xml:space="preserve">,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գրության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af-ZA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համարը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>)</w:t>
            </w:r>
          </w:p>
        </w:tc>
        <w:tc>
          <w:tcPr>
            <w:tcW w:w="5670" w:type="dxa"/>
          </w:tcPr>
          <w:p w:rsidR="002D044C" w:rsidRPr="00FF4B9B" w:rsidRDefault="002D044C" w:rsidP="00045731">
            <w:pPr>
              <w:pStyle w:val="a3"/>
              <w:ind w:left="0"/>
              <w:rPr>
                <w:rFonts w:ascii="GHEA Grapalat" w:hAnsi="GHEA Grapalat"/>
                <w:b/>
                <w:i/>
                <w:iCs/>
                <w:sz w:val="22"/>
                <w:szCs w:val="22"/>
              </w:rPr>
            </w:pP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Առարկության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,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առաջարկության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բովանդակությունը</w:t>
            </w:r>
          </w:p>
        </w:tc>
        <w:tc>
          <w:tcPr>
            <w:tcW w:w="4678" w:type="dxa"/>
          </w:tcPr>
          <w:p w:rsidR="002D044C" w:rsidRPr="00FF4B9B" w:rsidRDefault="002D044C" w:rsidP="002D044C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Եզրակացություն</w:t>
            </w:r>
          </w:p>
        </w:tc>
      </w:tr>
      <w:tr w:rsidR="002D044C" w:rsidRPr="00AB5930" w:rsidTr="008E6AFB">
        <w:trPr>
          <w:trHeight w:val="762"/>
        </w:trPr>
        <w:tc>
          <w:tcPr>
            <w:tcW w:w="4536" w:type="dxa"/>
          </w:tcPr>
          <w:p w:rsidR="002D044C" w:rsidRPr="00E372DB" w:rsidRDefault="002D044C" w:rsidP="00E0048B">
            <w:pPr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Հայաստանի  Հանրապետության  ֆինանսների նախարարություն</w:t>
            </w:r>
          </w:p>
          <w:p w:rsidR="002D044C" w:rsidRPr="00E372DB" w:rsidRDefault="002D044C" w:rsidP="009B76FC">
            <w:pPr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 xml:space="preserve"> (1</w:t>
            </w:r>
            <w:r w:rsidR="009B76FC" w:rsidRPr="00E372DB">
              <w:rPr>
                <w:rFonts w:ascii="GHEA Grapalat" w:hAnsi="GHEA Grapalat"/>
                <w:lang w:val="hy-AM"/>
              </w:rPr>
              <w:t>3</w:t>
            </w:r>
            <w:r w:rsidRPr="00E372DB">
              <w:rPr>
                <w:rFonts w:ascii="GHEA Grapalat" w:hAnsi="GHEA Grapalat"/>
                <w:lang w:val="hy-AM"/>
              </w:rPr>
              <w:t>.0</w:t>
            </w:r>
            <w:r w:rsidR="009B76FC" w:rsidRPr="00E372DB">
              <w:rPr>
                <w:rFonts w:ascii="GHEA Grapalat" w:hAnsi="GHEA Grapalat"/>
                <w:lang w:val="hy-AM"/>
              </w:rPr>
              <w:t>1.2020</w:t>
            </w:r>
            <w:r w:rsidRPr="00E372DB">
              <w:rPr>
                <w:rFonts w:ascii="GHEA Grapalat" w:hAnsi="GHEA Grapalat"/>
                <w:lang w:val="hy-AM"/>
              </w:rPr>
              <w:t xml:space="preserve">թ. թիվ  </w:t>
            </w:r>
            <w:r w:rsidR="009B76FC" w:rsidRPr="00E372DB">
              <w:rPr>
                <w:rFonts w:ascii="GHEA Grapalat" w:hAnsi="GHEA Grapalat"/>
                <w:lang w:val="hy-AM"/>
              </w:rPr>
              <w:t xml:space="preserve">01/8-3/148-2020 </w:t>
            </w:r>
            <w:r w:rsidRPr="00E372DB">
              <w:rPr>
                <w:rFonts w:ascii="GHEA Grapalat" w:hAnsi="GHEA Grapalat"/>
                <w:lang w:val="hy-AM"/>
              </w:rPr>
              <w:t>գրություն)</w:t>
            </w:r>
          </w:p>
        </w:tc>
        <w:tc>
          <w:tcPr>
            <w:tcW w:w="5670" w:type="dxa"/>
          </w:tcPr>
          <w:p w:rsidR="000108C1" w:rsidRPr="00E372DB" w:rsidRDefault="002D044C" w:rsidP="000108C1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 xml:space="preserve">1. </w:t>
            </w:r>
            <w:r w:rsidR="000108C1" w:rsidRPr="00E372DB">
              <w:rPr>
                <w:rFonts w:ascii="GHEA Grapalat" w:hAnsi="GHEA Grapalat"/>
                <w:lang w:val="hy-AM"/>
              </w:rPr>
              <w:t>Նախագծի 4-րդ կետի 1-ին ենթակետի «հաստատել» բառն անհրաժեշտ է փոխարինել «ապահովել» բառով՝ հաշվի առնելով, որ Նախագծի նշված ենթակետով իրականացվելիք գործողությունները «Բաժնետիրական ընկերությունների մասին» ՀՀ օրենքի 20-րդ հոդվածի 2-րդ և 3-րդ մասերի համաձայն վերապահված են միացվող ընկերությունների ընդհանուր ժողովներին:</w:t>
            </w:r>
          </w:p>
          <w:p w:rsidR="002D044C" w:rsidRPr="00E372DB" w:rsidRDefault="002D044C" w:rsidP="00E0048B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348BF" w:rsidRPr="00E372DB" w:rsidRDefault="006348BF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348BF" w:rsidRPr="00E372DB" w:rsidRDefault="006348BF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348BF" w:rsidRPr="00E372DB" w:rsidRDefault="006348BF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348BF" w:rsidRPr="00E372DB" w:rsidRDefault="006348BF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348BF" w:rsidRPr="00E372DB" w:rsidRDefault="006348BF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348BF" w:rsidRPr="00E372DB" w:rsidRDefault="006348BF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348BF" w:rsidRPr="00E372DB" w:rsidRDefault="006348BF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348BF" w:rsidRDefault="006348BF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</w:rPr>
            </w:pPr>
          </w:p>
          <w:p w:rsidR="00AB5930" w:rsidRDefault="00AB5930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</w:rPr>
            </w:pPr>
          </w:p>
          <w:p w:rsidR="00AB5930" w:rsidRDefault="00AB5930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</w:rPr>
            </w:pPr>
          </w:p>
          <w:p w:rsidR="00AB5930" w:rsidRPr="00AB5930" w:rsidRDefault="00AB5930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</w:rPr>
            </w:pPr>
          </w:p>
          <w:p w:rsidR="006348BF" w:rsidRPr="00E372DB" w:rsidRDefault="006348BF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2D044C" w:rsidRPr="00E372DB" w:rsidRDefault="002D044C" w:rsidP="000108C1">
            <w:pPr>
              <w:tabs>
                <w:tab w:val="left" w:pos="567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 xml:space="preserve">2. </w:t>
            </w:r>
            <w:r w:rsidR="000108C1" w:rsidRPr="00E372DB">
              <w:rPr>
                <w:rFonts w:ascii="GHEA Grapalat" w:hAnsi="GHEA Grapalat"/>
                <w:lang w:val="hy-AM"/>
              </w:rPr>
              <w:t xml:space="preserve">Նախագծի վերնագրում և ամբողջ տեքստում «միացնելու ձևով» բառերը փոխարինել «միացման ձևով» բառերով </w:t>
            </w:r>
          </w:p>
        </w:tc>
        <w:tc>
          <w:tcPr>
            <w:tcW w:w="4678" w:type="dxa"/>
          </w:tcPr>
          <w:p w:rsidR="00C45548" w:rsidRPr="00E372DB" w:rsidRDefault="002D044C" w:rsidP="006348BF">
            <w:pPr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lastRenderedPageBreak/>
              <w:t>1.</w:t>
            </w:r>
            <w:r w:rsidR="006348BF" w:rsidRPr="00E372DB">
              <w:rPr>
                <w:rFonts w:ascii="GHEA Grapalat" w:hAnsi="GHEA Grapalat"/>
                <w:lang w:val="hy-AM"/>
              </w:rPr>
              <w:t xml:space="preserve"> Առաջարկությունը չի ընդունվել</w:t>
            </w:r>
            <w:r w:rsidR="00C45548" w:rsidRPr="00E372DB">
              <w:rPr>
                <w:rFonts w:ascii="GHEA Grapalat" w:hAnsi="GHEA Grapalat"/>
                <w:lang w:val="hy-AM"/>
              </w:rPr>
              <w:t>:</w:t>
            </w:r>
            <w:r w:rsidR="002A456D" w:rsidRPr="00E372DB">
              <w:rPr>
                <w:rFonts w:ascii="GHEA Grapalat" w:hAnsi="GHEA Grapalat"/>
                <w:lang w:val="hy-AM"/>
              </w:rPr>
              <w:t xml:space="preserve"> </w:t>
            </w:r>
          </w:p>
          <w:p w:rsidR="006348BF" w:rsidRPr="00E372DB" w:rsidRDefault="006348BF" w:rsidP="006348BF">
            <w:pPr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«Բաժնետիրական ընկերությունների մասին» ՀՀ օրենքի 20-րդ հոդվածի 3-րդ մասի</w:t>
            </w:r>
            <w:r w:rsidR="00442062" w:rsidRPr="00E372DB">
              <w:rPr>
                <w:rFonts w:ascii="GHEA Grapalat" w:hAnsi="GHEA Grapalat"/>
                <w:lang w:val="hy-AM"/>
              </w:rPr>
              <w:t>ց հստակ բխ</w:t>
            </w:r>
            <w:r w:rsidRPr="00E372DB">
              <w:rPr>
                <w:rFonts w:ascii="GHEA Grapalat" w:hAnsi="GHEA Grapalat"/>
                <w:lang w:val="hy-AM"/>
              </w:rPr>
              <w:t>ում է, որ Նա</w:t>
            </w:r>
            <w:r w:rsidR="00FC11E8" w:rsidRPr="00E372DB">
              <w:rPr>
                <w:rFonts w:ascii="GHEA Grapalat" w:hAnsi="GHEA Grapalat"/>
                <w:lang w:val="hy-AM"/>
              </w:rPr>
              <w:t>խա</w:t>
            </w:r>
            <w:r w:rsidRPr="00E372DB">
              <w:rPr>
                <w:rFonts w:ascii="GHEA Grapalat" w:hAnsi="GHEA Grapalat"/>
                <w:lang w:val="hy-AM"/>
              </w:rPr>
              <w:t>գծի 4-րդ կետ</w:t>
            </w:r>
            <w:r w:rsidR="00482C1A" w:rsidRPr="00E372DB">
              <w:rPr>
                <w:rFonts w:ascii="GHEA Grapalat" w:hAnsi="GHEA Grapalat"/>
                <w:lang w:val="hy-AM"/>
              </w:rPr>
              <w:t>ի</w:t>
            </w:r>
            <w:r w:rsidR="00231446" w:rsidRPr="00E372DB">
              <w:rPr>
                <w:rFonts w:ascii="GHEA Grapalat" w:hAnsi="GHEA Grapalat"/>
                <w:lang w:val="hy-AM"/>
              </w:rPr>
              <w:t xml:space="preserve"> 1-ին ենթակետով </w:t>
            </w:r>
            <w:r w:rsidRPr="00E372DB">
              <w:rPr>
                <w:rFonts w:ascii="GHEA Grapalat" w:hAnsi="GHEA Grapalat"/>
                <w:lang w:val="hy-AM"/>
              </w:rPr>
              <w:t xml:space="preserve">նախատեսված գործողությունները կատարում է </w:t>
            </w:r>
            <w:r w:rsidR="00442062" w:rsidRPr="00E372DB">
              <w:rPr>
                <w:rFonts w:ascii="GHEA Grapalat" w:hAnsi="GHEA Grapalat"/>
                <w:lang w:val="hy-AM"/>
              </w:rPr>
              <w:t xml:space="preserve">միացման հետևանքով </w:t>
            </w:r>
            <w:r w:rsidRPr="00E372DB">
              <w:rPr>
                <w:rFonts w:ascii="GHEA Grapalat" w:hAnsi="GHEA Grapalat"/>
                <w:lang w:val="hy-AM"/>
              </w:rPr>
              <w:t xml:space="preserve">ընդլայնված ընկերության </w:t>
            </w:r>
            <w:r w:rsidR="00A1166B" w:rsidRPr="00E372DB">
              <w:rPr>
                <w:rFonts w:ascii="GHEA Grapalat" w:hAnsi="GHEA Grapalat"/>
                <w:lang w:val="hy-AM"/>
              </w:rPr>
              <w:t xml:space="preserve">բաժնետերերի </w:t>
            </w:r>
            <w:r w:rsidR="00231446" w:rsidRPr="00E372DB">
              <w:rPr>
                <w:rFonts w:ascii="GHEA Grapalat" w:hAnsi="GHEA Grapalat"/>
                <w:lang w:val="hy-AM"/>
              </w:rPr>
              <w:t xml:space="preserve">ընդհանուր ժողովը: </w:t>
            </w:r>
            <w:r w:rsidR="004230A6">
              <w:rPr>
                <w:rFonts w:ascii="GHEA Grapalat" w:hAnsi="GHEA Grapalat"/>
                <w:lang w:val="hy-AM"/>
              </w:rPr>
              <w:t xml:space="preserve"> «Պրոֆեսոր Ռ.Հ.</w:t>
            </w:r>
            <w:r w:rsidRPr="00E372DB">
              <w:rPr>
                <w:rFonts w:ascii="GHEA Grapalat" w:hAnsi="GHEA Grapalat"/>
                <w:lang w:val="hy-AM"/>
              </w:rPr>
              <w:t>Յոլյանի անվան արյունաբանական կենտրոն» փակ բաժնետիրական ընկերությունը</w:t>
            </w:r>
            <w:r w:rsidR="00231446" w:rsidRPr="00E372DB">
              <w:rPr>
                <w:rFonts w:ascii="GHEA Grapalat" w:hAnsi="GHEA Grapalat"/>
                <w:lang w:val="hy-AM"/>
              </w:rPr>
              <w:t xml:space="preserve"> </w:t>
            </w:r>
            <w:r w:rsidR="00FC11E8" w:rsidRPr="00E372DB">
              <w:rPr>
                <w:rFonts w:ascii="GHEA Grapalat" w:hAnsi="GHEA Grapalat"/>
                <w:lang w:val="hy-AM"/>
              </w:rPr>
              <w:t xml:space="preserve"> հանդիսանում է </w:t>
            </w:r>
            <w:r w:rsidRPr="00E372DB">
              <w:rPr>
                <w:rFonts w:ascii="GHEA Grapalat" w:hAnsi="GHEA Grapalat"/>
                <w:lang w:val="hy-AM"/>
              </w:rPr>
              <w:t>Առողջապահության նախարարության ենթակա</w:t>
            </w:r>
            <w:r w:rsidR="00442062" w:rsidRPr="00E372DB">
              <w:rPr>
                <w:rFonts w:ascii="GHEA Grapalat" w:hAnsi="GHEA Grapalat"/>
                <w:lang w:val="hy-AM"/>
              </w:rPr>
              <w:t>յության</w:t>
            </w:r>
            <w:r w:rsidR="00AB34F2" w:rsidRPr="00E372DB">
              <w:rPr>
                <w:rFonts w:ascii="GHEA Grapalat" w:hAnsi="GHEA Grapalat"/>
                <w:lang w:val="hy-AM"/>
              </w:rPr>
              <w:t xml:space="preserve"> կազմակերպություն</w:t>
            </w:r>
            <w:r w:rsidRPr="00E372DB">
              <w:rPr>
                <w:rFonts w:ascii="GHEA Grapalat" w:hAnsi="GHEA Grapalat"/>
                <w:lang w:val="hy-AM"/>
              </w:rPr>
              <w:t xml:space="preserve">, որի լիազոր մարմինը կանոնադրությամբ </w:t>
            </w:r>
            <w:r w:rsidR="00442062" w:rsidRPr="00E372DB">
              <w:rPr>
                <w:rFonts w:ascii="GHEA Grapalat" w:hAnsi="GHEA Grapalat"/>
                <w:lang w:val="hy-AM"/>
              </w:rPr>
              <w:t>Առողջապահության նախարարություն</w:t>
            </w:r>
            <w:r w:rsidR="007F0226" w:rsidRPr="00E372DB">
              <w:rPr>
                <w:rFonts w:ascii="GHEA Grapalat" w:hAnsi="GHEA Grapalat"/>
                <w:lang w:val="hy-AM"/>
              </w:rPr>
              <w:t>ն է:</w:t>
            </w:r>
            <w:r w:rsidR="00442062" w:rsidRPr="00E372DB">
              <w:rPr>
                <w:rFonts w:ascii="GHEA Grapalat" w:hAnsi="GHEA Grapalat"/>
                <w:lang w:val="hy-AM"/>
              </w:rPr>
              <w:t xml:space="preserve"> </w:t>
            </w:r>
            <w:r w:rsidR="007F0226" w:rsidRPr="00E372DB">
              <w:rPr>
                <w:rFonts w:ascii="GHEA Grapalat" w:hAnsi="GHEA Grapalat"/>
                <w:lang w:val="hy-AM"/>
              </w:rPr>
              <w:t>Ո</w:t>
            </w:r>
            <w:r w:rsidRPr="00E372DB">
              <w:rPr>
                <w:rFonts w:ascii="GHEA Grapalat" w:hAnsi="GHEA Grapalat"/>
                <w:lang w:val="hy-AM"/>
              </w:rPr>
              <w:t xml:space="preserve">ւստի Նախագծի </w:t>
            </w:r>
            <w:r w:rsidR="00231446" w:rsidRPr="00E372DB">
              <w:rPr>
                <w:rFonts w:ascii="GHEA Grapalat" w:hAnsi="GHEA Grapalat"/>
                <w:lang w:val="hy-AM"/>
              </w:rPr>
              <w:t>4-րդ կետ</w:t>
            </w:r>
            <w:r w:rsidR="00482C1A" w:rsidRPr="00E372DB">
              <w:rPr>
                <w:rFonts w:ascii="GHEA Grapalat" w:hAnsi="GHEA Grapalat"/>
                <w:lang w:val="hy-AM"/>
              </w:rPr>
              <w:t>ի</w:t>
            </w:r>
            <w:r w:rsidR="00231446" w:rsidRPr="00E372DB">
              <w:rPr>
                <w:rFonts w:ascii="GHEA Grapalat" w:hAnsi="GHEA Grapalat"/>
                <w:lang w:val="hy-AM"/>
              </w:rPr>
              <w:t xml:space="preserve"> 1-ին </w:t>
            </w:r>
            <w:r w:rsidR="00231446" w:rsidRPr="00E372DB">
              <w:rPr>
                <w:rFonts w:ascii="GHEA Grapalat" w:hAnsi="GHEA Grapalat"/>
                <w:lang w:val="hy-AM"/>
              </w:rPr>
              <w:lastRenderedPageBreak/>
              <w:t xml:space="preserve">ենթակետով </w:t>
            </w:r>
            <w:r w:rsidRPr="00E372DB">
              <w:rPr>
                <w:rFonts w:ascii="GHEA Grapalat" w:hAnsi="GHEA Grapalat"/>
                <w:lang w:val="hy-AM"/>
              </w:rPr>
              <w:t>սահմանված գործողություններ</w:t>
            </w:r>
            <w:r w:rsidR="00482C1A" w:rsidRPr="00E372DB">
              <w:rPr>
                <w:rFonts w:ascii="GHEA Grapalat" w:hAnsi="GHEA Grapalat"/>
                <w:lang w:val="hy-AM"/>
              </w:rPr>
              <w:t>ը</w:t>
            </w:r>
            <w:r w:rsidR="007F0226" w:rsidRPr="00E372DB">
              <w:rPr>
                <w:rFonts w:ascii="GHEA Grapalat" w:hAnsi="GHEA Grapalat"/>
                <w:lang w:val="hy-AM"/>
              </w:rPr>
              <w:t xml:space="preserve"> կկատարվեն</w:t>
            </w:r>
            <w:r w:rsidR="00231446" w:rsidRPr="00E372DB">
              <w:rPr>
                <w:rFonts w:ascii="GHEA Grapalat" w:hAnsi="GHEA Grapalat"/>
                <w:lang w:val="hy-AM"/>
              </w:rPr>
              <w:t xml:space="preserve"> </w:t>
            </w:r>
            <w:r w:rsidRPr="00E372DB">
              <w:rPr>
                <w:rFonts w:ascii="GHEA Grapalat" w:hAnsi="GHEA Grapalat"/>
                <w:lang w:val="hy-AM"/>
              </w:rPr>
              <w:t>Առողջապահության նախարարի կողմից:</w:t>
            </w:r>
          </w:p>
          <w:p w:rsidR="00395650" w:rsidRPr="00E372DB" w:rsidRDefault="00395650" w:rsidP="000108C1">
            <w:pPr>
              <w:rPr>
                <w:rFonts w:ascii="GHEA Grapalat" w:hAnsi="GHEA Grapalat"/>
                <w:lang w:val="hy-AM"/>
              </w:rPr>
            </w:pPr>
          </w:p>
          <w:p w:rsidR="002D044C" w:rsidRPr="00E372DB" w:rsidRDefault="002D044C" w:rsidP="000108C1">
            <w:pPr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2. Առաջարկությունն ընդունվել է:</w:t>
            </w:r>
            <w:r w:rsidR="002A456D" w:rsidRPr="00E372DB">
              <w:rPr>
                <w:rFonts w:ascii="GHEA Grapalat" w:hAnsi="GHEA Grapalat"/>
                <w:lang w:val="hy-AM"/>
              </w:rPr>
              <w:t xml:space="preserve"> Նախագիծը խմբագրվել է:</w:t>
            </w:r>
            <w:r w:rsidR="000108C1" w:rsidRPr="00E372D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2D044C" w:rsidRPr="00E372DB" w:rsidTr="00DC3136">
        <w:trPr>
          <w:trHeight w:val="1814"/>
        </w:trPr>
        <w:tc>
          <w:tcPr>
            <w:tcW w:w="4536" w:type="dxa"/>
          </w:tcPr>
          <w:p w:rsidR="002D044C" w:rsidRPr="00E372DB" w:rsidRDefault="002D044C" w:rsidP="00911E9D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lastRenderedPageBreak/>
              <w:t xml:space="preserve">Հայաստանի  Հանրապետության  տարածքային կառավարման և </w:t>
            </w:r>
            <w:r w:rsidR="00FC11E8" w:rsidRPr="00E372DB">
              <w:rPr>
                <w:rFonts w:ascii="GHEA Grapalat" w:hAnsi="GHEA Grapalat"/>
                <w:lang w:val="hy-AM"/>
              </w:rPr>
              <w:t xml:space="preserve">ենթակառուցվածքների </w:t>
            </w:r>
            <w:r w:rsidRPr="00E372DB">
              <w:rPr>
                <w:rFonts w:ascii="GHEA Grapalat" w:hAnsi="GHEA Grapalat"/>
                <w:lang w:val="hy-AM"/>
              </w:rPr>
              <w:t>նախարարություն</w:t>
            </w:r>
          </w:p>
          <w:p w:rsidR="002D044C" w:rsidRPr="00E372DB" w:rsidRDefault="002D044C" w:rsidP="009B76F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(</w:t>
            </w:r>
            <w:r w:rsidR="009B76FC" w:rsidRPr="00E372DB">
              <w:rPr>
                <w:rFonts w:ascii="GHEA Grapalat" w:hAnsi="GHEA Grapalat"/>
                <w:lang w:val="hy-AM"/>
              </w:rPr>
              <w:t>10</w:t>
            </w:r>
            <w:r w:rsidRPr="00E372DB">
              <w:rPr>
                <w:rFonts w:ascii="GHEA Grapalat" w:hAnsi="GHEA Grapalat"/>
                <w:lang w:val="hy-AM"/>
              </w:rPr>
              <w:t>.0</w:t>
            </w:r>
            <w:r w:rsidR="009B76FC" w:rsidRPr="00E372DB">
              <w:rPr>
                <w:rFonts w:ascii="GHEA Grapalat" w:hAnsi="GHEA Grapalat"/>
                <w:lang w:val="hy-AM"/>
              </w:rPr>
              <w:t>1.2020</w:t>
            </w:r>
            <w:r w:rsidRPr="00E372DB">
              <w:rPr>
                <w:rFonts w:ascii="GHEA Grapalat" w:hAnsi="GHEA Grapalat"/>
                <w:lang w:val="hy-AM"/>
              </w:rPr>
              <w:t xml:space="preserve">թ. թիվ </w:t>
            </w:r>
            <w:r w:rsidR="009B76FC" w:rsidRPr="00E372DB">
              <w:rPr>
                <w:rFonts w:ascii="GHEA Grapalat" w:hAnsi="GHEA Grapalat"/>
                <w:lang w:val="hy-AM"/>
              </w:rPr>
              <w:t xml:space="preserve">01/15.2/366-20 </w:t>
            </w:r>
            <w:r w:rsidRPr="00E372DB">
              <w:rPr>
                <w:rFonts w:ascii="GHEA Grapalat" w:hAnsi="GHEA Grapalat"/>
                <w:lang w:val="hy-AM"/>
              </w:rPr>
              <w:t>գրություն)</w:t>
            </w:r>
          </w:p>
        </w:tc>
        <w:tc>
          <w:tcPr>
            <w:tcW w:w="5670" w:type="dxa"/>
          </w:tcPr>
          <w:p w:rsidR="002D044C" w:rsidRPr="00E372DB" w:rsidRDefault="002D044C" w:rsidP="00911E9D">
            <w:pPr>
              <w:spacing w:after="24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 xml:space="preserve"> </w:t>
            </w:r>
            <w:r w:rsidR="000108C1" w:rsidRPr="00E372DB">
              <w:rPr>
                <w:rFonts w:ascii="GHEA Grapalat" w:hAnsi="GHEA Grapalat"/>
                <w:lang w:val="hy-AM"/>
              </w:rPr>
              <w:t>Առաջարկություններ և դիտողություններ չկա</w:t>
            </w:r>
            <w:r w:rsidR="00DC3136" w:rsidRPr="00E372DB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4678" w:type="dxa"/>
          </w:tcPr>
          <w:p w:rsidR="008D6B78" w:rsidRPr="00E372DB" w:rsidRDefault="009B76FC" w:rsidP="00E16842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</w:tr>
      <w:tr w:rsidR="00852A24" w:rsidRPr="00E372DB" w:rsidTr="008E6AFB">
        <w:trPr>
          <w:trHeight w:val="762"/>
        </w:trPr>
        <w:tc>
          <w:tcPr>
            <w:tcW w:w="4536" w:type="dxa"/>
          </w:tcPr>
          <w:p w:rsidR="00852A24" w:rsidRPr="00E372DB" w:rsidRDefault="00852A24" w:rsidP="00852A2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Հայաստանի Հանրապետության անվտանգության խորհուրդ</w:t>
            </w:r>
          </w:p>
          <w:p w:rsidR="00852A24" w:rsidRPr="00E372DB" w:rsidRDefault="00852A24" w:rsidP="00852A2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(16.01.2020թ.  թիվ 06/32.3/1138-2020 գրություն)</w:t>
            </w:r>
          </w:p>
        </w:tc>
        <w:tc>
          <w:tcPr>
            <w:tcW w:w="5670" w:type="dxa"/>
          </w:tcPr>
          <w:p w:rsidR="00852A24" w:rsidRPr="00E372DB" w:rsidRDefault="00852A24" w:rsidP="00C23082">
            <w:pPr>
              <w:spacing w:after="24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 xml:space="preserve"> Առաջարկություններ և դիտողություններ չկան</w:t>
            </w:r>
          </w:p>
        </w:tc>
        <w:tc>
          <w:tcPr>
            <w:tcW w:w="4678" w:type="dxa"/>
          </w:tcPr>
          <w:p w:rsidR="00852A24" w:rsidRPr="00E372DB" w:rsidRDefault="00852A24" w:rsidP="00C23082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</w:tr>
      <w:tr w:rsidR="00AB5930" w:rsidRPr="00AB5930" w:rsidTr="008E6AFB">
        <w:trPr>
          <w:trHeight w:val="762"/>
        </w:trPr>
        <w:tc>
          <w:tcPr>
            <w:tcW w:w="4536" w:type="dxa"/>
          </w:tcPr>
          <w:p w:rsidR="00AB5930" w:rsidRPr="00E372DB" w:rsidRDefault="00AB5930" w:rsidP="007D343B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Հայաստանի  Հանրապետության  Արդարադատության նախարարություն</w:t>
            </w:r>
          </w:p>
          <w:p w:rsidR="00AB5930" w:rsidRPr="00E372DB" w:rsidRDefault="00AB5930" w:rsidP="007D343B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(12.02.2020թ. թիվ  01/27.1/1710-2020 գրություն)</w:t>
            </w:r>
          </w:p>
        </w:tc>
        <w:tc>
          <w:tcPr>
            <w:tcW w:w="5670" w:type="dxa"/>
          </w:tcPr>
          <w:p w:rsidR="00AB5930" w:rsidRPr="00E372DB" w:rsidRDefault="00AB5930" w:rsidP="00AB5930">
            <w:pPr>
              <w:pStyle w:val="mechtex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E372DB">
              <w:rPr>
                <w:rFonts w:ascii="GHEA Grapalat" w:hAnsi="GHEA Grapalat"/>
                <w:sz w:val="24"/>
                <w:szCs w:val="24"/>
                <w:lang w:val="hy-AM" w:eastAsia="en-US"/>
              </w:rPr>
              <w:t>1.Նախագծի վերնագրում և ամբողջ տեքստում ընկերությունների անվանումներն անհրաժեշտ է ճշտել և համապատասխանեցնել ընկերությունների կանոնադրություններում նշված անվանումներին:</w:t>
            </w:r>
          </w:p>
          <w:p w:rsidR="00AB5930" w:rsidRPr="00E372DB" w:rsidRDefault="00AB5930" w:rsidP="00AB5930">
            <w:pPr>
              <w:spacing w:before="1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 xml:space="preserve">2. Պարտատերերի շահերն ապահովելու համար նախագծի տեքստում անհրաժեշտ է նախատեսել դրույթներ վերակազմակերպվող </w:t>
            </w:r>
            <w:r>
              <w:rPr>
                <w:rFonts w:ascii="GHEA Grapalat" w:hAnsi="GHEA Grapalat"/>
                <w:lang w:val="hy-AM"/>
              </w:rPr>
              <w:t>«</w:t>
            </w:r>
            <w:r w:rsidRPr="00014F6F">
              <w:rPr>
                <w:rFonts w:ascii="GHEA Grapalat" w:hAnsi="GHEA Grapalat"/>
                <w:lang w:val="hy-AM"/>
              </w:rPr>
              <w:t>«</w:t>
            </w:r>
            <w:r w:rsidRPr="00014F6F">
              <w:rPr>
                <w:rFonts w:ascii="GHEA Grapalat" w:hAnsi="GHEA Grapalat" w:cs="Sylfaen"/>
                <w:lang w:val="hy-AM"/>
              </w:rPr>
              <w:t>Հրազդանի</w:t>
            </w:r>
            <w:r w:rsidRPr="00014F6F">
              <w:rPr>
                <w:rFonts w:ascii="GHEA Grapalat" w:hAnsi="GHEA Grapalat"/>
                <w:lang w:val="hy-AM"/>
              </w:rPr>
              <w:t xml:space="preserve"> </w:t>
            </w:r>
            <w:r w:rsidRPr="00014F6F">
              <w:rPr>
                <w:rFonts w:ascii="GHEA Grapalat" w:hAnsi="GHEA Grapalat" w:cs="Sylfaen"/>
                <w:lang w:val="hy-AM"/>
              </w:rPr>
              <w:t>մարզային</w:t>
            </w:r>
            <w:r w:rsidRPr="00014F6F">
              <w:rPr>
                <w:rFonts w:ascii="GHEA Grapalat" w:hAnsi="GHEA Grapalat"/>
                <w:lang w:val="hy-AM"/>
              </w:rPr>
              <w:t xml:space="preserve"> </w:t>
            </w:r>
            <w:r w:rsidRPr="00014F6F">
              <w:rPr>
                <w:rFonts w:ascii="GHEA Grapalat" w:hAnsi="GHEA Grapalat" w:cs="Sylfaen"/>
                <w:lang w:val="hy-AM"/>
              </w:rPr>
              <w:t>արյան</w:t>
            </w:r>
            <w:r w:rsidRPr="00014F6F">
              <w:rPr>
                <w:rFonts w:ascii="GHEA Grapalat" w:hAnsi="GHEA Grapalat"/>
                <w:lang w:val="hy-AM"/>
              </w:rPr>
              <w:t xml:space="preserve"> </w:t>
            </w:r>
            <w:r w:rsidRPr="00014F6F">
              <w:rPr>
                <w:rFonts w:ascii="GHEA Grapalat" w:hAnsi="GHEA Grapalat" w:cs="Sylfaen"/>
                <w:lang w:val="hy-AM"/>
              </w:rPr>
              <w:t>բանկ</w:t>
            </w:r>
            <w:r w:rsidRPr="00014F6F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և </w:t>
            </w:r>
            <w:r w:rsidRPr="00014F6F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 xml:space="preserve">ՀՀ </w:t>
            </w:r>
            <w:r w:rsidRPr="00014F6F">
              <w:rPr>
                <w:rFonts w:ascii="GHEA Grapalat" w:hAnsi="GHEA Grapalat"/>
                <w:lang w:val="hy-AM"/>
              </w:rPr>
              <w:t>Արմավիրի մարզի</w:t>
            </w:r>
            <w:r>
              <w:rPr>
                <w:rFonts w:ascii="GHEA Grapalat" w:hAnsi="GHEA Grapalat"/>
                <w:lang w:val="hy-AM"/>
              </w:rPr>
              <w:t xml:space="preserve"> Արմավիրի</w:t>
            </w:r>
            <w:r w:rsidRPr="00014F6F">
              <w:rPr>
                <w:rFonts w:ascii="GHEA Grapalat" w:hAnsi="GHEA Grapalat"/>
                <w:lang w:val="hy-AM"/>
              </w:rPr>
              <w:t xml:space="preserve"> արյան փոխներարկման </w:t>
            </w:r>
            <w:r w:rsidRPr="00014F6F">
              <w:rPr>
                <w:rFonts w:ascii="GHEA Grapalat" w:hAnsi="GHEA Grapalat"/>
                <w:lang w:val="hy-AM"/>
              </w:rPr>
              <w:lastRenderedPageBreak/>
              <w:t>կայան</w:t>
            </w:r>
            <w:r>
              <w:rPr>
                <w:rFonts w:ascii="GHEA Grapalat" w:hAnsi="GHEA Grapalat"/>
                <w:lang w:val="hy-AM"/>
              </w:rPr>
              <w:t>»</w:t>
            </w:r>
            <w:r w:rsidRPr="00652060">
              <w:rPr>
                <w:rFonts w:ascii="GHEA Grapalat" w:hAnsi="GHEA Grapalat"/>
                <w:lang w:val="hy-AM"/>
              </w:rPr>
              <w:t xml:space="preserve"> </w:t>
            </w:r>
            <w:r w:rsidRPr="005A13AC">
              <w:rPr>
                <w:rFonts w:ascii="GHEA Grapalat" w:hAnsi="GHEA Grapalat"/>
                <w:lang w:val="hy-AM"/>
              </w:rPr>
              <w:t>պետական փակ բաժնետիրական ընկերությունները</w:t>
            </w:r>
            <w:r>
              <w:rPr>
                <w:rFonts w:ascii="GHEA Grapalat" w:hAnsi="GHEA Grapalat"/>
                <w:lang w:val="hy-AM"/>
              </w:rPr>
              <w:t xml:space="preserve">,  </w:t>
            </w:r>
            <w:r w:rsidRPr="00014F6F">
              <w:rPr>
                <w:rFonts w:ascii="GHEA Grapalat" w:hAnsi="GHEA Grapalat"/>
                <w:lang w:val="hy-AM"/>
              </w:rPr>
              <w:t>«Լոռու մարզային արյան փոխներարկման կայան»</w:t>
            </w:r>
            <w:r>
              <w:rPr>
                <w:rFonts w:ascii="GHEA Grapalat" w:hAnsi="GHEA Grapalat"/>
                <w:lang w:val="hy-AM"/>
              </w:rPr>
              <w:t>, «Գյումրու</w:t>
            </w:r>
            <w:r w:rsidRPr="00014F6F">
              <w:rPr>
                <w:rFonts w:ascii="GHEA Grapalat" w:hAnsi="GHEA Grapalat"/>
                <w:lang w:val="hy-AM"/>
              </w:rPr>
              <w:t xml:space="preserve"> արյան փոխներարկման կայան»</w:t>
            </w:r>
            <w:r>
              <w:rPr>
                <w:rFonts w:ascii="GHEA Grapalat" w:hAnsi="GHEA Grapalat"/>
                <w:lang w:val="hy-AM"/>
              </w:rPr>
              <w:t xml:space="preserve"> և </w:t>
            </w:r>
            <w:r w:rsidRPr="00014F6F">
              <w:rPr>
                <w:rFonts w:ascii="GHEA Grapalat" w:hAnsi="GHEA Grapalat"/>
                <w:lang w:val="hy-AM"/>
              </w:rPr>
              <w:t>«Սյունիքի մարզային արյան փոխներարկման կայան»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46703">
              <w:rPr>
                <w:rFonts w:ascii="GHEA Grapalat" w:hAnsi="GHEA Grapalat"/>
                <w:lang w:val="hy-AM"/>
              </w:rPr>
              <w:t>փակ բաժնետիրական ընկերությ</w:t>
            </w:r>
            <w:r>
              <w:rPr>
                <w:rFonts w:ascii="GHEA Grapalat" w:hAnsi="GHEA Grapalat"/>
                <w:lang w:val="hy-AM"/>
              </w:rPr>
              <w:t>ունները ՀՀ ԱՆ «Պրոֆեսոր Ռ.Հ.Յոլյանի անվան արյունաբանական</w:t>
            </w:r>
            <w:r w:rsidRPr="00863B6B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կենտրոն» փակ բաժնետիրական</w:t>
            </w:r>
            <w:r w:rsidRPr="00863B6B">
              <w:rPr>
                <w:rFonts w:ascii="GHEA Grapalat" w:hAnsi="GHEA Grapalat"/>
                <w:lang w:val="hy-AM"/>
              </w:rPr>
              <w:t xml:space="preserve"> </w:t>
            </w:r>
            <w:r w:rsidRPr="007A3EAD">
              <w:rPr>
                <w:rFonts w:ascii="GHEA Grapalat" w:hAnsi="GHEA Grapalat"/>
                <w:lang w:val="hy-AM"/>
              </w:rPr>
              <w:t>ընկերության</w:t>
            </w:r>
            <w:r w:rsidRPr="00E372DB">
              <w:rPr>
                <w:rFonts w:ascii="GHEA Grapalat" w:hAnsi="GHEA Grapalat"/>
                <w:lang w:val="hy-AM"/>
              </w:rPr>
              <w:t xml:space="preserve"> պարտատերերին դրանց վերակազմակերպման մասին տեղեկացնելու վերաբերյալ՝ համաձայն ՀՀ քաղաքացիական օրենսգրքի 66-րդ հոդվածի պահանջների:</w:t>
            </w:r>
          </w:p>
          <w:p w:rsidR="00AB5930" w:rsidRPr="00E372DB" w:rsidRDefault="00AB5930" w:rsidP="00AB5930">
            <w:pPr>
              <w:spacing w:before="1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372DB">
              <w:rPr>
                <w:rFonts w:ascii="GHEA Grapalat" w:hAnsi="GHEA Grapalat"/>
                <w:lang w:val="hy-AM"/>
              </w:rPr>
              <w:t>3.Նախա</w:t>
            </w:r>
            <w:r>
              <w:rPr>
                <w:rFonts w:ascii="GHEA Grapalat" w:hAnsi="GHEA Grapalat"/>
                <w:lang w:val="hy-AM"/>
              </w:rPr>
              <w:t>գծի 5-րդ կետն անհրաժեշտ է հանել</w:t>
            </w:r>
            <w:r w:rsidRPr="00E372DB">
              <w:rPr>
                <w:rFonts w:ascii="GHEA Grapalat" w:hAnsi="GHEA Grapalat"/>
                <w:lang w:val="hy-AM"/>
              </w:rPr>
              <w:t>՝ նկատի ունենալով «Նորմատիվ իրավական ակտերի մասին» ՀՀ օրենքի 23-րդ հոդվածի 6-րդ մասի պահանջները:</w:t>
            </w:r>
          </w:p>
        </w:tc>
        <w:tc>
          <w:tcPr>
            <w:tcW w:w="4678" w:type="dxa"/>
          </w:tcPr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B5930">
              <w:rPr>
                <w:rFonts w:ascii="GHEA Grapalat" w:hAnsi="GHEA Grapalat"/>
                <w:lang w:val="hy-AM"/>
              </w:rPr>
              <w:lastRenderedPageBreak/>
              <w:t>1.</w:t>
            </w:r>
            <w:r w:rsidRPr="00E372DB">
              <w:rPr>
                <w:rFonts w:ascii="GHEA Grapalat" w:hAnsi="GHEA Grapalat"/>
                <w:lang w:val="hy-AM"/>
              </w:rPr>
              <w:t>Առաջարկությունն ընդունվել է: Նախագիծը խմբագրվել է:</w:t>
            </w: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B5930">
              <w:rPr>
                <w:rFonts w:ascii="GHEA Grapalat" w:hAnsi="GHEA Grapalat"/>
                <w:lang w:val="hy-AM"/>
              </w:rPr>
              <w:t>2.</w:t>
            </w:r>
            <w:r w:rsidRPr="00E372DB">
              <w:rPr>
                <w:rFonts w:ascii="GHEA Grapalat" w:hAnsi="GHEA Grapalat"/>
                <w:lang w:val="hy-AM"/>
              </w:rPr>
              <w:t>Առաջարկությունն ընդունվել է: Նախագիծը խմբագրվել է:</w:t>
            </w: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AB5930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AB5930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B5930" w:rsidRPr="00E372DB" w:rsidRDefault="00AB5930" w:rsidP="00AB593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B5930">
              <w:rPr>
                <w:rFonts w:ascii="GHEA Grapalat" w:hAnsi="GHEA Grapalat"/>
                <w:lang w:val="hy-AM"/>
              </w:rPr>
              <w:t>3.</w:t>
            </w:r>
            <w:r w:rsidRPr="00E372DB">
              <w:rPr>
                <w:rFonts w:ascii="GHEA Grapalat" w:hAnsi="GHEA Grapalat"/>
                <w:lang w:val="hy-AM"/>
              </w:rPr>
              <w:t>Առաջարկությունն ընդունվել է: Նախագիծը խմբագրվել է:</w:t>
            </w:r>
          </w:p>
        </w:tc>
      </w:tr>
    </w:tbl>
    <w:p w:rsidR="000855C8" w:rsidRPr="00E372DB" w:rsidRDefault="000855C8" w:rsidP="00911E9D">
      <w:pPr>
        <w:tabs>
          <w:tab w:val="left" w:pos="6899"/>
        </w:tabs>
        <w:spacing w:line="276" w:lineRule="auto"/>
        <w:ind w:left="708" w:firstLine="708"/>
        <w:jc w:val="both"/>
        <w:rPr>
          <w:rFonts w:ascii="GHEA Grapalat" w:hAnsi="GHEA Grapalat"/>
          <w:lang w:val="hy-AM"/>
        </w:rPr>
      </w:pPr>
    </w:p>
    <w:sectPr w:rsidR="000855C8" w:rsidRPr="00E372DB" w:rsidSect="0099608F">
      <w:pgSz w:w="16838" w:h="11906" w:orient="landscape" w:code="9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8A5"/>
    <w:multiLevelType w:val="hybridMultilevel"/>
    <w:tmpl w:val="13E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6012"/>
    <w:multiLevelType w:val="hybridMultilevel"/>
    <w:tmpl w:val="C750BD8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47A73"/>
    <w:multiLevelType w:val="hybridMultilevel"/>
    <w:tmpl w:val="62E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3353"/>
    <w:multiLevelType w:val="hybridMultilevel"/>
    <w:tmpl w:val="487C1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5683"/>
    <w:multiLevelType w:val="hybridMultilevel"/>
    <w:tmpl w:val="7F3C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A04A3"/>
    <w:multiLevelType w:val="hybridMultilevel"/>
    <w:tmpl w:val="0EA4E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2A27FDC"/>
    <w:multiLevelType w:val="hybridMultilevel"/>
    <w:tmpl w:val="8A208682"/>
    <w:lvl w:ilvl="0" w:tplc="B4222CD6">
      <w:start w:val="1"/>
      <w:numFmt w:val="decimal"/>
      <w:lvlText w:val="%1."/>
      <w:lvlJc w:val="left"/>
      <w:pPr>
        <w:ind w:left="36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813AC"/>
    <w:multiLevelType w:val="hybridMultilevel"/>
    <w:tmpl w:val="90E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ED"/>
    <w:rsid w:val="000108C1"/>
    <w:rsid w:val="0002103D"/>
    <w:rsid w:val="000222F2"/>
    <w:rsid w:val="0003022A"/>
    <w:rsid w:val="00040327"/>
    <w:rsid w:val="00044204"/>
    <w:rsid w:val="00045731"/>
    <w:rsid w:val="00045BF3"/>
    <w:rsid w:val="00070EB9"/>
    <w:rsid w:val="000733B7"/>
    <w:rsid w:val="000855C8"/>
    <w:rsid w:val="00092FA3"/>
    <w:rsid w:val="00096346"/>
    <w:rsid w:val="0009681B"/>
    <w:rsid w:val="000C1207"/>
    <w:rsid w:val="000C4CE6"/>
    <w:rsid w:val="000C6612"/>
    <w:rsid w:val="000D093C"/>
    <w:rsid w:val="000D3F88"/>
    <w:rsid w:val="000F113B"/>
    <w:rsid w:val="000F351B"/>
    <w:rsid w:val="000F5F23"/>
    <w:rsid w:val="000F6C9E"/>
    <w:rsid w:val="000F78C8"/>
    <w:rsid w:val="00100612"/>
    <w:rsid w:val="00115622"/>
    <w:rsid w:val="001206D5"/>
    <w:rsid w:val="00124836"/>
    <w:rsid w:val="00126013"/>
    <w:rsid w:val="00140D36"/>
    <w:rsid w:val="001420A4"/>
    <w:rsid w:val="00146B0E"/>
    <w:rsid w:val="00151158"/>
    <w:rsid w:val="001555CB"/>
    <w:rsid w:val="00163B3A"/>
    <w:rsid w:val="00164143"/>
    <w:rsid w:val="001835D8"/>
    <w:rsid w:val="00192E57"/>
    <w:rsid w:val="001962A8"/>
    <w:rsid w:val="00197A0A"/>
    <w:rsid w:val="001B2FCF"/>
    <w:rsid w:val="001B4411"/>
    <w:rsid w:val="001B600A"/>
    <w:rsid w:val="001D4AA0"/>
    <w:rsid w:val="001D5BD7"/>
    <w:rsid w:val="001E33BD"/>
    <w:rsid w:val="00214B66"/>
    <w:rsid w:val="00224774"/>
    <w:rsid w:val="00231446"/>
    <w:rsid w:val="0023565B"/>
    <w:rsid w:val="00244347"/>
    <w:rsid w:val="002451B2"/>
    <w:rsid w:val="002474EB"/>
    <w:rsid w:val="00252966"/>
    <w:rsid w:val="00252AC0"/>
    <w:rsid w:val="002613D1"/>
    <w:rsid w:val="002619D4"/>
    <w:rsid w:val="0027027C"/>
    <w:rsid w:val="00271556"/>
    <w:rsid w:val="002776C0"/>
    <w:rsid w:val="0028166D"/>
    <w:rsid w:val="00286C3B"/>
    <w:rsid w:val="00290B9D"/>
    <w:rsid w:val="002929B4"/>
    <w:rsid w:val="002947AA"/>
    <w:rsid w:val="002A240B"/>
    <w:rsid w:val="002A456D"/>
    <w:rsid w:val="002A593D"/>
    <w:rsid w:val="002B0B79"/>
    <w:rsid w:val="002C0C4A"/>
    <w:rsid w:val="002C3573"/>
    <w:rsid w:val="002C4FA0"/>
    <w:rsid w:val="002D044C"/>
    <w:rsid w:val="002D10E4"/>
    <w:rsid w:val="002E36BA"/>
    <w:rsid w:val="00305D99"/>
    <w:rsid w:val="00312A5E"/>
    <w:rsid w:val="00312D14"/>
    <w:rsid w:val="00327CFB"/>
    <w:rsid w:val="003425E1"/>
    <w:rsid w:val="00346CEB"/>
    <w:rsid w:val="00346ED3"/>
    <w:rsid w:val="003510E1"/>
    <w:rsid w:val="0035614D"/>
    <w:rsid w:val="00356278"/>
    <w:rsid w:val="0036079C"/>
    <w:rsid w:val="00363E16"/>
    <w:rsid w:val="00364C0B"/>
    <w:rsid w:val="00371103"/>
    <w:rsid w:val="00383ECD"/>
    <w:rsid w:val="0038601E"/>
    <w:rsid w:val="003950C1"/>
    <w:rsid w:val="00395650"/>
    <w:rsid w:val="003A06D7"/>
    <w:rsid w:val="003A4066"/>
    <w:rsid w:val="003A475B"/>
    <w:rsid w:val="003A64E6"/>
    <w:rsid w:val="003B0B48"/>
    <w:rsid w:val="003B78DD"/>
    <w:rsid w:val="003C031A"/>
    <w:rsid w:val="003D4FC4"/>
    <w:rsid w:val="003D51D3"/>
    <w:rsid w:val="003E0CFF"/>
    <w:rsid w:val="003E5478"/>
    <w:rsid w:val="003E77AB"/>
    <w:rsid w:val="003F72DE"/>
    <w:rsid w:val="00401083"/>
    <w:rsid w:val="00403857"/>
    <w:rsid w:val="004200C4"/>
    <w:rsid w:val="00421CBC"/>
    <w:rsid w:val="004230A6"/>
    <w:rsid w:val="004272CC"/>
    <w:rsid w:val="00431078"/>
    <w:rsid w:val="004325EB"/>
    <w:rsid w:val="0044064A"/>
    <w:rsid w:val="00442062"/>
    <w:rsid w:val="00462A6D"/>
    <w:rsid w:val="00462E39"/>
    <w:rsid w:val="00473FA8"/>
    <w:rsid w:val="00482C1A"/>
    <w:rsid w:val="004B3E0D"/>
    <w:rsid w:val="004C6E3A"/>
    <w:rsid w:val="004D1F57"/>
    <w:rsid w:val="004E28E8"/>
    <w:rsid w:val="004E48AF"/>
    <w:rsid w:val="004F0CDB"/>
    <w:rsid w:val="004F408E"/>
    <w:rsid w:val="00517CD9"/>
    <w:rsid w:val="00521028"/>
    <w:rsid w:val="00522779"/>
    <w:rsid w:val="0054428C"/>
    <w:rsid w:val="00545BAC"/>
    <w:rsid w:val="0054769B"/>
    <w:rsid w:val="00563ADD"/>
    <w:rsid w:val="00567C53"/>
    <w:rsid w:val="005702E9"/>
    <w:rsid w:val="005727AE"/>
    <w:rsid w:val="00581317"/>
    <w:rsid w:val="005B2D29"/>
    <w:rsid w:val="005E3698"/>
    <w:rsid w:val="005E4E1F"/>
    <w:rsid w:val="005F7E22"/>
    <w:rsid w:val="0061429A"/>
    <w:rsid w:val="0061720F"/>
    <w:rsid w:val="0062081E"/>
    <w:rsid w:val="006348BF"/>
    <w:rsid w:val="006460D1"/>
    <w:rsid w:val="0067030C"/>
    <w:rsid w:val="00675CB2"/>
    <w:rsid w:val="00676616"/>
    <w:rsid w:val="00676FBC"/>
    <w:rsid w:val="006946BD"/>
    <w:rsid w:val="006979F5"/>
    <w:rsid w:val="006C0709"/>
    <w:rsid w:val="006E236C"/>
    <w:rsid w:val="006F7FCA"/>
    <w:rsid w:val="00711072"/>
    <w:rsid w:val="00712924"/>
    <w:rsid w:val="00722ECD"/>
    <w:rsid w:val="00724D62"/>
    <w:rsid w:val="0072629B"/>
    <w:rsid w:val="00742BB4"/>
    <w:rsid w:val="00743913"/>
    <w:rsid w:val="00755590"/>
    <w:rsid w:val="00762619"/>
    <w:rsid w:val="0078369A"/>
    <w:rsid w:val="00797F02"/>
    <w:rsid w:val="007B7829"/>
    <w:rsid w:val="007C4400"/>
    <w:rsid w:val="007D1D5E"/>
    <w:rsid w:val="007D3205"/>
    <w:rsid w:val="007D3968"/>
    <w:rsid w:val="007D6D95"/>
    <w:rsid w:val="007E0751"/>
    <w:rsid w:val="007E1DE0"/>
    <w:rsid w:val="007F0226"/>
    <w:rsid w:val="007F2540"/>
    <w:rsid w:val="007F6D84"/>
    <w:rsid w:val="00803759"/>
    <w:rsid w:val="00815F49"/>
    <w:rsid w:val="0081696D"/>
    <w:rsid w:val="00817D96"/>
    <w:rsid w:val="00824C0A"/>
    <w:rsid w:val="00826A7A"/>
    <w:rsid w:val="008341AA"/>
    <w:rsid w:val="008412FB"/>
    <w:rsid w:val="00842C86"/>
    <w:rsid w:val="0085129D"/>
    <w:rsid w:val="00852A24"/>
    <w:rsid w:val="0085346D"/>
    <w:rsid w:val="00862558"/>
    <w:rsid w:val="00863B6B"/>
    <w:rsid w:val="0087309C"/>
    <w:rsid w:val="00874342"/>
    <w:rsid w:val="00882605"/>
    <w:rsid w:val="00890A23"/>
    <w:rsid w:val="008A7031"/>
    <w:rsid w:val="008C5FCA"/>
    <w:rsid w:val="008D14A8"/>
    <w:rsid w:val="008D6B78"/>
    <w:rsid w:val="008E6AFB"/>
    <w:rsid w:val="008F39BC"/>
    <w:rsid w:val="00911E9D"/>
    <w:rsid w:val="009219F2"/>
    <w:rsid w:val="00926C46"/>
    <w:rsid w:val="00940CE5"/>
    <w:rsid w:val="00962008"/>
    <w:rsid w:val="00964A90"/>
    <w:rsid w:val="00965842"/>
    <w:rsid w:val="00972AF6"/>
    <w:rsid w:val="00983264"/>
    <w:rsid w:val="00984966"/>
    <w:rsid w:val="00986362"/>
    <w:rsid w:val="00990927"/>
    <w:rsid w:val="0099608F"/>
    <w:rsid w:val="009A5681"/>
    <w:rsid w:val="009B76FC"/>
    <w:rsid w:val="009D1C0D"/>
    <w:rsid w:val="009E0FD9"/>
    <w:rsid w:val="009F475B"/>
    <w:rsid w:val="009F4A45"/>
    <w:rsid w:val="00A019AA"/>
    <w:rsid w:val="00A1166B"/>
    <w:rsid w:val="00A256F8"/>
    <w:rsid w:val="00A27669"/>
    <w:rsid w:val="00A324F6"/>
    <w:rsid w:val="00A34C93"/>
    <w:rsid w:val="00A40E1B"/>
    <w:rsid w:val="00A453D9"/>
    <w:rsid w:val="00A45B09"/>
    <w:rsid w:val="00A66907"/>
    <w:rsid w:val="00A73FF2"/>
    <w:rsid w:val="00A80097"/>
    <w:rsid w:val="00A8173F"/>
    <w:rsid w:val="00AA78CF"/>
    <w:rsid w:val="00AB34F2"/>
    <w:rsid w:val="00AB5930"/>
    <w:rsid w:val="00AB78D2"/>
    <w:rsid w:val="00AC0B23"/>
    <w:rsid w:val="00AC38C0"/>
    <w:rsid w:val="00AD50EF"/>
    <w:rsid w:val="00AE3550"/>
    <w:rsid w:val="00AF0701"/>
    <w:rsid w:val="00AF1415"/>
    <w:rsid w:val="00AF46A4"/>
    <w:rsid w:val="00B05524"/>
    <w:rsid w:val="00B15C7D"/>
    <w:rsid w:val="00B24041"/>
    <w:rsid w:val="00B45AED"/>
    <w:rsid w:val="00B5748C"/>
    <w:rsid w:val="00B64E25"/>
    <w:rsid w:val="00B65CC8"/>
    <w:rsid w:val="00B67647"/>
    <w:rsid w:val="00B70F2B"/>
    <w:rsid w:val="00B90DFD"/>
    <w:rsid w:val="00B927B9"/>
    <w:rsid w:val="00B9420B"/>
    <w:rsid w:val="00BC6382"/>
    <w:rsid w:val="00BD1744"/>
    <w:rsid w:val="00BD5558"/>
    <w:rsid w:val="00BE687B"/>
    <w:rsid w:val="00BE6B10"/>
    <w:rsid w:val="00BF2C24"/>
    <w:rsid w:val="00BF7798"/>
    <w:rsid w:val="00C10395"/>
    <w:rsid w:val="00C21062"/>
    <w:rsid w:val="00C3615A"/>
    <w:rsid w:val="00C41B20"/>
    <w:rsid w:val="00C45548"/>
    <w:rsid w:val="00C56517"/>
    <w:rsid w:val="00C60576"/>
    <w:rsid w:val="00C60BE5"/>
    <w:rsid w:val="00C729BB"/>
    <w:rsid w:val="00C83D55"/>
    <w:rsid w:val="00C90863"/>
    <w:rsid w:val="00C93C64"/>
    <w:rsid w:val="00C963E3"/>
    <w:rsid w:val="00CA668D"/>
    <w:rsid w:val="00CC127A"/>
    <w:rsid w:val="00CC12F9"/>
    <w:rsid w:val="00CC3670"/>
    <w:rsid w:val="00CD1A2D"/>
    <w:rsid w:val="00CD5D25"/>
    <w:rsid w:val="00CE1A67"/>
    <w:rsid w:val="00CE48F6"/>
    <w:rsid w:val="00CE633C"/>
    <w:rsid w:val="00CE6FE0"/>
    <w:rsid w:val="00D00946"/>
    <w:rsid w:val="00D0265D"/>
    <w:rsid w:val="00D033F9"/>
    <w:rsid w:val="00D1080D"/>
    <w:rsid w:val="00D135B4"/>
    <w:rsid w:val="00D2687A"/>
    <w:rsid w:val="00D92174"/>
    <w:rsid w:val="00DB29A7"/>
    <w:rsid w:val="00DC05F5"/>
    <w:rsid w:val="00DC3136"/>
    <w:rsid w:val="00DC408B"/>
    <w:rsid w:val="00DE13C7"/>
    <w:rsid w:val="00DE1A9E"/>
    <w:rsid w:val="00DF5243"/>
    <w:rsid w:val="00E0048B"/>
    <w:rsid w:val="00E03ACB"/>
    <w:rsid w:val="00E13C94"/>
    <w:rsid w:val="00E1421A"/>
    <w:rsid w:val="00E16842"/>
    <w:rsid w:val="00E2390C"/>
    <w:rsid w:val="00E2482A"/>
    <w:rsid w:val="00E25E0C"/>
    <w:rsid w:val="00E372DB"/>
    <w:rsid w:val="00E4195B"/>
    <w:rsid w:val="00E429F8"/>
    <w:rsid w:val="00E42CB8"/>
    <w:rsid w:val="00E82A26"/>
    <w:rsid w:val="00E851C2"/>
    <w:rsid w:val="00E87E16"/>
    <w:rsid w:val="00E903F4"/>
    <w:rsid w:val="00E90A1D"/>
    <w:rsid w:val="00EA1A8D"/>
    <w:rsid w:val="00EB166A"/>
    <w:rsid w:val="00EC275C"/>
    <w:rsid w:val="00EE190D"/>
    <w:rsid w:val="00EE4C69"/>
    <w:rsid w:val="00EE595B"/>
    <w:rsid w:val="00F043E8"/>
    <w:rsid w:val="00F05C95"/>
    <w:rsid w:val="00F0647B"/>
    <w:rsid w:val="00F15683"/>
    <w:rsid w:val="00F3058F"/>
    <w:rsid w:val="00F364C4"/>
    <w:rsid w:val="00F435AE"/>
    <w:rsid w:val="00F46344"/>
    <w:rsid w:val="00F55D45"/>
    <w:rsid w:val="00F75C72"/>
    <w:rsid w:val="00F75F85"/>
    <w:rsid w:val="00F77438"/>
    <w:rsid w:val="00F82131"/>
    <w:rsid w:val="00F92406"/>
    <w:rsid w:val="00F93425"/>
    <w:rsid w:val="00F97B64"/>
    <w:rsid w:val="00FA6918"/>
    <w:rsid w:val="00FC11E8"/>
    <w:rsid w:val="00FE0F64"/>
    <w:rsid w:val="00FE4C93"/>
    <w:rsid w:val="00FE67B6"/>
    <w:rsid w:val="00FF3A69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E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AED"/>
    <w:pPr>
      <w:ind w:left="1080"/>
    </w:pPr>
    <w:rPr>
      <w:rFonts w:ascii="Times Armenian" w:hAnsi="Times Armenian"/>
    </w:rPr>
  </w:style>
  <w:style w:type="paragraph" w:customStyle="1" w:styleId="Znak">
    <w:name w:val="Znak"/>
    <w:basedOn w:val="a"/>
    <w:rsid w:val="00E87E1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27155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ParaChar">
    <w:name w:val="Default Paragraph Font Para Char"/>
    <w:basedOn w:val="a"/>
    <w:locked/>
    <w:rsid w:val="00146B0E"/>
    <w:pPr>
      <w:spacing w:after="160"/>
    </w:pPr>
    <w:rPr>
      <w:rFonts w:ascii="Verdana" w:eastAsia="Batang" w:hAnsi="Verdana" w:cs="Verdana"/>
    </w:rPr>
  </w:style>
  <w:style w:type="paragraph" w:customStyle="1" w:styleId="Char">
    <w:name w:val="Char"/>
    <w:basedOn w:val="a"/>
    <w:locked/>
    <w:rsid w:val="0054428C"/>
    <w:pPr>
      <w:spacing w:after="160"/>
    </w:pPr>
    <w:rPr>
      <w:rFonts w:ascii="Verdana" w:eastAsia="Batang" w:hAnsi="Verdana" w:cs="Verdana"/>
    </w:rPr>
  </w:style>
  <w:style w:type="paragraph" w:styleId="a4">
    <w:name w:val="Balloon Text"/>
    <w:basedOn w:val="a"/>
    <w:link w:val="a5"/>
    <w:rsid w:val="000F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78C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46ED3"/>
  </w:style>
  <w:style w:type="character" w:styleId="a6">
    <w:name w:val="Strong"/>
    <w:qFormat/>
    <w:rsid w:val="00346ED3"/>
    <w:rPr>
      <w:b/>
      <w:bCs/>
    </w:rPr>
  </w:style>
  <w:style w:type="paragraph" w:styleId="a7">
    <w:name w:val="List Paragraph"/>
    <w:basedOn w:val="a"/>
    <w:uiPriority w:val="34"/>
    <w:qFormat/>
    <w:rsid w:val="007D6D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mechtexChar">
    <w:name w:val="mechtex Char"/>
    <w:basedOn w:val="a0"/>
    <w:link w:val="mechtex"/>
    <w:locked/>
    <w:rsid w:val="00DC3136"/>
    <w:rPr>
      <w:rFonts w:ascii="Arial Armenian" w:hAnsi="Arial Armenian"/>
    </w:rPr>
  </w:style>
  <w:style w:type="paragraph" w:customStyle="1" w:styleId="mechtex">
    <w:name w:val="mechtex"/>
    <w:basedOn w:val="a"/>
    <w:link w:val="mechtexChar"/>
    <w:qFormat/>
    <w:rsid w:val="00DC3136"/>
    <w:pPr>
      <w:jc w:val="center"/>
    </w:pPr>
    <w:rPr>
      <w:rFonts w:ascii="Arial Armenian" w:hAnsi="Arial Armeni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E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AED"/>
    <w:pPr>
      <w:ind w:left="1080"/>
    </w:pPr>
    <w:rPr>
      <w:rFonts w:ascii="Times Armenian" w:hAnsi="Times Armenian"/>
    </w:rPr>
  </w:style>
  <w:style w:type="paragraph" w:customStyle="1" w:styleId="Znak">
    <w:name w:val="Znak"/>
    <w:basedOn w:val="a"/>
    <w:rsid w:val="00E87E1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27155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ParaChar">
    <w:name w:val="Default Paragraph Font Para Char"/>
    <w:basedOn w:val="a"/>
    <w:locked/>
    <w:rsid w:val="00146B0E"/>
    <w:pPr>
      <w:spacing w:after="160"/>
    </w:pPr>
    <w:rPr>
      <w:rFonts w:ascii="Verdana" w:eastAsia="Batang" w:hAnsi="Verdana" w:cs="Verdana"/>
    </w:rPr>
  </w:style>
  <w:style w:type="paragraph" w:customStyle="1" w:styleId="Char">
    <w:name w:val="Char"/>
    <w:basedOn w:val="a"/>
    <w:locked/>
    <w:rsid w:val="0054428C"/>
    <w:pPr>
      <w:spacing w:after="160"/>
    </w:pPr>
    <w:rPr>
      <w:rFonts w:ascii="Verdana" w:eastAsia="Batang" w:hAnsi="Verdana" w:cs="Verdana"/>
    </w:rPr>
  </w:style>
  <w:style w:type="paragraph" w:styleId="a4">
    <w:name w:val="Balloon Text"/>
    <w:basedOn w:val="a"/>
    <w:link w:val="a5"/>
    <w:rsid w:val="000F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78C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46ED3"/>
  </w:style>
  <w:style w:type="character" w:styleId="a6">
    <w:name w:val="Strong"/>
    <w:qFormat/>
    <w:rsid w:val="00346ED3"/>
    <w:rPr>
      <w:b/>
      <w:bCs/>
    </w:rPr>
  </w:style>
  <w:style w:type="paragraph" w:styleId="a7">
    <w:name w:val="List Paragraph"/>
    <w:basedOn w:val="a"/>
    <w:uiPriority w:val="34"/>
    <w:qFormat/>
    <w:rsid w:val="007D6D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mechtexChar">
    <w:name w:val="mechtex Char"/>
    <w:basedOn w:val="a0"/>
    <w:link w:val="mechtex"/>
    <w:locked/>
    <w:rsid w:val="00DC3136"/>
    <w:rPr>
      <w:rFonts w:ascii="Arial Armenian" w:hAnsi="Arial Armenian"/>
    </w:rPr>
  </w:style>
  <w:style w:type="paragraph" w:customStyle="1" w:styleId="mechtex">
    <w:name w:val="mechtex"/>
    <w:basedOn w:val="a"/>
    <w:link w:val="mechtexChar"/>
    <w:qFormat/>
    <w:rsid w:val="00DC3136"/>
    <w:pPr>
      <w:jc w:val="center"/>
    </w:pPr>
    <w:rPr>
      <w:rFonts w:ascii="Arial Armenian" w:hAnsi="Arial Armeni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 º Ô º Î ² Ü ø</vt:lpstr>
      <vt:lpstr>î º Ô º Î ² Ü ø</vt:lpstr>
    </vt:vector>
  </TitlesOfParts>
  <Company>Ministry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º Ô º Î ² Ü ø</dc:title>
  <dc:creator>a_arakelyan</dc:creator>
  <cp:lastModifiedBy>l_barseghyan</cp:lastModifiedBy>
  <cp:revision>95</cp:revision>
  <cp:lastPrinted>2019-10-09T13:52:00Z</cp:lastPrinted>
  <dcterms:created xsi:type="dcterms:W3CDTF">2018-09-25T09:53:00Z</dcterms:created>
  <dcterms:modified xsi:type="dcterms:W3CDTF">2020-02-17T05:28:00Z</dcterms:modified>
</cp:coreProperties>
</file>