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07D6" w14:textId="77777777" w:rsidR="00A03B5E" w:rsidRPr="00A9263E" w:rsidRDefault="00A03B5E" w:rsidP="00A03B5E">
      <w:pPr>
        <w:tabs>
          <w:tab w:val="left" w:pos="993"/>
        </w:tabs>
        <w:spacing w:after="0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384074EF" w14:textId="77777777" w:rsidR="00A03B5E" w:rsidRPr="00A9263E" w:rsidRDefault="00A03B5E" w:rsidP="00A03B5E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</w:p>
    <w:p w14:paraId="1BD2C6A6" w14:textId="77777777" w:rsidR="00A03B5E" w:rsidRPr="00A9263E" w:rsidRDefault="00A03B5E" w:rsidP="00A03B5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001B8F46" w14:textId="77777777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1.  Կարգավորման ենթակա ոլորտի կամ խնդրի սահմանումը</w:t>
      </w:r>
    </w:p>
    <w:p w14:paraId="3C54100D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«Պետական կառավարման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համակարգի մարմինների մասին» օրենքի 4-րդ հոդվածի և «Հայաստանի Հանրապետությունում ստուգումների կազմակերպման և անցկացման մասին» օրենքի 3-րդ հոդվածի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1.1-ին մասի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պահանջներից ելնելով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անհրաժեշտ է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Հայաստանի Հանրապետության առողջապահական և աշխատանքի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տեսչական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մարմնի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կողմից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առողջապահության,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աշխատողների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առողջության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անվտանգության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ապահովման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նկատմամբ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վերահսկողության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իրականացման</w:t>
      </w:r>
      <w:r w:rsidRPr="00E370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ստուգաթերթերը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</w:t>
      </w:r>
    </w:p>
    <w:p w14:paraId="7FF88F39" w14:textId="71B4C4FC" w:rsidR="00A03B5E" w:rsidRPr="00AA7C80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7D9B7763" w14:textId="77777777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Առկա իրավիճակը </w:t>
      </w:r>
    </w:p>
    <w:p w14:paraId="50401091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«Պետական կառավարման համակարգի մարմինների մասին» Հայաստանի Հանրապետության օրենքի 4-րդ հոդվածի 2-րդ մասով նախատեսված են կառավարությանը ենթակա մարմինները, որոնց թվում են նաև ՀՀ օրենքի համաձայն ստուգում իրականացնող տեսչական մարմինները՝ այդ թվում 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 տեսչական մարմինը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«Հայաստանի Հանրապետությունում ստուգումների կազմակերպման և անցկացման մասին» օրենքի 3-րդ հոդվածի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1.1-ին մասի  համաձայն՝ բ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ոլոր ստուգումները, բացառությամբ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ՏՄՊՊՀ-ի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ՀՀ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կառավարությունը: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14:paraId="44C87167" w14:textId="5B8F5855" w:rsidR="00A03B5E" w:rsidRDefault="00AA7C80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AA7C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Առողջապահական և աշխատանքի տեսչական մարմինը` իր իրավասությունների շրջանակում մինչ այս վերահսկողությունն իրականացրել է  վարչական վարույթների միջոցով։ Այդուհանդերձ, տեսչական մարմնի կողմից օրենքով և կանոնադրությամբ վերապահված լիազորություններն ամբողջապես իրականացնելու համար անհրաժեշտ է Կառավարության կողմից հաստատել՝ «Հայաստանի Հանրապետությունում ստուգումների կազմակերպման և անցկացման </w:t>
      </w:r>
      <w:r w:rsidRPr="00AA7C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մասին» 3-րդ հոդվածի 1.1-ին մասի պահանջից բխող ստուգաթերթերը՝ նույն օրենքով սահմանված կարգով պլանային և ոչ պլանային ստուգումներ իրականացնելու նպատակով։  Նախագծով առաջարկվում է հաստատել գործող իրավակարգավորումների համապատասխանող նոր մշակված թվով 14 ստուգաթերթ</w:t>
      </w:r>
      <w:r w:rsidR="00A03B5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։</w:t>
      </w:r>
    </w:p>
    <w:p w14:paraId="58B35761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Ստուգաթերթերը անհրաժեշտ է ընդունել նորմատիվ իրավական ակտի ձևով՝ հիմք ընդունելով «Նորմատիվ իրավական ակտերի մասին» օրենքի 2-րդ հոդվածի 1-ին մասի 3-րդ կետի սահմանումը։</w:t>
      </w:r>
    </w:p>
    <w:p w14:paraId="732C11B5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7CB0350D" w14:textId="77777777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3. Կարգավորման նպատակը </w:t>
      </w:r>
    </w:p>
    <w:p w14:paraId="0EF02DEF" w14:textId="769E7DC4" w:rsidR="00A03B5E" w:rsidRDefault="00A03B5E" w:rsidP="00A03B5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հաստատել 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 տեսչական</w:t>
      </w:r>
      <w:r w:rsidRPr="00A926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մարմնի կողմից վերահսկողության իրականացման ստուգաթերթերը,</w:t>
      </w:r>
      <w:r w:rsidRPr="00A9263E">
        <w:rPr>
          <w:rFonts w:ascii="GHEA Grapalat" w:eastAsia="Times New Roman" w:hAnsi="GHEA Grapalat"/>
          <w:bCs/>
          <w:iCs/>
          <w:sz w:val="20"/>
          <w:szCs w:val="24"/>
          <w:lang w:val="hy-AM"/>
        </w:rPr>
        <w:t xml:space="preserve"> 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որոնց հիման վրա տեսչական մարմինը հնարավորություն կունենա ռիսկի վրա հիմն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վ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ած ստուգումներ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ի համակարգի շրջանակներում 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իրականացնել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տեսչական ստուգումներ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: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14:paraId="04D5800A" w14:textId="77777777" w:rsidR="00005A88" w:rsidRPr="00005A88" w:rsidRDefault="00005A88" w:rsidP="00005A88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«Ստուգումների մասին» օրենքի 3-րդ հոդվածի 1.1-ին մասի համաձայն Ստուգաթերթերի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7E1303A8" w14:textId="2B1919EF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Նշված պահանջը ապահովելու նպատակով նախագիծը մշակող մարմնի կողմից նախապես իրականացվել է ոլորտի իրավական ակտերով սահմանված պահանջների ռիսկայնության գնահատում։ Այնուհետև, մշակված ստուգաթերթերը տնտեսավարող սուբյեկտների մոտ անցել են նախնական փորձարկում (որոշ դեպքերում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մեկից ավել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ի տնտեսավարողների մոտ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) կամ դրանք քննարկվել են ոլորտի մի քանի  տնտեսավարող սուբյեկտների շրջանում , որոնց ընթացքում արձանագրվել և հաշվի են առնվել վերջիններիս դիտողություններն ու առաջարկությունները, ինչի  արդյունքում ստուգաթերթերում ներառվել են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ոլորտի 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առավել ռիսկային հարցերը։</w:t>
      </w:r>
    </w:p>
    <w:p w14:paraId="3A8033D3" w14:textId="56857266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Հարկ է ընդգծել, որ Առողջապահական և աշխատանքի տեսչական մարմնի վերահսկողության ոլորտը բավական ընդարձակ է, և նշված 14 ստուգաթերթերը չեն ներառում տեսչական մարմնի իրավասությունների ամբողջ շրջանակը։ </w:t>
      </w:r>
      <w:bookmarkStart w:id="0" w:name="_GoBack"/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Զուգահեռա</w:t>
      </w:r>
      <w:bookmarkEnd w:id="0"/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բար մշակվում են այլ ստուգաթերթեր, որոնք մոտ ապագայում հաստատման կներկայացվեն սույն նախագծով ընդունվելիք որոշման մեջ լրացումներ կատարելու եղանակով։</w:t>
      </w:r>
    </w:p>
    <w:p w14:paraId="6350FFCA" w14:textId="4720C430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Նախագծով առաջարկվում է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ռիսկի վրա հիմնված ստուգումների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ստուգաթերթերը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հաստատել 4 հավելված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ներով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, </w:t>
      </w:r>
      <w:r w:rsidR="008F2F7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որոնք 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համապատասխանաբար կներառեն Առողջապահական և աշխատանքի տեսչական մարմնի վերահսկողության 4 բնագավառները՝ </w:t>
      </w:r>
    </w:p>
    <w:p w14:paraId="3571D5EE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1)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սանիտարահիգիենիկ և հակահամաճարակային բնագավառը՝ համաձայն N 1 հավելվածի,</w:t>
      </w:r>
    </w:p>
    <w:p w14:paraId="6B28D45D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2)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դեղերի շրջանառության և դեղագործական գործունեության բնագավառը ՝ համաձայն N 2 հավելվածի,</w:t>
      </w:r>
    </w:p>
    <w:p w14:paraId="1867E9E0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3)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 xml:space="preserve"> բժշկական օգնության և սպասարկման բնագավառը՝ համաձայն N 3 հավելվածի:</w:t>
      </w:r>
    </w:p>
    <w:p w14:paraId="12361048" w14:textId="56CF42A6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4)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աշխատողների առողջության պահպանման և անվտանգության ապահովման բնագավառում ռիսկի վրա հիմնված ստուգումների ստուգաթերթը՝ համաձայն N 4 հավելվածի:</w:t>
      </w:r>
    </w:p>
    <w:p w14:paraId="3F1B5C2B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Ներկայացված 14 ստուգաթերթերով կվերահսկվեն՝</w:t>
      </w:r>
    </w:p>
    <w:p w14:paraId="17ABB870" w14:textId="77777777" w:rsidR="00AA7C80" w:rsidRPr="00E814DE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>1.</w:t>
      </w: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ab/>
        <w:t>սանիտարահիգիենիկ և հակահամաճարակային բնագավառում՝</w:t>
      </w:r>
    </w:p>
    <w:p w14:paraId="31CF59DC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Նախադպրոցական կրթական հաստատություններում սանիտարահիգիենիկ և հակահամաճարակային բնագավառը,</w:t>
      </w:r>
    </w:p>
    <w:p w14:paraId="7AB71719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2.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Ստոմատոլոգիական պրակտիկայի սանիտարահիգիենիկ և հակահամաճարակային բնագավառը,</w:t>
      </w:r>
    </w:p>
    <w:p w14:paraId="1A407FE9" w14:textId="683CC9A5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3.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Հյուրանոցների և համանման բնակատեղերի տրամադրման ծառայությունների, հանգստյան տների գործունեության սանիտարահիգիենիկ և հակահամաճարակային բնագավառը,</w:t>
      </w:r>
    </w:p>
    <w:p w14:paraId="3777BAE7" w14:textId="77777777" w:rsidR="00AA7C80" w:rsidRPr="00E814DE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>2.</w:t>
      </w: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ab/>
        <w:t>դեղերի շրջանառության և դեղագործական գործունեության բնագավառում</w:t>
      </w:r>
    </w:p>
    <w:p w14:paraId="0749FEAC" w14:textId="77777777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Դեղերի մանրածախ առևտրի բնագավառը,</w:t>
      </w:r>
    </w:p>
    <w:p w14:paraId="09333861" w14:textId="7F10BBFE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2.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Դեղերի, դեղանյութերի, հետազոտվող դեղագործական արտադրանքի արտադրության բնագավառը,</w:t>
      </w:r>
    </w:p>
    <w:p w14:paraId="0D069E62" w14:textId="77777777" w:rsidR="00AA7C80" w:rsidRPr="00E814DE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>3.</w:t>
      </w: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ab/>
        <w:t>բժշկական օգնության և սպասարկման բնագավառում</w:t>
      </w:r>
    </w:p>
    <w:p w14:paraId="4893BD5A" w14:textId="295184C5" w:rsidR="00AA7C80" w:rsidRPr="00AA7C80" w:rsidRDefault="00E814DE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bookmarkStart w:id="1" w:name="_Hlk37866210"/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Հիվանդանոցային գործունեության (մինչև 18 տարեկան երեխաների) բնագավառը,</w:t>
      </w:r>
    </w:p>
    <w:p w14:paraId="66D4120A" w14:textId="432BF1A0" w:rsidR="00AA7C80" w:rsidRPr="00AA7C80" w:rsidRDefault="00E814DE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2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Հիվանդանոցային գործունեության (18-ից բարձր տարիքի անձանց) բնագավառը,</w:t>
      </w:r>
    </w:p>
    <w:p w14:paraId="7F3EAA25" w14:textId="6E4E7E82" w:rsidR="00E814DE" w:rsidRDefault="00E814DE" w:rsidP="00E814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3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</w:r>
      <w:proofErr w:type="gramStart"/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Մանկաբարձագինեկոլոգիական  հիվանդանոցային</w:t>
      </w:r>
      <w:proofErr w:type="gramEnd"/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բժշկական օգնության և սպասարկման բնագավառը,</w:t>
      </w:r>
    </w:p>
    <w:p w14:paraId="7A696AB3" w14:textId="365B33E5" w:rsidR="00E814DE" w:rsidRPr="00AA7C80" w:rsidRDefault="00E814DE" w:rsidP="00E814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4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Հոգեբուժական բժշկական օգնության և սպասարկման բնագավառը,</w:t>
      </w:r>
    </w:p>
    <w:p w14:paraId="392F4858" w14:textId="09F198CC" w:rsidR="00E814DE" w:rsidRPr="00AA7C80" w:rsidRDefault="00E814DE" w:rsidP="00E814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5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Վերարտադրողական (ռեպրոդուկտոլոգիական) բժշկական օգնության և սպասարկման բնագավառը,</w:t>
      </w:r>
    </w:p>
    <w:p w14:paraId="7E9021B0" w14:textId="02DA00CE" w:rsidR="00E814DE" w:rsidRPr="00AA7C80" w:rsidRDefault="00E814DE" w:rsidP="00E814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6.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Մարդու արյան և դրա բաղադրամասերի դոնորություն և փոխներարկումային բժշկական օգնության և  սպասարկման բնագավառը,</w:t>
      </w:r>
    </w:p>
    <w:p w14:paraId="50177F6F" w14:textId="22A2E324" w:rsidR="00AA7C80" w:rsidRDefault="00E814DE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7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</w:t>
      </w:r>
      <w:r w:rsidR="00AA7C80"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Ստոմատոլոգիական պրակտիկայի բժշկական սպասարկման բնագավառը։</w:t>
      </w:r>
    </w:p>
    <w:p w14:paraId="21106B17" w14:textId="0DC4EB59" w:rsidR="00E814DE" w:rsidRPr="00AA7C80" w:rsidRDefault="00E814DE" w:rsidP="00E814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8. 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Պալիատիվ բժշկական օգնության և սպասարկման բնագավառը,</w:t>
      </w:r>
    </w:p>
    <w:bookmarkEnd w:id="1"/>
    <w:p w14:paraId="6D84F74E" w14:textId="77777777" w:rsidR="00E814DE" w:rsidRPr="00AA7C80" w:rsidRDefault="00E814DE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</w:p>
    <w:p w14:paraId="3080A35C" w14:textId="77777777" w:rsidR="00AA7C80" w:rsidRPr="00E814DE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</w:pP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>4.</w:t>
      </w:r>
      <w:r w:rsidRPr="00E814DE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ab/>
        <w:t xml:space="preserve">աշխատողների առողջության պահպանման և անվտանգության ապահովման բնագավառում </w:t>
      </w:r>
    </w:p>
    <w:p w14:paraId="1210B0BB" w14:textId="4009058C" w:rsidR="00AA7C80" w:rsidRPr="00AA7C80" w:rsidRDefault="00AA7C80" w:rsidP="00AA7C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1.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ab/>
        <w:t>Հանքագործական արդյունաբերության և բացահանքերի շահագործման ընթացքում աշխատողների առողջության պահպանման և անվտանգության ապահովման բնագավառը, որը աշխատանքի անվտանգության ոլորտում ամենառիսկային բնագավառն է։ ՏՄ-ի սույն թվականի տարեկան ծրագրով նախատեսված են իրականացնել մի շարք ստուգումներ։</w:t>
      </w:r>
    </w:p>
    <w:p w14:paraId="7C73D05B" w14:textId="77777777" w:rsidR="00A86BBE" w:rsidRDefault="00A86BB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bookmarkStart w:id="2" w:name="_Hlk37866504"/>
      <w:r w:rsidRPr="00A86BB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Հաշվի առնլով, որ Առողջապահության նախարարության կազմում ներկայում չի գործում առողջապահական տեսչություն և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վերջինիս</w:t>
      </w:r>
      <w:r w:rsidRPr="00A86BB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ստուգաթերթերը ներկայում չեն կարող կիրառելի լինել՝ Հայաստանի Հանրապետության կառավարության 2013 թվականի ապրիլի 4-ի N 349-Ն և Հայաստանի Հանրապետության կառավարության 2013 թվականի հուլիսի 4-ի N 724-Ն որոշումներն ամբողջապես ուժը կորցրած ճանաչելու հրատապությունը բացակայում է, ուստի դրա վերաբերյալ դրույթը կսահմանվի Առողջապահական և աշխատանքի տեսչական մարմնի ստուգաթերթերը հաստատելու մասին որոշման մեջ վերջին լրացումը կատարելու վերաբերյալ որոշմամբ։</w:t>
      </w:r>
    </w:p>
    <w:bookmarkEnd w:id="2"/>
    <w:p w14:paraId="4F981393" w14:textId="222B9159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4. Ակնկալվող արդյունքը</w:t>
      </w:r>
    </w:p>
    <w:p w14:paraId="1833C0E7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մարմինների բնականոն գործունեության ընթացքի հետ կապված իրավական հիմքերը:</w:t>
      </w:r>
    </w:p>
    <w:p w14:paraId="147C10DF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76A00244" w14:textId="77777777" w:rsidR="00A03B5E" w:rsidRDefault="00A03B5E" w:rsidP="00A03B5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>5</w:t>
      </w: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Pr="004A680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14:paraId="7383E0F0" w14:textId="77777777" w:rsidR="00A03B5E" w:rsidRPr="004A6805" w:rsidRDefault="00A03B5E" w:rsidP="00A03B5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Նախագիծը մշակվել է ՀՀ վարչապետի աշխատակազմի տեսչական մարմինների աշխատանքների համակարգման գրասենյակի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</w:t>
      </w: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ռողջապահական և աշխատանքի </w:t>
      </w: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տեսչական մարմնի  կողմից:</w:t>
      </w:r>
    </w:p>
    <w:p w14:paraId="2559494E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6D5E0163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4A681AD1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16D9947A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425E8B22" w14:textId="77777777" w:rsidR="00A03B5E" w:rsidRDefault="00A03B5E" w:rsidP="00005A88">
      <w:pPr>
        <w:tabs>
          <w:tab w:val="left" w:pos="993"/>
        </w:tabs>
        <w:spacing w:after="0" w:line="36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400C7D1B" w14:textId="77777777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14:paraId="3A2841E9" w14:textId="77777777" w:rsidR="00A03B5E" w:rsidRPr="00A9263E" w:rsidRDefault="00A03B5E" w:rsidP="00A03B5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ԸՆԴՈՒՆՄԱՆ ԿԱՊԱԿՑՈՒԹՅԱՄԲ ՀԱՅԱՍՏԱՆԻ ՀԱՆՐԱՊԵՏՈՒԹՅԱՆ ՊԵՏԱԿԱՆ ԲՅՈՒՋԵԻ ԵԿԱՄՏԱՅԻՆ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ԾԱԽՍԱՅԻՆ ՄԱՍԵՐՈՒՄ ՓՈՓՈԽՈՒԹՅՈՒՆՆԵՐ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ՄԱՍԻՆ</w:t>
      </w:r>
    </w:p>
    <w:p w14:paraId="35755DF7" w14:textId="77777777" w:rsidR="00A03B5E" w:rsidRPr="00A9263E" w:rsidRDefault="00A03B5E" w:rsidP="00A03B5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p w14:paraId="72A289CB" w14:textId="3D343F75" w:rsidR="00A03B5E" w:rsidRPr="004A6805" w:rsidRDefault="00A03B5E" w:rsidP="00A03B5E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և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վերահսկողության իրականացման ստուգաթերթերը հաստատելու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</w:t>
      </w:r>
      <w:r w:rsidRPr="004A6805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նախատեսվում:</w:t>
      </w:r>
    </w:p>
    <w:p w14:paraId="608D325F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23D249A5" w14:textId="77777777" w:rsidR="00A03B5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555FFE54" w14:textId="77777777" w:rsidR="00A03B5E" w:rsidRPr="00A9263E" w:rsidRDefault="00A03B5E" w:rsidP="00A03B5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14:paraId="5EACCFFB" w14:textId="77777777" w:rsidR="00A03B5E" w:rsidRPr="00A9263E" w:rsidRDefault="00A03B5E" w:rsidP="00A03B5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ԸՆԴՈՒՆՄԱՆ ԿԱՊԱԿՑՈՒԹՅԱՄԲ ԱՅԼ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ԻՐԱՎԱԿԱՆ ԱԿՏԵՐՈՒՄ ՓՈՓՈԽՈՒԹՅՈՒՆՆԵՐ ԿԱՄ ԼՐԱՑՈՒՄՆԵՐ ԿԱՏԱՐԵԼՈՒ ԱՆՀՐԱԺԵՇՏՈՒԹՅ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 ՄԱՍԻՆ</w:t>
      </w:r>
    </w:p>
    <w:p w14:paraId="26B3A681" w14:textId="77777777" w:rsidR="00A03B5E" w:rsidRPr="00A9263E" w:rsidRDefault="00A03B5E" w:rsidP="00A03B5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8"/>
          <w:szCs w:val="24"/>
          <w:lang w:val="hy-AM"/>
        </w:rPr>
      </w:pPr>
    </w:p>
    <w:p w14:paraId="55075FEE" w14:textId="55ED3265" w:rsidR="00A03B5E" w:rsidRPr="00DA1C3F" w:rsidRDefault="00A03B5E" w:rsidP="00A03B5E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eastAsia="Times New Roman" w:hAnsiTheme="minorHAnsi"/>
          <w:bCs/>
          <w:iCs/>
          <w:noProof/>
          <w:sz w:val="20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և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վերահսկողության իրականացման ստուգաթերթերը հաստատելու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չի առաջանում:</w:t>
      </w:r>
    </w:p>
    <w:p w14:paraId="0F108EEB" w14:textId="77777777" w:rsidR="00056B2B" w:rsidRPr="00A03B5E" w:rsidRDefault="00056B2B">
      <w:pPr>
        <w:rPr>
          <w:lang w:val="hy-AM"/>
        </w:rPr>
      </w:pPr>
    </w:p>
    <w:sectPr w:rsidR="00056B2B" w:rsidRPr="00A03B5E" w:rsidSect="00BE76CD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71"/>
    <w:rsid w:val="00005A88"/>
    <w:rsid w:val="00056B2B"/>
    <w:rsid w:val="00390CAC"/>
    <w:rsid w:val="00471871"/>
    <w:rsid w:val="0056294D"/>
    <w:rsid w:val="00590C8B"/>
    <w:rsid w:val="006E2A35"/>
    <w:rsid w:val="008F2F75"/>
    <w:rsid w:val="00A03B5E"/>
    <w:rsid w:val="00A86BBE"/>
    <w:rsid w:val="00AA7C80"/>
    <w:rsid w:val="00C51502"/>
    <w:rsid w:val="00CE1D4E"/>
    <w:rsid w:val="00DA1233"/>
    <w:rsid w:val="00E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08BA"/>
  <w15:chartTrackingRefBased/>
  <w15:docId w15:val="{59EE19DF-BDCF-4B16-AE72-EBD8B46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B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Tatev</cp:lastModifiedBy>
  <cp:revision>9</cp:revision>
  <dcterms:created xsi:type="dcterms:W3CDTF">2020-04-09T11:23:00Z</dcterms:created>
  <dcterms:modified xsi:type="dcterms:W3CDTF">2020-04-15T14:09:00Z</dcterms:modified>
</cp:coreProperties>
</file>