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rFonts w:ascii="GHEA Grapalat" w:hAnsi="GHEA Grapalat"/>
          <w:szCs w:val="22"/>
        </w:rPr>
      </w:pPr>
      <w:r>
        <w:rPr>
          <w:rFonts w:ascii="GHEA Grapalat" w:hAnsi="GHEA Grapalat"/>
          <w:szCs w:val="22"/>
          <w:lang w:val="hy-AM"/>
        </w:rPr>
        <w:t xml:space="preserve"> </w:t>
      </w:r>
      <w:r>
        <w:rPr>
          <w:rFonts w:ascii="GHEA Grapalat" w:hAnsi="GHEA Grapalat"/>
          <w:szCs w:val="22"/>
          <w:lang w:val="hy-AM"/>
        </w:rPr>
        <w:t>02/11.8/18360-2020</w:t>
      </w:r>
    </w:p>
    <w:p>
      <w:pPr>
        <w:pStyle w:val="Normal"/>
        <w:spacing w:lineRule="auto" w:line="276"/>
        <w:jc w:val="center"/>
        <w:rPr>
          <w:rFonts w:ascii="GHEA Grapalat" w:hAnsi="GHEA Grapalat"/>
        </w:rPr>
      </w:pPr>
      <w:r>
        <w:rPr>
          <w:rFonts w:ascii="GHEA Grapalat" w:hAnsi="GHEA Grapalat"/>
          <w:sz w:val="36"/>
          <w:szCs w:val="36"/>
        </w:rPr>
        <w:t xml:space="preserve">ՀԱՐՑ N </w:t>
      </w:r>
    </w:p>
    <w:tbl>
      <w:tblPr>
        <w:tblW w:w="11250" w:type="dxa"/>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198"/>
        <w:gridCol w:w="8051"/>
      </w:tblGrid>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ind w:right="81" w:hanging="0"/>
              <w:rPr>
                <w:rFonts w:ascii="GHEA Grapalat" w:hAnsi="GHEA Grapalat"/>
              </w:rPr>
            </w:pPr>
            <w:r>
              <w:rPr>
                <w:rFonts w:ascii="GHEA Grapalat" w:hAnsi="GHEA Grapalat"/>
                <w:b/>
                <w:bCs/>
                <w:sz w:val="28"/>
                <w:szCs w:val="28"/>
                <w:lang w:val="hy-AM"/>
              </w:rPr>
              <w:t>Անվանում</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GHEA Grapalat" w:hAnsi="GHEA Grapalat"/>
              </w:rPr>
            </w:pPr>
            <w:r>
              <w:rPr>
                <w:rFonts w:ascii="GHEA Grapalat" w:hAnsi="GHEA Grapalat"/>
                <w:sz w:val="24"/>
                <w:lang w:val="hy-AM"/>
              </w:rPr>
              <w:t>Հայաստանի Հանրապետության կառավարության 2017 թվականի փետրվարի 16-ի N 143-Ա որոշման մեջ փոփոխություններ կատարելու մասին</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Ներկայացնող</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GHEA Grapalat" w:hAnsi="GHEA Grapalat"/>
              </w:rPr>
            </w:pPr>
            <w:r>
              <w:rPr>
                <w:rFonts w:ascii="GHEA Grapalat" w:hAnsi="GHEA Grapalat"/>
              </w:rPr>
              <w:t>ՀՀ պաշտպանության նախարարություն</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Զեկուցող</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76" w:beforeAutospacing="0" w:before="280" w:afterAutospacing="0" w:after="280"/>
              <w:ind w:right="90" w:hanging="0"/>
              <w:rPr>
                <w:rFonts w:ascii="GHEA Grapalat" w:hAnsi="GHEA Grapalat"/>
              </w:rPr>
            </w:pPr>
            <w:r>
              <w:rPr>
                <w:rFonts w:eastAsia="Calibri" w:ascii="GHEA Grapalat" w:hAnsi="GHEA Grapalat"/>
                <w:shd w:fill="FFFFFF" w:val="clear"/>
                <w:lang w:val="hy-AM" w:eastAsia="en-US"/>
              </w:rPr>
              <w:t>Դավիթ Տոնոյան</w:t>
            </w:r>
          </w:p>
          <w:p>
            <w:pPr>
              <w:pStyle w:val="NormalWeb"/>
              <w:spacing w:lineRule="auto" w:line="276" w:beforeAutospacing="0" w:before="280" w:afterAutospacing="0" w:after="280"/>
              <w:ind w:right="90" w:hanging="0"/>
              <w:rPr>
                <w:rFonts w:ascii="GHEA Grapalat" w:hAnsi="GHEA Grapalat"/>
              </w:rPr>
            </w:pPr>
            <w:r>
              <w:rPr>
                <w:rFonts w:eastAsia="Calibri" w:ascii="GHEA Grapalat" w:hAnsi="GHEA Grapalat"/>
                <w:highlight w:val="white"/>
                <w:shd w:fill="FFFFFF" w:val="clear"/>
                <w:lang w:val="hy-AM" w:eastAsia="en-US"/>
              </w:rPr>
              <w:t>ՀՀ պաշտպանության նախարար</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Կարգավորման առարկա</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90" w:hanging="0"/>
              <w:rPr>
                <w:rFonts w:ascii="GHEA Grapalat" w:hAnsi="GHEA Grapalat"/>
              </w:rPr>
            </w:pPr>
            <w:r>
              <w:rPr>
                <w:rFonts w:ascii="GHEA Grapalat" w:hAnsi="GHEA Grapalat"/>
                <w:sz w:val="24"/>
                <w:lang w:val="hy-AM"/>
              </w:rPr>
              <w:t>Նախագծով առաջարկվում է ՀՀ  պաշտպանության ժամանակ զինծառայողների կյանքին կամ առողջությանը պատճառված վնասների հատուցման հիմնադրամի հոգաբարձուների խորհրդի կազմում ֆինանսների նախարարի տեղակալի փոխարեն ընդգրկել պետական եկամուտների կոմիտեի նախագահի տեղակալին, ինչպես նաև պատգամավոր Տիգրան Ուրիխանյանի փոխարեն ընդգրկել պատգամավոր Նաիրա Զոհրաբյանին:</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Քննարկվել է</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90" w:hanging="0"/>
              <w:rPr>
                <w:rFonts w:ascii="GHEA Grapalat" w:hAnsi="GHEA Grapalat"/>
              </w:rPr>
            </w:pPr>
            <w:r>
              <w:rPr>
                <w:rFonts w:cs="Sylfaen" w:ascii="GHEA Grapalat" w:hAnsi="GHEA Grapalat"/>
                <w:sz w:val="24"/>
                <w:lang w:val="hy-AM" w:eastAsia="ru-RU"/>
              </w:rPr>
              <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Կոմիտեի հանձնարարական</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90" w:hanging="0"/>
              <w:rPr>
                <w:rFonts w:ascii="GHEA Grapalat" w:hAnsi="GHEA Grapalat"/>
              </w:rPr>
            </w:pPr>
            <w:r>
              <w:rPr>
                <w:rFonts w:ascii="GHEA Grapalat" w:hAnsi="GHEA Grapalat"/>
                <w:sz w:val="24"/>
                <w:lang w:val="hy-AM"/>
              </w:rPr>
              <w:t>Չկա</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pacing w:val="-8"/>
                <w:sz w:val="28"/>
                <w:szCs w:val="28"/>
                <w:lang w:val="hy-AM"/>
              </w:rPr>
              <w:t>Հանձնարարականի իրացվածություն</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90" w:hanging="0"/>
              <w:rPr>
                <w:rFonts w:ascii="GHEA Grapalat" w:hAnsi="GHEA Grapalat"/>
              </w:rPr>
            </w:pPr>
            <w:r>
              <w:rPr>
                <w:rFonts w:ascii="GHEA Grapalat" w:hAnsi="GHEA Grapalat"/>
                <w:sz w:val="24"/>
                <w:lang w:val="hy-AM"/>
              </w:rPr>
              <w:t> </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Հրատապություն</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GHEA Grapalat" w:hAnsi="GHEA Grapalat"/>
              </w:rPr>
            </w:pPr>
            <w:r>
              <w:rPr>
                <w:rFonts w:ascii="GHEA Grapalat" w:hAnsi="GHEA Grapalat"/>
                <w:sz w:val="24"/>
                <w:lang w:val="hy-AM"/>
              </w:rPr>
              <w:t>Չկա</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Ֆինանսական գնահատական</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GHEA Grapalat" w:hAnsi="GHEA Grapalat"/>
              </w:rPr>
            </w:pPr>
            <w:r>
              <w:rPr>
                <w:rFonts w:ascii="GHEA Grapalat" w:hAnsi="GHEA Grapalat"/>
                <w:sz w:val="24"/>
                <w:lang w:val="hy-AM"/>
              </w:rPr>
              <w:t>Ֆինանսավորում չի պահանջում</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Ֆինանսավորման հիմք</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GHEA Grapalat" w:hAnsi="GHEA Grapalat"/>
              </w:rPr>
            </w:pPr>
            <w:r>
              <w:rPr>
                <w:rFonts w:ascii="GHEA Grapalat" w:hAnsi="GHEA Grapalat"/>
                <w:sz w:val="24"/>
              </w:rPr>
              <w:t> </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Համաձայնեցումներ</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GHEA Grapalat" w:hAnsi="GHEA Grapalat"/>
              </w:rPr>
            </w:pPr>
            <w:r>
              <w:rPr>
                <w:rFonts w:ascii="GHEA Grapalat" w:hAnsi="GHEA Grapalat"/>
                <w:sz w:val="24"/>
                <w:lang w:val="hy-AM"/>
              </w:rPr>
              <w:t>ՀՀ ֆինանսների նախարարություն</w:t>
              <w:br/>
              <w:t xml:space="preserve">ՀՀ աշխատանքի և սոցիալական  հարցերի նախարարություն</w:t>
              <w:br/>
              <w:t xml:space="preserve">ՀՀ արդարադատության նախարարություն</w:t>
              <w:br/>
              <w:t xml:space="preserve">ՀՀ կենտրոնական բանկ</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Սկզբունքային տարաձայնություններ</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ascii="GHEA Grapalat" w:hAnsi="GHEA Grapalat"/>
                <w:sz w:val="24"/>
                <w:lang w:val="hy-AM"/>
              </w:rPr>
              <w:t/>
            </w:r>
          </w:p>
        </w:tc>
      </w:tr>
      <w:tr>
        <w:trPr/>
        <w:tc>
          <w:tcPr>
            <w:tcW w:w="3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ascii="GHEA Grapalat" w:hAnsi="GHEA Grapalat"/>
              </w:rPr>
            </w:pPr>
            <w:r>
              <w:rPr>
                <w:rFonts w:ascii="GHEA Grapalat" w:hAnsi="GHEA Grapalat"/>
                <w:b/>
                <w:bCs/>
                <w:sz w:val="28"/>
                <w:szCs w:val="28"/>
                <w:lang w:val="hy-AM"/>
              </w:rPr>
              <w:t>Այլ</w:t>
            </w:r>
          </w:p>
        </w:tc>
        <w:tc>
          <w:tcPr>
            <w:tcW w:w="8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GHEA Grapalat" w:hAnsi="GHEA Grapalat"/>
              </w:rPr>
            </w:pPr>
            <w:r>
              <w:rPr>
                <w:rFonts w:ascii="GHEA Grapalat" w:hAnsi="GHEA Grapalat"/>
                <w:sz w:val="24"/>
                <w:lang w:val="hy-AM"/>
              </w:rPr>
              <w:t/>
            </w:r>
          </w:p>
        </w:tc>
      </w:tr>
    </w:tbl>
    <w:p>
      <w:pPr>
        <w:pStyle w:val="Normal"/>
        <w:spacing w:lineRule="auto" w:line="276"/>
        <w:rPr/>
      </w:pPr>
      <w:r>
        <w:rPr>
          <w:rFonts w:ascii="GHEA Grapalat" w:hAnsi="GHEA Grapalat"/>
        </w:rPr>
        <w:t xml:space="preserve"> </w:t>
      </w:r>
    </w:p>
    <w:sectPr>
      <w:type w:val="nextPage"/>
      <w:pgSz w:w="12240" w:h="15840"/>
      <w:pgMar w:left="990" w:right="810" w:header="0" w:top="360" w:footer="0" w:bottom="4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Armeni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GHEA Grapalat">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eca"/>
    <w:pPr>
      <w:widowControl/>
      <w:bidi w:val="0"/>
      <w:jc w:val="left"/>
    </w:pPr>
    <w:rPr>
      <w:rFonts w:ascii="Arial Armenian" w:hAnsi="Arial Armenian" w:eastAsia="Times New Roman" w:cs="Times New Roman"/>
      <w:color w:val="auto"/>
      <w:kern w:val="0"/>
      <w:sz w:val="22"/>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uiPriority w:val="99"/>
    <w:semiHidden/>
    <w:unhideWhenUsed/>
    <w:rsid w:val="008e3eca"/>
    <w:rPr>
      <w:color w:val="757E88"/>
      <w:u w:val="single"/>
    </w:rPr>
  </w:style>
  <w:style w:type="character" w:styleId="Strong">
    <w:name w:val="Strong"/>
    <w:uiPriority w:val="22"/>
    <w:qFormat/>
    <w:rsid w:val="008e3eca"/>
    <w:rPr>
      <w:b/>
      <w:bCs/>
    </w:rPr>
  </w:style>
  <w:style w:type="character" w:styleId="MechtexChar" w:customStyle="1">
    <w:name w:val="mechtex Char"/>
    <w:qFormat/>
    <w:rsid w:val="000e7be2"/>
    <w:rPr>
      <w:rFonts w:ascii="Arial Armenian" w:hAnsi="Arial Armenian" w:eastAsia="Times New Roman"/>
      <w:sz w:val="22"/>
      <w:lang w:eastAsia="ru-RU"/>
    </w:rPr>
  </w:style>
  <w:style w:type="character" w:styleId="BodyTextChar" w:customStyle="1">
    <w:name w:val="Body Text Char"/>
    <w:uiPriority w:val="99"/>
    <w:semiHidden/>
    <w:qFormat/>
    <w:rsid w:val="00ba31cd"/>
    <w:rPr>
      <w:rFonts w:ascii="Arial Armenian" w:hAnsi="Arial Armenian" w:eastAsia="Times New Roman"/>
      <w:sz w:val="22"/>
      <w:szCs w:val="24"/>
    </w:rPr>
  </w:style>
  <w:style w:type="character" w:styleId="BodyTextChar1" w:customStyle="1">
    <w:name w:val="Body Text Char1"/>
    <w:link w:val="BodyText"/>
    <w:qFormat/>
    <w:rsid w:val="00ba31cd"/>
    <w:rPr>
      <w:rFonts w:ascii="Times New Roman" w:hAnsi="Times New Roman" w:eastAsia="Times New Roman"/>
      <w:sz w:val="24"/>
      <w:szCs w:val="24"/>
    </w:rPr>
  </w:style>
  <w:style w:type="character" w:styleId="CommentTextChar" w:customStyle="1">
    <w:name w:val="Comment Text Char"/>
    <w:link w:val="CommentText"/>
    <w:uiPriority w:val="99"/>
    <w:qFormat/>
    <w:rsid w:val="00cc102d"/>
    <w:rPr>
      <w:lang w:val="ru-RU"/>
    </w:rPr>
  </w:style>
  <w:style w:type="character" w:styleId="Annotationreference">
    <w:name w:val="annotation reference"/>
    <w:uiPriority w:val="99"/>
    <w:semiHidden/>
    <w:unhideWhenUsed/>
    <w:qFormat/>
    <w:rsid w:val="000e3ea7"/>
    <w:rPr>
      <w:sz w:val="16"/>
      <w:szCs w:val="16"/>
    </w:rPr>
  </w:style>
  <w:style w:type="character" w:styleId="CommentSubjectChar" w:customStyle="1">
    <w:name w:val="Comment Subject Char"/>
    <w:link w:val="CommentSubject"/>
    <w:uiPriority w:val="99"/>
    <w:semiHidden/>
    <w:qFormat/>
    <w:rsid w:val="000e3ea7"/>
    <w:rPr>
      <w:rFonts w:ascii="Arial Armenian" w:hAnsi="Arial Armenian" w:eastAsia="Times New Roman"/>
      <w:b/>
      <w:bCs/>
      <w:lang w:val="ru-RU"/>
    </w:rPr>
  </w:style>
  <w:style w:type="character" w:styleId="BalloonTextChar" w:customStyle="1">
    <w:name w:val="Balloon Text Char"/>
    <w:link w:val="BalloonText"/>
    <w:uiPriority w:val="99"/>
    <w:semiHidden/>
    <w:qFormat/>
    <w:rsid w:val="000e3ea7"/>
    <w:rPr>
      <w:rFonts w:ascii="Tahoma" w:hAnsi="Tahoma" w:eastAsia="Times New Roman" w:cs="Tahoma"/>
      <w:sz w:val="16"/>
      <w:szCs w:val="16"/>
    </w:rPr>
  </w:style>
  <w:style w:type="character" w:styleId="ListLabel1" w:customStyle="1">
    <w:name w:val="ListLabel 1"/>
    <w:qFormat/>
    <w:rPr>
      <w:rFonts w:cs="Times New Roman"/>
      <w:b/>
      <w:color w:val="auto"/>
    </w:rPr>
  </w:style>
  <w:style w:type="character" w:styleId="ListLabel2" w:customStyle="1">
    <w:name w:val="ListLabel 2"/>
    <w:qFormat/>
    <w:rPr>
      <w:rFonts w:cs="Times New Roman"/>
      <w:b/>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b w:val="false"/>
    </w:rPr>
  </w:style>
  <w:style w:type="character" w:styleId="ListLabel11" w:customStyle="1">
    <w:name w:val="ListLabel 11"/>
    <w:qFormat/>
    <w:rPr>
      <w:rFonts w:eastAsia="Times New Roman" w:cs="Times New Roman"/>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color w:val="000000"/>
      <w:sz w:val="28"/>
      <w:szCs w:val="28"/>
    </w:rPr>
  </w:style>
  <w:style w:type="character" w:styleId="ListLabel16" w:customStyle="1">
    <w:name w:val="ListLabel 16"/>
    <w:qFormat/>
    <w:rPr>
      <w:u w:val="none"/>
    </w:rPr>
  </w:style>
  <w:style w:type="character" w:styleId="ListLabel17" w:customStyle="1">
    <w:name w:val="ListLabel 17"/>
    <w:qFormat/>
    <w:rPr>
      <w:color w:val="000000"/>
      <w:sz w:val="28"/>
      <w:szCs w:val="2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eastAsia="Times New Roman" w:cs="Times New Roman"/>
      <w:color w:val="000000"/>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eastAsia="Times New Roman" w:cs="Times New Roman"/>
      <w:color w:val="000000"/>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1"/>
    <w:rsid w:val="00ba31cd"/>
    <w:pPr>
      <w:spacing w:before="0" w:after="120"/>
    </w:pPr>
    <w:rPr>
      <w:rFonts w:ascii="Times New Roman" w:hAnsi="Times New Roman"/>
      <w:sz w:val="24"/>
      <w:lang w:val="x-none" w:eastAsia="x-none"/>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rPr>
  </w:style>
  <w:style w:type="paragraph" w:styleId="NormalWeb">
    <w:name w:val="Normal (Web)"/>
    <w:basedOn w:val="Normal"/>
    <w:unhideWhenUsed/>
    <w:qFormat/>
    <w:rsid w:val="008e3eca"/>
    <w:pPr>
      <w:spacing w:beforeAutospacing="1" w:afterAutospacing="1"/>
    </w:pPr>
    <w:rPr>
      <w:rFonts w:ascii="Times New Roman" w:hAnsi="Times New Roman"/>
      <w:sz w:val="24"/>
      <w:lang w:eastAsia="ru-RU"/>
    </w:rPr>
  </w:style>
  <w:style w:type="paragraph" w:styleId="Mechtex" w:customStyle="1">
    <w:name w:val="mechtex"/>
    <w:basedOn w:val="Normal"/>
    <w:qFormat/>
    <w:rsid w:val="000e7be2"/>
    <w:pPr>
      <w:jc w:val="center"/>
    </w:pPr>
    <w:rPr>
      <w:szCs w:val="20"/>
      <w:lang w:eastAsia="ru-RU"/>
    </w:rPr>
  </w:style>
  <w:style w:type="paragraph" w:styleId="Annotationtext">
    <w:name w:val="annotation text"/>
    <w:basedOn w:val="Normal"/>
    <w:link w:val="CommentTextChar"/>
    <w:uiPriority w:val="99"/>
    <w:unhideWhenUsed/>
    <w:qFormat/>
    <w:rsid w:val="00cc102d"/>
    <w:pPr>
      <w:spacing w:before="0" w:after="200"/>
    </w:pPr>
    <w:rPr>
      <w:rFonts w:ascii="Calibri" w:hAnsi="Calibri" w:eastAsia="Calibri"/>
      <w:sz w:val="20"/>
      <w:szCs w:val="20"/>
      <w:lang w:val="ru-RU"/>
    </w:rPr>
  </w:style>
  <w:style w:type="paragraph" w:styleId="Annotationsubject">
    <w:name w:val="annotation subject"/>
    <w:basedOn w:val="Annotationtext"/>
    <w:next w:val="Annotationtext"/>
    <w:link w:val="CommentSubjectChar"/>
    <w:uiPriority w:val="99"/>
    <w:semiHidden/>
    <w:unhideWhenUsed/>
    <w:qFormat/>
    <w:rsid w:val="000e3ea7"/>
    <w:pPr>
      <w:spacing w:before="0" w:after="0"/>
    </w:pPr>
    <w:rPr>
      <w:rFonts w:ascii="Arial Armenian" w:hAnsi="Arial Armenian" w:eastAsia="Times New Roman"/>
      <w:b/>
      <w:bCs/>
      <w:lang w:val="en-US"/>
    </w:rPr>
  </w:style>
  <w:style w:type="paragraph" w:styleId="BalloonText">
    <w:name w:val="Balloon Text"/>
    <w:basedOn w:val="Normal"/>
    <w:link w:val="BalloonTextChar"/>
    <w:uiPriority w:val="99"/>
    <w:semiHidden/>
    <w:unhideWhenUsed/>
    <w:qFormat/>
    <w:rsid w:val="000e3ea7"/>
    <w:pPr/>
    <w:rPr>
      <w:rFonts w:ascii="Tahoma" w:hAnsi="Tahoma" w:cs="Tahoma"/>
      <w:sz w:val="16"/>
      <w:szCs w:val="16"/>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FF1E9-6936-41FB-89BC-C1563A92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Application>LibreOffice/6.1.3.2$Windows_x86 LibreOffice_project/86daf60bf00efa86ad547e59e09d6bb77c699acb</Application>
  <Pages>1</Pages>
  <Words>38</Words>
  <Characters>575</Characters>
  <CharactersWithSpaces>587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2019-09-10T08:30:00Z</dcterms:created>
  <dc:creator>tateviks</dc:creator>
  <dc:description/>
  <dc:language>ru-RU</dc:language>
  <cp:lastModifiedBy/>
  <cp:lastPrinted>2019-09-10T08:13:00Z</cp:lastPrinted>
  <dcterms:modified xsi:type="dcterms:W3CDTF">2019-11-15T11:43:10Z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