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04D" w:rsidRDefault="00F2404D">
      <w:pPr>
        <w:spacing w:after="0" w:line="240" w:lineRule="auto"/>
        <w:jc w:val="center"/>
        <w:rPr>
          <w:rFonts w:ascii="GHEA Grapalat" w:eastAsia="GHEA Grapalat" w:hAnsi="GHEA Grapalat" w:cs="GHEA Grapalat"/>
          <w:b/>
          <w:sz w:val="24"/>
          <w:szCs w:val="24"/>
        </w:rPr>
      </w:pPr>
    </w:p>
    <w:p w:rsidR="00F2404D" w:rsidRDefault="00A9005C">
      <w:pPr>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ԱՄՓՈՓԱԹԵՐԹ</w:t>
      </w:r>
    </w:p>
    <w:p w:rsidR="00F2404D" w:rsidRDefault="00F2404D">
      <w:pPr>
        <w:spacing w:after="0" w:line="240" w:lineRule="auto"/>
        <w:jc w:val="center"/>
        <w:rPr>
          <w:rFonts w:ascii="GHEA Grapalat" w:eastAsia="GHEA Grapalat" w:hAnsi="GHEA Grapalat" w:cs="GHEA Grapalat"/>
          <w:b/>
          <w:sz w:val="24"/>
          <w:szCs w:val="24"/>
        </w:rPr>
      </w:pPr>
    </w:p>
    <w:p w:rsidR="00F2404D" w:rsidRDefault="00A9005C">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w:t>
      </w:r>
    </w:p>
    <w:p w:rsidR="00F2404D" w:rsidRDefault="00A9005C">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color w:val="000000"/>
          <w:sz w:val="24"/>
          <w:szCs w:val="24"/>
        </w:rPr>
      </w:pPr>
      <w:r>
        <w:rPr>
          <w:rFonts w:ascii="GHEA Grapalat" w:eastAsia="GHEA Grapalat" w:hAnsi="GHEA Grapalat" w:cs="GHEA Grapalat"/>
          <w:b/>
          <w:color w:val="000000"/>
          <w:sz w:val="24"/>
          <w:szCs w:val="24"/>
        </w:rPr>
        <w:t>«ՈՍՏԻԿԱՆՈՒԹՅԱՆ ԲԱՐԵՓՈԽՈՒՄՆԵՐԻ ՌԱԶՄԱՎԱՐՈՒԹՅԱՆ ԵՎ ԴՐԱՆԻՑ ԲԽՈՂ 2020-2022Թ. ԳՈՐԾՈՂՈՒԹՅՈՒՆՆԵՐԻ ԾՐԱԳՐԻ» ՎԵՐԱԲԵՐՅԱԼ ՇԱՀԱԳՐԳԻՌ ՄԱՐՄԻՆՆԵՐԻ ԱՌԱՋԱՐԿՈՒԹՅՈՒՆՆԵՐԻ ԵՎ ԴԻՏՈՂՈՒԹՅՈՒՆՆԵՐԻ</w:t>
      </w:r>
    </w:p>
    <w:p w:rsidR="00F2404D" w:rsidRDefault="00F2404D">
      <w:pPr>
        <w:pBdr>
          <w:top w:val="nil"/>
          <w:left w:val="nil"/>
          <w:bottom w:val="nil"/>
          <w:right w:val="nil"/>
          <w:between w:val="nil"/>
        </w:pBdr>
        <w:shd w:val="clear" w:color="auto" w:fill="FFFFFF"/>
        <w:spacing w:after="0" w:line="240" w:lineRule="auto"/>
        <w:jc w:val="center"/>
        <w:rPr>
          <w:rFonts w:ascii="GHEA Grapalat" w:eastAsia="GHEA Grapalat" w:hAnsi="GHEA Grapalat" w:cs="GHEA Grapalat"/>
          <w:b/>
          <w:color w:val="000000"/>
          <w:sz w:val="24"/>
          <w:szCs w:val="24"/>
        </w:rPr>
      </w:pPr>
    </w:p>
    <w:p w:rsidR="00F2404D" w:rsidRDefault="00F2404D">
      <w:pPr>
        <w:spacing w:after="0" w:line="240" w:lineRule="auto"/>
        <w:jc w:val="center"/>
        <w:rPr>
          <w:rFonts w:ascii="GHEA Grapalat" w:eastAsia="GHEA Grapalat" w:hAnsi="GHEA Grapalat" w:cs="GHEA Grapalat"/>
          <w:b/>
          <w:sz w:val="24"/>
          <w:szCs w:val="24"/>
        </w:rPr>
      </w:pPr>
    </w:p>
    <w:tbl>
      <w:tblPr>
        <w:tblStyle w:val="a4"/>
        <w:tblW w:w="15114" w:type="dxa"/>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10"/>
        <w:gridCol w:w="1830"/>
        <w:gridCol w:w="5580"/>
        <w:gridCol w:w="2340"/>
        <w:gridCol w:w="4554"/>
      </w:tblGrid>
      <w:tr w:rsidR="00F2404D">
        <w:tc>
          <w:tcPr>
            <w:tcW w:w="810" w:type="dxa"/>
          </w:tcPr>
          <w:p w:rsidR="00F2404D" w:rsidRDefault="00A9005C">
            <w:pPr>
              <w:jc w:val="both"/>
              <w:rPr>
                <w:rFonts w:ascii="GHEA Grapalat" w:eastAsia="GHEA Grapalat" w:hAnsi="GHEA Grapalat" w:cs="GHEA Grapalat"/>
                <w:b/>
                <w:sz w:val="24"/>
                <w:szCs w:val="24"/>
              </w:rPr>
            </w:pPr>
            <w:r>
              <w:rPr>
                <w:rFonts w:ascii="GHEA Grapalat" w:eastAsia="GHEA Grapalat" w:hAnsi="GHEA Grapalat" w:cs="GHEA Grapalat"/>
                <w:b/>
                <w:sz w:val="24"/>
                <w:szCs w:val="24"/>
              </w:rPr>
              <w:t>N</w:t>
            </w:r>
          </w:p>
        </w:tc>
        <w:tc>
          <w:tcPr>
            <w:tcW w:w="1830" w:type="dxa"/>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b/>
                <w:sz w:val="24"/>
                <w:szCs w:val="24"/>
              </w:rPr>
              <w:t>Առաջարկության հեղինակը</w:t>
            </w:r>
          </w:p>
        </w:tc>
        <w:tc>
          <w:tcPr>
            <w:tcW w:w="5580" w:type="dxa"/>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b/>
                <w:sz w:val="24"/>
                <w:szCs w:val="24"/>
              </w:rPr>
              <w:t>Առաջարկության բովանդակությունը</w:t>
            </w:r>
          </w:p>
        </w:tc>
        <w:tc>
          <w:tcPr>
            <w:tcW w:w="2340" w:type="dxa"/>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b/>
                <w:sz w:val="24"/>
                <w:szCs w:val="24"/>
              </w:rPr>
              <w:t>Եզրակացություն</w:t>
            </w:r>
          </w:p>
        </w:tc>
        <w:tc>
          <w:tcPr>
            <w:tcW w:w="4554" w:type="dxa"/>
          </w:tcPr>
          <w:p w:rsidR="00F2404D" w:rsidRDefault="00A9005C">
            <w:pPr>
              <w:jc w:val="center"/>
              <w:rPr>
                <w:rFonts w:ascii="GHEA Grapalat" w:eastAsia="GHEA Grapalat" w:hAnsi="GHEA Grapalat" w:cs="GHEA Grapalat"/>
                <w:sz w:val="24"/>
                <w:szCs w:val="24"/>
              </w:rPr>
            </w:pPr>
            <w:r>
              <w:rPr>
                <w:rFonts w:ascii="GHEA Grapalat" w:eastAsia="GHEA Grapalat" w:hAnsi="GHEA Grapalat" w:cs="GHEA Grapalat"/>
                <w:b/>
                <w:sz w:val="24"/>
                <w:szCs w:val="24"/>
              </w:rPr>
              <w:t>Կատարված փոփոխությունը</w:t>
            </w:r>
          </w:p>
        </w:tc>
      </w:tr>
      <w:tr w:rsidR="0051158B">
        <w:trPr>
          <w:trHeight w:val="701"/>
        </w:trPr>
        <w:tc>
          <w:tcPr>
            <w:tcW w:w="810" w:type="dxa"/>
            <w:vMerge w:val="restart"/>
            <w:vAlign w:val="center"/>
          </w:tcPr>
          <w:p w:rsidR="0051158B" w:rsidRDefault="0051158B">
            <w:pPr>
              <w:numPr>
                <w:ilvl w:val="0"/>
                <w:numId w:val="8"/>
              </w:numPr>
              <w:pBdr>
                <w:top w:val="nil"/>
                <w:left w:val="nil"/>
                <w:bottom w:val="nil"/>
                <w:right w:val="nil"/>
                <w:between w:val="nil"/>
              </w:pBdr>
              <w:spacing w:after="200" w:line="276" w:lineRule="auto"/>
              <w:rPr>
                <w:rFonts w:ascii="GHEA Grapalat" w:eastAsia="GHEA Grapalat" w:hAnsi="GHEA Grapalat" w:cs="GHEA Grapalat"/>
                <w:b/>
                <w:color w:val="000000"/>
                <w:sz w:val="24"/>
                <w:szCs w:val="24"/>
              </w:rPr>
            </w:pPr>
          </w:p>
        </w:tc>
        <w:tc>
          <w:tcPr>
            <w:tcW w:w="1830" w:type="dxa"/>
            <w:vMerge w:val="restart"/>
            <w:vAlign w:val="center"/>
          </w:tcPr>
          <w:p w:rsidR="0051158B" w:rsidRDefault="0051158B">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վարչապետի աշխատակազմ</w:t>
            </w:r>
          </w:p>
        </w:tc>
        <w:tc>
          <w:tcPr>
            <w:tcW w:w="5580" w:type="dxa"/>
            <w:tcBorders>
              <w:bottom w:val="single" w:sz="4" w:space="0" w:color="000000"/>
            </w:tcBorders>
          </w:tcPr>
          <w:p w:rsidR="0051158B" w:rsidRDefault="0051158B">
            <w:pPr>
              <w:numPr>
                <w:ilvl w:val="0"/>
                <w:numId w:val="4"/>
              </w:numPr>
              <w:pBdr>
                <w:top w:val="nil"/>
                <w:left w:val="nil"/>
                <w:bottom w:val="nil"/>
                <w:right w:val="nil"/>
                <w:between w:val="nil"/>
              </w:pBdr>
              <w:tabs>
                <w:tab w:val="left" w:pos="0"/>
                <w:tab w:val="left" w:pos="342"/>
              </w:tabs>
              <w:spacing w:after="200" w:line="360" w:lineRule="auto"/>
              <w:ind w:left="72" w:firstLine="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Ռազմավարությունը պետք է բովանդակի կոնկրետ նպատակներ՝ միտված կոնկրետ հիմնախնդիրների լուծմանը, և դրանց հասնելու ճանապարհների, գործողությունների կամ միջոցառումների հստակ նկարագրություն՝ հիմնավորելով այդ գործողությունների հստակ կապը նախատեսվող արդյունքների հետ: Մինչդեռ, Ռազմավարությամբ կամ Ոստիկանության բարեփոխումների ռազմավարության գործողությունների ծրագրով անհրաժեշտ է համարվել լրացուցիչ ուսումնասիրել կամ վերլուծության ենթարկել ռազմավարական մի շարք հիմնախնդիրների վերջնական լուծումները, որոնք </w:t>
            </w:r>
            <w:r>
              <w:rPr>
                <w:rFonts w:ascii="GHEA Grapalat" w:eastAsia="GHEA Grapalat" w:hAnsi="GHEA Grapalat" w:cs="GHEA Grapalat"/>
                <w:color w:val="000000"/>
                <w:sz w:val="24"/>
                <w:szCs w:val="24"/>
              </w:rPr>
              <w:lastRenderedPageBreak/>
              <w:t>Ոստիկանության բարեփոխումների ռազմավարության գործողությունների ծրագրում մի շարք դեպքերում նախանշվել են որպես ակնալվող արդյունքներ:</w:t>
            </w:r>
          </w:p>
        </w:tc>
        <w:tc>
          <w:tcPr>
            <w:tcW w:w="2340" w:type="dxa"/>
            <w:tcBorders>
              <w:bottom w:val="single" w:sz="4" w:space="0" w:color="000000"/>
            </w:tcBorders>
          </w:tcPr>
          <w:p w:rsidR="0051158B" w:rsidRDefault="0051158B">
            <w:pP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tc>
        <w:tc>
          <w:tcPr>
            <w:tcW w:w="4554" w:type="dxa"/>
            <w:tcBorders>
              <w:bottom w:val="single" w:sz="4" w:space="0" w:color="000000"/>
            </w:tcBorders>
          </w:tcPr>
          <w:p w:rsidR="0051158B" w:rsidRDefault="0051158B">
            <w:pPr>
              <w:tabs>
                <w:tab w:val="left" w:pos="0"/>
              </w:tabs>
              <w:spacing w:line="360" w:lineRule="auto"/>
              <w:jc w:val="both"/>
              <w:rPr>
                <w:rFonts w:ascii="GHEA Grapalat" w:eastAsia="GHEA Grapalat" w:hAnsi="GHEA Grapalat" w:cs="GHEA Grapalat"/>
                <w:b/>
                <w:sz w:val="24"/>
                <w:szCs w:val="24"/>
              </w:rPr>
            </w:pPr>
            <w:r>
              <w:rPr>
                <w:rFonts w:ascii="GHEA Grapalat" w:eastAsia="GHEA Grapalat" w:hAnsi="GHEA Grapalat" w:cs="GHEA Grapalat"/>
                <w:sz w:val="24"/>
                <w:szCs w:val="24"/>
              </w:rPr>
              <w:t>Համապատասխան փոփոխությունները կատարվել են Ռազմավարության մեջ</w:t>
            </w:r>
          </w:p>
        </w:tc>
      </w:tr>
      <w:tr w:rsidR="0051158B">
        <w:trPr>
          <w:trHeight w:val="701"/>
        </w:trPr>
        <w:tc>
          <w:tcPr>
            <w:tcW w:w="810" w:type="dxa"/>
            <w:vMerge/>
            <w:vAlign w:val="center"/>
          </w:tcPr>
          <w:p w:rsidR="0051158B" w:rsidRDefault="0051158B">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1830" w:type="dxa"/>
            <w:vMerge/>
            <w:vAlign w:val="center"/>
          </w:tcPr>
          <w:p w:rsidR="0051158B" w:rsidRDefault="0051158B">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5580" w:type="dxa"/>
            <w:tcBorders>
              <w:bottom w:val="single" w:sz="4" w:space="0" w:color="000000"/>
            </w:tcBorders>
          </w:tcPr>
          <w:p w:rsidR="0051158B" w:rsidRDefault="0051158B">
            <w:pPr>
              <w:numPr>
                <w:ilvl w:val="0"/>
                <w:numId w:val="4"/>
              </w:numPr>
              <w:pBdr>
                <w:top w:val="nil"/>
                <w:left w:val="nil"/>
                <w:bottom w:val="nil"/>
                <w:right w:val="nil"/>
                <w:between w:val="nil"/>
              </w:pBdr>
              <w:tabs>
                <w:tab w:val="left" w:pos="0"/>
                <w:tab w:val="left" w:pos="342"/>
              </w:tabs>
              <w:spacing w:after="200" w:line="360" w:lineRule="auto"/>
              <w:ind w:left="72" w:firstLine="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Ոստիկանության բարեփոխումների ռազմավարության գործողությունների ծրագրում (Ծրագիր) արդյունքային ցուցանիշները պետք է լինեն իրատեսական՝ որակական և քանակական արտահայտությամբ, որոնք հիմք կհանդիսանան գործողությունների չափման, առաջընթացի և արդյունավետության գնահատման համար, իսկ Ծրագրում նախանշված գործողությունների ժամկետները պետք է համապատասխանեն Ռազմավարությամբ սահմանվող ժամկետներին:</w:t>
            </w:r>
          </w:p>
        </w:tc>
        <w:tc>
          <w:tcPr>
            <w:tcW w:w="2340" w:type="dxa"/>
            <w:tcBorders>
              <w:bottom w:val="single" w:sz="4" w:space="0" w:color="000000"/>
            </w:tcBorders>
          </w:tcPr>
          <w:p w:rsidR="0051158B" w:rsidRDefault="0051158B">
            <w:pPr>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4554" w:type="dxa"/>
            <w:tcBorders>
              <w:bottom w:val="single" w:sz="4" w:space="0" w:color="000000"/>
            </w:tcBorders>
          </w:tcPr>
          <w:p w:rsidR="0051158B" w:rsidRDefault="0051158B">
            <w:pPr>
              <w:tabs>
                <w:tab w:val="left" w:pos="0"/>
              </w:tabs>
              <w:spacing w:line="360" w:lineRule="auto"/>
              <w:jc w:val="both"/>
              <w:rPr>
                <w:rFonts w:ascii="GHEA Grapalat" w:eastAsia="GHEA Grapalat" w:hAnsi="GHEA Grapalat" w:cs="GHEA Grapalat"/>
                <w:b/>
                <w:sz w:val="24"/>
                <w:szCs w:val="24"/>
              </w:rPr>
            </w:pPr>
            <w:r>
              <w:rPr>
                <w:rFonts w:ascii="GHEA Grapalat" w:eastAsia="GHEA Grapalat" w:hAnsi="GHEA Grapalat" w:cs="GHEA Grapalat"/>
                <w:sz w:val="24"/>
                <w:szCs w:val="24"/>
              </w:rPr>
              <w:t>Համապատասխան փոփոխությունները կատարվել են Գործողությունների ծրագրում</w:t>
            </w:r>
          </w:p>
        </w:tc>
      </w:tr>
      <w:tr w:rsidR="0051158B">
        <w:trPr>
          <w:trHeight w:val="701"/>
        </w:trPr>
        <w:tc>
          <w:tcPr>
            <w:tcW w:w="810" w:type="dxa"/>
            <w:vMerge/>
            <w:vAlign w:val="center"/>
          </w:tcPr>
          <w:p w:rsidR="0051158B" w:rsidRDefault="0051158B">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1830" w:type="dxa"/>
            <w:vMerge/>
            <w:vAlign w:val="center"/>
          </w:tcPr>
          <w:p w:rsidR="0051158B" w:rsidRDefault="0051158B">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5580" w:type="dxa"/>
            <w:tcBorders>
              <w:bottom w:val="single" w:sz="4" w:space="0" w:color="000000"/>
            </w:tcBorders>
          </w:tcPr>
          <w:p w:rsidR="0051158B" w:rsidRDefault="0051158B">
            <w:pPr>
              <w:numPr>
                <w:ilvl w:val="0"/>
                <w:numId w:val="4"/>
              </w:numPr>
              <w:pBdr>
                <w:top w:val="nil"/>
                <w:left w:val="nil"/>
                <w:bottom w:val="nil"/>
                <w:right w:val="nil"/>
                <w:between w:val="nil"/>
              </w:pBdr>
              <w:tabs>
                <w:tab w:val="left" w:pos="0"/>
                <w:tab w:val="left" w:pos="342"/>
              </w:tabs>
              <w:spacing w:after="200" w:line="360" w:lineRule="auto"/>
              <w:ind w:left="72" w:firstLine="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Ռազմավարության գլխավոր նպատակներից մեկը և վերջնարդյունքը նոր հանդերձանքով, պրոֆեսիոնալ, տեխնիկապես հագեցված և </w:t>
            </w:r>
            <w:r>
              <w:rPr>
                <w:rFonts w:ascii="GHEA Grapalat" w:eastAsia="GHEA Grapalat" w:hAnsi="GHEA Grapalat" w:cs="GHEA Grapalat"/>
                <w:color w:val="000000"/>
                <w:sz w:val="24"/>
                <w:szCs w:val="24"/>
              </w:rPr>
              <w:lastRenderedPageBreak/>
              <w:t>վերափոխված վարվելակերպով ոստիկանի կերպարի ստեղծումն է։ Սակայն Նախագծում նոր հանդերձանքի և նոր տեխնիկական միջոցների ձեռքբերման և դրանց համար անհրաժեշտ միջոցների մասին դրույթներ չեն նախատեսվել:</w:t>
            </w:r>
          </w:p>
        </w:tc>
        <w:tc>
          <w:tcPr>
            <w:tcW w:w="2340" w:type="dxa"/>
            <w:tcBorders>
              <w:bottom w:val="single" w:sz="4" w:space="0" w:color="000000"/>
            </w:tcBorders>
          </w:tcPr>
          <w:p w:rsidR="0051158B" w:rsidRDefault="0051158B">
            <w:pP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tc>
        <w:tc>
          <w:tcPr>
            <w:tcW w:w="4554" w:type="dxa"/>
            <w:tcBorders>
              <w:bottom w:val="single" w:sz="4" w:space="0" w:color="000000"/>
            </w:tcBorders>
          </w:tcPr>
          <w:p w:rsidR="0051158B" w:rsidRDefault="0051158B">
            <w:pPr>
              <w:tabs>
                <w:tab w:val="left" w:pos="0"/>
              </w:tabs>
              <w:spacing w:line="360" w:lineRule="auto"/>
              <w:jc w:val="both"/>
              <w:rPr>
                <w:rFonts w:ascii="GHEA Grapalat" w:eastAsia="GHEA Grapalat" w:hAnsi="GHEA Grapalat" w:cs="GHEA Grapalat"/>
                <w:b/>
                <w:sz w:val="24"/>
                <w:szCs w:val="24"/>
              </w:rPr>
            </w:pPr>
            <w:r>
              <w:rPr>
                <w:rFonts w:ascii="GHEA Grapalat" w:eastAsia="GHEA Grapalat" w:hAnsi="GHEA Grapalat" w:cs="GHEA Grapalat"/>
                <w:sz w:val="24"/>
                <w:szCs w:val="24"/>
              </w:rPr>
              <w:t>Համապատասխան փոփոխությունները կատարվել են Գործողությունների ծրագրում</w:t>
            </w:r>
          </w:p>
        </w:tc>
      </w:tr>
      <w:tr w:rsidR="0051158B" w:rsidTr="007001C1">
        <w:trPr>
          <w:trHeight w:val="1406"/>
        </w:trPr>
        <w:tc>
          <w:tcPr>
            <w:tcW w:w="810" w:type="dxa"/>
            <w:vMerge/>
            <w:vAlign w:val="center"/>
          </w:tcPr>
          <w:p w:rsidR="0051158B" w:rsidRDefault="0051158B">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1830" w:type="dxa"/>
            <w:vMerge/>
            <w:vAlign w:val="center"/>
          </w:tcPr>
          <w:p w:rsidR="0051158B" w:rsidRDefault="0051158B">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5580" w:type="dxa"/>
            <w:tcBorders>
              <w:bottom w:val="single" w:sz="4" w:space="0" w:color="000000"/>
            </w:tcBorders>
          </w:tcPr>
          <w:p w:rsidR="0051158B" w:rsidRDefault="0051158B">
            <w:pPr>
              <w:numPr>
                <w:ilvl w:val="0"/>
                <w:numId w:val="4"/>
              </w:numPr>
              <w:pBdr>
                <w:top w:val="nil"/>
                <w:left w:val="nil"/>
                <w:bottom w:val="nil"/>
                <w:right w:val="nil"/>
                <w:between w:val="nil"/>
              </w:pBdr>
              <w:tabs>
                <w:tab w:val="left" w:pos="0"/>
                <w:tab w:val="left" w:pos="342"/>
              </w:tabs>
              <w:spacing w:after="200" w:line="360" w:lineRule="auto"/>
              <w:ind w:left="72" w:firstLine="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Նախագծում խոսք է գնում՝</w:t>
            </w:r>
          </w:p>
          <w:p w:rsidR="0051158B" w:rsidRDefault="0051158B">
            <w:pPr>
              <w:tabs>
                <w:tab w:val="left" w:pos="0"/>
                <w:tab w:val="left" w:pos="342"/>
              </w:tabs>
              <w:spacing w:line="360" w:lineRule="auto"/>
              <w:ind w:left="72"/>
              <w:jc w:val="both"/>
              <w:rPr>
                <w:rFonts w:ascii="GHEA Grapalat" w:eastAsia="GHEA Grapalat" w:hAnsi="GHEA Grapalat" w:cs="GHEA Grapalat"/>
                <w:sz w:val="24"/>
                <w:szCs w:val="24"/>
              </w:rPr>
            </w:pPr>
            <w:r>
              <w:rPr>
                <w:rFonts w:ascii="GHEA Grapalat" w:eastAsia="GHEA Grapalat" w:hAnsi="GHEA Grapalat" w:cs="GHEA Grapalat"/>
                <w:sz w:val="24"/>
                <w:szCs w:val="24"/>
              </w:rPr>
              <w:t>1) 3-րդ և 4-րդ հավելվածների, ինչպես նաև Պարեկային ծառայության գործողությունների ծրագրի մասին, որոնք ներկայացված փաթեթում բացակայում են,</w:t>
            </w:r>
          </w:p>
          <w:p w:rsidR="0051158B" w:rsidRDefault="0051158B">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 կիսամյակային հաշվետվությունների մասին, որոնք պատասխանատու մարմինները պետք է ներկայացնեն Ոստիկանություն, վերջինս էլ՝ Ոստիկանության բարեփոխումների համակարգող խորհուրդ (Խորհուրդ): Այս առումով, պարզաբանման կարիք ունի, թե որոնք են վերոնշյալ պատասխանատու մարմինները,</w:t>
            </w:r>
          </w:p>
          <w:p w:rsidR="0051158B" w:rsidRDefault="0051158B">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Խորհրդի կիսամյակային և տարեկան </w:t>
            </w:r>
            <w:r>
              <w:rPr>
                <w:rFonts w:ascii="GHEA Grapalat" w:eastAsia="GHEA Grapalat" w:hAnsi="GHEA Grapalat" w:cs="GHEA Grapalat"/>
                <w:sz w:val="24"/>
                <w:szCs w:val="24"/>
              </w:rPr>
              <w:lastRenderedPageBreak/>
              <w:t>հաշվետվությունների մասին, որոնց վերաբերյալ Նախագծում դրույթներ չեն նախատեսվել:</w:t>
            </w:r>
          </w:p>
        </w:tc>
        <w:tc>
          <w:tcPr>
            <w:tcW w:w="2340" w:type="dxa"/>
          </w:tcPr>
          <w:p w:rsidR="0051158B" w:rsidRDefault="0051158B">
            <w:pP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4.1 Ընդունվել է </w:t>
            </w:r>
          </w:p>
          <w:p w:rsidR="0051158B" w:rsidRDefault="0051158B">
            <w:pPr>
              <w:jc w:val="both"/>
              <w:rPr>
                <w:rFonts w:ascii="GHEA Grapalat" w:eastAsia="GHEA Grapalat" w:hAnsi="GHEA Grapalat" w:cs="GHEA Grapalat"/>
                <w:sz w:val="24"/>
                <w:szCs w:val="24"/>
              </w:rPr>
            </w:pPr>
            <w:r>
              <w:rPr>
                <w:rFonts w:ascii="GHEA Grapalat" w:eastAsia="GHEA Grapalat" w:hAnsi="GHEA Grapalat" w:cs="GHEA Grapalat"/>
                <w:sz w:val="24"/>
                <w:szCs w:val="24"/>
              </w:rPr>
              <w:t>4.2 Ընդունվել է</w:t>
            </w:r>
          </w:p>
          <w:p w:rsidR="0051158B" w:rsidRDefault="0051158B">
            <w:pPr>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4.3 Ընդունվել է </w:t>
            </w:r>
          </w:p>
        </w:tc>
        <w:tc>
          <w:tcPr>
            <w:tcW w:w="4554" w:type="dxa"/>
          </w:tcPr>
          <w:p w:rsidR="0051158B" w:rsidRDefault="0051158B">
            <w:pPr>
              <w:tabs>
                <w:tab w:val="left" w:pos="0"/>
              </w:tabs>
              <w:spacing w:line="360" w:lineRule="auto"/>
              <w:jc w:val="both"/>
              <w:rPr>
                <w:rFonts w:ascii="GHEA Grapalat" w:eastAsia="GHEA Grapalat" w:hAnsi="GHEA Grapalat" w:cs="GHEA Grapalat"/>
                <w:b/>
                <w:sz w:val="24"/>
                <w:szCs w:val="24"/>
              </w:rPr>
            </w:pPr>
            <w:r>
              <w:rPr>
                <w:rFonts w:ascii="GHEA Grapalat" w:eastAsia="GHEA Grapalat" w:hAnsi="GHEA Grapalat" w:cs="GHEA Grapalat"/>
                <w:sz w:val="24"/>
                <w:szCs w:val="24"/>
              </w:rPr>
              <w:t>Համապատասխան փոփոխությունները կատարվել են Ռազմավարության մեջ ու Գործողությունների ծրագրում</w:t>
            </w:r>
          </w:p>
        </w:tc>
      </w:tr>
      <w:tr w:rsidR="00B45970" w:rsidTr="007001C1">
        <w:trPr>
          <w:trHeight w:val="1403"/>
        </w:trPr>
        <w:tc>
          <w:tcPr>
            <w:tcW w:w="810" w:type="dxa"/>
            <w:vMerge/>
            <w:vAlign w:val="center"/>
          </w:tcPr>
          <w:p w:rsidR="00B45970" w:rsidRDefault="00B45970">
            <w:pPr>
              <w:widowControl w:val="0"/>
              <w:pBdr>
                <w:top w:val="nil"/>
                <w:left w:val="nil"/>
                <w:bottom w:val="nil"/>
                <w:right w:val="nil"/>
                <w:between w:val="nil"/>
              </w:pBdr>
              <w:rPr>
                <w:rFonts w:ascii="GHEA Grapalat" w:eastAsia="GHEA Grapalat" w:hAnsi="GHEA Grapalat" w:cs="GHEA Grapalat"/>
                <w:b/>
                <w:sz w:val="24"/>
                <w:szCs w:val="24"/>
              </w:rPr>
            </w:pPr>
          </w:p>
        </w:tc>
        <w:tc>
          <w:tcPr>
            <w:tcW w:w="1830" w:type="dxa"/>
            <w:vMerge/>
            <w:vAlign w:val="center"/>
          </w:tcPr>
          <w:p w:rsidR="00B45970" w:rsidRDefault="00B45970">
            <w:pPr>
              <w:widowControl w:val="0"/>
              <w:pBdr>
                <w:top w:val="nil"/>
                <w:left w:val="nil"/>
                <w:bottom w:val="nil"/>
                <w:right w:val="nil"/>
                <w:between w:val="nil"/>
              </w:pBdr>
              <w:rPr>
                <w:rFonts w:ascii="GHEA Grapalat" w:eastAsia="GHEA Grapalat" w:hAnsi="GHEA Grapalat" w:cs="GHEA Grapalat"/>
                <w:b/>
                <w:sz w:val="24"/>
                <w:szCs w:val="24"/>
              </w:rPr>
            </w:pPr>
          </w:p>
        </w:tc>
        <w:tc>
          <w:tcPr>
            <w:tcW w:w="5580" w:type="dxa"/>
            <w:tcBorders>
              <w:bottom w:val="single" w:sz="4" w:space="0" w:color="000000"/>
            </w:tcBorders>
          </w:tcPr>
          <w:p w:rsidR="00B45970" w:rsidRPr="00B45970" w:rsidRDefault="00B45970" w:rsidP="00B45970">
            <w:p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lang w:val="en-US"/>
              </w:rPr>
            </w:pPr>
            <w:r>
              <w:rPr>
                <w:rFonts w:ascii="GHEA Grapalat" w:eastAsia="GHEA Grapalat" w:hAnsi="GHEA Grapalat" w:cs="GHEA Grapalat"/>
                <w:sz w:val="24"/>
                <w:szCs w:val="24"/>
                <w:lang w:val="en-US"/>
              </w:rPr>
              <w:t xml:space="preserve">5. </w:t>
            </w:r>
            <w:r w:rsidRPr="00B45970">
              <w:rPr>
                <w:rFonts w:ascii="GHEA Grapalat" w:eastAsia="GHEA Grapalat" w:hAnsi="GHEA Grapalat" w:cs="GHEA Grapalat"/>
                <w:sz w:val="24"/>
                <w:szCs w:val="24"/>
              </w:rPr>
              <w:t xml:space="preserve">Նախագծի 1-ին հավելվածով նախատեսվում է, որ ստեղծվելիք Ոստիկանության բարեփոխումների համակարգող խորհուրդը քարտուղարության կողմից տարեկան ամփոփ հաշվետվությունը ստանալուց ու վերլուծելուց հետո, համապատասխան պատասխանատու մարմինների ներգրավմամբ կարող է վերանայել Ռազմավարությունն ու Գործողությունների ծրագիրը՝ կատարելով մշտադիտարկման արդյունքների և առաջարկությունների վրա հիմնված համապատասխան փոփոխություններ: Այս կապակցությամբ հարկ ենք համարում ընդգծել, որ առավել քան ակնհայտ է, որ Կառավարության ընդունած իրավական ակտում փոփոխություն կամ լրացում կատարելու իրավասությունը պատկանում է միայն Կառավարությանը: Հետևաբար, ինչպես որևէ խորհրդակցական մարմին, այնպես էլ անգամ </w:t>
            </w:r>
            <w:r w:rsidRPr="00B45970">
              <w:rPr>
                <w:rFonts w:ascii="GHEA Grapalat" w:eastAsia="GHEA Grapalat" w:hAnsi="GHEA Grapalat" w:cs="GHEA Grapalat"/>
                <w:sz w:val="24"/>
                <w:szCs w:val="24"/>
              </w:rPr>
              <w:lastRenderedPageBreak/>
              <w:t>պետաիշխանական լիազորություններ իրականացնող որևէ մարմին իրավասու չէ փոփոխություններ կամ լրացումներ կատարելու ՀՀ կառավարության ընդունած իրավական ակտերում:</w:t>
            </w:r>
          </w:p>
        </w:tc>
        <w:tc>
          <w:tcPr>
            <w:tcW w:w="2340" w:type="dxa"/>
          </w:tcPr>
          <w:p w:rsidR="00B45970" w:rsidRPr="00B45970" w:rsidRDefault="00B45970">
            <w:pPr>
              <w:jc w:val="both"/>
              <w:rPr>
                <w:rFonts w:ascii="Tahoma" w:eastAsia="Tahoma" w:hAnsi="Tahoma" w:cs="Tahoma"/>
                <w:sz w:val="24"/>
                <w:szCs w:val="24"/>
                <w:lang w:val="en-US"/>
              </w:rPr>
            </w:pPr>
            <w:r w:rsidRPr="00B45970">
              <w:rPr>
                <w:rFonts w:ascii="GHEA Grapalat" w:eastAsia="GHEA Grapalat" w:hAnsi="GHEA Grapalat" w:cs="GHEA Grapalat"/>
                <w:sz w:val="24"/>
                <w:szCs w:val="24"/>
              </w:rPr>
              <w:lastRenderedPageBreak/>
              <w:t>Ընդունվել է</w:t>
            </w:r>
          </w:p>
        </w:tc>
        <w:tc>
          <w:tcPr>
            <w:tcW w:w="4554" w:type="dxa"/>
          </w:tcPr>
          <w:p w:rsidR="00B45970" w:rsidRPr="00B45970" w:rsidRDefault="00B45970">
            <w:pPr>
              <w:tabs>
                <w:tab w:val="left" w:pos="0"/>
              </w:tabs>
              <w:spacing w:line="360" w:lineRule="auto"/>
              <w:jc w:val="both"/>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 xml:space="preserve">Համախատասխան փոփոխությունները կատարվել են Ռազմավարության մեջ: </w:t>
            </w:r>
          </w:p>
        </w:tc>
      </w:tr>
      <w:tr w:rsidR="0051158B" w:rsidTr="007001C1">
        <w:trPr>
          <w:trHeight w:val="1403"/>
        </w:trPr>
        <w:tc>
          <w:tcPr>
            <w:tcW w:w="810" w:type="dxa"/>
            <w:vMerge/>
            <w:vAlign w:val="center"/>
          </w:tcPr>
          <w:p w:rsidR="0051158B" w:rsidRDefault="0051158B">
            <w:pPr>
              <w:widowControl w:val="0"/>
              <w:pBdr>
                <w:top w:val="nil"/>
                <w:left w:val="nil"/>
                <w:bottom w:val="nil"/>
                <w:right w:val="nil"/>
                <w:between w:val="nil"/>
              </w:pBdr>
              <w:rPr>
                <w:rFonts w:ascii="GHEA Grapalat" w:eastAsia="GHEA Grapalat" w:hAnsi="GHEA Grapalat" w:cs="GHEA Grapalat"/>
                <w:b/>
                <w:sz w:val="24"/>
                <w:szCs w:val="24"/>
              </w:rPr>
            </w:pPr>
          </w:p>
        </w:tc>
        <w:tc>
          <w:tcPr>
            <w:tcW w:w="1830" w:type="dxa"/>
            <w:vMerge/>
            <w:vAlign w:val="center"/>
          </w:tcPr>
          <w:p w:rsidR="0051158B" w:rsidRDefault="0051158B">
            <w:pPr>
              <w:widowControl w:val="0"/>
              <w:pBdr>
                <w:top w:val="nil"/>
                <w:left w:val="nil"/>
                <w:bottom w:val="nil"/>
                <w:right w:val="nil"/>
                <w:between w:val="nil"/>
              </w:pBdr>
              <w:rPr>
                <w:rFonts w:ascii="GHEA Grapalat" w:eastAsia="GHEA Grapalat" w:hAnsi="GHEA Grapalat" w:cs="GHEA Grapalat"/>
                <w:b/>
                <w:sz w:val="24"/>
                <w:szCs w:val="24"/>
              </w:rPr>
            </w:pPr>
          </w:p>
        </w:tc>
        <w:tc>
          <w:tcPr>
            <w:tcW w:w="5580" w:type="dxa"/>
            <w:tcBorders>
              <w:bottom w:val="single" w:sz="4" w:space="0" w:color="000000"/>
            </w:tcBorders>
          </w:tcPr>
          <w:p w:rsidR="0051158B" w:rsidRDefault="00322392" w:rsidP="0051158B">
            <w:pPr>
              <w:pBdr>
                <w:top w:val="nil"/>
                <w:left w:val="nil"/>
                <w:bottom w:val="nil"/>
                <w:right w:val="nil"/>
                <w:between w:val="nil"/>
              </w:pBdr>
              <w:tabs>
                <w:tab w:val="left" w:pos="0"/>
                <w:tab w:val="left" w:pos="342"/>
              </w:tabs>
              <w:spacing w:line="360" w:lineRule="auto"/>
              <w:ind w:left="7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6</w:t>
            </w:r>
            <w:r w:rsidR="0051158B">
              <w:rPr>
                <w:rFonts w:ascii="GHEA Grapalat" w:eastAsia="GHEA Grapalat" w:hAnsi="GHEA Grapalat" w:cs="GHEA Grapalat"/>
                <w:color w:val="000000"/>
                <w:sz w:val="24"/>
                <w:szCs w:val="24"/>
              </w:rPr>
              <w:t xml:space="preserve">.1 </w:t>
            </w:r>
            <w:r w:rsidR="0051158B" w:rsidRPr="0082113C">
              <w:rPr>
                <w:rFonts w:ascii="GHEA Grapalat" w:eastAsia="GHEA Grapalat" w:hAnsi="GHEA Grapalat" w:cs="GHEA Grapalat"/>
                <w:sz w:val="24"/>
                <w:szCs w:val="24"/>
              </w:rPr>
              <w:t>Գործողությունների ծրագրով նախատեսվել է անձին արգելանքի վերցնելու համապարփակ, միասնական էլեկտրոնային գրանցամատյանի ներդնման գործողություն, մինչդեռ Ռազմավարությամբ նման խնդրի դիտարկում և վերլուծություն չի կատարվել</w:t>
            </w:r>
          </w:p>
        </w:tc>
        <w:tc>
          <w:tcPr>
            <w:tcW w:w="2340" w:type="dxa"/>
          </w:tcPr>
          <w:p w:rsidR="0051158B" w:rsidRDefault="0051158B" w:rsidP="00BD1052">
            <w:pPr>
              <w:tabs>
                <w:tab w:val="left" w:pos="0"/>
              </w:tabs>
              <w:spacing w:line="360" w:lineRule="auto"/>
              <w:jc w:val="both"/>
              <w:rPr>
                <w:rFonts w:ascii="GHEA Grapalat" w:eastAsia="GHEA Grapalat" w:hAnsi="GHEA Grapalat" w:cs="GHEA Grapalat"/>
                <w:sz w:val="24"/>
                <w:szCs w:val="24"/>
              </w:rPr>
            </w:pPr>
            <w:r w:rsidRPr="00BD1052">
              <w:rPr>
                <w:rFonts w:ascii="GHEA Grapalat" w:eastAsia="GHEA Grapalat" w:hAnsi="GHEA Grapalat" w:cs="GHEA Grapalat"/>
                <w:sz w:val="24"/>
                <w:szCs w:val="24"/>
              </w:rPr>
              <w:t>Ը</w:t>
            </w:r>
            <w:r w:rsidRPr="00B71152">
              <w:rPr>
                <w:rFonts w:ascii="GHEA Grapalat" w:eastAsia="GHEA Grapalat" w:hAnsi="GHEA Grapalat" w:cs="GHEA Grapalat"/>
                <w:sz w:val="24"/>
                <w:szCs w:val="24"/>
              </w:rPr>
              <w:t>նդունվել է</w:t>
            </w:r>
          </w:p>
        </w:tc>
        <w:tc>
          <w:tcPr>
            <w:tcW w:w="4554" w:type="dxa"/>
          </w:tcPr>
          <w:p w:rsidR="0051158B" w:rsidRDefault="0051158B">
            <w:pPr>
              <w:tabs>
                <w:tab w:val="left" w:pos="0"/>
              </w:tabs>
              <w:spacing w:line="360" w:lineRule="auto"/>
              <w:jc w:val="both"/>
              <w:rPr>
                <w:rFonts w:ascii="GHEA Grapalat" w:eastAsia="GHEA Grapalat" w:hAnsi="GHEA Grapalat" w:cs="GHEA Grapalat"/>
                <w:sz w:val="24"/>
                <w:szCs w:val="24"/>
              </w:rPr>
            </w:pPr>
            <w:r w:rsidRPr="00B71152">
              <w:rPr>
                <w:rFonts w:ascii="GHEA Grapalat" w:eastAsia="GHEA Grapalat" w:hAnsi="GHEA Grapalat" w:cs="GHEA Grapalat"/>
                <w:sz w:val="24"/>
                <w:szCs w:val="24"/>
              </w:rPr>
              <w:t>Համապատասխան փոփոխությունները կատարվել են Ռազմավարության մեջ</w:t>
            </w:r>
          </w:p>
        </w:tc>
      </w:tr>
      <w:tr w:rsidR="0051158B" w:rsidTr="007001C1">
        <w:trPr>
          <w:trHeight w:val="1403"/>
        </w:trPr>
        <w:tc>
          <w:tcPr>
            <w:tcW w:w="810" w:type="dxa"/>
            <w:vMerge/>
            <w:vAlign w:val="center"/>
          </w:tcPr>
          <w:p w:rsidR="0051158B" w:rsidRDefault="0051158B">
            <w:pPr>
              <w:widowControl w:val="0"/>
              <w:pBdr>
                <w:top w:val="nil"/>
                <w:left w:val="nil"/>
                <w:bottom w:val="nil"/>
                <w:right w:val="nil"/>
                <w:between w:val="nil"/>
              </w:pBdr>
              <w:rPr>
                <w:rFonts w:ascii="GHEA Grapalat" w:eastAsia="GHEA Grapalat" w:hAnsi="GHEA Grapalat" w:cs="GHEA Grapalat"/>
                <w:b/>
                <w:sz w:val="24"/>
                <w:szCs w:val="24"/>
              </w:rPr>
            </w:pPr>
          </w:p>
        </w:tc>
        <w:tc>
          <w:tcPr>
            <w:tcW w:w="1830" w:type="dxa"/>
            <w:vMerge/>
            <w:vAlign w:val="center"/>
          </w:tcPr>
          <w:p w:rsidR="0051158B" w:rsidRDefault="0051158B">
            <w:pPr>
              <w:widowControl w:val="0"/>
              <w:pBdr>
                <w:top w:val="nil"/>
                <w:left w:val="nil"/>
                <w:bottom w:val="nil"/>
                <w:right w:val="nil"/>
                <w:between w:val="nil"/>
              </w:pBdr>
              <w:rPr>
                <w:rFonts w:ascii="GHEA Grapalat" w:eastAsia="GHEA Grapalat" w:hAnsi="GHEA Grapalat" w:cs="GHEA Grapalat"/>
                <w:b/>
                <w:sz w:val="24"/>
                <w:szCs w:val="24"/>
              </w:rPr>
            </w:pPr>
          </w:p>
        </w:tc>
        <w:tc>
          <w:tcPr>
            <w:tcW w:w="5580" w:type="dxa"/>
            <w:tcBorders>
              <w:bottom w:val="single" w:sz="4" w:space="0" w:color="000000"/>
            </w:tcBorders>
          </w:tcPr>
          <w:p w:rsidR="0051158B" w:rsidRDefault="00322392" w:rsidP="00E36C05">
            <w:p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lang w:val="en-US"/>
              </w:rPr>
              <w:t>6</w:t>
            </w:r>
            <w:r w:rsidR="00E36C05">
              <w:rPr>
                <w:rFonts w:ascii="GHEA Grapalat" w:eastAsia="GHEA Grapalat" w:hAnsi="GHEA Grapalat" w:cs="GHEA Grapalat"/>
                <w:sz w:val="24"/>
                <w:szCs w:val="24"/>
              </w:rPr>
              <w:t xml:space="preserve">.2 </w:t>
            </w:r>
            <w:r w:rsidR="00E36C05" w:rsidRPr="0082113C">
              <w:rPr>
                <w:rFonts w:ascii="GHEA Grapalat" w:eastAsia="GHEA Grapalat" w:hAnsi="GHEA Grapalat" w:cs="GHEA Grapalat"/>
                <w:sz w:val="24"/>
                <w:szCs w:val="24"/>
              </w:rPr>
              <w:t xml:space="preserve">Գործողությունների ծրագրի «Պարեկային ոստիկանության ծառայության և Օպերատիվ կառավարման կենտրոնի ներդրում» ուղղության մեջ պարեկային ոստիկանության ստեղծման համար թիրախային ժամկետ է սահմանվել Երևանում՝ 2021թ. 1-ին կիսամյակը, ամբողջ հանրապետությունում՝ 2022թ. 1-ին կիսամյակը: Մինչդեռ, Ռազմավարությամբ դիտարկվել է պարեկային ծառայության գործարկումն ամբողջ հանրապետության տարածքում հնարավոր </w:t>
            </w:r>
            <w:r w:rsidR="00E36C05" w:rsidRPr="0082113C">
              <w:rPr>
                <w:rFonts w:ascii="GHEA Grapalat" w:eastAsia="GHEA Grapalat" w:hAnsi="GHEA Grapalat" w:cs="GHEA Grapalat"/>
                <w:sz w:val="24"/>
                <w:szCs w:val="24"/>
              </w:rPr>
              <w:lastRenderedPageBreak/>
              <w:t>դարձնել մինչև 2021թ. վերջը</w:t>
            </w:r>
          </w:p>
        </w:tc>
        <w:tc>
          <w:tcPr>
            <w:tcW w:w="2340" w:type="dxa"/>
          </w:tcPr>
          <w:p w:rsidR="0051158B" w:rsidRDefault="00E36C05" w:rsidP="00BD1052">
            <w:pPr>
              <w:tabs>
                <w:tab w:val="left" w:pos="0"/>
              </w:tabs>
              <w:spacing w:line="360" w:lineRule="auto"/>
              <w:jc w:val="both"/>
              <w:rPr>
                <w:rFonts w:ascii="GHEA Grapalat" w:eastAsia="GHEA Grapalat" w:hAnsi="GHEA Grapalat" w:cs="GHEA Grapalat"/>
                <w:sz w:val="24"/>
                <w:szCs w:val="24"/>
              </w:rPr>
            </w:pPr>
            <w:r w:rsidRPr="00BD1052">
              <w:rPr>
                <w:rFonts w:ascii="GHEA Grapalat" w:eastAsia="GHEA Grapalat" w:hAnsi="GHEA Grapalat" w:cs="GHEA Grapalat"/>
                <w:sz w:val="24"/>
                <w:szCs w:val="24"/>
              </w:rPr>
              <w:lastRenderedPageBreak/>
              <w:t>Ը</w:t>
            </w:r>
            <w:r w:rsidRPr="00B71152">
              <w:rPr>
                <w:rFonts w:ascii="GHEA Grapalat" w:eastAsia="GHEA Grapalat" w:hAnsi="GHEA Grapalat" w:cs="GHEA Grapalat"/>
                <w:sz w:val="24"/>
                <w:szCs w:val="24"/>
              </w:rPr>
              <w:t>նդունվել է</w:t>
            </w:r>
          </w:p>
        </w:tc>
        <w:tc>
          <w:tcPr>
            <w:tcW w:w="4554" w:type="dxa"/>
          </w:tcPr>
          <w:p w:rsidR="0051158B" w:rsidRDefault="00E36C05">
            <w:pPr>
              <w:tabs>
                <w:tab w:val="left" w:pos="0"/>
              </w:tabs>
              <w:spacing w:line="360" w:lineRule="auto"/>
              <w:jc w:val="both"/>
              <w:rPr>
                <w:rFonts w:ascii="GHEA Grapalat" w:eastAsia="GHEA Grapalat" w:hAnsi="GHEA Grapalat" w:cs="GHEA Grapalat"/>
                <w:sz w:val="24"/>
                <w:szCs w:val="24"/>
              </w:rPr>
            </w:pPr>
            <w:r w:rsidRPr="00B71152">
              <w:rPr>
                <w:rFonts w:ascii="GHEA Grapalat" w:eastAsia="GHEA Grapalat" w:hAnsi="GHEA Grapalat" w:cs="GHEA Grapalat"/>
                <w:sz w:val="24"/>
                <w:szCs w:val="24"/>
              </w:rPr>
              <w:t>Համապատասխան փոփոխությունները կատարվել են Ռազմավարության մեջ</w:t>
            </w:r>
          </w:p>
        </w:tc>
      </w:tr>
      <w:tr w:rsidR="0051158B" w:rsidTr="007001C1">
        <w:trPr>
          <w:trHeight w:val="1403"/>
        </w:trPr>
        <w:tc>
          <w:tcPr>
            <w:tcW w:w="810" w:type="dxa"/>
            <w:vMerge/>
            <w:vAlign w:val="center"/>
          </w:tcPr>
          <w:p w:rsidR="0051158B" w:rsidRDefault="0051158B">
            <w:pPr>
              <w:widowControl w:val="0"/>
              <w:pBdr>
                <w:top w:val="nil"/>
                <w:left w:val="nil"/>
                <w:bottom w:val="nil"/>
                <w:right w:val="nil"/>
                <w:between w:val="nil"/>
              </w:pBdr>
              <w:rPr>
                <w:rFonts w:ascii="GHEA Grapalat" w:eastAsia="GHEA Grapalat" w:hAnsi="GHEA Grapalat" w:cs="GHEA Grapalat"/>
                <w:b/>
                <w:sz w:val="24"/>
                <w:szCs w:val="24"/>
              </w:rPr>
            </w:pPr>
          </w:p>
        </w:tc>
        <w:tc>
          <w:tcPr>
            <w:tcW w:w="1830" w:type="dxa"/>
            <w:vMerge/>
            <w:vAlign w:val="center"/>
          </w:tcPr>
          <w:p w:rsidR="0051158B" w:rsidRDefault="0051158B">
            <w:pPr>
              <w:widowControl w:val="0"/>
              <w:pBdr>
                <w:top w:val="nil"/>
                <w:left w:val="nil"/>
                <w:bottom w:val="nil"/>
                <w:right w:val="nil"/>
                <w:between w:val="nil"/>
              </w:pBdr>
              <w:rPr>
                <w:rFonts w:ascii="GHEA Grapalat" w:eastAsia="GHEA Grapalat" w:hAnsi="GHEA Grapalat" w:cs="GHEA Grapalat"/>
                <w:b/>
                <w:sz w:val="24"/>
                <w:szCs w:val="24"/>
              </w:rPr>
            </w:pPr>
          </w:p>
        </w:tc>
        <w:tc>
          <w:tcPr>
            <w:tcW w:w="5580" w:type="dxa"/>
            <w:tcBorders>
              <w:bottom w:val="single" w:sz="4" w:space="0" w:color="000000"/>
            </w:tcBorders>
          </w:tcPr>
          <w:p w:rsidR="0051158B" w:rsidRDefault="00322392" w:rsidP="00A10BBD">
            <w:p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lang w:val="en-US"/>
              </w:rPr>
              <w:t>6</w:t>
            </w:r>
            <w:r w:rsidR="00A10BBD">
              <w:rPr>
                <w:rFonts w:ascii="GHEA Grapalat" w:eastAsia="GHEA Grapalat" w:hAnsi="GHEA Grapalat" w:cs="GHEA Grapalat"/>
                <w:color w:val="000000"/>
                <w:sz w:val="24"/>
                <w:szCs w:val="24"/>
              </w:rPr>
              <w:t xml:space="preserve">.3 </w:t>
            </w:r>
            <w:r w:rsidR="00A10BBD" w:rsidRPr="00CC7E25">
              <w:rPr>
                <w:rFonts w:ascii="GHEA Grapalat" w:eastAsia="GHEA Grapalat" w:hAnsi="GHEA Grapalat" w:cs="GHEA Grapalat"/>
                <w:sz w:val="24"/>
                <w:szCs w:val="24"/>
              </w:rPr>
              <w:t>Գործողությունների ծրագրի «Բարեփոխումների իրականացման ներառականություն,  գործողությունների մշտադիտարկում և համակարգում» ուղղության մեջ խոսք է գնում «Բարեփոխումների իրականացումը մշտադիտարկող և գնահատող բազմաշահառու խորհրդի» և «Ոստիկանության բարեփոխումների մշակման և իրականացման Համակարգող խորհրդի» մասին, որոնց վերաբերյալ Ռազմավարությամբ որևէ դրույթ նախատեսված չէ:</w:t>
            </w:r>
          </w:p>
        </w:tc>
        <w:tc>
          <w:tcPr>
            <w:tcW w:w="2340" w:type="dxa"/>
          </w:tcPr>
          <w:p w:rsidR="0051158B" w:rsidRDefault="00A10BBD">
            <w:pPr>
              <w:jc w:val="both"/>
              <w:rPr>
                <w:rFonts w:ascii="GHEA Grapalat" w:eastAsia="GHEA Grapalat" w:hAnsi="GHEA Grapalat" w:cs="GHEA Grapalat"/>
                <w:sz w:val="24"/>
                <w:szCs w:val="24"/>
              </w:rPr>
            </w:pPr>
            <w:r w:rsidRPr="00B36E7B">
              <w:rPr>
                <w:rFonts w:ascii="GHEA Grapalat" w:eastAsia="GHEA Grapalat" w:hAnsi="GHEA Grapalat" w:cs="GHEA Grapalat"/>
                <w:sz w:val="24"/>
                <w:szCs w:val="24"/>
              </w:rPr>
              <w:t>Ը</w:t>
            </w:r>
            <w:r w:rsidRPr="003D239A">
              <w:rPr>
                <w:rFonts w:ascii="GHEA Grapalat" w:eastAsia="GHEA Grapalat" w:hAnsi="GHEA Grapalat" w:cs="GHEA Grapalat"/>
                <w:sz w:val="24"/>
                <w:szCs w:val="24"/>
              </w:rPr>
              <w:t>նդունվել</w:t>
            </w:r>
            <w:r>
              <w:rPr>
                <w:rFonts w:ascii="GHEA Grapalat" w:eastAsia="GHEA Grapalat" w:hAnsi="GHEA Grapalat" w:cs="GHEA Grapalat"/>
                <w:sz w:val="24"/>
                <w:szCs w:val="24"/>
              </w:rPr>
              <w:t xml:space="preserve"> </w:t>
            </w:r>
            <w:r w:rsidRPr="00B36E7B">
              <w:rPr>
                <w:rFonts w:ascii="GHEA Grapalat" w:eastAsia="GHEA Grapalat" w:hAnsi="GHEA Grapalat" w:cs="GHEA Grapalat"/>
                <w:sz w:val="24"/>
                <w:szCs w:val="24"/>
              </w:rPr>
              <w:t>է ի գիտություն</w:t>
            </w:r>
          </w:p>
        </w:tc>
        <w:tc>
          <w:tcPr>
            <w:tcW w:w="4554" w:type="dxa"/>
          </w:tcPr>
          <w:p w:rsidR="0051158B" w:rsidRDefault="00A10BBD">
            <w:pPr>
              <w:tabs>
                <w:tab w:val="left" w:pos="0"/>
              </w:tabs>
              <w:spacing w:line="360" w:lineRule="auto"/>
              <w:jc w:val="both"/>
              <w:rPr>
                <w:rFonts w:ascii="GHEA Grapalat" w:eastAsia="GHEA Grapalat" w:hAnsi="GHEA Grapalat" w:cs="GHEA Grapalat"/>
                <w:sz w:val="24"/>
                <w:szCs w:val="24"/>
              </w:rPr>
            </w:pPr>
            <w:r w:rsidRPr="003D239A">
              <w:rPr>
                <w:rFonts w:ascii="GHEA Grapalat" w:eastAsia="GHEA Grapalat" w:hAnsi="GHEA Grapalat" w:cs="GHEA Grapalat"/>
                <w:sz w:val="24"/>
                <w:szCs w:val="24"/>
              </w:rPr>
              <w:t>Ռազմավարության 9-րդ գլուխը նախատեսում է մշտադիտարկում</w:t>
            </w:r>
            <w:r>
              <w:rPr>
                <w:rFonts w:ascii="GHEA Grapalat" w:eastAsia="GHEA Grapalat" w:hAnsi="GHEA Grapalat" w:cs="GHEA Grapalat"/>
                <w:sz w:val="24"/>
                <w:szCs w:val="24"/>
              </w:rPr>
              <w:t xml:space="preserve"> </w:t>
            </w:r>
            <w:r w:rsidRPr="003D239A">
              <w:rPr>
                <w:rFonts w:ascii="GHEA Grapalat" w:eastAsia="GHEA Grapalat" w:hAnsi="GHEA Grapalat" w:cs="GHEA Grapalat"/>
                <w:sz w:val="24"/>
                <w:szCs w:val="24"/>
              </w:rPr>
              <w:t>ու գնահատում իրականացնող Համակարգող խորհրդի կազմավորում, որը ներկայացուցչական մարմին է</w:t>
            </w:r>
            <w:r>
              <w:rPr>
                <w:rFonts w:ascii="GHEA Grapalat" w:eastAsia="GHEA Grapalat" w:hAnsi="GHEA Grapalat" w:cs="GHEA Grapalat"/>
                <w:sz w:val="24"/>
                <w:szCs w:val="24"/>
              </w:rPr>
              <w:t xml:space="preserve">, </w:t>
            </w:r>
            <w:r w:rsidRPr="00CC7E25">
              <w:rPr>
                <w:rFonts w:ascii="GHEA Grapalat" w:eastAsia="GHEA Grapalat" w:hAnsi="GHEA Grapalat" w:cs="GHEA Grapalat"/>
                <w:sz w:val="24"/>
                <w:szCs w:val="24"/>
              </w:rPr>
              <w:t>և</w:t>
            </w:r>
            <w:r w:rsidRPr="003D239A">
              <w:rPr>
                <w:rFonts w:ascii="GHEA Grapalat" w:eastAsia="GHEA Grapalat" w:hAnsi="GHEA Grapalat" w:cs="GHEA Grapalat"/>
                <w:sz w:val="24"/>
                <w:szCs w:val="24"/>
              </w:rPr>
              <w:t xml:space="preserve"> ապահովելու է Ռազմավարությամբ ու ԳԾ-ով նախատեսված ռազմավարակամ ուղղությունների ու առանձին բոլոր գործողությունների ապահովման/իրականացման ընթացքը:</w:t>
            </w:r>
          </w:p>
        </w:tc>
      </w:tr>
      <w:tr w:rsidR="0051158B">
        <w:trPr>
          <w:trHeight w:val="1403"/>
        </w:trPr>
        <w:tc>
          <w:tcPr>
            <w:tcW w:w="810" w:type="dxa"/>
            <w:vMerge/>
            <w:vAlign w:val="center"/>
          </w:tcPr>
          <w:p w:rsidR="0051158B" w:rsidRDefault="0051158B">
            <w:pPr>
              <w:widowControl w:val="0"/>
              <w:pBdr>
                <w:top w:val="nil"/>
                <w:left w:val="nil"/>
                <w:bottom w:val="nil"/>
                <w:right w:val="nil"/>
                <w:between w:val="nil"/>
              </w:pBdr>
              <w:rPr>
                <w:rFonts w:ascii="GHEA Grapalat" w:eastAsia="GHEA Grapalat" w:hAnsi="GHEA Grapalat" w:cs="GHEA Grapalat"/>
                <w:b/>
                <w:sz w:val="24"/>
                <w:szCs w:val="24"/>
              </w:rPr>
            </w:pPr>
          </w:p>
        </w:tc>
        <w:tc>
          <w:tcPr>
            <w:tcW w:w="1830" w:type="dxa"/>
            <w:vMerge/>
            <w:vAlign w:val="center"/>
          </w:tcPr>
          <w:p w:rsidR="0051158B" w:rsidRDefault="0051158B">
            <w:pPr>
              <w:widowControl w:val="0"/>
              <w:pBdr>
                <w:top w:val="nil"/>
                <w:left w:val="nil"/>
                <w:bottom w:val="nil"/>
                <w:right w:val="nil"/>
                <w:between w:val="nil"/>
              </w:pBdr>
              <w:rPr>
                <w:rFonts w:ascii="GHEA Grapalat" w:eastAsia="GHEA Grapalat" w:hAnsi="GHEA Grapalat" w:cs="GHEA Grapalat"/>
                <w:b/>
                <w:sz w:val="24"/>
                <w:szCs w:val="24"/>
              </w:rPr>
            </w:pPr>
          </w:p>
        </w:tc>
        <w:tc>
          <w:tcPr>
            <w:tcW w:w="5580" w:type="dxa"/>
            <w:tcBorders>
              <w:bottom w:val="single" w:sz="4" w:space="0" w:color="000000"/>
            </w:tcBorders>
          </w:tcPr>
          <w:p w:rsidR="008B69DD" w:rsidRPr="00CC5626" w:rsidRDefault="00322392" w:rsidP="008B69DD">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7</w:t>
            </w:r>
            <w:r w:rsidR="008B69DD">
              <w:rPr>
                <w:rFonts w:ascii="GHEA Grapalat" w:eastAsia="GHEA Grapalat" w:hAnsi="GHEA Grapalat" w:cs="GHEA Grapalat"/>
                <w:sz w:val="24"/>
                <w:szCs w:val="24"/>
              </w:rPr>
              <w:t xml:space="preserve">. </w:t>
            </w:r>
            <w:r w:rsidR="008B69DD" w:rsidRPr="00CC5626">
              <w:rPr>
                <w:rFonts w:ascii="GHEA Grapalat" w:eastAsia="GHEA Grapalat" w:hAnsi="GHEA Grapalat" w:cs="GHEA Grapalat"/>
                <w:sz w:val="24"/>
                <w:szCs w:val="24"/>
              </w:rPr>
              <w:t xml:space="preserve">Գործողությունների ծրագրի «Ոստիկանություն ռեֆորմի իրականացման ընթացք և միջազգային համագործակցություն» և «Ռազմավարական հաղորդակցություն» ուղղությունների տարբեր գործողությունների համար որպես Արդյունք/Վերստուգիչ ցուցանիշ նախանշվել է՝ ոստիկանության ծառայողների </w:t>
            </w:r>
            <w:r w:rsidR="008B69DD" w:rsidRPr="00CC5626">
              <w:rPr>
                <w:rFonts w:ascii="GHEA Grapalat" w:eastAsia="GHEA Grapalat" w:hAnsi="GHEA Grapalat" w:cs="GHEA Grapalat"/>
                <w:sz w:val="24"/>
                <w:szCs w:val="24"/>
              </w:rPr>
              <w:lastRenderedPageBreak/>
              <w:t>60%ը իրազեկվել է նոր ոստիկանության տեսլականի մասին, առնվազն 2 կարճ ուսուց</w:t>
            </w:r>
            <w:bookmarkStart w:id="0" w:name="_GoBack"/>
            <w:bookmarkEnd w:id="0"/>
            <w:r w:rsidR="008B69DD" w:rsidRPr="00CC5626">
              <w:rPr>
                <w:rFonts w:ascii="GHEA Grapalat" w:eastAsia="GHEA Grapalat" w:hAnsi="GHEA Grapalat" w:cs="GHEA Grapalat"/>
                <w:sz w:val="24"/>
                <w:szCs w:val="24"/>
              </w:rPr>
              <w:t xml:space="preserve">ողական և տեղեկատվական տեսանյութ պարեկային ծառայության և ՕԿԿ մասին, ընդ որում վերոնշյալ 1-ին ուղղության դեպքում արդյունքային ժամկետ է նախատեսվել 2021թ.-ը, 2-րդի դեպքում՝ 2020թ.-ը: Նախ պարզաբանման կարիք ունի, թե տարբեր գործողությունների համար ինչու է նախանշվում միևնույն Արդյունք/Վերստուգիչ ցուցանիշը, ընդ որում՝ տարբեր ժամկետներում: </w:t>
            </w:r>
          </w:p>
          <w:p w:rsidR="008B69DD" w:rsidRPr="00CC5626" w:rsidRDefault="008B69DD" w:rsidP="008B69DD">
            <w:pPr>
              <w:tabs>
                <w:tab w:val="left" w:pos="0"/>
              </w:tabs>
              <w:spacing w:line="360" w:lineRule="auto"/>
              <w:jc w:val="both"/>
              <w:rPr>
                <w:rFonts w:ascii="GHEA Grapalat" w:eastAsia="GHEA Grapalat" w:hAnsi="GHEA Grapalat" w:cs="GHEA Grapalat"/>
                <w:sz w:val="24"/>
                <w:szCs w:val="24"/>
              </w:rPr>
            </w:pPr>
            <w:r w:rsidRPr="00CC5626">
              <w:rPr>
                <w:rFonts w:ascii="Tahoma" w:eastAsia="Tahoma" w:hAnsi="Tahoma" w:cs="Tahoma"/>
                <w:sz w:val="24"/>
                <w:szCs w:val="24"/>
              </w:rPr>
              <w:t>Ե</w:t>
            </w:r>
            <w:r w:rsidRPr="00CC5626">
              <w:rPr>
                <w:rFonts w:ascii="GHEA Grapalat" w:eastAsia="GHEA Grapalat" w:hAnsi="GHEA Grapalat" w:cs="GHEA Grapalat"/>
                <w:sz w:val="24"/>
                <w:szCs w:val="24"/>
              </w:rPr>
              <w:t>վ երկրորդ, մեր կարծիքով ոստիկանության ծառայողներին իրազեկելը կամ ուսուցողական և տեղեկատվական տեսանյութ պատրաստելը ոչ թե արդյունքային ցուցանիշներ են, այլ ռազմավարական նպատակի իրագործմանը միտված գործողություններ:</w:t>
            </w:r>
          </w:p>
          <w:p w:rsidR="0051158B" w:rsidRDefault="0051158B" w:rsidP="008B69DD">
            <w:pPr>
              <w:pBdr>
                <w:top w:val="nil"/>
                <w:left w:val="nil"/>
                <w:bottom w:val="nil"/>
                <w:right w:val="nil"/>
                <w:between w:val="nil"/>
              </w:pBdr>
              <w:tabs>
                <w:tab w:val="left" w:pos="0"/>
                <w:tab w:val="left" w:pos="342"/>
              </w:tabs>
              <w:spacing w:line="360" w:lineRule="auto"/>
              <w:ind w:left="72"/>
              <w:jc w:val="both"/>
              <w:rPr>
                <w:rFonts w:ascii="GHEA Grapalat" w:eastAsia="GHEA Grapalat" w:hAnsi="GHEA Grapalat" w:cs="GHEA Grapalat"/>
                <w:color w:val="000000"/>
                <w:sz w:val="24"/>
                <w:szCs w:val="24"/>
              </w:rPr>
            </w:pPr>
          </w:p>
        </w:tc>
        <w:tc>
          <w:tcPr>
            <w:tcW w:w="2340" w:type="dxa"/>
            <w:tcBorders>
              <w:bottom w:val="single" w:sz="4" w:space="0" w:color="000000"/>
            </w:tcBorders>
          </w:tcPr>
          <w:p w:rsidR="0051158B" w:rsidRDefault="008B69DD">
            <w:pPr>
              <w:jc w:val="both"/>
              <w:rPr>
                <w:rFonts w:ascii="GHEA Grapalat" w:eastAsia="GHEA Grapalat" w:hAnsi="GHEA Grapalat" w:cs="GHEA Grapalat"/>
                <w:sz w:val="24"/>
                <w:szCs w:val="24"/>
              </w:rPr>
            </w:pPr>
            <w:r w:rsidRPr="00B36E7B">
              <w:rPr>
                <w:rFonts w:ascii="GHEA Grapalat" w:eastAsia="GHEA Grapalat" w:hAnsi="GHEA Grapalat" w:cs="GHEA Grapalat"/>
                <w:sz w:val="24"/>
                <w:szCs w:val="24"/>
              </w:rPr>
              <w:lastRenderedPageBreak/>
              <w:t>Ը</w:t>
            </w:r>
            <w:r w:rsidRPr="003D239A">
              <w:rPr>
                <w:rFonts w:ascii="GHEA Grapalat" w:eastAsia="GHEA Grapalat" w:hAnsi="GHEA Grapalat" w:cs="GHEA Grapalat"/>
                <w:sz w:val="24"/>
                <w:szCs w:val="24"/>
              </w:rPr>
              <w:t>նդունվել</w:t>
            </w:r>
            <w:r>
              <w:rPr>
                <w:rFonts w:ascii="GHEA Grapalat" w:eastAsia="GHEA Grapalat" w:hAnsi="GHEA Grapalat" w:cs="GHEA Grapalat"/>
                <w:sz w:val="24"/>
                <w:szCs w:val="24"/>
              </w:rPr>
              <w:t xml:space="preserve"> </w:t>
            </w:r>
            <w:r w:rsidRPr="00B36E7B">
              <w:rPr>
                <w:rFonts w:ascii="GHEA Grapalat" w:eastAsia="GHEA Grapalat" w:hAnsi="GHEA Grapalat" w:cs="GHEA Grapalat"/>
                <w:sz w:val="24"/>
                <w:szCs w:val="24"/>
              </w:rPr>
              <w:t>է ի գիտություն</w:t>
            </w:r>
          </w:p>
        </w:tc>
        <w:tc>
          <w:tcPr>
            <w:tcW w:w="4554" w:type="dxa"/>
            <w:tcBorders>
              <w:bottom w:val="single" w:sz="4" w:space="0" w:color="000000"/>
            </w:tcBorders>
          </w:tcPr>
          <w:p w:rsidR="007571B4" w:rsidRPr="00426812" w:rsidRDefault="007571B4" w:rsidP="007571B4">
            <w:pPr>
              <w:tabs>
                <w:tab w:val="left" w:pos="0"/>
              </w:tabs>
              <w:spacing w:line="360" w:lineRule="auto"/>
              <w:jc w:val="both"/>
              <w:rPr>
                <w:rFonts w:ascii="GHEA Grapalat" w:eastAsia="GHEA Grapalat" w:hAnsi="GHEA Grapalat" w:cs="GHEA Grapalat"/>
                <w:sz w:val="24"/>
                <w:szCs w:val="24"/>
              </w:rPr>
            </w:pPr>
            <w:r w:rsidRPr="00426812">
              <w:rPr>
                <w:rFonts w:ascii="GHEA Grapalat" w:eastAsia="GHEA Grapalat" w:hAnsi="GHEA Grapalat" w:cs="GHEA Grapalat"/>
                <w:sz w:val="24"/>
                <w:szCs w:val="24"/>
              </w:rPr>
              <w:t xml:space="preserve">Նշյալ երկու ուղղությունները ռազմավարությամբ նախատեսված երկու տարբեր բաղադրիչներ են, որոնց գործողություններն ու համապատասխանաբար վերստուգիչ ցուցանիշները առանձին-առանձին վերաբերում են յուրաքանչյուր </w:t>
            </w:r>
            <w:r w:rsidRPr="00426812">
              <w:rPr>
                <w:rFonts w:ascii="GHEA Grapalat" w:eastAsia="GHEA Grapalat" w:hAnsi="GHEA Grapalat" w:cs="GHEA Grapalat"/>
                <w:sz w:val="24"/>
                <w:szCs w:val="24"/>
              </w:rPr>
              <w:lastRenderedPageBreak/>
              <w:t xml:space="preserve">ուղղության առանձին գործողության: </w:t>
            </w:r>
          </w:p>
          <w:p w:rsidR="0051158B" w:rsidRDefault="007571B4" w:rsidP="007571B4">
            <w:pPr>
              <w:tabs>
                <w:tab w:val="left" w:pos="0"/>
              </w:tabs>
              <w:spacing w:line="360" w:lineRule="auto"/>
              <w:jc w:val="both"/>
              <w:rPr>
                <w:rFonts w:ascii="GHEA Grapalat" w:eastAsia="GHEA Grapalat" w:hAnsi="GHEA Grapalat" w:cs="GHEA Grapalat"/>
                <w:sz w:val="24"/>
                <w:szCs w:val="24"/>
              </w:rPr>
            </w:pPr>
            <w:r w:rsidRPr="00426812">
              <w:rPr>
                <w:rFonts w:ascii="GHEA Grapalat" w:eastAsia="GHEA Grapalat" w:hAnsi="GHEA Grapalat" w:cs="GHEA Grapalat"/>
                <w:sz w:val="24"/>
                <w:szCs w:val="24"/>
              </w:rPr>
              <w:t xml:space="preserve">Միաժամանակ, ԳԾ-ում նշված գործողությունները նախատեսված են որպես ռազմավարական ուղղություններին հասնելու եղանակներ, մինչդեռ  ուսուցողական </w:t>
            </w:r>
            <w:r w:rsidRPr="00CC5626">
              <w:rPr>
                <w:rFonts w:ascii="GHEA Grapalat" w:eastAsia="GHEA Grapalat" w:hAnsi="GHEA Grapalat" w:cs="GHEA Grapalat"/>
                <w:sz w:val="24"/>
                <w:szCs w:val="24"/>
              </w:rPr>
              <w:t>և տեղեկատվական տեսանյութ</w:t>
            </w:r>
            <w:r w:rsidRPr="00426812">
              <w:rPr>
                <w:rFonts w:ascii="GHEA Grapalat" w:eastAsia="GHEA Grapalat" w:hAnsi="GHEA Grapalat" w:cs="GHEA Grapalat"/>
                <w:sz w:val="24"/>
                <w:szCs w:val="24"/>
              </w:rPr>
              <w:t>եր</w:t>
            </w:r>
            <w:r w:rsidRPr="00CC5626">
              <w:rPr>
                <w:rFonts w:ascii="GHEA Grapalat" w:eastAsia="GHEA Grapalat" w:hAnsi="GHEA Grapalat" w:cs="GHEA Grapalat"/>
                <w:sz w:val="24"/>
                <w:szCs w:val="24"/>
              </w:rPr>
              <w:t xml:space="preserve"> պատրաստել</w:t>
            </w:r>
            <w:r w:rsidRPr="00426812">
              <w:rPr>
                <w:rFonts w:ascii="GHEA Grapalat" w:eastAsia="GHEA Grapalat" w:hAnsi="GHEA Grapalat" w:cs="GHEA Grapalat"/>
                <w:sz w:val="24"/>
                <w:szCs w:val="24"/>
              </w:rPr>
              <w:t>ը ու այլ նշյալ թվային ցուցանիշները ռազմավարական թիրախներին հասնելու չափման մեթոդներ են:</w:t>
            </w:r>
          </w:p>
        </w:tc>
      </w:tr>
      <w:tr w:rsidR="006373DF" w:rsidTr="00225548">
        <w:trPr>
          <w:trHeight w:val="701"/>
        </w:trPr>
        <w:tc>
          <w:tcPr>
            <w:tcW w:w="810" w:type="dxa"/>
            <w:vMerge w:val="restart"/>
            <w:vAlign w:val="center"/>
          </w:tcPr>
          <w:p w:rsidR="006373DF" w:rsidRDefault="006373DF">
            <w:pPr>
              <w:numPr>
                <w:ilvl w:val="0"/>
                <w:numId w:val="8"/>
              </w:numPr>
              <w:pBdr>
                <w:top w:val="nil"/>
                <w:left w:val="nil"/>
                <w:bottom w:val="nil"/>
                <w:right w:val="nil"/>
                <w:between w:val="nil"/>
              </w:pBdr>
              <w:spacing w:after="200" w:line="276" w:lineRule="auto"/>
              <w:rPr>
                <w:rFonts w:ascii="GHEA Grapalat" w:eastAsia="GHEA Grapalat" w:hAnsi="GHEA Grapalat" w:cs="GHEA Grapalat"/>
                <w:b/>
                <w:color w:val="000000"/>
                <w:sz w:val="24"/>
                <w:szCs w:val="24"/>
              </w:rPr>
            </w:pPr>
          </w:p>
        </w:tc>
        <w:tc>
          <w:tcPr>
            <w:tcW w:w="1830" w:type="dxa"/>
            <w:vMerge w:val="restart"/>
            <w:vAlign w:val="center"/>
          </w:tcPr>
          <w:p w:rsidR="006373DF" w:rsidRDefault="006373DF">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գլխավոր դատախազություն</w:t>
            </w:r>
          </w:p>
          <w:p w:rsidR="006373DF" w:rsidRDefault="006373DF">
            <w:pPr>
              <w:spacing w:before="120"/>
              <w:jc w:val="center"/>
              <w:rPr>
                <w:rFonts w:ascii="GHEA Grapalat" w:eastAsia="GHEA Grapalat" w:hAnsi="GHEA Grapalat" w:cs="GHEA Grapalat"/>
                <w:sz w:val="24"/>
                <w:szCs w:val="24"/>
              </w:rPr>
            </w:pPr>
          </w:p>
        </w:tc>
        <w:tc>
          <w:tcPr>
            <w:tcW w:w="5580" w:type="dxa"/>
            <w:tcBorders>
              <w:bottom w:val="single" w:sz="4" w:space="0" w:color="000000"/>
            </w:tcBorders>
          </w:tcPr>
          <w:p w:rsidR="00BE351B" w:rsidRPr="00BE351B" w:rsidRDefault="00BE351B" w:rsidP="00BE351B">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lastRenderedPageBreak/>
              <w:t xml:space="preserve">1. </w:t>
            </w:r>
            <w:r w:rsidRPr="00BE351B">
              <w:rPr>
                <w:rFonts w:ascii="GHEA Grapalat" w:eastAsia="GHEA Grapalat" w:hAnsi="GHEA Grapalat" w:cs="GHEA Grapalat"/>
                <w:sz w:val="24"/>
                <w:szCs w:val="24"/>
              </w:rPr>
              <w:t xml:space="preserve">Նախագծի Հավելված 1-ի 5-րդ էջում օգտագործվում է հատուկ քննչական կոմիտե» ձևակերպումը, մինչդեռ նման մարմին ՀՀ-ում </w:t>
            </w:r>
            <w:r w:rsidRPr="00BE351B">
              <w:rPr>
                <w:rFonts w:ascii="GHEA Grapalat" w:eastAsia="GHEA Grapalat" w:hAnsi="GHEA Grapalat" w:cs="GHEA Grapalat"/>
                <w:sz w:val="24"/>
                <w:szCs w:val="24"/>
              </w:rPr>
              <w:lastRenderedPageBreak/>
              <w:t>առկա չէ։ Անհրաժեշտ է կոմիտե» բառը փոխարինել ծառայություն» բառով։</w:t>
            </w:r>
          </w:p>
          <w:p w:rsidR="006373DF" w:rsidRPr="00BD1052" w:rsidRDefault="00BE351B" w:rsidP="00BD1052">
            <w:pPr>
              <w:tabs>
                <w:tab w:val="left" w:pos="0"/>
              </w:tabs>
              <w:spacing w:line="360" w:lineRule="auto"/>
              <w:jc w:val="both"/>
              <w:rPr>
                <w:rFonts w:ascii="GHEA Grapalat" w:eastAsia="GHEA Grapalat" w:hAnsi="GHEA Grapalat" w:cs="GHEA Grapalat"/>
                <w:sz w:val="24"/>
                <w:szCs w:val="24"/>
                <w:lang w:val="en-US"/>
              </w:rPr>
            </w:pPr>
            <w:r w:rsidRPr="00BE351B">
              <w:rPr>
                <w:rFonts w:ascii="GHEA Grapalat" w:eastAsia="GHEA Grapalat" w:hAnsi="GHEA Grapalat" w:cs="GHEA Grapalat"/>
                <w:sz w:val="24"/>
                <w:szCs w:val="24"/>
              </w:rPr>
              <w:t>Բացի այդ, նույն էջում ․․․ ինչպես նաև քրեական օրենսգրքով նախատեսված այլ հանցագործությունների վերաբերյալ գործերը» ձևակերպումից հետևում է, որ մինչ այդ թվարկվածները նույնպես վերաբերում են հանցագործություններին, մինչդեռ դրանք վերաբերում են ոչ թե հանցագործություններին, այլ հանցագործության սուբյեկտներին։</w:t>
            </w:r>
          </w:p>
        </w:tc>
        <w:tc>
          <w:tcPr>
            <w:tcW w:w="2340" w:type="dxa"/>
            <w:tcBorders>
              <w:bottom w:val="single" w:sz="4" w:space="0" w:color="000000"/>
            </w:tcBorders>
          </w:tcPr>
          <w:p w:rsidR="006373DF" w:rsidRDefault="006373DF">
            <w:pPr>
              <w:jc w:val="both"/>
              <w:rPr>
                <w:rFonts w:ascii="GHEA Grapalat" w:eastAsia="GHEA Grapalat" w:hAnsi="GHEA Grapalat" w:cs="GHEA Grapalat"/>
                <w:sz w:val="24"/>
                <w:szCs w:val="24"/>
              </w:rPr>
            </w:pPr>
          </w:p>
          <w:p w:rsidR="006373DF" w:rsidRDefault="00BD1052">
            <w:pPr>
              <w:jc w:val="both"/>
              <w:rPr>
                <w:rFonts w:ascii="GHEA Grapalat" w:eastAsia="GHEA Grapalat" w:hAnsi="GHEA Grapalat" w:cs="GHEA Grapalat"/>
                <w:sz w:val="24"/>
                <w:szCs w:val="24"/>
              </w:rPr>
            </w:pPr>
            <w:r w:rsidRPr="00BD1052">
              <w:rPr>
                <w:rFonts w:ascii="GHEA Grapalat" w:eastAsia="GHEA Grapalat" w:hAnsi="GHEA Grapalat" w:cs="GHEA Grapalat"/>
                <w:sz w:val="24"/>
                <w:szCs w:val="24"/>
              </w:rPr>
              <w:t>Ը</w:t>
            </w:r>
            <w:r w:rsidRPr="00B71152">
              <w:rPr>
                <w:rFonts w:ascii="GHEA Grapalat" w:eastAsia="GHEA Grapalat" w:hAnsi="GHEA Grapalat" w:cs="GHEA Grapalat"/>
                <w:sz w:val="24"/>
                <w:szCs w:val="24"/>
              </w:rPr>
              <w:t>նդունվել է</w:t>
            </w:r>
          </w:p>
          <w:p w:rsidR="006373DF" w:rsidRDefault="006373DF">
            <w:pPr>
              <w:rPr>
                <w:rFonts w:ascii="GHEA Grapalat" w:eastAsia="GHEA Grapalat" w:hAnsi="GHEA Grapalat" w:cs="GHEA Grapalat"/>
                <w:sz w:val="24"/>
                <w:szCs w:val="24"/>
              </w:rPr>
            </w:pPr>
          </w:p>
        </w:tc>
        <w:tc>
          <w:tcPr>
            <w:tcW w:w="4554" w:type="dxa"/>
            <w:tcBorders>
              <w:bottom w:val="single" w:sz="4" w:space="0" w:color="000000"/>
            </w:tcBorders>
          </w:tcPr>
          <w:p w:rsidR="006373DF" w:rsidRDefault="00BD1052" w:rsidP="00BD1052">
            <w:pPr>
              <w:jc w:val="both"/>
              <w:rPr>
                <w:rFonts w:ascii="GHEA Grapalat" w:eastAsia="GHEA Grapalat" w:hAnsi="GHEA Grapalat" w:cs="GHEA Grapalat"/>
                <w:b/>
                <w:sz w:val="24"/>
                <w:szCs w:val="24"/>
              </w:rPr>
            </w:pPr>
            <w:r w:rsidRPr="00B71152">
              <w:rPr>
                <w:rFonts w:ascii="GHEA Grapalat" w:eastAsia="GHEA Grapalat" w:hAnsi="GHEA Grapalat" w:cs="GHEA Grapalat"/>
                <w:sz w:val="24"/>
                <w:szCs w:val="24"/>
              </w:rPr>
              <w:t>Համապատասխան փոփոխությունները կատարվել են Ռազմավարության մեջ</w:t>
            </w:r>
          </w:p>
        </w:tc>
      </w:tr>
      <w:tr w:rsidR="006373DF" w:rsidTr="00225548">
        <w:trPr>
          <w:trHeight w:val="701"/>
        </w:trPr>
        <w:tc>
          <w:tcPr>
            <w:tcW w:w="810" w:type="dxa"/>
            <w:vMerge/>
            <w:vAlign w:val="center"/>
          </w:tcPr>
          <w:p w:rsidR="006373DF" w:rsidRDefault="006373DF">
            <w:pPr>
              <w:numPr>
                <w:ilvl w:val="0"/>
                <w:numId w:val="8"/>
              </w:numPr>
              <w:pBdr>
                <w:top w:val="nil"/>
                <w:left w:val="nil"/>
                <w:bottom w:val="nil"/>
                <w:right w:val="nil"/>
                <w:between w:val="nil"/>
              </w:pBdr>
              <w:rPr>
                <w:rFonts w:ascii="GHEA Grapalat" w:eastAsia="GHEA Grapalat" w:hAnsi="GHEA Grapalat" w:cs="GHEA Grapalat"/>
                <w:b/>
                <w:color w:val="000000"/>
                <w:sz w:val="24"/>
                <w:szCs w:val="24"/>
              </w:rPr>
            </w:pPr>
          </w:p>
        </w:tc>
        <w:tc>
          <w:tcPr>
            <w:tcW w:w="1830" w:type="dxa"/>
            <w:vMerge/>
            <w:vAlign w:val="center"/>
          </w:tcPr>
          <w:p w:rsidR="006373DF" w:rsidRDefault="006373DF">
            <w:pPr>
              <w:spacing w:before="120"/>
              <w:jc w:val="center"/>
              <w:rPr>
                <w:rFonts w:ascii="GHEA Grapalat" w:eastAsia="GHEA Grapalat" w:hAnsi="GHEA Grapalat" w:cs="GHEA Grapalat"/>
                <w:b/>
                <w:sz w:val="24"/>
                <w:szCs w:val="24"/>
              </w:rPr>
            </w:pPr>
          </w:p>
        </w:tc>
        <w:tc>
          <w:tcPr>
            <w:tcW w:w="5580" w:type="dxa"/>
            <w:tcBorders>
              <w:bottom w:val="single" w:sz="4" w:space="0" w:color="000000"/>
            </w:tcBorders>
          </w:tcPr>
          <w:p w:rsidR="006373DF" w:rsidRDefault="00035DF9" w:rsidP="00035DF9">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lang w:val="en-US"/>
              </w:rPr>
              <w:t xml:space="preserve">2. </w:t>
            </w:r>
            <w:r w:rsidRPr="00035DF9">
              <w:rPr>
                <w:rFonts w:ascii="GHEA Grapalat" w:eastAsia="GHEA Grapalat" w:hAnsi="GHEA Grapalat" w:cs="GHEA Grapalat"/>
                <w:sz w:val="24"/>
                <w:szCs w:val="24"/>
              </w:rPr>
              <w:t>Նույն էջում սահմանված է, որ քննչական մարմինների գործող կարգավորմամբ դասավորվածության պայմաններում ոստիկանության համակարգի ամբողջ ռեսուրսը դուրս է մնում քրեական գործերի քննության գործառույթից։ Նկատի ունենալով, որ հետաքննություն իրականացնելիս ոստիկանությունը նույնպես իրականացնում է քննություն, գտնում ենք, որ քննություն» եզրույթի փոխարեն անհրաժեշտ է օգտագործել նախաքննություն» եզրույթը։</w:t>
            </w:r>
          </w:p>
        </w:tc>
        <w:tc>
          <w:tcPr>
            <w:tcW w:w="2340" w:type="dxa"/>
            <w:tcBorders>
              <w:bottom w:val="single" w:sz="4" w:space="0" w:color="000000"/>
            </w:tcBorders>
          </w:tcPr>
          <w:p w:rsidR="00035DF9" w:rsidRDefault="00035DF9" w:rsidP="00035DF9">
            <w:pPr>
              <w:jc w:val="both"/>
              <w:rPr>
                <w:rFonts w:ascii="GHEA Grapalat" w:eastAsia="GHEA Grapalat" w:hAnsi="GHEA Grapalat" w:cs="GHEA Grapalat"/>
                <w:sz w:val="24"/>
                <w:szCs w:val="24"/>
              </w:rPr>
            </w:pPr>
            <w:r w:rsidRPr="00BD1052">
              <w:rPr>
                <w:rFonts w:ascii="GHEA Grapalat" w:eastAsia="GHEA Grapalat" w:hAnsi="GHEA Grapalat" w:cs="GHEA Grapalat"/>
                <w:sz w:val="24"/>
                <w:szCs w:val="24"/>
              </w:rPr>
              <w:t>Ը</w:t>
            </w:r>
            <w:r w:rsidRPr="00B71152">
              <w:rPr>
                <w:rFonts w:ascii="GHEA Grapalat" w:eastAsia="GHEA Grapalat" w:hAnsi="GHEA Grapalat" w:cs="GHEA Grapalat"/>
                <w:sz w:val="24"/>
                <w:szCs w:val="24"/>
              </w:rPr>
              <w:t>նդունվել է</w:t>
            </w:r>
          </w:p>
          <w:p w:rsidR="006373DF" w:rsidRDefault="006373DF">
            <w:pPr>
              <w:jc w:val="both"/>
              <w:rPr>
                <w:rFonts w:ascii="GHEA Grapalat" w:eastAsia="GHEA Grapalat" w:hAnsi="GHEA Grapalat" w:cs="GHEA Grapalat"/>
                <w:sz w:val="24"/>
                <w:szCs w:val="24"/>
              </w:rPr>
            </w:pPr>
          </w:p>
        </w:tc>
        <w:tc>
          <w:tcPr>
            <w:tcW w:w="4554" w:type="dxa"/>
            <w:tcBorders>
              <w:bottom w:val="single" w:sz="4" w:space="0" w:color="000000"/>
            </w:tcBorders>
          </w:tcPr>
          <w:p w:rsidR="006373DF" w:rsidRDefault="00035DF9" w:rsidP="00EF25AC">
            <w:pPr>
              <w:rPr>
                <w:rFonts w:ascii="GHEA Grapalat" w:eastAsia="GHEA Grapalat" w:hAnsi="GHEA Grapalat" w:cs="GHEA Grapalat"/>
                <w:b/>
                <w:sz w:val="24"/>
                <w:szCs w:val="24"/>
              </w:rPr>
            </w:pPr>
            <w:r w:rsidRPr="00B71152">
              <w:rPr>
                <w:rFonts w:ascii="GHEA Grapalat" w:eastAsia="GHEA Grapalat" w:hAnsi="GHEA Grapalat" w:cs="GHEA Grapalat"/>
                <w:sz w:val="24"/>
                <w:szCs w:val="24"/>
              </w:rPr>
              <w:t>Համապատասխան փոփոխությունները կատարվել են Ռազմավարության մեջ</w:t>
            </w:r>
          </w:p>
        </w:tc>
      </w:tr>
      <w:tr w:rsidR="006373DF" w:rsidTr="00225548">
        <w:trPr>
          <w:trHeight w:val="701"/>
        </w:trPr>
        <w:tc>
          <w:tcPr>
            <w:tcW w:w="810" w:type="dxa"/>
            <w:vMerge/>
            <w:vAlign w:val="center"/>
          </w:tcPr>
          <w:p w:rsidR="006373DF" w:rsidRDefault="006373DF">
            <w:pPr>
              <w:numPr>
                <w:ilvl w:val="0"/>
                <w:numId w:val="8"/>
              </w:numPr>
              <w:pBdr>
                <w:top w:val="nil"/>
                <w:left w:val="nil"/>
                <w:bottom w:val="nil"/>
                <w:right w:val="nil"/>
                <w:between w:val="nil"/>
              </w:pBdr>
              <w:rPr>
                <w:rFonts w:ascii="GHEA Grapalat" w:eastAsia="GHEA Grapalat" w:hAnsi="GHEA Grapalat" w:cs="GHEA Grapalat"/>
                <w:b/>
                <w:color w:val="000000"/>
                <w:sz w:val="24"/>
                <w:szCs w:val="24"/>
              </w:rPr>
            </w:pPr>
          </w:p>
        </w:tc>
        <w:tc>
          <w:tcPr>
            <w:tcW w:w="1830" w:type="dxa"/>
            <w:vMerge/>
            <w:vAlign w:val="center"/>
          </w:tcPr>
          <w:p w:rsidR="006373DF" w:rsidRDefault="006373DF">
            <w:pPr>
              <w:spacing w:before="120"/>
              <w:jc w:val="center"/>
              <w:rPr>
                <w:rFonts w:ascii="GHEA Grapalat" w:eastAsia="GHEA Grapalat" w:hAnsi="GHEA Grapalat" w:cs="GHEA Grapalat"/>
                <w:b/>
                <w:sz w:val="24"/>
                <w:szCs w:val="24"/>
              </w:rPr>
            </w:pPr>
          </w:p>
        </w:tc>
        <w:tc>
          <w:tcPr>
            <w:tcW w:w="5580" w:type="dxa"/>
            <w:tcBorders>
              <w:bottom w:val="single" w:sz="4" w:space="0" w:color="000000"/>
            </w:tcBorders>
          </w:tcPr>
          <w:p w:rsidR="006373DF" w:rsidRDefault="00EF25AC" w:rsidP="00EF25AC">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lang w:val="en-US"/>
              </w:rPr>
              <w:t xml:space="preserve">3. </w:t>
            </w:r>
            <w:r w:rsidRPr="00EF25AC">
              <w:rPr>
                <w:rFonts w:ascii="GHEA Grapalat" w:eastAsia="GHEA Grapalat" w:hAnsi="GHEA Grapalat" w:cs="GHEA Grapalat"/>
                <w:sz w:val="24"/>
                <w:szCs w:val="24"/>
              </w:rPr>
              <w:t>Նախագծի Հավելված 1-ի 6-րդ էջում նշվում է, որ անհրաժեշտ է երկարաժամկետ կտրվածքում ամբողջական կամ որոշակի տեսակի գործերի դեպքում ոստիկանությանը վերապահել նախնական քննություն իրականացնելու գործառույթ։ Նկատի ունենալով, որ նախնական քննությունը որպես քրեական դատավարության ինքնուրույն փուլ իր մեջ ներառում է հետաքննությունը և նախաքննությունը, իսկ ոստիկանությունը ներկայիս գործող իրավակարգավորումների պայմաններում հետաքննություն իրականացնելու իրավասություն ունի, գտնում ենք, որ նախնական քննության փոխարեն անհրաժեշտ է գործածել նախաքննություն» հասկացությունը։</w:t>
            </w:r>
          </w:p>
        </w:tc>
        <w:tc>
          <w:tcPr>
            <w:tcW w:w="2340" w:type="dxa"/>
            <w:tcBorders>
              <w:bottom w:val="single" w:sz="4" w:space="0" w:color="000000"/>
            </w:tcBorders>
          </w:tcPr>
          <w:p w:rsidR="00EF25AC" w:rsidRDefault="00EF25AC" w:rsidP="00EF25AC">
            <w:pPr>
              <w:jc w:val="both"/>
              <w:rPr>
                <w:rFonts w:ascii="GHEA Grapalat" w:eastAsia="GHEA Grapalat" w:hAnsi="GHEA Grapalat" w:cs="GHEA Grapalat"/>
                <w:sz w:val="24"/>
                <w:szCs w:val="24"/>
              </w:rPr>
            </w:pPr>
            <w:r w:rsidRPr="00BD1052">
              <w:rPr>
                <w:rFonts w:ascii="GHEA Grapalat" w:eastAsia="GHEA Grapalat" w:hAnsi="GHEA Grapalat" w:cs="GHEA Grapalat"/>
                <w:sz w:val="24"/>
                <w:szCs w:val="24"/>
              </w:rPr>
              <w:t>Ը</w:t>
            </w:r>
            <w:r w:rsidRPr="00B71152">
              <w:rPr>
                <w:rFonts w:ascii="GHEA Grapalat" w:eastAsia="GHEA Grapalat" w:hAnsi="GHEA Grapalat" w:cs="GHEA Grapalat"/>
                <w:sz w:val="24"/>
                <w:szCs w:val="24"/>
              </w:rPr>
              <w:t>նդունվել է</w:t>
            </w:r>
          </w:p>
          <w:p w:rsidR="006373DF" w:rsidRDefault="006373DF">
            <w:pPr>
              <w:jc w:val="both"/>
              <w:rPr>
                <w:rFonts w:ascii="GHEA Grapalat" w:eastAsia="GHEA Grapalat" w:hAnsi="GHEA Grapalat" w:cs="GHEA Grapalat"/>
                <w:sz w:val="24"/>
                <w:szCs w:val="24"/>
              </w:rPr>
            </w:pPr>
          </w:p>
        </w:tc>
        <w:tc>
          <w:tcPr>
            <w:tcW w:w="4554" w:type="dxa"/>
            <w:tcBorders>
              <w:bottom w:val="single" w:sz="4" w:space="0" w:color="000000"/>
            </w:tcBorders>
          </w:tcPr>
          <w:p w:rsidR="006373DF" w:rsidRDefault="00EF25AC" w:rsidP="00D72569">
            <w:pPr>
              <w:rPr>
                <w:rFonts w:ascii="GHEA Grapalat" w:eastAsia="GHEA Grapalat" w:hAnsi="GHEA Grapalat" w:cs="GHEA Grapalat"/>
                <w:b/>
                <w:sz w:val="24"/>
                <w:szCs w:val="24"/>
              </w:rPr>
            </w:pPr>
            <w:r w:rsidRPr="00B71152">
              <w:rPr>
                <w:rFonts w:ascii="GHEA Grapalat" w:eastAsia="GHEA Grapalat" w:hAnsi="GHEA Grapalat" w:cs="GHEA Grapalat"/>
                <w:sz w:val="24"/>
                <w:szCs w:val="24"/>
              </w:rPr>
              <w:t>Համապատասխան փոփոխությունները կատարվել են Ռազմավարության մեջ</w:t>
            </w:r>
          </w:p>
        </w:tc>
      </w:tr>
      <w:tr w:rsidR="00EF25AC" w:rsidTr="00225548">
        <w:trPr>
          <w:trHeight w:val="701"/>
        </w:trPr>
        <w:tc>
          <w:tcPr>
            <w:tcW w:w="810" w:type="dxa"/>
            <w:vMerge/>
            <w:vAlign w:val="center"/>
          </w:tcPr>
          <w:p w:rsidR="00EF25AC" w:rsidRDefault="00EF25AC">
            <w:pPr>
              <w:numPr>
                <w:ilvl w:val="0"/>
                <w:numId w:val="8"/>
              </w:numPr>
              <w:pBdr>
                <w:top w:val="nil"/>
                <w:left w:val="nil"/>
                <w:bottom w:val="nil"/>
                <w:right w:val="nil"/>
                <w:between w:val="nil"/>
              </w:pBdr>
              <w:rPr>
                <w:rFonts w:ascii="GHEA Grapalat" w:eastAsia="GHEA Grapalat" w:hAnsi="GHEA Grapalat" w:cs="GHEA Grapalat"/>
                <w:b/>
                <w:color w:val="000000"/>
                <w:sz w:val="24"/>
                <w:szCs w:val="24"/>
              </w:rPr>
            </w:pPr>
          </w:p>
        </w:tc>
        <w:tc>
          <w:tcPr>
            <w:tcW w:w="1830" w:type="dxa"/>
            <w:vMerge/>
            <w:vAlign w:val="center"/>
          </w:tcPr>
          <w:p w:rsidR="00EF25AC" w:rsidRDefault="00EF25AC">
            <w:pPr>
              <w:spacing w:before="120"/>
              <w:jc w:val="center"/>
              <w:rPr>
                <w:rFonts w:ascii="GHEA Grapalat" w:eastAsia="GHEA Grapalat" w:hAnsi="GHEA Grapalat" w:cs="GHEA Grapalat"/>
                <w:b/>
                <w:sz w:val="24"/>
                <w:szCs w:val="24"/>
              </w:rPr>
            </w:pPr>
          </w:p>
        </w:tc>
        <w:tc>
          <w:tcPr>
            <w:tcW w:w="5580" w:type="dxa"/>
            <w:tcBorders>
              <w:bottom w:val="single" w:sz="4" w:space="0" w:color="000000"/>
            </w:tcBorders>
          </w:tcPr>
          <w:p w:rsidR="00EF25AC" w:rsidRDefault="005B3ADD" w:rsidP="005B3ADD">
            <w:pPr>
              <w:pBdr>
                <w:top w:val="nil"/>
                <w:left w:val="nil"/>
                <w:bottom w:val="nil"/>
                <w:right w:val="nil"/>
                <w:between w:val="nil"/>
              </w:pBdr>
              <w:tabs>
                <w:tab w:val="left" w:pos="0"/>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lang w:val="en-US"/>
              </w:rPr>
              <w:t xml:space="preserve">4. </w:t>
            </w:r>
            <w:r w:rsidRPr="005B3ADD">
              <w:rPr>
                <w:rFonts w:ascii="GHEA Grapalat" w:eastAsia="GHEA Grapalat" w:hAnsi="GHEA Grapalat" w:cs="GHEA Grapalat"/>
                <w:sz w:val="24"/>
                <w:szCs w:val="24"/>
              </w:rPr>
              <w:t>Նախագծի Հավելված 1-ի 15-րդ էջում հետախուզվող հանցագործներ» եզրույթի փոխարեն անհրաժեշտ է օգտագործել հետախուզվող մեղադրյալներ»։</w:t>
            </w:r>
          </w:p>
        </w:tc>
        <w:tc>
          <w:tcPr>
            <w:tcW w:w="2340" w:type="dxa"/>
            <w:tcBorders>
              <w:bottom w:val="single" w:sz="4" w:space="0" w:color="000000"/>
            </w:tcBorders>
          </w:tcPr>
          <w:p w:rsidR="005B3ADD" w:rsidRDefault="005B3ADD" w:rsidP="005B3ADD">
            <w:pPr>
              <w:jc w:val="both"/>
              <w:rPr>
                <w:rFonts w:ascii="GHEA Grapalat" w:eastAsia="GHEA Grapalat" w:hAnsi="GHEA Grapalat" w:cs="GHEA Grapalat"/>
                <w:sz w:val="24"/>
                <w:szCs w:val="24"/>
              </w:rPr>
            </w:pPr>
            <w:r w:rsidRPr="00BD1052">
              <w:rPr>
                <w:rFonts w:ascii="GHEA Grapalat" w:eastAsia="GHEA Grapalat" w:hAnsi="GHEA Grapalat" w:cs="GHEA Grapalat"/>
                <w:sz w:val="24"/>
                <w:szCs w:val="24"/>
              </w:rPr>
              <w:t>Ը</w:t>
            </w:r>
            <w:r w:rsidRPr="00B71152">
              <w:rPr>
                <w:rFonts w:ascii="GHEA Grapalat" w:eastAsia="GHEA Grapalat" w:hAnsi="GHEA Grapalat" w:cs="GHEA Grapalat"/>
                <w:sz w:val="24"/>
                <w:szCs w:val="24"/>
              </w:rPr>
              <w:t>նդունվել է</w:t>
            </w:r>
          </w:p>
          <w:p w:rsidR="00EF25AC" w:rsidRDefault="00EF25AC">
            <w:pPr>
              <w:jc w:val="both"/>
              <w:rPr>
                <w:rFonts w:ascii="GHEA Grapalat" w:eastAsia="GHEA Grapalat" w:hAnsi="GHEA Grapalat" w:cs="GHEA Grapalat"/>
                <w:sz w:val="24"/>
                <w:szCs w:val="24"/>
              </w:rPr>
            </w:pPr>
          </w:p>
        </w:tc>
        <w:tc>
          <w:tcPr>
            <w:tcW w:w="4554" w:type="dxa"/>
            <w:tcBorders>
              <w:bottom w:val="single" w:sz="4" w:space="0" w:color="000000"/>
            </w:tcBorders>
          </w:tcPr>
          <w:p w:rsidR="00EF25AC" w:rsidRDefault="005B3ADD" w:rsidP="005B3ADD">
            <w:pPr>
              <w:rPr>
                <w:rFonts w:ascii="GHEA Grapalat" w:eastAsia="GHEA Grapalat" w:hAnsi="GHEA Grapalat" w:cs="GHEA Grapalat"/>
                <w:b/>
                <w:sz w:val="24"/>
                <w:szCs w:val="24"/>
              </w:rPr>
            </w:pPr>
            <w:r w:rsidRPr="00B71152">
              <w:rPr>
                <w:rFonts w:ascii="GHEA Grapalat" w:eastAsia="GHEA Grapalat" w:hAnsi="GHEA Grapalat" w:cs="GHEA Grapalat"/>
                <w:sz w:val="24"/>
                <w:szCs w:val="24"/>
              </w:rPr>
              <w:t>Համապատասխան փոփոխությունները կատարվել են Ռազմավարության մեջ</w:t>
            </w:r>
          </w:p>
        </w:tc>
      </w:tr>
      <w:tr w:rsidR="00EF25AC" w:rsidTr="00225548">
        <w:trPr>
          <w:trHeight w:val="701"/>
        </w:trPr>
        <w:tc>
          <w:tcPr>
            <w:tcW w:w="810" w:type="dxa"/>
            <w:vMerge/>
            <w:vAlign w:val="center"/>
          </w:tcPr>
          <w:p w:rsidR="00EF25AC" w:rsidRDefault="00EF25AC">
            <w:pPr>
              <w:numPr>
                <w:ilvl w:val="0"/>
                <w:numId w:val="8"/>
              </w:numPr>
              <w:pBdr>
                <w:top w:val="nil"/>
                <w:left w:val="nil"/>
                <w:bottom w:val="nil"/>
                <w:right w:val="nil"/>
                <w:between w:val="nil"/>
              </w:pBdr>
              <w:rPr>
                <w:rFonts w:ascii="GHEA Grapalat" w:eastAsia="GHEA Grapalat" w:hAnsi="GHEA Grapalat" w:cs="GHEA Grapalat"/>
                <w:b/>
                <w:color w:val="000000"/>
                <w:sz w:val="24"/>
                <w:szCs w:val="24"/>
              </w:rPr>
            </w:pPr>
          </w:p>
        </w:tc>
        <w:tc>
          <w:tcPr>
            <w:tcW w:w="1830" w:type="dxa"/>
            <w:vMerge/>
            <w:vAlign w:val="center"/>
          </w:tcPr>
          <w:p w:rsidR="00EF25AC" w:rsidRDefault="00EF25AC">
            <w:pPr>
              <w:spacing w:before="120"/>
              <w:jc w:val="center"/>
              <w:rPr>
                <w:rFonts w:ascii="GHEA Grapalat" w:eastAsia="GHEA Grapalat" w:hAnsi="GHEA Grapalat" w:cs="GHEA Grapalat"/>
                <w:b/>
                <w:sz w:val="24"/>
                <w:szCs w:val="24"/>
              </w:rPr>
            </w:pPr>
          </w:p>
        </w:tc>
        <w:tc>
          <w:tcPr>
            <w:tcW w:w="5580" w:type="dxa"/>
            <w:tcBorders>
              <w:bottom w:val="single" w:sz="4" w:space="0" w:color="000000"/>
            </w:tcBorders>
          </w:tcPr>
          <w:p w:rsidR="009B7C65" w:rsidRPr="009B7C65" w:rsidRDefault="009B7C65" w:rsidP="009B7C65">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lang w:val="en-US"/>
              </w:rPr>
              <w:t xml:space="preserve">5. </w:t>
            </w:r>
            <w:r w:rsidRPr="009B7C65">
              <w:rPr>
                <w:rFonts w:ascii="GHEA Grapalat" w:eastAsia="GHEA Grapalat" w:hAnsi="GHEA Grapalat" w:cs="GHEA Grapalat"/>
                <w:sz w:val="24"/>
                <w:szCs w:val="24"/>
              </w:rPr>
              <w:t xml:space="preserve">Նախագծի Հավելված 1-ի 23-րդ էջում </w:t>
            </w:r>
            <w:r w:rsidRPr="009B7C65">
              <w:rPr>
                <w:rFonts w:ascii="GHEA Grapalat" w:eastAsia="GHEA Grapalat" w:hAnsi="GHEA Grapalat" w:cs="GHEA Grapalat"/>
                <w:sz w:val="24"/>
                <w:szCs w:val="24"/>
              </w:rPr>
              <w:lastRenderedPageBreak/>
              <w:t xml:space="preserve">առաջարկվում է կամ ոստիկանությանը վերապահել նախաքննություն իրականացնելու գործառույթ, կամ որպես դրա այլընտրանք՝ սահմանել ՀՀ քրեական դատավարության օրենսգրքի շրջանակներում հետաքննությամբ քրեական գործերի ամբողջական քննության և դրա ընթացքի լուծման իրավասություն։ Գտնում ենք, որ հստակ պետք է սահմանվի, թե դրանցից որն է ընդունելի Նախագծի հեղինակների համար։  </w:t>
            </w:r>
          </w:p>
          <w:p w:rsidR="009B7C65" w:rsidRPr="009B7C65" w:rsidRDefault="009B7C65" w:rsidP="009B7C65">
            <w:pPr>
              <w:tabs>
                <w:tab w:val="left" w:pos="0"/>
              </w:tabs>
              <w:spacing w:line="360" w:lineRule="auto"/>
              <w:jc w:val="both"/>
              <w:rPr>
                <w:rFonts w:ascii="GHEA Grapalat" w:eastAsia="GHEA Grapalat" w:hAnsi="GHEA Grapalat" w:cs="GHEA Grapalat"/>
                <w:sz w:val="24"/>
                <w:szCs w:val="24"/>
              </w:rPr>
            </w:pPr>
            <w:r w:rsidRPr="009B7C65">
              <w:rPr>
                <w:rFonts w:ascii="GHEA Grapalat" w:eastAsia="GHEA Grapalat" w:hAnsi="GHEA Grapalat" w:cs="GHEA Grapalat"/>
                <w:sz w:val="24"/>
                <w:szCs w:val="24"/>
              </w:rPr>
              <w:t xml:space="preserve">Բացի այդ, ոստիկանությանը նախաքննություն իրականացնելու գործառույթ վերապահելիս պետք է հստակ սահմանվի այն չափանիշը, թե որ քրեական գործերի քննությունն է վերջինիս վերապահվելու։ Նախագծում այս առումով որոշակի կարգավորում առկա է, սակայն այն լիարժեք չէ։           </w:t>
            </w:r>
          </w:p>
          <w:p w:rsidR="00EF25AC" w:rsidRDefault="00EF25AC">
            <w:pPr>
              <w:pBdr>
                <w:top w:val="nil"/>
                <w:left w:val="nil"/>
                <w:bottom w:val="nil"/>
                <w:right w:val="nil"/>
                <w:between w:val="nil"/>
              </w:pBdr>
              <w:spacing w:after="120"/>
              <w:jc w:val="center"/>
              <w:rPr>
                <w:rFonts w:ascii="GHEA Grapalat" w:eastAsia="GHEA Grapalat" w:hAnsi="GHEA Grapalat" w:cs="GHEA Grapalat"/>
                <w:color w:val="000000"/>
                <w:sz w:val="24"/>
                <w:szCs w:val="24"/>
              </w:rPr>
            </w:pPr>
          </w:p>
        </w:tc>
        <w:tc>
          <w:tcPr>
            <w:tcW w:w="2340" w:type="dxa"/>
            <w:tcBorders>
              <w:bottom w:val="single" w:sz="4" w:space="0" w:color="000000"/>
            </w:tcBorders>
          </w:tcPr>
          <w:p w:rsidR="006A7108" w:rsidRPr="006A7108" w:rsidRDefault="006A7108" w:rsidP="006A7108">
            <w:pPr>
              <w:jc w:val="both"/>
              <w:rPr>
                <w:rFonts w:ascii="GHEA Grapalat" w:eastAsia="GHEA Grapalat" w:hAnsi="GHEA Grapalat" w:cs="GHEA Grapalat"/>
                <w:sz w:val="24"/>
                <w:szCs w:val="24"/>
                <w:lang w:val="en-US"/>
              </w:rPr>
            </w:pPr>
            <w:r w:rsidRPr="00BD1052">
              <w:rPr>
                <w:rFonts w:ascii="GHEA Grapalat" w:eastAsia="GHEA Grapalat" w:hAnsi="GHEA Grapalat" w:cs="GHEA Grapalat"/>
                <w:sz w:val="24"/>
                <w:szCs w:val="24"/>
              </w:rPr>
              <w:lastRenderedPageBreak/>
              <w:t>Ը</w:t>
            </w:r>
            <w:r w:rsidRPr="00B71152">
              <w:rPr>
                <w:rFonts w:ascii="GHEA Grapalat" w:eastAsia="GHEA Grapalat" w:hAnsi="GHEA Grapalat" w:cs="GHEA Grapalat"/>
                <w:sz w:val="24"/>
                <w:szCs w:val="24"/>
              </w:rPr>
              <w:t>նդունվել է</w:t>
            </w:r>
            <w:r>
              <w:rPr>
                <w:rFonts w:ascii="GHEA Grapalat" w:eastAsia="GHEA Grapalat" w:hAnsi="GHEA Grapalat" w:cs="GHEA Grapalat"/>
                <w:sz w:val="24"/>
                <w:szCs w:val="24"/>
                <w:lang w:val="en-US"/>
              </w:rPr>
              <w:t xml:space="preserve"> ի գիտություն</w:t>
            </w:r>
          </w:p>
          <w:p w:rsidR="00EF25AC" w:rsidRDefault="00EF25AC">
            <w:pPr>
              <w:jc w:val="both"/>
              <w:rPr>
                <w:rFonts w:ascii="GHEA Grapalat" w:eastAsia="GHEA Grapalat" w:hAnsi="GHEA Grapalat" w:cs="GHEA Grapalat"/>
                <w:sz w:val="24"/>
                <w:szCs w:val="24"/>
              </w:rPr>
            </w:pPr>
          </w:p>
        </w:tc>
        <w:tc>
          <w:tcPr>
            <w:tcW w:w="4554" w:type="dxa"/>
            <w:tcBorders>
              <w:bottom w:val="single" w:sz="4" w:space="0" w:color="000000"/>
            </w:tcBorders>
          </w:tcPr>
          <w:p w:rsidR="00EF25AC" w:rsidRDefault="00EF25AC">
            <w:pPr>
              <w:jc w:val="center"/>
              <w:rPr>
                <w:rFonts w:ascii="GHEA Grapalat" w:eastAsia="GHEA Grapalat" w:hAnsi="GHEA Grapalat" w:cs="GHEA Grapalat"/>
                <w:b/>
                <w:sz w:val="24"/>
                <w:szCs w:val="24"/>
              </w:rPr>
            </w:pPr>
          </w:p>
        </w:tc>
      </w:tr>
      <w:tr w:rsidR="00F2404D">
        <w:trPr>
          <w:trHeight w:val="495"/>
        </w:trPr>
        <w:tc>
          <w:tcPr>
            <w:tcW w:w="810" w:type="dxa"/>
            <w:tcBorders>
              <w:top w:val="single" w:sz="4" w:space="0" w:color="000000"/>
              <w:bottom w:val="single" w:sz="4" w:space="0" w:color="000000"/>
            </w:tcBorders>
            <w:vAlign w:val="center"/>
          </w:tcPr>
          <w:p w:rsidR="00F2404D" w:rsidRDefault="00F2404D">
            <w:pPr>
              <w:numPr>
                <w:ilvl w:val="0"/>
                <w:numId w:val="8"/>
              </w:numPr>
              <w:pBdr>
                <w:top w:val="nil"/>
                <w:left w:val="nil"/>
                <w:bottom w:val="nil"/>
                <w:right w:val="nil"/>
                <w:between w:val="nil"/>
              </w:pBdr>
              <w:spacing w:after="200" w:line="276" w:lineRule="auto"/>
              <w:rPr>
                <w:rFonts w:ascii="GHEA Grapalat" w:eastAsia="GHEA Grapalat" w:hAnsi="GHEA Grapalat" w:cs="GHEA Grapalat"/>
                <w:b/>
                <w:color w:val="000000"/>
                <w:sz w:val="24"/>
                <w:szCs w:val="24"/>
              </w:rPr>
            </w:pPr>
          </w:p>
        </w:tc>
        <w:tc>
          <w:tcPr>
            <w:tcW w:w="1830" w:type="dxa"/>
            <w:tcBorders>
              <w:top w:val="single" w:sz="4" w:space="0" w:color="000000"/>
              <w:bottom w:val="single" w:sz="4" w:space="0" w:color="000000"/>
            </w:tcBorders>
            <w:vAlign w:val="center"/>
          </w:tcPr>
          <w:p w:rsidR="00F2404D" w:rsidRDefault="00A9005C">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քննչական կոմիտե</w:t>
            </w:r>
          </w:p>
          <w:p w:rsidR="00F2404D" w:rsidRDefault="00F2404D">
            <w:pPr>
              <w:spacing w:before="120"/>
              <w:jc w:val="center"/>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pBdr>
                <w:top w:val="nil"/>
                <w:left w:val="nil"/>
                <w:bottom w:val="nil"/>
                <w:right w:val="nil"/>
                <w:between w:val="nil"/>
              </w:pBdr>
              <w:spacing w:after="120" w:line="276" w:lineRule="auto"/>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Առաջարկություններ չկան:</w:t>
            </w:r>
          </w:p>
        </w:tc>
        <w:tc>
          <w:tcPr>
            <w:tcW w:w="2340" w:type="dxa"/>
            <w:tcBorders>
              <w:top w:val="single" w:sz="4" w:space="0" w:color="000000"/>
              <w:bottom w:val="single" w:sz="4" w:space="0" w:color="000000"/>
            </w:tcBorders>
            <w:vAlign w:val="center"/>
          </w:tcPr>
          <w:p w:rsidR="00F2404D" w:rsidRDefault="00A9005C">
            <w:pPr>
              <w:spacing w:line="276" w:lineRule="auto"/>
              <w:jc w:val="both"/>
              <w:rPr>
                <w:rFonts w:ascii="GHEA Grapalat" w:eastAsia="GHEA Grapalat" w:hAnsi="GHEA Grapalat" w:cs="GHEA Grapalat"/>
                <w:sz w:val="24"/>
                <w:szCs w:val="24"/>
                <w:highlight w:val="yellow"/>
              </w:rPr>
            </w:pPr>
            <w:r>
              <w:rPr>
                <w:rFonts w:ascii="GHEA Grapalat" w:eastAsia="GHEA Grapalat" w:hAnsi="GHEA Grapalat" w:cs="GHEA Grapalat"/>
                <w:sz w:val="24"/>
                <w:szCs w:val="24"/>
              </w:rPr>
              <w:t>Ընդունվել է ի գիտություն</w:t>
            </w:r>
          </w:p>
        </w:tc>
        <w:tc>
          <w:tcPr>
            <w:tcW w:w="4554" w:type="dxa"/>
            <w:tcBorders>
              <w:top w:val="single" w:sz="4" w:space="0" w:color="000000"/>
              <w:bottom w:val="single" w:sz="4" w:space="0" w:color="000000"/>
            </w:tcBorders>
            <w:vAlign w:val="center"/>
          </w:tcPr>
          <w:p w:rsidR="00F2404D" w:rsidRDefault="00F2404D">
            <w:pPr>
              <w:rPr>
                <w:rFonts w:ascii="GHEA Grapalat" w:eastAsia="GHEA Grapalat" w:hAnsi="GHEA Grapalat" w:cs="GHEA Grapalat"/>
                <w:sz w:val="24"/>
                <w:szCs w:val="24"/>
              </w:rPr>
            </w:pPr>
          </w:p>
        </w:tc>
      </w:tr>
      <w:tr w:rsidR="00F2404D">
        <w:trPr>
          <w:trHeight w:val="495"/>
        </w:trPr>
        <w:tc>
          <w:tcPr>
            <w:tcW w:w="810" w:type="dxa"/>
            <w:vMerge w:val="restart"/>
            <w:tcBorders>
              <w:top w:val="single" w:sz="4" w:space="0" w:color="000000"/>
            </w:tcBorders>
            <w:vAlign w:val="center"/>
          </w:tcPr>
          <w:p w:rsidR="00F2404D" w:rsidRDefault="00F2404D">
            <w:pPr>
              <w:numPr>
                <w:ilvl w:val="0"/>
                <w:numId w:val="8"/>
              </w:numPr>
              <w:pBdr>
                <w:top w:val="nil"/>
                <w:left w:val="nil"/>
                <w:bottom w:val="nil"/>
                <w:right w:val="nil"/>
                <w:between w:val="nil"/>
              </w:pBdr>
              <w:spacing w:after="200" w:line="276" w:lineRule="auto"/>
              <w:rPr>
                <w:rFonts w:ascii="GHEA Grapalat" w:eastAsia="GHEA Grapalat" w:hAnsi="GHEA Grapalat" w:cs="GHEA Grapalat"/>
                <w:b/>
                <w:color w:val="000000"/>
                <w:sz w:val="24"/>
                <w:szCs w:val="24"/>
              </w:rPr>
            </w:pPr>
          </w:p>
        </w:tc>
        <w:tc>
          <w:tcPr>
            <w:tcW w:w="1830" w:type="dxa"/>
            <w:vMerge w:val="restart"/>
            <w:tcBorders>
              <w:top w:val="single" w:sz="4" w:space="0" w:color="000000"/>
            </w:tcBorders>
            <w:vAlign w:val="center"/>
          </w:tcPr>
          <w:p w:rsidR="00F2404D" w:rsidRDefault="00A9005C">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w:t>
            </w:r>
            <w:r>
              <w:rPr>
                <w:rFonts w:ascii="Courier New" w:eastAsia="Courier New" w:hAnsi="Courier New" w:cs="Courier New"/>
                <w:b/>
                <w:sz w:val="24"/>
                <w:szCs w:val="24"/>
              </w:rPr>
              <w:t> </w:t>
            </w:r>
            <w:r>
              <w:rPr>
                <w:rFonts w:ascii="GHEA Grapalat" w:eastAsia="GHEA Grapalat" w:hAnsi="GHEA Grapalat" w:cs="GHEA Grapalat"/>
                <w:b/>
                <w:sz w:val="24"/>
                <w:szCs w:val="24"/>
              </w:rPr>
              <w:t>ոստիկան</w:t>
            </w:r>
            <w:r>
              <w:rPr>
                <w:rFonts w:ascii="GHEA Grapalat" w:eastAsia="GHEA Grapalat" w:hAnsi="GHEA Grapalat" w:cs="GHEA Grapalat"/>
                <w:b/>
                <w:sz w:val="24"/>
                <w:szCs w:val="24"/>
              </w:rPr>
              <w:lastRenderedPageBreak/>
              <w:t>ություն</w:t>
            </w:r>
          </w:p>
          <w:p w:rsidR="00F2404D" w:rsidRDefault="00F2404D">
            <w:pPr>
              <w:spacing w:before="120"/>
              <w:jc w:val="center"/>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4"/>
              </w:numPr>
              <w:pBdr>
                <w:top w:val="nil"/>
                <w:left w:val="nil"/>
                <w:bottom w:val="nil"/>
                <w:right w:val="nil"/>
                <w:between w:val="nil"/>
              </w:pBdr>
              <w:tabs>
                <w:tab w:val="left" w:pos="0"/>
                <w:tab w:val="left" w:pos="342"/>
              </w:tabs>
              <w:spacing w:after="200" w:line="360" w:lineRule="auto"/>
              <w:ind w:left="72" w:firstLine="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Ռազմավարության երրորդ բաժնում նշված է, </w:t>
            </w:r>
            <w:r>
              <w:rPr>
                <w:rFonts w:ascii="GHEA Grapalat" w:eastAsia="GHEA Grapalat" w:hAnsi="GHEA Grapalat" w:cs="GHEA Grapalat"/>
                <w:color w:val="000000"/>
                <w:sz w:val="24"/>
                <w:szCs w:val="24"/>
              </w:rPr>
              <w:lastRenderedPageBreak/>
              <w:t xml:space="preserve">որ կրթահամալիրը … պետք է հանդիսանա հիմնական ինստիտուտը, որտեղից կհամալրվի ոստիկանության անձնակազմը՝ կարճաժամկետ կամ երկարաժամկետ դասընթացներն ավարտելուց հետո։  Միևնույն ժամանակ ռազմավարության շրջանակներում (երկրորդ բաժնում) …քննարկման առարկա է դարձել նաև Ոստիկանության քրեադատավարական գործառույթների հստակեցումը, մասնավորապես՝ երկարաժամկետ կտրավածքում ամբողջական կամ որոշ տեսակի գործերի դեպքում Ոստիկանությանը նախնական քննություն իրականացնելու գործառույթ վերապահելու հարցը։ Ոստիկանության կողմից ներկայումս իրականացվող հետաքննչական գործառույթը, ինչպես նաև նախատեսվող նախաքննական գործառույթը ենթադրում են բարձրագույն իրավաբանական կրթության առկայություն: Հետևաբար, ռազմավարության վերոնշյալ դրույթների համատեքստում կարծում ենք, որ </w:t>
            </w:r>
            <w:r>
              <w:rPr>
                <w:rFonts w:ascii="GHEA Grapalat" w:eastAsia="GHEA Grapalat" w:hAnsi="GHEA Grapalat" w:cs="GHEA Grapalat"/>
                <w:color w:val="000000"/>
                <w:sz w:val="24"/>
                <w:szCs w:val="24"/>
              </w:rPr>
              <w:lastRenderedPageBreak/>
              <w:t>նպատակահարմար չէ ռազմավարությամբ նախատեսել կրթահամալիրի կողմից բարձրագույն իրավաբանական կրթության տրամադրման հարցի քննարկումը: Մեր դիտարկմամբ, քննարկման առարկա պետք է լինի բարձրագույն իրավաբանական կրթության՝ եղած ծավալներով պահպանման հարցի քննարկումը՝ կախված ոստիկանության համապատասխան ծառայությունների գործառույթների առանձնահատկություններից:</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1. Ընդունվել է ի </w:t>
            </w:r>
            <w:r>
              <w:rPr>
                <w:rFonts w:ascii="GHEA Grapalat" w:eastAsia="GHEA Grapalat" w:hAnsi="GHEA Grapalat" w:cs="GHEA Grapalat"/>
                <w:sz w:val="24"/>
                <w:szCs w:val="24"/>
              </w:rPr>
              <w:lastRenderedPageBreak/>
              <w:t>գիտություն</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1.Ոստիկանության ակադեմիայում </w:t>
            </w:r>
            <w:r>
              <w:rPr>
                <w:rFonts w:ascii="GHEA Grapalat" w:eastAsia="GHEA Grapalat" w:hAnsi="GHEA Grapalat" w:cs="GHEA Grapalat"/>
                <w:sz w:val="24"/>
                <w:szCs w:val="24"/>
              </w:rPr>
              <w:lastRenderedPageBreak/>
              <w:t>առանձին մասնագիտացված դասընթացների ներառումը չի հակասում ՈԱ-ի կողմից տրամադրվող իրավաբանական կրթության տրամաբանությանը: Ակնհայտ է, որ ոստիկանության այն ստորաբաժանումը/-ները, որոնք կիրականացնեն հետաքննություն/նախաքննություն, պետք է ունենան համապատասխան կրթություն, ինչի համար ՈԱ լիազորված է/կլինի պատրաստել անհրաժեշտ քանակությամբ մասնագետներ:</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4"/>
              </w:numPr>
              <w:pBdr>
                <w:top w:val="nil"/>
                <w:left w:val="nil"/>
                <w:bottom w:val="nil"/>
                <w:right w:val="nil"/>
                <w:between w:val="nil"/>
              </w:pBdr>
              <w:tabs>
                <w:tab w:val="left" w:pos="0"/>
              </w:tabs>
              <w:spacing w:after="200" w:line="360" w:lineRule="auto"/>
              <w:ind w:left="252" w:hanging="27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Ռազմավարության երրորդ բաժնում նշված է՝ Բարեփոխումների այս ուղղության ծախսարդունավետությունը ևս կենտրոնական հարցերից է լինելու։ Այսպես, 2020 թվականի բյուջեում Ոստիկանության համար նախատեսված ավելի քան 65 միլիարդ դրամից Ոստիկանության կրթահամալիրի մասով նախատեսված է ավելի քան 1,5 միլիարդ դրամ կամ ոլորտի պետական ֆինանսավորման 2,4 տոկոսը։ Միևնույն ժամանակ, ռազմավարությամբ ընդգրկված </w:t>
            </w:r>
            <w:r>
              <w:rPr>
                <w:rFonts w:ascii="GHEA Grapalat" w:eastAsia="GHEA Grapalat" w:hAnsi="GHEA Grapalat" w:cs="GHEA Grapalat"/>
                <w:color w:val="000000"/>
                <w:sz w:val="24"/>
                <w:szCs w:val="24"/>
              </w:rPr>
              <w:lastRenderedPageBreak/>
              <w:t>մյուս տարիների՝ 2021 և 2022 թվականների համար Ոստիկանության կրթահամալիրի համար նախատեսվող ֆինանսական որևէ հաշվարկ ներկայացված չէ: Կարծում ենք, որ ռազմավարության այդ հատվածում անհրաժեշտ է նշել նաև 2021 և 2022 թվականների համար Ոստիկանության կրթահամալիրին հատկացվող ֆինանսական միջոցներն ավելացնելու անհրաժեշտության մասին՝ դա հիմնավորելով այն հանգամանքով, որ ռազմավարությամբ Ոստիկանության կրթահամալիրին վերապահվող նոր միջոցառումների իրականացումը պետք է ունենա նաև համարժեք ֆինանսական ապահովում:</w:t>
            </w:r>
          </w:p>
        </w:tc>
        <w:tc>
          <w:tcPr>
            <w:tcW w:w="2340" w:type="dxa"/>
            <w:tcBorders>
              <w:top w:val="single" w:sz="4" w:space="0" w:color="000000"/>
              <w:bottom w:val="single" w:sz="4" w:space="0" w:color="000000"/>
            </w:tcBorders>
          </w:tcPr>
          <w:p w:rsidR="00F2404D" w:rsidRDefault="00A9005C">
            <w:pPr>
              <w:spacing w:after="200" w:line="276" w:lineRule="auto"/>
              <w:rPr>
                <w:rFonts w:ascii="GHEA Grapalat" w:eastAsia="GHEA Grapalat" w:hAnsi="GHEA Grapalat" w:cs="GHEA Grapalat"/>
                <w:sz w:val="24"/>
                <w:szCs w:val="24"/>
              </w:rPr>
            </w:pPr>
            <w:r>
              <w:rPr>
                <w:rFonts w:ascii="GHEA Grapalat" w:eastAsia="GHEA Grapalat" w:hAnsi="GHEA Grapalat" w:cs="GHEA Grapalat"/>
                <w:sz w:val="24"/>
                <w:szCs w:val="24"/>
              </w:rPr>
              <w:lastRenderedPageBreak/>
              <w:t>2. Ընդունվել է մասամբ</w:t>
            </w:r>
          </w:p>
        </w:tc>
        <w:tc>
          <w:tcPr>
            <w:tcW w:w="4554" w:type="dxa"/>
            <w:tcBorders>
              <w:top w:val="single" w:sz="4" w:space="0" w:color="000000"/>
              <w:bottom w:val="single" w:sz="4" w:space="0" w:color="000000"/>
            </w:tcBorders>
          </w:tcPr>
          <w:p w:rsidR="00F2404D" w:rsidRDefault="00A9005C">
            <w:pPr>
              <w:tabs>
                <w:tab w:val="left" w:pos="0"/>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Հաշվի առնելով, որ նոր դասընթացների իրականացման համար ներկայումս իրականացվում են համապատասխան հաշվարկներ, և դրանց իրականացումը չի կատարվելու բացառապես Ոստիկանության կրթահամալիրի հզորություններով, ապա դրանց հստակեցման պայմաններում ոստիկանությունը կարող է հաջորդ տարիների բյուջետային պյամանվորման </w:t>
            </w:r>
            <w:r>
              <w:rPr>
                <w:rFonts w:ascii="GHEA Grapalat" w:eastAsia="GHEA Grapalat" w:hAnsi="GHEA Grapalat" w:cs="GHEA Grapalat"/>
                <w:sz w:val="24"/>
                <w:szCs w:val="24"/>
              </w:rPr>
              <w:lastRenderedPageBreak/>
              <w:t xml:space="preserve">հայտերում ներկայացնել համապատասխան առաջարկություն: </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4"/>
              </w:numPr>
              <w:pBdr>
                <w:top w:val="nil"/>
                <w:left w:val="nil"/>
                <w:bottom w:val="nil"/>
                <w:right w:val="nil"/>
                <w:between w:val="nil"/>
              </w:pBdr>
              <w:tabs>
                <w:tab w:val="left" w:pos="0"/>
              </w:tabs>
              <w:spacing w:after="200" w:line="360" w:lineRule="auto"/>
              <w:ind w:left="252" w:hanging="27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Ռազմավարության հինգերորդ բաժնում ներկայացված՝ պարեկային ծառայության գործառույթներից մեկը քաղաքացիներին աջակցության ցուցաբերումն է: Կարծում ենք, որ այդ գործառույթի ձևակերպումը կոնկրետացման և հստակեցման կարիք ունի, </w:t>
            </w:r>
            <w:r>
              <w:rPr>
                <w:rFonts w:ascii="GHEA Grapalat" w:eastAsia="GHEA Grapalat" w:hAnsi="GHEA Grapalat" w:cs="GHEA Grapalat"/>
                <w:color w:val="000000"/>
                <w:sz w:val="24"/>
                <w:szCs w:val="24"/>
              </w:rPr>
              <w:lastRenderedPageBreak/>
              <w:t>որպեսզի թե պարեկային ծառայողների, թե նրանց դասավանդող դասախոսների և թե քաղաքացիների համար պարզ լինի, թե հատկապես ինչ աջակցության մասին է խոսքը: Առաջարկում ենք տվյալ գործառույթը նկարագրել հնարավորինս կոնկրետ աջակցության ձևերը նշելով (օրինակ՝ ճանապարհին մնացած տրանսպորտային միջոցների անսարքության վերացումը, քաղաքացիներին հուզող պարզ իրավական հարցերի պարզաբանումը, զբոսաշրջիկներին հետաքրքրող տեղեկատվության տրամադրումը), և կոնկրետ ձևերը նկարագրելուց հետո օգտագործել ընդհանրական ձևակերպում (օրինակ՝ և պարեկային ծառայության գործառույթներից բխող այլ համանման աջակցության ցուցաբերումը):</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3. Չի ընդունվել</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3.Պարեկային ոստիկանության գործառույթներն իրենց լայն նկարագրությամբ ընդգրկված են Ռազմավարության մեջ: Այդուհանդերձ, բոլոր գործառույթների՝ առավել բացված ու մանրամասն </w:t>
            </w:r>
            <w:r>
              <w:rPr>
                <w:rFonts w:ascii="GHEA Grapalat" w:eastAsia="GHEA Grapalat" w:hAnsi="GHEA Grapalat" w:cs="GHEA Grapalat"/>
                <w:sz w:val="24"/>
                <w:szCs w:val="24"/>
              </w:rPr>
              <w:lastRenderedPageBreak/>
              <w:t xml:space="preserve">նկարագրությունն ընդգրկված է լինելու թե Կանոնադրության և թե Ստանդարտ գործառնական ընթացակարգերում, որոնք մշակվելու են հիմնական գործառույթների վերջնականացումից հետո: </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4"/>
              </w:numPr>
              <w:pBdr>
                <w:top w:val="nil"/>
                <w:left w:val="nil"/>
                <w:bottom w:val="nil"/>
                <w:right w:val="nil"/>
                <w:between w:val="nil"/>
              </w:pBdr>
              <w:tabs>
                <w:tab w:val="left" w:pos="0"/>
              </w:tabs>
              <w:spacing w:after="200" w:line="360" w:lineRule="auto"/>
              <w:ind w:left="252" w:hanging="25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Ռազմավարության հինգերորդ բաժնում ընդհանրական կերպով նշվում է անտառապատ տարածքներում պարեկային </w:t>
            </w:r>
            <w:r>
              <w:rPr>
                <w:rFonts w:ascii="GHEA Grapalat" w:eastAsia="GHEA Grapalat" w:hAnsi="GHEA Grapalat" w:cs="GHEA Grapalat"/>
                <w:color w:val="000000"/>
                <w:sz w:val="24"/>
                <w:szCs w:val="24"/>
              </w:rPr>
              <w:lastRenderedPageBreak/>
              <w:t>մասնագիտացված, ներառյալ հեծյալ պարեկային ծառայության իրականացման առանձնահատկությունների հստակեցման մասին, ինչը մեր կարծիքով խնդրի,  թիրախի և արդյունքի ընկալման, ինչպես նաև իրականացվելիք գործողության նախանշման առումով ունի առավել դետալացված ձևակերպման կարիք, բացի այդ, այն արտացոլված չէ Ծրագրում:</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4.Չի ընդունվել</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4.Անտառապատ տարածքներում պարեկային մասնագիտացված, ներառյալ հեծյալ պարեկային </w:t>
            </w:r>
            <w:r>
              <w:rPr>
                <w:rFonts w:ascii="GHEA Grapalat" w:eastAsia="GHEA Grapalat" w:hAnsi="GHEA Grapalat" w:cs="GHEA Grapalat"/>
                <w:sz w:val="24"/>
                <w:szCs w:val="24"/>
              </w:rPr>
              <w:lastRenderedPageBreak/>
              <w:t>ծառայության իրականացումը պարեկային ոստիկանության կազմակերպական ձև է, և ռազմավարության մեջ սա ընդգրկված է որպես մեկ ուղղության տակ իրականացվող գործողություն:</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4"/>
              </w:numPr>
              <w:pBdr>
                <w:top w:val="nil"/>
                <w:left w:val="nil"/>
                <w:bottom w:val="nil"/>
                <w:right w:val="nil"/>
                <w:between w:val="nil"/>
              </w:pBdr>
              <w:tabs>
                <w:tab w:val="left" w:pos="0"/>
              </w:tabs>
              <w:spacing w:after="200" w:line="360" w:lineRule="auto"/>
              <w:ind w:left="342" w:hanging="3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Ռազմավարության վեցերորդ բաժնում Ոստիկանության զորքերի ապառազմականացմանը վերաբերող  դրույթները վերաբերում են նաև ազգային գվարդիայի կողմից ռազմավարական նշանակության օբյեկտների պահպանությանը: Ծրագրի «Ոստիկանության զորքերի ապառազմականացում, հասարակական կարգի պահպանություն»</w:t>
            </w:r>
            <w:r>
              <w:rPr>
                <w:rFonts w:ascii="GHEA Grapalat" w:eastAsia="GHEA Grapalat" w:hAnsi="GHEA Grapalat" w:cs="GHEA Grapalat"/>
                <w:b/>
                <w:color w:val="000000"/>
                <w:sz w:val="24"/>
                <w:szCs w:val="24"/>
              </w:rPr>
              <w:t xml:space="preserve"> </w:t>
            </w:r>
            <w:r>
              <w:rPr>
                <w:rFonts w:ascii="GHEA Grapalat" w:eastAsia="GHEA Grapalat" w:hAnsi="GHEA Grapalat" w:cs="GHEA Grapalat"/>
                <w:color w:val="000000"/>
                <w:sz w:val="24"/>
                <w:szCs w:val="24"/>
              </w:rPr>
              <w:t xml:space="preserve">ուղղության 4-րդ կետում, սակայն, որևէ հիշատակում այդ մասին չկա: Վերոնշյալից ելնելով՝  </w:t>
            </w:r>
            <w:r>
              <w:rPr>
                <w:rFonts w:ascii="GHEA Grapalat" w:eastAsia="GHEA Grapalat" w:hAnsi="GHEA Grapalat" w:cs="GHEA Grapalat"/>
                <w:color w:val="000000"/>
                <w:sz w:val="24"/>
                <w:szCs w:val="24"/>
              </w:rPr>
              <w:lastRenderedPageBreak/>
              <w:t>առաջարկվում է նշված գործառույթի իրականացմանը վերաբերող դրույթները ռազմավարության մեջ հստակեցնել և համապատասխան փոփոխություններ կատարել նաև ծրագրում: Միաժամանակ կարծում ենք, որ «ռազմավարական նշանակության օբյեկտներ» հասկացությունը խնդրահարույց է և հստակեցման կարիք ունի՝ հաշվի առնելով, որ գործող օրենսդրությունում կիրառվում է «կարևորագույն նշանակության օբյեկտ» հասկացությունը /ՀՀ կառավարության 29.04.2004թ. թիվ 1008-Ն որոշում/:</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5.Ընդունվել է</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Համապատասխան փոփոխությունը կատարվել է Ռազմավարության 5-րդ բաժնում: </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Ռազմավարության յոթերորդ բաժնում նշված է՝ Կախված իրենց բնույթից, վտանգավորության աստիճանից, ինչպես նաև միջամտության հրատապությունից Ոստիկանության քննությանը կարող են հանձնվել ընտանեկան բռնության և ճանապարհատրանսպորտային դեպքերով, ինչպես նաև կազմակերպված հանցավորության </w:t>
            </w:r>
            <w:r>
              <w:rPr>
                <w:rFonts w:ascii="GHEA Grapalat" w:eastAsia="GHEA Grapalat" w:hAnsi="GHEA Grapalat" w:cs="GHEA Grapalat"/>
                <w:sz w:val="24"/>
                <w:szCs w:val="24"/>
              </w:rPr>
              <w:lastRenderedPageBreak/>
              <w:t xml:space="preserve">վերաբերյալ գործերի քննությունը։ Միևնույն ժամանակ ուշադրության կենտրոնում պետք է պահել ոչ մեծ ծանրության հանցագործությունները մնացածների համեմատ ավելի նվազ հանրային վտանգավորության հանգամանքը: Այս շարքում պետք է նշել տվյալ տեսակին պատկանող մարդու դեմ ուղղված հանցագործությունները, սեփականության դեմ ուղղված հանցագործություններից մասնավորապես՝ գողության, խարդախության, յուրացման կամ վատնման հանցակազմերի առաջին մասերով նախատեսված հանցագործությունները։ Կարծում ենք, որ Ոստիկանությանը քննչական գործառույթ վերապահելիս քրեական գործերի ենթակայության նման չափանիշների սահմանումը արդարացված չէ հետևյալ հիմնավորումներով: Նախ, այդ չափանիշների բնութագրման մեջ պահպանված չէ դասակարգման միասնական հիմքը՝ մի դեպքում դա հանցագործության օբյեկտն է, </w:t>
            </w:r>
            <w:r>
              <w:rPr>
                <w:rFonts w:ascii="GHEA Grapalat" w:eastAsia="GHEA Grapalat" w:hAnsi="GHEA Grapalat" w:cs="GHEA Grapalat"/>
                <w:sz w:val="24"/>
                <w:szCs w:val="24"/>
              </w:rPr>
              <w:lastRenderedPageBreak/>
              <w:t>մյուս դեպքում՝ հանցագործության ծանրությունը, քրեական օրենսգրքի հոդվածի մասը: Անհասկանալի է նաև, թե ինչ է նկատի ունեցվում կազմակերպված հանցավորության վերաբերյալ գործեր ասելով, քանի որ կազմակերպված հանցավորության կառուցվածքում կարող են ընդգրկվել տարաբնույթ հանցատեսակներ՝ թրաֆիքինգ, կոռուպցիոն հանցանքներ, փողերի լվացում, զենքի և թմրամիջոցների ապօրինի շրջանառություն: Քրեական օրենսգրքի հոդվածի մասով պայմանավորված՝ քննչական ենթակայության սահմանումը ևս նպատակահարմար չենք համարում, քանի որ գործնականում շատ հավանական են իրավիճակները, երբ գործի քննության ընթացքում արարքը վերաորակվի հոդվածի մի մասից մյուսով և անհրաժեշտություն առաջանա գործը ըստ ենթակայության փոխանցել այլ նախաքննական մարմնին, ինչը ռացիոնալ տարբերակ չէ:</w:t>
            </w:r>
          </w:p>
          <w:p w:rsidR="00F2404D" w:rsidRDefault="00F2404D">
            <w:pPr>
              <w:tabs>
                <w:tab w:val="left" w:pos="0"/>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lastRenderedPageBreak/>
              <w:t>6.Ընդունվել է ի գիտություն</w:t>
            </w:r>
          </w:p>
        </w:tc>
        <w:tc>
          <w:tcPr>
            <w:tcW w:w="4554" w:type="dxa"/>
            <w:tcBorders>
              <w:top w:val="single" w:sz="4" w:space="0" w:color="000000"/>
              <w:bottom w:val="single" w:sz="4" w:space="0" w:color="000000"/>
            </w:tcBorders>
          </w:tcPr>
          <w:p w:rsidR="00F2404D" w:rsidRDefault="00A9005C">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6.Քրեական դատավարության օրենսգրքում հանցագործությունների քննչական ենթակայությունը որոշելիս հաշվի են առնվում մի շարք հանգամանքներ, ներառյալ, հանցագործության օբյեկտը, սուբյեկտը, ինչպես նաև տեսակը՝ կախված ծանրության աստիճանից։ </w:t>
            </w:r>
            <w:r>
              <w:rPr>
                <w:rFonts w:ascii="GHEA Grapalat" w:eastAsia="GHEA Grapalat" w:hAnsi="GHEA Grapalat" w:cs="GHEA Grapalat"/>
                <w:sz w:val="24"/>
                <w:szCs w:val="24"/>
              </w:rPr>
              <w:lastRenderedPageBreak/>
              <w:t>Նշվածների հետ մեկտեղ հաշվի առնվող հանգամանքներից են նաև կոնկրետ հանցագործության դեպքով քրեական գործի քննության հնարավոր բարդությունը։ Վերոգրյալ պայմաններում առավել քան արդարացված է քննչական ենթակայությունը որոշելիս ռազմավարությամբ նշված չափանիշները որպես ուղենիշ վերցնելը։ Հակառակ դեպքում, չի կարող արդյունավետ և արդարացված լինել, եթե հանցագործությունների քննչական ենթակայությունը որոշվի բացառապես մեկ չափանիշի հիման վրա։</w:t>
            </w:r>
          </w:p>
          <w:p w:rsidR="00F2404D" w:rsidRDefault="00F2404D">
            <w:pPr>
              <w:tabs>
                <w:tab w:val="left" w:pos="0"/>
              </w:tabs>
              <w:spacing w:line="360" w:lineRule="auto"/>
              <w:jc w:val="both"/>
              <w:rPr>
                <w:rFonts w:ascii="GHEA Grapalat" w:eastAsia="GHEA Grapalat" w:hAnsi="GHEA Grapalat" w:cs="GHEA Grapalat"/>
                <w:sz w:val="24"/>
                <w:szCs w:val="24"/>
              </w:rPr>
            </w:pPr>
          </w:p>
        </w:tc>
      </w:tr>
      <w:tr w:rsidR="00F2404D">
        <w:trPr>
          <w:trHeight w:val="495"/>
        </w:trPr>
        <w:tc>
          <w:tcPr>
            <w:tcW w:w="810" w:type="dxa"/>
            <w:vMerge w:val="restart"/>
            <w:vAlign w:val="center"/>
          </w:tcPr>
          <w:p w:rsidR="00F2404D" w:rsidRDefault="00F2404D">
            <w:pPr>
              <w:spacing w:after="200" w:line="276" w:lineRule="auto"/>
              <w:rPr>
                <w:rFonts w:ascii="GHEA Grapalat" w:eastAsia="GHEA Grapalat" w:hAnsi="GHEA Grapalat" w:cs="GHEA Grapalat"/>
                <w:b/>
                <w:sz w:val="24"/>
                <w:szCs w:val="24"/>
              </w:rPr>
            </w:pPr>
          </w:p>
        </w:tc>
        <w:tc>
          <w:tcPr>
            <w:tcW w:w="1830" w:type="dxa"/>
            <w:vMerge w:val="restart"/>
            <w:vAlign w:val="center"/>
          </w:tcPr>
          <w:p w:rsidR="00F2404D" w:rsidRDefault="00F2404D">
            <w:pPr>
              <w:spacing w:before="120"/>
              <w:jc w:val="center"/>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7. Ռազմավարության ութերորդ բաժնի վերաբերյալ հարկ է նշել, որ համայնքային ոստիկանության գործառույթներն այլ պետական մարմինների գործառույթների հետ կրկնվող լինելուց բացի նաև ունեն անորոշության բնույթ՝ համագործակցության և աջակցության ցուցաբերման առումով։ Հաճախ, համայնքային ոստիկանությունը համագործակցության տեսանկյունից օգտագործվում է այնպիսի գործառույթների իրականացման համար, որոնք նույնպես չեն բխում համայնքային ոստիկանության մոդելի գաղափարից։ Այսպես, օրինակ քննչական կամ դատական մարմինների ծանուցումները, որոնք հաճախ քաղաքացիներին են հանձնվում համայնքային ոստիկանության միջոցով, այն դիտարկելով համագործակցության համատեքստում, այնինչ նշվածը ընդհամենը փոստային առաքման գործառույթ է, որի իրականացման համար գոյություն ունեն </w:t>
            </w:r>
            <w:r>
              <w:rPr>
                <w:rFonts w:ascii="GHEA Grapalat" w:eastAsia="GHEA Grapalat" w:hAnsi="GHEA Grapalat" w:cs="GHEA Grapalat"/>
                <w:sz w:val="24"/>
                <w:szCs w:val="24"/>
              </w:rPr>
              <w:lastRenderedPageBreak/>
              <w:t>փոստային ծառայություններ։ Նմանատիպ օրինակներ կան նաև զինկոմիսարիատների հետ համագործակցության իրականացման ընթացքում, մասնավորապես՝ անձանց բժշկական հետազոտման ներկայացնելու կամ ներկայանալու համար պարտավորեցնելու գործընթացում, ինչպես նաև տեղական ինքնակառավարման մարմինների հետ՝ ապօրինի առևտրի, կառուցապատման և այլ աշխատանքների գործընթացում։ Ուստի առաջարկվում է ռազմավարության նախագծի 2-րդ կետի ե) ենթակետում ավելացնել նաև այլ պետական մարմինների հետ համագործակցության շրջանակներում ցուցաբերվող աջակցության հստակեցման վերաբերյալ դրույթ։</w:t>
            </w:r>
            <w:r>
              <w:rPr>
                <w:rFonts w:ascii="GHEA Grapalat" w:eastAsia="GHEA Grapalat" w:hAnsi="GHEA Grapalat" w:cs="GHEA Grapalat"/>
                <w:sz w:val="24"/>
                <w:szCs w:val="24"/>
              </w:rPr>
              <w:br/>
              <w:t xml:space="preserve">Բացի այդ, տարընկալումներ է առաջացնում ռազմավարության ութերորդ բաժնում նշված՝ «Բացի այդ, համայնքային ոստիկանության գործառույթի գաղափարից չի բխում տեղամասային տեսուչների օրինակով </w:t>
            </w:r>
            <w:r>
              <w:rPr>
                <w:rFonts w:ascii="GHEA Grapalat" w:eastAsia="GHEA Grapalat" w:hAnsi="GHEA Grapalat" w:cs="GHEA Grapalat"/>
                <w:sz w:val="24"/>
                <w:szCs w:val="24"/>
              </w:rPr>
              <w:lastRenderedPageBreak/>
              <w:t>տեղեկատվության հավաքագրումը, ինչպես նաև տարատեսակ դիմումների վերաբերյալ պատասխաններ տրամադրելը, ինչը ներկայումս գործող պրակտիկա է համայնքային ոստիկանների դեպքում։» ձևակերպումը, ուստի առաջարկվում է մանրամասն նկարագրել, թե որոնք են այն տեղեկությունների հավաքագրումը, որոնք չեն բխում համայնքային ոստիկանության գործառույթների գաղափարից։</w:t>
            </w:r>
          </w:p>
          <w:p w:rsidR="00F2404D" w:rsidRDefault="00F2404D">
            <w:pPr>
              <w:tabs>
                <w:tab w:val="left" w:pos="0"/>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7.Ընդունվել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7. Համայնքային ոստիկանության վերաբերյալ համապատասխան լրամշակումը կատարվել է Ռազմավարության 1-ին բաժնում:</w:t>
            </w:r>
          </w:p>
          <w:p w:rsidR="00F2404D" w:rsidRDefault="00F2404D">
            <w:pPr>
              <w:tabs>
                <w:tab w:val="left" w:pos="0"/>
              </w:tabs>
              <w:spacing w:line="360" w:lineRule="auto"/>
              <w:jc w:val="both"/>
              <w:rPr>
                <w:rFonts w:ascii="GHEA Grapalat" w:eastAsia="GHEA Grapalat" w:hAnsi="GHEA Grapalat" w:cs="GHEA Grapalat"/>
                <w:sz w:val="24"/>
                <w:szCs w:val="24"/>
              </w:rPr>
            </w:pP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8. Ռազմավարության տասնմեկերորդ բաժնում առկա է պարբերություն, որը նույնանում է ռազմավարության երկրորդ բաժնի պարբերության հետ, այն է՝ … անհրաժեշտ է բարելավել Ոստիկանության աշխատանքի թափանցիկությունը՝ առավել հաճախակի ու մատչելի տեղեկությունների, հաշվետվությունների և ուսումնասիրությունների վերաբերյալ տեղեկատվության տարածման, պարբերական մեդիա բրիֆինգների և հասարակայնության հետ կապերի առավել նոր </w:t>
            </w:r>
            <w:r>
              <w:rPr>
                <w:rFonts w:ascii="GHEA Grapalat" w:eastAsia="GHEA Grapalat" w:hAnsi="GHEA Grapalat" w:cs="GHEA Grapalat"/>
                <w:sz w:val="24"/>
                <w:szCs w:val="24"/>
              </w:rPr>
              <w:lastRenderedPageBreak/>
              <w:t>ու ժամանակակից միջոցների արդյունավետ օգտագործմամբ։ Եթե Ոստիկանությունը կարողանա հանրությանը պրոակտիվ կերպով (ոչ թե պոստ ֆակտում) տեղեկացնել հանրային հնչեղության հարցերի, իր ծառայության առանձնահատկությունների, խիզախություն և ծառայողական արժանիքներ դրևսորած ծառայողների (կարևորապես ոչ բարձրաստիճանների) վերաբերյալ պատմությունների ներկայացմամբ, ինչու ոչ՝ հումորային հաղորդաշարերի միջոցով Ոստիկանության ծառայության մասին պատմելով, ապա առավել ընկալելի, ուստի և առավել մոտ կդառնա հանրությանը:</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8.Չի ընդունվել</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Կրկնություն առկա չէ։ Նշյալ ձևակերպումները ներառված են Ռազմավարության համապատասխան ուղղությունը նկարագրող բաժնում և 1-ին բաժնում՝ Գործառնական ամփոփագրում, որը հակիրճ ամփոփում է Ռազմավարության յուրաքանչյուր ուղղություն: </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9. Ոստիկանությունը, հանդիսանալով ՀՀ-ում տեղեկատվական հոսքերի (բնակչության պետական ռեգիստր, վարորդական վկայականներ և տեխնիկական անձնագրեր, օպերատիվ ամփոփագրեր և այլն) ամենամեծ գեներատորներից մեկը, ինչպես նաև այլ համակարգերի համար նույնականացնող </w:t>
            </w:r>
            <w:r>
              <w:rPr>
                <w:rFonts w:ascii="GHEA Grapalat" w:eastAsia="GHEA Grapalat" w:hAnsi="GHEA Grapalat" w:cs="GHEA Grapalat"/>
                <w:sz w:val="24"/>
                <w:szCs w:val="24"/>
              </w:rPr>
              <w:lastRenderedPageBreak/>
              <w:t xml:space="preserve">սկզբնաղբյուր տվյալների տրամադրող, իր կապի և ՏՏ ենթակառուցվածքները զարգացրել է առանց տեխնիկական ստանդարտների և չափորոշիչների կիրառման։ Համակարգը զարգացել է տարերայնորեն, ըստ տվյալ պահին ձևակերպված խնդիրների, և լուծումները տրվել են այդ պահին առկա ֆինանսական միջոցների և կոնկրետ գործառույթ իրականացնելու ենթատեքստում։ Այդ գործընթացները կառավարվել և համակարգվել են տարբեր կենտրոններից (ՃՈ, ԱՎՎ, ԿՏՏՎ, ԻԿ, ՊՊԳՎ և այլն), ինչի հետևանքով առկա չէ ոլորտի միասնական համակարգում և կառավարում: </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առնելով, որ իրականացվող բարեփոխումները գործարկման տեսանկյունից էապես կախված են նաև տեղեկատվական տեխնոլոգիաների արդյունավետ կիրառումից, ուստի նման իրավիճակում ենթակառուցվածքներում որևէ փոփոխություն կամ նորամուծություն կատարելը ռիսկային է և կարող է ունենալ լուրջ հետևանքներ՝ </w:t>
            </w:r>
            <w:r>
              <w:rPr>
                <w:rFonts w:ascii="GHEA Grapalat" w:eastAsia="GHEA Grapalat" w:hAnsi="GHEA Grapalat" w:cs="GHEA Grapalat"/>
                <w:sz w:val="24"/>
                <w:szCs w:val="24"/>
              </w:rPr>
              <w:lastRenderedPageBreak/>
              <w:t xml:space="preserve">համակարգերի և ցանցերի խափանում՝ կապված թողունակության, ծանրաբեռնվածության, կիրառված լուծումների բազմազանության և այլ տեխնիկական ու կազմակերպչական խնդիրների հետ։ Նման ռիսկերից խուսափելու նպատակով անհրաժեշտ է իրականացնել կապի և ՏՏ ենթակառուցվածքների տեխնիկական աուդիտ, ինչի արդյունքում կգույքագրվեն կիրառված լուծումները, տեխնիկական և ծրագրային միջոցները, կվերհանվեն առկա թերությունները և դրանց հիման վրա կմշակվի բարեփոխումների տրամաբանությանը համապատասխանող տեխնիկական առաջադրանք՝ կիրառելով ՏՏ և տեղեկատվական անվտանգության ապահովման միջազգային ստանդարտներ և չափորոշիչներ, որոնք կապահովեն աշխատանքի անընդհատությունն ու հուսալիությունը, շրջանառվող տեղեկատվության գաղտնիությունը, </w:t>
            </w:r>
            <w:r>
              <w:rPr>
                <w:rFonts w:ascii="GHEA Grapalat" w:eastAsia="GHEA Grapalat" w:hAnsi="GHEA Grapalat" w:cs="GHEA Grapalat"/>
                <w:sz w:val="24"/>
                <w:szCs w:val="24"/>
              </w:rPr>
              <w:lastRenderedPageBreak/>
              <w:t>հասանելիությունը, հավաստիությունն ու ամբողջականությունը։ Բացի այդ, ներդրմանը զուգահեռ կմշակվեն ենթակառուցվածքների կառավարման և շահագործման ընթացակարգերն ու կանոնակարգերը, ինչը թույլ կտա գործընթացների և տեխնիկական հարթակների կառավարումն իրականացնել մեկ կենտրոնից։</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Վերոգրյալը հաշվի առնելով՝ առաջարկվում է Ծրագրի թիվ 2 հավելվածում ՀՀ ոստիկանության կառուցվածքային մոդել բաժնի 2-րդ և 6-րդ կետերում նախատեսել համապատասխան դրույթներ /Ոստիկանության տարբերակը կցվում է/:</w:t>
            </w:r>
          </w:p>
          <w:p w:rsidR="00F2404D" w:rsidRDefault="00F2404D">
            <w:pPr>
              <w:tabs>
                <w:tab w:val="left" w:pos="0"/>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9. 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9. Նախատեսված է իրականացնել ոստիկանության ներկայիս ՏՏ ենթակառուցվածքների ու տվյալների բազաների աուդիտ, ինչի արդյունքում կհստակեցվի դրանց՝ միասնական համակարգման ու կառավարման անհրաժեշտությունն ու </w:t>
            </w:r>
            <w:r>
              <w:rPr>
                <w:rFonts w:ascii="GHEA Grapalat" w:eastAsia="GHEA Grapalat" w:hAnsi="GHEA Grapalat" w:cs="GHEA Grapalat"/>
                <w:sz w:val="24"/>
                <w:szCs w:val="24"/>
              </w:rPr>
              <w:lastRenderedPageBreak/>
              <w:t>հնարավորությունը:</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2474" w:type="dxa"/>
            <w:gridSpan w:val="3"/>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Գործողությունների ծրագրի մասով</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5580" w:type="dxa"/>
            <w:tcBorders>
              <w:top w:val="single" w:sz="4" w:space="0" w:color="000000"/>
              <w:bottom w:val="single" w:sz="4" w:space="0" w:color="000000"/>
            </w:tcBorders>
          </w:tcPr>
          <w:p w:rsidR="00F2404D" w:rsidRDefault="00A9005C">
            <w:pPr>
              <w:numPr>
                <w:ilvl w:val="0"/>
                <w:numId w:val="1"/>
              </w:numPr>
              <w:pBdr>
                <w:top w:val="nil"/>
                <w:left w:val="nil"/>
                <w:bottom w:val="nil"/>
                <w:right w:val="nil"/>
                <w:between w:val="nil"/>
              </w:pBdr>
              <w:tabs>
                <w:tab w:val="left" w:pos="0"/>
              </w:tabs>
              <w:spacing w:after="200" w:line="360" w:lineRule="auto"/>
              <w:ind w:left="252" w:hanging="25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Ծրագրի «Նոր ոստիկանության նկարագիրը» ուղղության երրորդ կետով նախատեսված «Կրթական միջավայրի բարեփոխում» գործողության արդյունքն առաջարկվում է խմբագրել՝ նախատեսելով առավել հստակ և </w:t>
            </w:r>
            <w:r>
              <w:rPr>
                <w:rFonts w:ascii="GHEA Grapalat" w:eastAsia="GHEA Grapalat" w:hAnsi="GHEA Grapalat" w:cs="GHEA Grapalat"/>
                <w:color w:val="000000"/>
                <w:sz w:val="24"/>
                <w:szCs w:val="24"/>
              </w:rPr>
              <w:lastRenderedPageBreak/>
              <w:t>չափելի արդյունք:</w:t>
            </w:r>
          </w:p>
        </w:tc>
        <w:tc>
          <w:tcPr>
            <w:tcW w:w="2340" w:type="dxa"/>
            <w:tcBorders>
              <w:top w:val="single" w:sz="4" w:space="0" w:color="000000"/>
              <w:bottom w:val="single" w:sz="4" w:space="0" w:color="000000"/>
            </w:tcBorders>
          </w:tcPr>
          <w:p w:rsidR="00F2404D" w:rsidRDefault="00F2404D">
            <w:pPr>
              <w:spacing w:after="200" w:line="276" w:lineRule="auto"/>
              <w:rPr>
                <w:rFonts w:ascii="GHEA Grapalat" w:eastAsia="GHEA Grapalat" w:hAnsi="GHEA Grapalat" w:cs="GHEA Grapalat"/>
                <w:sz w:val="24"/>
                <w:szCs w:val="24"/>
              </w:rPr>
            </w:pPr>
          </w:p>
        </w:tc>
        <w:tc>
          <w:tcPr>
            <w:tcW w:w="4554" w:type="dxa"/>
            <w:tcBorders>
              <w:top w:val="single" w:sz="4" w:space="0" w:color="000000"/>
              <w:bottom w:val="single" w:sz="4" w:space="0" w:color="000000"/>
            </w:tcBorders>
          </w:tcPr>
          <w:p w:rsidR="00F2404D" w:rsidRDefault="00F2404D">
            <w:pPr>
              <w:tabs>
                <w:tab w:val="left" w:pos="0"/>
              </w:tabs>
              <w:spacing w:after="200" w:line="360" w:lineRule="auto"/>
              <w:jc w:val="both"/>
              <w:rPr>
                <w:rFonts w:ascii="GHEA Grapalat" w:eastAsia="GHEA Grapalat" w:hAnsi="GHEA Grapalat" w:cs="GHEA Grapalat"/>
                <w:sz w:val="24"/>
                <w:szCs w:val="24"/>
              </w:rPr>
            </w:pP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
              </w:numPr>
              <w:pBdr>
                <w:top w:val="nil"/>
                <w:left w:val="nil"/>
                <w:bottom w:val="nil"/>
                <w:right w:val="nil"/>
                <w:between w:val="nil"/>
              </w:pBdr>
              <w:tabs>
                <w:tab w:val="left" w:pos="0"/>
              </w:tabs>
              <w:spacing w:after="200" w:line="360" w:lineRule="auto"/>
              <w:ind w:left="252" w:hanging="25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Ծրագրի Նոր ոստիկանության նկարագիրը ուղղության երեք գործողություններից առաջինը նախատեսված է 2020 թվականի երկրորդ կիսամյակի համար, իսկ երկրորդ և երրորդ գործողությունները՝ 2021 թվականի երկրորդ կիսամյակի համար: 2022 թվականի համար այդ ուղղությամբ որևէ գործողություն նախատեսված չէ: Ուստի, առաջարկում ենք տվյալ ուղղությամբ նախատեսված երեք գործողությունների ժամկետները բաշխել համամասնորեն, և երրորդ գործողության՝ կրթական միջավայրի բարեփոխման ժամկետ սահմանել 2022 թվականի երկրորդ կիսամյակը: Այդ առաջարկը հիմնավորվում է նաև նրանով, որ կրթական միջավայրի բարեփոխումը նպատակահարմար է իրականացնել ոչ թե երկրորդ քայլին՝ նոր կրթական ծրագրերի մշակմանը զուգահեռ, այլ՝ դրա ավարտից հետո:  </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 xml:space="preserve">2.Ընդունվել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2.Համապատասխան փոփոխությունները կատարվել են ԳԾ-ում: </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
              </w:numPr>
              <w:pBdr>
                <w:top w:val="nil"/>
                <w:left w:val="nil"/>
                <w:bottom w:val="nil"/>
                <w:right w:val="nil"/>
                <w:between w:val="nil"/>
              </w:pBdr>
              <w:tabs>
                <w:tab w:val="left" w:pos="0"/>
              </w:tabs>
              <w:spacing w:after="200" w:line="360" w:lineRule="auto"/>
              <w:ind w:left="252" w:hanging="25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Ծրագրի «Ոստիկանության կառուցվածքային մոդել» ուղղության երկրորդ կետով նախատեսված «Ոստիկանության ընթացիկ գործառույթների աուդիտ» գործողության «Արդյունք» սյունյակում առաջարկվում է «բուն գործառույթները քաղաքացիական բնույթի, օժանդակ գործառույթներից» բառերը փոխարինել «հիմնական և աջակցող գործառույթները» բառերով:</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 xml:space="preserve">3.Ընդունվել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3.Համապատասխան փոփոխությունները կատարվել են ԳԾ-ում:</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
              </w:numPr>
              <w:pBdr>
                <w:top w:val="nil"/>
                <w:left w:val="nil"/>
                <w:bottom w:val="nil"/>
                <w:right w:val="nil"/>
                <w:between w:val="nil"/>
              </w:pBdr>
              <w:tabs>
                <w:tab w:val="left" w:pos="0"/>
              </w:tabs>
              <w:spacing w:after="200" w:line="360" w:lineRule="auto"/>
              <w:ind w:left="252" w:hanging="25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Ծրագրի «Ոստիկանության կառուցվածքային մոդել» ուղղության երրորդ կետի   երրորդ պարբերությամբ, որպես գործողություն նշված է Ոստիկանությունում քաղաքացիական հատուկ ծառայությունը որպես հանրային ծառայության տեսակի սահմանում եզրույթը, ինչը հակասում է այսօրվա Հայաստանի Հանրապետության կողմից վարվող քաղաքականությանը, այն է «Քաղաքացիական ծառայության մասին» 2018 թվականի մարտի 23-ի ՀՕ-205-Ն Հայաստանի Հանրապետության օրենքի </w:t>
            </w:r>
            <w:r>
              <w:rPr>
                <w:rFonts w:ascii="GHEA Grapalat" w:eastAsia="GHEA Grapalat" w:hAnsi="GHEA Grapalat" w:cs="GHEA Grapalat"/>
                <w:color w:val="000000"/>
                <w:sz w:val="24"/>
                <w:szCs w:val="24"/>
              </w:rPr>
              <w:lastRenderedPageBreak/>
              <w:t>գործողության ոլորտը Ոստիկանության վրա տարածելու մասին ՀՀ կառավարության և վարչապետի մի շարք որոշումներին, որոնցով սահմանվում է Ոստիկանության անցումը քաղաքացիական հատուկ ծառայությունից քաղաքացիական ծառայության ընդհանուր մոդելին:</w:t>
            </w:r>
          </w:p>
        </w:tc>
        <w:tc>
          <w:tcPr>
            <w:tcW w:w="2340" w:type="dxa"/>
            <w:tcBorders>
              <w:top w:val="single" w:sz="4" w:space="0" w:color="000000"/>
              <w:bottom w:val="single" w:sz="4" w:space="0" w:color="000000"/>
            </w:tcBorders>
          </w:tcPr>
          <w:p w:rsidR="00F2404D" w:rsidRDefault="00A9005C">
            <w:pPr>
              <w:spacing w:after="200" w:line="276" w:lineRule="auto"/>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Ընդունվել է </w:t>
            </w:r>
          </w:p>
        </w:tc>
        <w:tc>
          <w:tcPr>
            <w:tcW w:w="4554" w:type="dxa"/>
            <w:tcBorders>
              <w:top w:val="single" w:sz="4" w:space="0" w:color="000000"/>
              <w:bottom w:val="single" w:sz="4" w:space="0" w:color="000000"/>
            </w:tcBorders>
          </w:tcPr>
          <w:p w:rsidR="00F2404D" w:rsidRDefault="00A9005C">
            <w:pPr>
              <w:tabs>
                <w:tab w:val="left" w:pos="0"/>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ԳԾ-ի նշված մասը փոփոխվել է;</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
              </w:numPr>
              <w:pBdr>
                <w:top w:val="nil"/>
                <w:left w:val="nil"/>
                <w:bottom w:val="nil"/>
                <w:right w:val="nil"/>
                <w:between w:val="nil"/>
              </w:pBdr>
              <w:tabs>
                <w:tab w:val="left" w:pos="0"/>
              </w:tabs>
              <w:spacing w:after="200" w:line="360" w:lineRule="auto"/>
              <w:ind w:left="252" w:hanging="25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Ծրագրի Համայնքային ոստիկանության վերաիմաստավորում ուղղության առաջին գործողությունը ձևակերպված է հետևյալ կերպ Պարեկային ոստիկանների կրթական ծրագրերում համայնքային ոստիկանության գործառույթների ներառում: Համաձայն ծրագրի՝ նշված գործողությանը հաջորդելու է համայնքային ոստիկանության բաժանմունքների գործառութային և օրենսդրական աուդիտը: Կարծում ենք, որ նախքան այդ աուդիտի իրականացումը նպատակահարմար չէ պարեկային ոստիկանների կրթական ծրագրերում ներառել համայնքային ոստիկանության բոլոր </w:t>
            </w:r>
            <w:r>
              <w:rPr>
                <w:rFonts w:ascii="GHEA Grapalat" w:eastAsia="GHEA Grapalat" w:hAnsi="GHEA Grapalat" w:cs="GHEA Grapalat"/>
                <w:color w:val="000000"/>
                <w:sz w:val="24"/>
                <w:szCs w:val="24"/>
              </w:rPr>
              <w:lastRenderedPageBreak/>
              <w:t xml:space="preserve">գործառույթները: Դա հիմնավորվում է նրանով, որ աուդիտի արդյունքում հնարավոր է, որ համայնքային ոստիկանության որոշ գործառույթներ վերապահվեն նաև ոստիկանության այլ ստորաբաժանումներին կամ այլ պետական մարմիններին (ինչպես դա նշված է ռազմավարության մեջ): Ուստի, առաջարկում ենք, որ պարեկային ոստիկանների կրթական ծրագրերում համայնքային ոստիկանության գործառույթների ներառում գործողությունը իրականացվի որպես Համայնքային ոստիկանության վերաիմաստավորում ուղղության վերջին, այլ ոչ թե առաջին գործողություն: Այսինքն՝ նախ օրենսդրորեն կհստակեցվի, թե համայնքային ոստիկանության հատկապես որ գործառույթներն են վերապահվում պարեկային ոստիկաններին, որից հետո կվերանայվեն կրթական ծրագրերը: Հակառակ դեպքում կա մտավախություն, որ </w:t>
            </w:r>
            <w:r>
              <w:rPr>
                <w:rFonts w:ascii="GHEA Grapalat" w:eastAsia="GHEA Grapalat" w:hAnsi="GHEA Grapalat" w:cs="GHEA Grapalat"/>
                <w:color w:val="000000"/>
                <w:sz w:val="24"/>
                <w:szCs w:val="24"/>
              </w:rPr>
              <w:lastRenderedPageBreak/>
              <w:t>պարեկային ոստիկանների կրթական ծրագիրը կընդարձակվի այնպիսի թեմաների հաշվին, որոնք հետագայում կիրառական չեն լինի պրակտկայում այն պատճառով, որ պարեկային ոստիկանները օրենսդրությամբ օժտված չեն լինի համապատասխան գործառույթներով:</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5.Չի ընդունվել</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 ԳԾ-ում որևէ հիշատակում չկա համայքային ոստիկանության բոլոր գործառույթները պարեկային ծառայության կրթական ծրագրերում  ներառելու մասին: Ըստ գնահատման՝ կընդգրկվեն միայն այն գործառույթները, որոնք այս կամ այն կերպ փոխհարաբերվելու են ՊԾ հետ: </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
              </w:numPr>
              <w:pBdr>
                <w:top w:val="nil"/>
                <w:left w:val="nil"/>
                <w:bottom w:val="nil"/>
                <w:right w:val="nil"/>
                <w:between w:val="nil"/>
              </w:pBdr>
              <w:tabs>
                <w:tab w:val="left" w:pos="0"/>
              </w:tabs>
              <w:spacing w:after="200" w:line="360" w:lineRule="auto"/>
              <w:ind w:left="252" w:hanging="27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Միաժամանակ հարկ է նշել, որ Ռազմավարությունում ներառված մի շարք հիմնադրույթներ արտացոլված չեն Ծրագրում և ըստ այդմ, նախատեսված չեն դրանց իրականացմանն ուղղված հստակ գործողություններ, պատասխանատու կատարողներ, ինչպես նաև կատարման ժամկետներ (Պարեկային ծառայության և օպերատիվ կառավարման կենտրոնի ստեղծում, սահմանային համալիր կառավարման պետական գործառույթների Ոստիկանությանը վերապահում):</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6.Ընդունվել է</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Փոփոխությունները կատարվել են</w:t>
            </w:r>
          </w:p>
        </w:tc>
      </w:tr>
      <w:tr w:rsidR="00F2404D">
        <w:trPr>
          <w:trHeight w:val="495"/>
        </w:trPr>
        <w:tc>
          <w:tcPr>
            <w:tcW w:w="810" w:type="dxa"/>
            <w:vMerge w:val="restart"/>
            <w:tcBorders>
              <w:top w:val="single" w:sz="4" w:space="0" w:color="000000"/>
            </w:tcBorders>
            <w:vAlign w:val="center"/>
          </w:tcPr>
          <w:p w:rsidR="00F2404D" w:rsidRDefault="00F2404D">
            <w:pPr>
              <w:numPr>
                <w:ilvl w:val="0"/>
                <w:numId w:val="8"/>
              </w:numPr>
              <w:pBdr>
                <w:top w:val="nil"/>
                <w:left w:val="nil"/>
                <w:bottom w:val="nil"/>
                <w:right w:val="nil"/>
                <w:between w:val="nil"/>
              </w:pBdr>
              <w:spacing w:after="200" w:line="276" w:lineRule="auto"/>
              <w:rPr>
                <w:rFonts w:ascii="GHEA Grapalat" w:eastAsia="GHEA Grapalat" w:hAnsi="GHEA Grapalat" w:cs="GHEA Grapalat"/>
                <w:b/>
                <w:color w:val="000000"/>
                <w:sz w:val="24"/>
                <w:szCs w:val="24"/>
              </w:rPr>
            </w:pPr>
          </w:p>
        </w:tc>
        <w:tc>
          <w:tcPr>
            <w:tcW w:w="1830" w:type="dxa"/>
            <w:vMerge w:val="restart"/>
            <w:tcBorders>
              <w:top w:val="single" w:sz="4" w:space="0" w:color="000000"/>
            </w:tcBorders>
            <w:vAlign w:val="center"/>
          </w:tcPr>
          <w:p w:rsidR="00F2404D" w:rsidRDefault="00A9005C">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Անվտանգութ</w:t>
            </w:r>
            <w:r>
              <w:rPr>
                <w:rFonts w:ascii="GHEA Grapalat" w:eastAsia="GHEA Grapalat" w:hAnsi="GHEA Grapalat" w:cs="GHEA Grapalat"/>
                <w:b/>
                <w:sz w:val="24"/>
                <w:szCs w:val="24"/>
              </w:rPr>
              <w:lastRenderedPageBreak/>
              <w:t>յան խորհրդի գրասենյակ</w:t>
            </w:r>
          </w:p>
        </w:tc>
        <w:tc>
          <w:tcPr>
            <w:tcW w:w="5580" w:type="dxa"/>
            <w:tcBorders>
              <w:top w:val="single" w:sz="4" w:space="0" w:color="000000"/>
              <w:bottom w:val="single" w:sz="4" w:space="0" w:color="000000"/>
            </w:tcBorders>
          </w:tcPr>
          <w:p w:rsidR="00F2404D" w:rsidRDefault="00A9005C">
            <w:pPr>
              <w:numPr>
                <w:ilvl w:val="0"/>
                <w:numId w:val="6"/>
              </w:numPr>
              <w:pBdr>
                <w:top w:val="nil"/>
                <w:left w:val="nil"/>
                <w:bottom w:val="nil"/>
                <w:right w:val="nil"/>
                <w:between w:val="nil"/>
              </w:pBdr>
              <w:tabs>
                <w:tab w:val="left" w:pos="0"/>
                <w:tab w:val="left" w:pos="552"/>
              </w:tabs>
              <w:spacing w:after="200" w:line="360" w:lineRule="auto"/>
              <w:ind w:left="342" w:hanging="3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 xml:space="preserve">Առաջարկվում է Նախագիծը </w:t>
            </w:r>
            <w:r>
              <w:rPr>
                <w:rFonts w:ascii="GHEA Grapalat" w:eastAsia="GHEA Grapalat" w:hAnsi="GHEA Grapalat" w:cs="GHEA Grapalat"/>
                <w:color w:val="000000"/>
                <w:sz w:val="24"/>
                <w:szCs w:val="24"/>
              </w:rPr>
              <w:lastRenderedPageBreak/>
              <w:t>համապատասխանեցնել  «Նորմատիվ իրավական ակտերի մասին» ՀՀ օրենքի 13-րդ հոդվածի 1-ին մասի պահանջներին, այն է՝ Նախաբանը չի շարադրվում առանձին հոդվածով, չի համարակալվում և չի բաժանվում հոդվածների (կետերի)…:</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1.Ընդունվել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Համապատասխան փոփոխությունը </w:t>
            </w:r>
            <w:r>
              <w:rPr>
                <w:rFonts w:ascii="GHEA Grapalat" w:eastAsia="GHEA Grapalat" w:hAnsi="GHEA Grapalat" w:cs="GHEA Grapalat"/>
                <w:sz w:val="24"/>
                <w:szCs w:val="24"/>
              </w:rPr>
              <w:lastRenderedPageBreak/>
              <w:t>կատարվել է</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55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 Հստակեցման կարիք ունեն՝</w:t>
            </w:r>
          </w:p>
          <w:p w:rsidR="00F2404D" w:rsidRDefault="00A9005C">
            <w:pPr>
              <w:tabs>
                <w:tab w:val="left" w:pos="0"/>
                <w:tab w:val="left" w:pos="55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«Գործառնական ամփոփագիր» բաժնի «Կառուցվածքային փոփոխություններ և գործառույթների հստակեցում» ենթակետի մեջ առկա հետևյալ ձևակերպումները՝ </w:t>
            </w:r>
          </w:p>
          <w:p w:rsidR="00F2404D" w:rsidRDefault="00A9005C">
            <w:pPr>
              <w:numPr>
                <w:ilvl w:val="0"/>
                <w:numId w:val="9"/>
              </w:numPr>
              <w:pBdr>
                <w:top w:val="nil"/>
                <w:left w:val="nil"/>
                <w:bottom w:val="nil"/>
                <w:right w:val="nil"/>
                <w:between w:val="nil"/>
              </w:pBdr>
              <w:tabs>
                <w:tab w:val="left" w:pos="0"/>
                <w:tab w:val="left" w:pos="55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ժողովրդավարական խորհրդարանական պետությանը բնորոշ կառուցվածք,</w:t>
            </w:r>
          </w:p>
          <w:p w:rsidR="00F2404D" w:rsidRDefault="00A9005C">
            <w:pPr>
              <w:numPr>
                <w:ilvl w:val="0"/>
                <w:numId w:val="9"/>
              </w:numPr>
              <w:pBdr>
                <w:top w:val="nil"/>
                <w:left w:val="nil"/>
                <w:bottom w:val="nil"/>
                <w:right w:val="nil"/>
                <w:between w:val="nil"/>
              </w:pBdr>
              <w:tabs>
                <w:tab w:val="left" w:pos="0"/>
                <w:tab w:val="left" w:pos="552"/>
              </w:tabs>
              <w:spacing w:after="20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ոստիկանությանը բնորոշ և ոչ այնքան բնորոշ ֆունկցիաներ:</w:t>
            </w:r>
          </w:p>
          <w:p w:rsidR="00F2404D" w:rsidRDefault="00F2404D">
            <w:pPr>
              <w:tabs>
                <w:tab w:val="left" w:pos="0"/>
              </w:tabs>
              <w:spacing w:after="200"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2.Չի ընդունվել</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Նշյալ ձևակերպումները մանրամասն ներկայացված են Ռազմավարության համապատասխան բաժիններում:</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spacing w:after="200" w:line="276"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«Պարեկային ծառայություն և Օպերատիվ կառավարման կենտրոնի ստեղծում» ենթակետով առաջարկվող «Արտակարգ իրավիճակների նախարարության Ճգնաժամային կառավարման կենտրոնի հետ </w:t>
            </w:r>
            <w:r>
              <w:rPr>
                <w:rFonts w:ascii="GHEA Grapalat" w:eastAsia="GHEA Grapalat" w:hAnsi="GHEA Grapalat" w:cs="GHEA Grapalat"/>
                <w:sz w:val="24"/>
                <w:szCs w:val="24"/>
              </w:rPr>
              <w:lastRenderedPageBreak/>
              <w:t xml:space="preserve">ոստիկանության օպերատիվ կենտրոնի միավորումը» նպատակահարմար չենք համարում, քանի որ երկու գերատեսչությունների կառավարման կենտրոններն իրականացնում են տարբեր գործառույթներ՝ ելնելով իրենց առջև դրված խնդիրներից: </w:t>
            </w:r>
          </w:p>
          <w:p w:rsidR="00F2404D" w:rsidRDefault="00F2404D">
            <w:pPr>
              <w:tabs>
                <w:tab w:val="left" w:pos="0"/>
                <w:tab w:val="left" w:pos="552"/>
              </w:tabs>
              <w:spacing w:after="200"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spacing w:after="200" w:line="276" w:lineRule="auto"/>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ի գիտություն</w:t>
            </w:r>
          </w:p>
        </w:tc>
        <w:tc>
          <w:tcPr>
            <w:tcW w:w="4554" w:type="dxa"/>
            <w:tcBorders>
              <w:top w:val="single" w:sz="4" w:space="0" w:color="000000"/>
              <w:bottom w:val="single" w:sz="4" w:space="0" w:color="000000"/>
            </w:tcBorders>
          </w:tcPr>
          <w:p w:rsidR="00F2404D" w:rsidRDefault="00A9005C">
            <w:pPr>
              <w:tabs>
                <w:tab w:val="left" w:pos="0"/>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Նկատի ունենալով, որ ռազմավարության նախանշվում է հարցի քննարկում, ապա կարծում ենք նման քննարկման ընթացքում </w:t>
            </w:r>
            <w:r>
              <w:rPr>
                <w:rFonts w:ascii="GHEA Grapalat" w:eastAsia="GHEA Grapalat" w:hAnsi="GHEA Grapalat" w:cs="GHEA Grapalat"/>
                <w:sz w:val="24"/>
                <w:szCs w:val="24"/>
              </w:rPr>
              <w:lastRenderedPageBreak/>
              <w:t>կներկայացվեն բոլոր կարծիքները՝  առավել հիմնավորված և իրազեկված որոշում կայացնելու համար։</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55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4. Առաջարկում ենք հստակեցնել Նախագծի «Ոստիկանության կառուցվածքային մոդելը» բաժնի «Ոստիկանության ժամանակակից կառուցվածքը և ընթացիկ իրավիճակը» ենթակետում սահմանված «Ծառայության նման կազմակերպման պայմաններում ոստիկանության պատասխանատվության ներքո են գտնվում նաև պարտականություններ, որոնք իրենց բնույթով ոչ այդքան ոստիկանական են, որքան պետության կողմից մատուցվող հանրային ծառայություններ» ձևակերպումը:</w:t>
            </w:r>
          </w:p>
          <w:p w:rsidR="00F2404D" w:rsidRDefault="00F2404D">
            <w:pPr>
              <w:tabs>
                <w:tab w:val="left" w:pos="0"/>
                <w:tab w:val="left" w:pos="552"/>
              </w:tabs>
              <w:spacing w:after="200"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4. Ընդունվել է ի գիտություն</w:t>
            </w:r>
          </w:p>
          <w:p w:rsidR="00F2404D" w:rsidRDefault="00F2404D">
            <w:pPr>
              <w:rPr>
                <w:rFonts w:ascii="GHEA Grapalat" w:eastAsia="GHEA Grapalat" w:hAnsi="GHEA Grapalat" w:cs="GHEA Grapalat"/>
                <w:sz w:val="24"/>
                <w:szCs w:val="24"/>
              </w:rPr>
            </w:pP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4. Նշված ձևակերպումը բացահայտվում է ռազմավարության ընդհանուր տեքստում, մասնավորապես, երրորդ բաժնում ներկայացվում են այն պաշտոնների խմբերը, որոնք նպատակահարմար են անցնել քաղաքացիական ծառայության համակարգ։ Ավելին, նշվածի վերաբերյալ բովանդակային ներկայացվում է նաև նույն բաժնի «Ռազմավարությամբ առաջարկվող կազմակերպաիրավական ձևը» ենթակետում։</w:t>
            </w:r>
          </w:p>
          <w:p w:rsidR="00F2404D" w:rsidRDefault="00F2404D">
            <w:pPr>
              <w:tabs>
                <w:tab w:val="left" w:pos="0"/>
              </w:tabs>
              <w:spacing w:after="200" w:line="360" w:lineRule="auto"/>
              <w:jc w:val="both"/>
              <w:rPr>
                <w:rFonts w:ascii="GHEA Grapalat" w:eastAsia="GHEA Grapalat" w:hAnsi="GHEA Grapalat" w:cs="GHEA Grapalat"/>
                <w:sz w:val="24"/>
                <w:szCs w:val="24"/>
              </w:rPr>
            </w:pP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5. Նախագծի «Ոստիկանության կառուցվածքային մոդելը» բաժնի «Ոստիկանության ժամանակակից կառուցվածքը և ընթացիկ իրավիճակը» ենթաբաժնով սահմանված ԿԲ Ֆինանսական դիտարկումների կենտրոնը Ներքին գործերի նախարարության կառուցվածքում ներառելու առաջարկի իրագործումը նպատակահարմար չենք գտնում, քանի որ տվյալ կենտրոնը կարևոր դեր է խաղում ԿԲ գործառույթների իրականացման հարցում։</w:t>
            </w:r>
          </w:p>
          <w:p w:rsidR="00F2404D" w:rsidRDefault="00F2404D">
            <w:pPr>
              <w:tabs>
                <w:tab w:val="left" w:pos="0"/>
                <w:tab w:val="left" w:pos="552"/>
              </w:tabs>
              <w:spacing w:after="200"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 xml:space="preserve">5. Ընդունվել է </w:t>
            </w:r>
          </w:p>
          <w:p w:rsidR="00F2404D" w:rsidRDefault="00F2404D">
            <w:pPr>
              <w:rPr>
                <w:rFonts w:ascii="GHEA Grapalat" w:eastAsia="GHEA Grapalat" w:hAnsi="GHEA Grapalat" w:cs="GHEA Grapalat"/>
                <w:sz w:val="24"/>
                <w:szCs w:val="24"/>
              </w:rPr>
            </w:pP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5. Համապատասխան փոփոխությունը կատարվել է Ռազմավարության 3-րդ բաժնում:</w:t>
            </w:r>
          </w:p>
          <w:p w:rsidR="00F2404D" w:rsidRDefault="00F2404D">
            <w:pPr>
              <w:tabs>
                <w:tab w:val="left" w:pos="0"/>
              </w:tabs>
              <w:spacing w:line="360" w:lineRule="auto"/>
              <w:jc w:val="both"/>
              <w:rPr>
                <w:rFonts w:ascii="GHEA Grapalat" w:eastAsia="GHEA Grapalat" w:hAnsi="GHEA Grapalat" w:cs="GHEA Grapalat"/>
                <w:sz w:val="24"/>
                <w:szCs w:val="24"/>
              </w:rPr>
            </w:pP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 Նախագծի «Մարդու իրավունքների պաշտպանության զգայուն հարցեր» ենթաբաժնով սահմանված է բարելավել քրեաիրավական ու վարչաիրավական կարգով ներգրավվող անձանց իրավունքների պաշտպանության մեխանիզմները, սակայն սահմանված չէ բարելավել նաև ոստիկանների </w:t>
            </w:r>
            <w:r>
              <w:rPr>
                <w:rFonts w:ascii="GHEA Grapalat" w:eastAsia="GHEA Grapalat" w:hAnsi="GHEA Grapalat" w:cs="GHEA Grapalat"/>
                <w:sz w:val="24"/>
                <w:szCs w:val="24"/>
              </w:rPr>
              <w:lastRenderedPageBreak/>
              <w:t>իրավունքների պաշտպանության մեխանիզմները: Առաջարկում ենք լրացնել բացը:</w:t>
            </w:r>
          </w:p>
          <w:p w:rsidR="00F2404D" w:rsidRDefault="00F2404D">
            <w:pPr>
              <w:tabs>
                <w:tab w:val="left" w:pos="0"/>
                <w:tab w:val="left" w:pos="552"/>
              </w:tabs>
              <w:spacing w:after="200"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6.Ընդունվել է</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6.Համապատասխան փոփոխություններ կատարվել են Գործողությունների ծրագրում։ </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7. Նախագծի «Նոր ոստիկանության նկարագիրը» բաժնով սահմանված «արդյունավետ կապ ստեղծել Ոստիկանության կրթահամալիրի ու Արդարադատության ակադեմիայի միջև» ձևակերպումն առաջարկում ենք լրացնել՝ նախատեսելով նաև արդյունավետ կապի ստեղծում Ազգային անվտանգության ծառայության և ՍԶ գիտաուսումնական կենտրոնների հետ:</w:t>
            </w:r>
          </w:p>
          <w:p w:rsidR="00F2404D" w:rsidRDefault="00F2404D">
            <w:pPr>
              <w:tabs>
                <w:tab w:val="left" w:pos="0"/>
                <w:tab w:val="left" w:pos="552"/>
              </w:tabs>
              <w:spacing w:after="200"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7.Չի ընդունվել</w:t>
            </w:r>
          </w:p>
        </w:tc>
        <w:tc>
          <w:tcPr>
            <w:tcW w:w="4554" w:type="dxa"/>
            <w:tcBorders>
              <w:top w:val="single" w:sz="4" w:space="0" w:color="000000"/>
              <w:bottom w:val="single" w:sz="4" w:space="0" w:color="000000"/>
            </w:tcBorders>
          </w:tcPr>
          <w:p w:rsidR="00F2404D" w:rsidRDefault="00A9005C">
            <w:pPr>
              <w:tabs>
                <w:tab w:val="left" w:pos="0"/>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7.Հաշվի առնելով, որ Ռազմավարության մեջ սահմանային անցման կետերում </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Սահմանային ռեժիմի պահպանման գործառույթի՝ ոստիկանությանը անցնելու առումով նախատեսվում են քննարկումներ, ապա առանձնահատուկ կերպով նման ձևակերպումը կարող է զրկել Ռազմավարությունը ճկունությունից։   </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552"/>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8. Նախագծի «Պարեկային ծառայության ստեղծում, օպերատիվ կառավարման կենտրոն, սահմանային կառավարում» բաժնի «Արդյունավետ և վստահելի սահմանային պահպանության իրականացում ոստիկանության ծառայությունների </w:t>
            </w:r>
            <w:r>
              <w:rPr>
                <w:rFonts w:ascii="GHEA Grapalat" w:eastAsia="GHEA Grapalat" w:hAnsi="GHEA Grapalat" w:cs="GHEA Grapalat"/>
                <w:sz w:val="24"/>
                <w:szCs w:val="24"/>
              </w:rPr>
              <w:lastRenderedPageBreak/>
              <w:t>(պարեկային ծառայություն) կողմից» ենթակետով սահմանված սահմանային վերահսկողությունը Պարեկային ծառայության գործառույթների կազմում ընդգրկումը նպատակահարմար չենք համարում, քանի որ սահմանային ծառայությունն իրականացվում է Ազգային անվտանգության ծառայության կազմում ընդգրկված Սահմանապահ զորքերի կողմից, որի գործառույթներն անմիջականորեն փոխկապակցված են և բխում են Ազգային անվտանգության ծառայության հիմնական գործառույթներից:</w:t>
            </w:r>
          </w:p>
        </w:tc>
        <w:tc>
          <w:tcPr>
            <w:tcW w:w="2340" w:type="dxa"/>
            <w:tcBorders>
              <w:top w:val="single" w:sz="4" w:space="0" w:color="000000"/>
              <w:bottom w:val="single" w:sz="4" w:space="0" w:color="000000"/>
            </w:tcBorders>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8.Ընդունվել է ի գիտություն</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առնելով, որ Ռազմավարության մեջ սահմանային անցման կետերում </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սահմանային ռեժիմի պահպանման գործառույթը ոստիկանության կողմից անցնելու առումով նախատեսվում են իրականացվել քննարկումներ, ապա </w:t>
            </w:r>
            <w:r>
              <w:rPr>
                <w:rFonts w:ascii="GHEA Grapalat" w:eastAsia="GHEA Grapalat" w:hAnsi="GHEA Grapalat" w:cs="GHEA Grapalat"/>
                <w:sz w:val="24"/>
                <w:szCs w:val="24"/>
              </w:rPr>
              <w:lastRenderedPageBreak/>
              <w:t xml:space="preserve">առաջարկությունը կարող է քննարկվել հենց այդ քննարկումների ընթացքում։   </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55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9. Նախագծի «Քրեական ոստիկանության զարգացում և արդյունավետ նախաքննություն» բաժնի «Ռազմավարությամբ առաջարկվող քրեական ոստիկանության մոդելը» ենթակետով նախատեսվող քրեական ոստիկանության մոդելով առաջարկվում է քրեական ոստիկանության ծառայողներին ապահովել  բավարար լիազորություններով՝ հանցագործությունների ամբողջական </w:t>
            </w:r>
            <w:r>
              <w:rPr>
                <w:rFonts w:ascii="GHEA Grapalat" w:eastAsia="GHEA Grapalat" w:hAnsi="GHEA Grapalat" w:cs="GHEA Grapalat"/>
                <w:sz w:val="24"/>
                <w:szCs w:val="24"/>
              </w:rPr>
              <w:lastRenderedPageBreak/>
              <w:t>քննություն իրականացնելու համար: Մասնավորապես, ըստ Նախագծի, «Ոստիկանությունում կարող է վերականգնվել քննիչների գործառույթը և քննչական ստորաբաժանումը, իսկ մյուս կողմից՝ որպես այլընտրանք, կարող է դիտարկվել ոստիկանության ծառայողների կողմից գործող քրեական դատավարության օրենսգրքի շրջանակներում հետաքննությամբ քրեական գործի ամբողջական քննությունը և դրա ընթացքը լուծելը»։</w:t>
            </w:r>
            <w:r>
              <w:rPr>
                <w:rFonts w:ascii="GHEA Grapalat" w:eastAsia="GHEA Grapalat" w:hAnsi="GHEA Grapalat" w:cs="GHEA Grapalat"/>
                <w:sz w:val="24"/>
                <w:szCs w:val="24"/>
              </w:rPr>
              <w:br/>
              <w:t xml:space="preserve">Վերոգրյալի կապակցությամբ հարկ է նշել, որ Նախագծով նախատեսվում է Ներքին գործերի նախարարության ստեղծում (այսուհետ՝ Նախարարություն), որի իրագործման արդյունքում, Ոստիկանությանը նախաքննություն իրականացնելու լիազորություն վերապահելով, ըստ էության, ստացվում է, որ Նախարարության կազմում գործելու է  նախաքննություն իրականացնող մարմին (քննչական ստորաբաժանում), ինչն էլ  </w:t>
            </w:r>
            <w:r>
              <w:rPr>
                <w:rFonts w:ascii="GHEA Grapalat" w:eastAsia="GHEA Grapalat" w:hAnsi="GHEA Grapalat" w:cs="GHEA Grapalat"/>
                <w:sz w:val="24"/>
                <w:szCs w:val="24"/>
              </w:rPr>
              <w:lastRenderedPageBreak/>
              <w:t>կարող է առաջացնել տարաբնույթ խնդիրներ, քանի որ նախաքննություն իրականացնող մարմինները պետք է լինեն ապաքաղաքականացված և անկախ: Մինչդեռ Նախարարության կազմում գործող նախաքննություն իրականացնող մարմինը չի կարող պահպանել  քաղաքական զսպվածություն և չեզոքություն, ինչպես նաև զերծ մնալ  հակակոռուպցիոն ռիսկերից:</w:t>
            </w:r>
          </w:p>
          <w:p w:rsidR="00F2404D" w:rsidRDefault="00F2404D">
            <w:pPr>
              <w:tabs>
                <w:tab w:val="left" w:pos="0"/>
                <w:tab w:val="left" w:pos="552"/>
              </w:tabs>
              <w:spacing w:after="200"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9. Ընդունվել է ի գիտություն</w:t>
            </w:r>
          </w:p>
          <w:p w:rsidR="00F2404D" w:rsidRDefault="00F2404D">
            <w:pPr>
              <w:rPr>
                <w:rFonts w:ascii="GHEA Grapalat" w:eastAsia="GHEA Grapalat" w:hAnsi="GHEA Grapalat" w:cs="GHEA Grapalat"/>
                <w:sz w:val="24"/>
                <w:szCs w:val="24"/>
              </w:rPr>
            </w:pPr>
          </w:p>
        </w:tc>
        <w:tc>
          <w:tcPr>
            <w:tcW w:w="4554" w:type="dxa"/>
            <w:tcBorders>
              <w:top w:val="single" w:sz="4" w:space="0" w:color="000000"/>
              <w:bottom w:val="single" w:sz="4" w:space="0" w:color="000000"/>
            </w:tcBorders>
          </w:tcPr>
          <w:p w:rsidR="00F2404D" w:rsidRDefault="00A9005C">
            <w:pPr>
              <w:tabs>
                <w:tab w:val="left" w:pos="0"/>
                <w:tab w:val="left" w:pos="552"/>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9. Ռազմավարությամբ ներկայացված քննչական մարմնի մոդելը չի կարող խնդրահարույց համարվել քաղաքական չեզոքության կամ զսպվածության ապահովման տեսանկյունից, քանի որ նախարարության կազմում գործող նախնական քննության գործառույթներ իրականացնող ստորաբաժանման </w:t>
            </w:r>
            <w:r>
              <w:rPr>
                <w:rFonts w:ascii="GHEA Grapalat" w:eastAsia="GHEA Grapalat" w:hAnsi="GHEA Grapalat" w:cs="GHEA Grapalat"/>
                <w:sz w:val="24"/>
                <w:szCs w:val="24"/>
              </w:rPr>
              <w:lastRenderedPageBreak/>
              <w:t>ծառայողները, ի տարբերություն նախարարի, կառավարության ղեկավարի կամ քաղաքական պաշտոն զբաղեցնող այլ պաշտոնատար անձի հանդիսանում են քրեադատավարական սուբյեկտներ, որոնց կարգավիճակը, դատավարական ինքնուրույնությունը երաշխավորվում է քրեական դատավարության օրենսգրքով։ Ավելին, մի շարք երկրներում, թվում Ֆրանսիայում, Գերմանիայում, Իտալիայում, Բելգիայում, ներքին գործերի նախարարության կազմում գործող մարմիններն իրականացնում են քննչական մարմնի գործառույթներ, ինչը վկայում է պետական մարմինների համակարգի նման դասավորության միջազգայնորեն ընդունված լինելու մասին։</w:t>
            </w:r>
          </w:p>
        </w:tc>
      </w:tr>
      <w:tr w:rsidR="00F2404D">
        <w:trPr>
          <w:trHeight w:val="495"/>
        </w:trPr>
        <w:tc>
          <w:tcPr>
            <w:tcW w:w="810" w:type="dxa"/>
            <w:vMerge w:val="restart"/>
            <w:tcBorders>
              <w:top w:val="single" w:sz="4" w:space="0" w:color="000000"/>
            </w:tcBorders>
            <w:vAlign w:val="center"/>
          </w:tcPr>
          <w:p w:rsidR="00F2404D" w:rsidRDefault="00F2404D">
            <w:pPr>
              <w:numPr>
                <w:ilvl w:val="0"/>
                <w:numId w:val="8"/>
              </w:numPr>
              <w:pBdr>
                <w:top w:val="nil"/>
                <w:left w:val="nil"/>
                <w:bottom w:val="nil"/>
                <w:right w:val="nil"/>
                <w:between w:val="nil"/>
              </w:pBdr>
              <w:spacing w:after="200" w:line="276" w:lineRule="auto"/>
              <w:rPr>
                <w:rFonts w:ascii="GHEA Grapalat" w:eastAsia="GHEA Grapalat" w:hAnsi="GHEA Grapalat" w:cs="GHEA Grapalat"/>
                <w:b/>
                <w:color w:val="000000"/>
                <w:sz w:val="24"/>
                <w:szCs w:val="24"/>
              </w:rPr>
            </w:pPr>
          </w:p>
        </w:tc>
        <w:tc>
          <w:tcPr>
            <w:tcW w:w="1830" w:type="dxa"/>
            <w:vMerge w:val="restart"/>
            <w:tcBorders>
              <w:top w:val="single" w:sz="4" w:space="0" w:color="000000"/>
            </w:tcBorders>
            <w:vAlign w:val="center"/>
          </w:tcPr>
          <w:p w:rsidR="00F2404D" w:rsidRDefault="00A9005C">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ֆինանսների նախարարություն</w:t>
            </w:r>
          </w:p>
          <w:p w:rsidR="00F2404D" w:rsidRDefault="00F2404D">
            <w:pPr>
              <w:spacing w:before="120"/>
              <w:jc w:val="center"/>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0"/>
              </w:numPr>
              <w:pBdr>
                <w:top w:val="nil"/>
                <w:left w:val="nil"/>
                <w:bottom w:val="nil"/>
                <w:right w:val="nil"/>
                <w:between w:val="nil"/>
              </w:pBdr>
              <w:tabs>
                <w:tab w:val="left" w:pos="0"/>
                <w:tab w:val="left" w:pos="552"/>
              </w:tabs>
              <w:spacing w:after="200" w:line="360" w:lineRule="auto"/>
              <w:ind w:left="252" w:hanging="25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Ռազմավարությամբ նախատեսվող կառուցվածքային փոփոխություների վերաբերյալ հաշվարկներով հիմնավորված ֆինանսական գնահատականները բացակայում են:):</w:t>
            </w:r>
          </w:p>
        </w:tc>
        <w:tc>
          <w:tcPr>
            <w:tcW w:w="2340" w:type="dxa"/>
            <w:tcBorders>
              <w:top w:val="single" w:sz="4" w:space="0" w:color="000000"/>
              <w:bottom w:val="single" w:sz="4" w:space="0" w:color="000000"/>
            </w:tcBorders>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tc>
        <w:tc>
          <w:tcPr>
            <w:tcW w:w="4554" w:type="dxa"/>
            <w:tcBorders>
              <w:top w:val="single" w:sz="4" w:space="0" w:color="000000"/>
              <w:bottom w:val="single" w:sz="4" w:space="0" w:color="000000"/>
            </w:tcBorders>
          </w:tcPr>
          <w:p w:rsidR="00F2404D" w:rsidRDefault="00A9005C">
            <w:pPr>
              <w:tabs>
                <w:tab w:val="left" w:pos="0"/>
                <w:tab w:val="left" w:pos="552"/>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ֆինանսական հաշվարկները ներկայացվում են լրամշակված փաթեթի հետ</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0"/>
              </w:numPr>
              <w:pBdr>
                <w:top w:val="nil"/>
                <w:left w:val="nil"/>
                <w:bottom w:val="nil"/>
                <w:right w:val="nil"/>
                <w:between w:val="nil"/>
              </w:pBdr>
              <w:tabs>
                <w:tab w:val="left" w:pos="0"/>
                <w:tab w:val="left" w:pos="552"/>
              </w:tabs>
              <w:spacing w:after="200" w:line="360" w:lineRule="auto"/>
              <w:ind w:left="252" w:hanging="25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ՀՀ կառավարության 2017 թվականի հոկտեմբերի 5-ի` «Պետական եկամուտների և ծախսերի վրա ազդեցություն ունեցող ռազմավարական փաստաթղթերի մշակման, ներկայացման և հսկողության իրականացման </w:t>
            </w:r>
            <w:r>
              <w:rPr>
                <w:rFonts w:ascii="GHEA Grapalat" w:eastAsia="GHEA Grapalat" w:hAnsi="GHEA Grapalat" w:cs="GHEA Grapalat"/>
                <w:color w:val="000000"/>
                <w:sz w:val="24"/>
                <w:szCs w:val="24"/>
              </w:rPr>
              <w:lastRenderedPageBreak/>
              <w:t xml:space="preserve">մեթոդական հրահանգին հավանություն տալու մասին» N 42 արձանագրային որոշման հավելվածով (այսուհետ` Հավելված) ամրագրված մոտեցմամբ ներկայացված Ռազմավարությունը հանդիսանում է միջին մակարդակի ռազմավարական փաստաթուղթ՝ ընդգրկում է մեկ կոնկրետ ոլորտ/բնագավառ, ուստի անհրաժեշտ է վերանայել Ռազմավարության եռամյա ժամկետայնությունը՝ այն համապատասխանեցնելով Հավելվածի 16-րդ կետի պահանջին (5 և ավելի տարիների ժամանակահատված </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w:t>
            </w:r>
          </w:p>
        </w:tc>
        <w:tc>
          <w:tcPr>
            <w:tcW w:w="4554" w:type="dxa"/>
            <w:tcBorders>
              <w:top w:val="single" w:sz="4" w:space="0" w:color="000000"/>
              <w:bottom w:val="single" w:sz="4" w:space="0" w:color="000000"/>
            </w:tcBorders>
          </w:tcPr>
          <w:p w:rsidR="00F2404D" w:rsidRDefault="00A9005C">
            <w:pPr>
              <w:tabs>
                <w:tab w:val="left" w:pos="0"/>
                <w:tab w:val="left" w:pos="552"/>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Ոստիկանության ոլորտի բարեփոխումների ռազմավարությունը նախատեսված չէ երեք տարվա համար, այլև դրա գործողությունների ծրագիրն է նախատեսված երեք </w:t>
            </w:r>
            <w:r>
              <w:rPr>
                <w:rFonts w:ascii="GHEA Grapalat" w:eastAsia="GHEA Grapalat" w:hAnsi="GHEA Grapalat" w:cs="GHEA Grapalat"/>
                <w:color w:val="000000"/>
                <w:sz w:val="24"/>
                <w:szCs w:val="24"/>
              </w:rPr>
              <w:lastRenderedPageBreak/>
              <w:t>տարվա համար։</w:t>
            </w:r>
            <w:r>
              <w:rPr>
                <w:rFonts w:ascii="GHEA Grapalat" w:eastAsia="GHEA Grapalat" w:hAnsi="GHEA Grapalat" w:cs="GHEA Grapalat"/>
                <w:sz w:val="24"/>
                <w:szCs w:val="24"/>
              </w:rPr>
              <w:t xml:space="preserve"> </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0"/>
              </w:numPr>
              <w:pBdr>
                <w:top w:val="nil"/>
                <w:left w:val="nil"/>
                <w:bottom w:val="nil"/>
                <w:right w:val="nil"/>
                <w:between w:val="nil"/>
              </w:pBdr>
              <w:tabs>
                <w:tab w:val="left" w:pos="0"/>
                <w:tab w:val="left" w:pos="552"/>
              </w:tabs>
              <w:spacing w:after="200" w:line="360" w:lineRule="auto"/>
              <w:ind w:left="252" w:hanging="25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Անհրաժեշտ է սահմանել հստակ և չափելի ռազմավարական նպատակներ/ արդյունքային ցուցանիշներ՝ նկարագրված թվային տեսքով՝ դրանց իրագործման մշտադիտարկման հնարավորությունն ապահովելու նպատակով, ինչպես և նախատեսված է Հավելվածի 38-րդ կետով: </w:t>
            </w:r>
          </w:p>
        </w:tc>
        <w:tc>
          <w:tcPr>
            <w:tcW w:w="2340" w:type="dxa"/>
            <w:tcBorders>
              <w:top w:val="single" w:sz="4" w:space="0" w:color="000000"/>
              <w:bottom w:val="single" w:sz="4" w:space="0" w:color="000000"/>
            </w:tcBorders>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4554" w:type="dxa"/>
            <w:tcBorders>
              <w:top w:val="single" w:sz="4" w:space="0" w:color="000000"/>
              <w:bottom w:val="single" w:sz="4" w:space="0" w:color="000000"/>
            </w:tcBorders>
          </w:tcPr>
          <w:p w:rsidR="00F2404D" w:rsidRDefault="00A9005C">
            <w:pPr>
              <w:tabs>
                <w:tab w:val="left" w:pos="0"/>
              </w:tabs>
              <w:spacing w:after="200" w:line="360" w:lineRule="auto"/>
              <w:ind w:hanging="9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Գործողությունների ծրագիրը, բոլոր հնարավոր վերաբերելի մասերով, լրացվել է։</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0"/>
              </w:numPr>
              <w:pBdr>
                <w:top w:val="nil"/>
                <w:left w:val="nil"/>
                <w:bottom w:val="nil"/>
                <w:right w:val="nil"/>
                <w:between w:val="nil"/>
              </w:pBdr>
              <w:tabs>
                <w:tab w:val="left" w:pos="0"/>
                <w:tab w:val="left" w:pos="552"/>
              </w:tabs>
              <w:spacing w:after="200" w:line="360" w:lineRule="auto"/>
              <w:ind w:left="252" w:hanging="25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Անհրաժեշտ է սահմանել ակնկալվող արդյունքների ստորադասություն, այսինքն, թե նախատեսվող միջանկյալ արդյունքները հիմնականում որ վերջնական արդյունքներին են նպաստելու (ձևավորել վերջնական, միջանկյալ և ուղղակի արդյունքների տրամաբանական շղթա), ինչպես նաև արտացոլել յուրաքանչյուր միջոցառման իրականացման ռիսկերը և վերջինների մեղմացմանն ուղղված գործողությունները:</w:t>
            </w:r>
          </w:p>
        </w:tc>
        <w:tc>
          <w:tcPr>
            <w:tcW w:w="2340" w:type="dxa"/>
            <w:tcBorders>
              <w:top w:val="single" w:sz="4" w:space="0" w:color="000000"/>
              <w:bottom w:val="single" w:sz="4" w:space="0" w:color="000000"/>
            </w:tcBorders>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4554" w:type="dxa"/>
            <w:tcBorders>
              <w:top w:val="single" w:sz="4" w:space="0" w:color="000000"/>
              <w:bottom w:val="single" w:sz="4" w:space="0" w:color="000000"/>
            </w:tcBorders>
            <w:vAlign w:val="center"/>
          </w:tcPr>
          <w:p w:rsidR="00F2404D" w:rsidRDefault="00A9005C">
            <w:pPr>
              <w:tabs>
                <w:tab w:val="left" w:pos="0"/>
              </w:tabs>
              <w:spacing w:after="200" w:line="360" w:lineRule="auto"/>
              <w:ind w:hanging="9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Գործողությունների ծրագրում կատարվել են փոփոխությունների միջանկյալ արդյունքների մասով։ Ռիսկերի գնահատման ու դրանց մեղմմանն ուղղված մասով լրացվել է ռազմավարությունը։</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0"/>
              </w:numPr>
              <w:pBdr>
                <w:top w:val="nil"/>
                <w:left w:val="nil"/>
                <w:bottom w:val="nil"/>
                <w:right w:val="nil"/>
                <w:between w:val="nil"/>
              </w:pBdr>
              <w:tabs>
                <w:tab w:val="left" w:pos="0"/>
                <w:tab w:val="left" w:pos="552"/>
              </w:tabs>
              <w:spacing w:line="360" w:lineRule="auto"/>
              <w:ind w:left="252" w:hanging="25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առաջարկում ենք Նախագծում նախատեսել դրույթ՝ հետևյալ բովանդակությամբ.</w:t>
            </w:r>
          </w:p>
          <w:p w:rsidR="00F2404D" w:rsidRDefault="00A9005C">
            <w:pPr>
              <w:pBdr>
                <w:top w:val="nil"/>
                <w:left w:val="nil"/>
                <w:bottom w:val="nil"/>
                <w:right w:val="nil"/>
                <w:between w:val="nil"/>
              </w:pBdr>
              <w:tabs>
                <w:tab w:val="left" w:pos="0"/>
                <w:tab w:val="left" w:pos="552"/>
              </w:tabs>
              <w:spacing w:after="200" w:line="360" w:lineRule="auto"/>
              <w:ind w:left="252" w:hanging="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որոշմամբ նախատեսված Հայաստանի Հանրապետության ոստիկանության զարգացման ռազմավարության 2020-2022 թվականների միջոցառումների ծրագրով ՀՀ պետական բյուջեից անհրաժեշտ ծախսերի հատկացման հնարավորության հարցը քննարկել տվյալ տարվա բյուջետային գործընթացի շրջանակում:»:</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4554" w:type="dxa"/>
            <w:tcBorders>
              <w:top w:val="single" w:sz="4" w:space="0" w:color="000000"/>
              <w:bottom w:val="single" w:sz="4" w:space="0" w:color="000000"/>
            </w:tcBorders>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կետը լրացվել է։</w:t>
            </w:r>
          </w:p>
        </w:tc>
      </w:tr>
      <w:tr w:rsidR="00F2404D">
        <w:trPr>
          <w:trHeight w:val="495"/>
        </w:trPr>
        <w:tc>
          <w:tcPr>
            <w:tcW w:w="810" w:type="dxa"/>
            <w:vMerge w:val="restart"/>
            <w:tcBorders>
              <w:top w:val="single" w:sz="4" w:space="0" w:color="000000"/>
            </w:tcBorders>
            <w:vAlign w:val="center"/>
          </w:tcPr>
          <w:p w:rsidR="00F2404D" w:rsidRDefault="00F2404D">
            <w:pPr>
              <w:numPr>
                <w:ilvl w:val="0"/>
                <w:numId w:val="8"/>
              </w:numPr>
              <w:pBdr>
                <w:top w:val="nil"/>
                <w:left w:val="nil"/>
                <w:bottom w:val="nil"/>
                <w:right w:val="nil"/>
                <w:between w:val="nil"/>
              </w:pBdr>
              <w:spacing w:after="200" w:line="276" w:lineRule="auto"/>
              <w:rPr>
                <w:rFonts w:ascii="GHEA Grapalat" w:eastAsia="GHEA Grapalat" w:hAnsi="GHEA Grapalat" w:cs="GHEA Grapalat"/>
                <w:b/>
                <w:color w:val="000000"/>
                <w:sz w:val="24"/>
                <w:szCs w:val="24"/>
              </w:rPr>
            </w:pPr>
          </w:p>
        </w:tc>
        <w:tc>
          <w:tcPr>
            <w:tcW w:w="1830" w:type="dxa"/>
            <w:vMerge w:val="restart"/>
            <w:tcBorders>
              <w:top w:val="single" w:sz="4" w:space="0" w:color="000000"/>
            </w:tcBorders>
            <w:vAlign w:val="center"/>
          </w:tcPr>
          <w:p w:rsidR="00F2404D" w:rsidRDefault="00A9005C">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«Իրավաբանների հայկական ասոցիացիա» ՀԿ</w:t>
            </w:r>
          </w:p>
        </w:tc>
        <w:tc>
          <w:tcPr>
            <w:tcW w:w="5580" w:type="dxa"/>
            <w:tcBorders>
              <w:top w:val="single" w:sz="4" w:space="0" w:color="000000"/>
            </w:tcBorders>
          </w:tcPr>
          <w:p w:rsidR="00F2404D" w:rsidRDefault="00A9005C">
            <w:pPr>
              <w:numPr>
                <w:ilvl w:val="0"/>
                <w:numId w:val="11"/>
              </w:numPr>
              <w:pBdr>
                <w:top w:val="nil"/>
                <w:left w:val="nil"/>
                <w:bottom w:val="nil"/>
                <w:right w:val="nil"/>
                <w:between w:val="nil"/>
              </w:pBdr>
              <w:tabs>
                <w:tab w:val="left" w:pos="0"/>
              </w:tabs>
              <w:spacing w:after="200" w:line="360" w:lineRule="auto"/>
              <w:ind w:left="0" w:hanging="1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Ռազմավարությանը կից ներկայացված ՀՀ կառավարության ներքին (լոկալ) որոշման</w:t>
            </w:r>
          </w:p>
          <w:p w:rsidR="00F2404D" w:rsidRDefault="00A9005C">
            <w:pPr>
              <w:tabs>
                <w:tab w:val="left" w:pos="0"/>
                <w:tab w:val="left" w:pos="342"/>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նախագծի նախաբանում, որպես լիազորող նորմի հղում է կատարվել Սահմանադրության 146-րդ և և 153-րդ հոդվածներին, որոնց հիման վրա էլ ՀՀ կառավարությունը պետք է հաստատի Ռազմավարությունը: Այդ առնչությամբ, անհրաժեշտ է նախ հաշվի առնել, որ Սահմանադրության 6-րդ հոդվածի լույսի ներքո վերոնշյալ հոդվածները ուղղակիորեն ՀՀ կառավարությանը Ռազմավարությունը ընդունելու լիազորող նորմ չեն տալիս, ավելին՝ 153-րդ հովածի 3-րդ մասում խոսք է գնում միայն ՀՀ կառավարության կողմից ենթաօրենսդրական նորմատիվ իրավական ակտ ընդունելու իրավասության մասին: Երկրորդ. հաշվի առնելով «Նորմատիվ իրավական ակտերի մասին» օրենքի 1-ին հոդվածի 2-րդ մասի, 2-րդ հոդվածի 1-ին մասի 6-րդ կետի և 13-րդ հոդվածի 1-ին մասի պահանջները՝ անհրաժեշտ է նշել այն </w:t>
            </w:r>
            <w:r>
              <w:rPr>
                <w:rFonts w:ascii="GHEA Grapalat" w:eastAsia="GHEA Grapalat" w:hAnsi="GHEA Grapalat" w:cs="GHEA Grapalat"/>
                <w:sz w:val="24"/>
                <w:szCs w:val="24"/>
              </w:rPr>
              <w:lastRenderedPageBreak/>
              <w:t>օրենսդրական ակտի հոդվածը կամ մասը, որը լիազորում է ՀՀ կառավարությանը ընդունելու ներքին (լոկալ) իրավական ակտ:</w:t>
            </w:r>
          </w:p>
        </w:tc>
        <w:tc>
          <w:tcPr>
            <w:tcW w:w="2340" w:type="dxa"/>
            <w:tcBorders>
              <w:top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1. Ընդունվել է</w:t>
            </w:r>
          </w:p>
        </w:tc>
        <w:tc>
          <w:tcPr>
            <w:tcW w:w="4554" w:type="dxa"/>
            <w:tcBorders>
              <w:top w:val="single" w:sz="4" w:space="0" w:color="000000"/>
            </w:tcBorders>
          </w:tcPr>
          <w:p w:rsidR="00F2404D" w:rsidRDefault="00A9005C">
            <w:pPr>
              <w:pBdr>
                <w:top w:val="nil"/>
                <w:left w:val="nil"/>
                <w:bottom w:val="nil"/>
                <w:right w:val="nil"/>
                <w:between w:val="nil"/>
              </w:pBdr>
              <w:tabs>
                <w:tab w:val="left" w:pos="0"/>
              </w:tabs>
              <w:spacing w:after="200" w:line="360" w:lineRule="auto"/>
              <w:ind w:hanging="9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1.Կատարվել են համապատասխան փոփոխություններ Ռազմավարությանը կից ներկայացված ՀՀ կառավարության ներքին որոշման</w:t>
            </w:r>
            <w:r>
              <w:rPr>
                <w:rFonts w:ascii="GHEA Grapalat" w:eastAsia="GHEA Grapalat" w:hAnsi="GHEA Grapalat" w:cs="GHEA Grapalat"/>
                <w:sz w:val="24"/>
                <w:szCs w:val="24"/>
              </w:rPr>
              <w:t xml:space="preserve"> նախագծի նախաբանում:</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2.Ըստ Ռազմավարության «Գործառնական ամփոփագիր» վերնագրմամբ 2-րդ բաժնի «Ոստիկանության բարեփոխումների նպատակը ժամանակակից մարտահրավերները դիմակայող, մասնագիտացված ու տեխնիկապես հագեցած, բարեվարք և հարգանքի արժանի ոստիկանության վերափոխումն ու ժողովրդավարական իրավակարգին բնորոշ նոր ոստիկանի կերպարի ստեղծումն է։»: Այդ առնչությամբ գտնում ենք, որ Ռազմավարության նպատակի ձևակերպումը, ինչպես նաև Ռազմավարությունից բխող 2020-2022 թվականների գործողությունների ծրագրով նախանշված արդյունքային ցուցանիշները չեն համապատասխանում ՀՀ կառավարության 2017 թվականի հոկտեմբերի 5-ի նիստում հավանության արժանացած «Պետական </w:t>
            </w:r>
            <w:r>
              <w:rPr>
                <w:rFonts w:ascii="GHEA Grapalat" w:eastAsia="GHEA Grapalat" w:hAnsi="GHEA Grapalat" w:cs="GHEA Grapalat"/>
                <w:sz w:val="24"/>
                <w:szCs w:val="24"/>
              </w:rPr>
              <w:lastRenderedPageBreak/>
              <w:t>եկամուտների և ծախսերի վրա ազդեցություն ունեցող ռազմավարական փաստաթղթերի մշակման, ներկայացման և հսկողության իրականացման մեթոդական հրահանգին հավանություն տալու մասին» N 42 արձանագրային որոշման (այսուհետ՝ Մեթոդական հրահանգ), 38-րդ և 41-րդ կետերի պահանջներին, որոնց համաձայն՝ «38. Ցանկացած մակարդակում, ռազմավարական նպատակները (ակնկալվող արդյունքները) պետք է սահմանվեն հնարավորինս հստակ և չափելի արդյունքային ցուցանիշներով: Դրանք պետք է հնարավոր լինի ներկայացնել թվային տեսքով և քանակապես՝ որոշակի հենանիշի կամ ժամանակահատվածի նկատմամբ, որպեսզի հնարավոր լինի մշտադիտարկման ենթարկել դրա իրագործումը: Այլ կերպ ասած, անհնար է հասկանալ և գնահատել որևէ նպատակի իրագործումը կամ դրա գծով առաջընթացը, եթե այն չափելի չի:</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41. Ռազմավարական նպատակների համար </w:t>
            </w:r>
            <w:r>
              <w:rPr>
                <w:rFonts w:ascii="GHEA Grapalat" w:eastAsia="GHEA Grapalat" w:hAnsi="GHEA Grapalat" w:cs="GHEA Grapalat"/>
                <w:sz w:val="24"/>
                <w:szCs w:val="24"/>
              </w:rPr>
              <w:lastRenderedPageBreak/>
              <w:t>պետք է սահմանվեն իրատեսական, որակական և քանակական արդյունքային ցուցանիշներ, որոնք հետագայում հիմք կհանդիսանան ծրագրերի նպատակների չափման, առաջընթացի և արդյունավետության գնահատման համար:»:</w:t>
            </w:r>
          </w:p>
        </w:tc>
        <w:tc>
          <w:tcPr>
            <w:tcW w:w="2340" w:type="dxa"/>
            <w:tcBorders>
              <w:top w:val="single" w:sz="4" w:space="0" w:color="000000"/>
            </w:tcBorders>
            <w:vAlign w:val="center"/>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tc>
        <w:tc>
          <w:tcPr>
            <w:tcW w:w="4554" w:type="dxa"/>
            <w:tcBorders>
              <w:top w:val="single" w:sz="4" w:space="0" w:color="000000"/>
            </w:tcBorders>
            <w:vAlign w:val="center"/>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Գործողությունների ծրագրում կատարվել են համապատասխան փոփոխություններ։</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3.Ռազմավարության «Գործառնական ամփոփագիր» վերնագրմամբ 2-րդ բաժնի</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«Առաջնահերթ ուղղություններ» ենթաբաժնում նշվում է, որ. «Բարեփոխման յուրաքանչյուր ուղղությամբ անհրաժեշտ կլինի իրականացնել իրավիճակի առավել մանրամասն ուսումնասիրություն, մասնավորապես նկատի ունենալով՝ ոլորտային օրենսդրական ակտերի, նյութական և տեխնիկական ապահովվածության (ներառյալ տվյալների բազաների և տեղեկատվական համակարգերի) աուդիտը։»: Այնուհետև որպես առաջնահերթ ուղղություններ են առանձնացվել՝</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ՀՀ ոստիկանության համակարգում կառուցվածքային փոփոխությունների և</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գործառույթների հստակեցումը,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պարեկային ծառայությունը և օպերատիվ կառավարման կենտրոնի ստեղծումը,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նախաքննության արդյունավետության բարձրացումը,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Հասարակական կարգի պահպանությունը,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համայնքային ոստիկանության վերաիմաստավորումը,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ոստիկանությունում ծառայության գրավչությունը, կադրերի պատրաստում և</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մասնագիտական զարգացումը,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մարդու իրավունքների պաշտպանության բարելավումը,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թափանցիկության և հանրային հաշվետվողականության ապահովումը: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 հարկ ենք համարում նշել, որ Ռազմավարությամբ առաջնահերթ համարվող</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ուղղություններով, մեծամասամբ, չեն տրվել ընթացիկ իրավիճակի պատշաճ նկարագրություն, ինչն էլ հնարավորություն չի տալիս արձանագրելու այս կամ այն ուղղության </w:t>
            </w:r>
            <w:r>
              <w:rPr>
                <w:rFonts w:ascii="GHEA Grapalat" w:eastAsia="GHEA Grapalat" w:hAnsi="GHEA Grapalat" w:cs="GHEA Grapalat"/>
                <w:sz w:val="24"/>
                <w:szCs w:val="24"/>
              </w:rPr>
              <w:lastRenderedPageBreak/>
              <w:t>բազային ցուցանիշները, որի նկատմամբ նաև հետագայում գնահատվելու է համապատասխան թիրախային արդյունքի գծով առաջընթացը: Երկրորդ, մի շարք ուղղություններով ներկա իրավիճակի աուդիտի, ուսումնասիրությունների անցկացումը Ռազմավարության իրականացման փուլում նախատեսելը թույլ չի տալիս գնահատելու, արդյոք հիմնավոր է Ռազմավարությամբ հենց այդ ուղղությունը համարելու առաջնահերթ կամ հակառակը: Ավելին, եթե չունենք աուդիտի և</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ուսումնասիրությունների արդյունքները, ապա ինչպես են գնահատվելու, թե ընտրված թիրախային ցուցանիշները ճիշտ են կամ սխալ: Մինչդեռ, Մեթոդական հրահանգի 43-րդ կետի համաձայն՝ Ռազմավարական փաստաթղթերում արդյունքների ցուցանիշները սահմանելիս, դրանցից յուրաքանչյուրի գծով պարտադիր պետք է սահմանվեն ինչպես համապատասխան թիրախային, այնպես էլ դրանց բազային ցուցանիշները: Բազային ցուցանիշները </w:t>
            </w:r>
            <w:r>
              <w:rPr>
                <w:rFonts w:ascii="GHEA Grapalat" w:eastAsia="GHEA Grapalat" w:hAnsi="GHEA Grapalat" w:cs="GHEA Grapalat"/>
                <w:sz w:val="24"/>
                <w:szCs w:val="24"/>
              </w:rPr>
              <w:lastRenderedPageBreak/>
              <w:t>նկարագրում են համապատասխան ցուցանիշի այն փաստացի մակարդակը, որի նկատմամբ սահմանվել են թիրախային ցուցանիշները և որի նկատմամբ նաև հետագայում գնահատվելու է համապատասխան արդյունքի գծով առաջընթացը: (․․․)»։</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Ռազմավարության գործողությունների ծրագրով թերևս 2 ուղղություններով են միայն նշվել բազային ցուցանիշներ: Դրանք են՝ «Նոր ոստիկանության նկարագիր» և «Ոստիկանության ռեֆորմի իրականացման ընթացք և միջազգային համագործակցություն» ուղղությունները:</w:t>
            </w:r>
          </w:p>
        </w:tc>
        <w:tc>
          <w:tcPr>
            <w:tcW w:w="2340" w:type="dxa"/>
            <w:tcBorders>
              <w:top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3.Ընդունվել է </w:t>
            </w:r>
          </w:p>
        </w:tc>
        <w:tc>
          <w:tcPr>
            <w:tcW w:w="4554" w:type="dxa"/>
            <w:tcBorders>
              <w:top w:val="single" w:sz="4" w:space="0" w:color="000000"/>
            </w:tcBorders>
          </w:tcPr>
          <w:p w:rsidR="00F2404D" w:rsidRDefault="00A9005C">
            <w:pPr>
              <w:tabs>
                <w:tab w:val="left" w:pos="0"/>
              </w:tabs>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Նախատեսվող բազմաոլորտ աուդիտը (-ները) հնարավորություն կտան առավել համապարփակ գնահատում անել Ռազմավարությամբ սահմանված բոլոր ուղղություններով, որի արդյունքում հնարավոր կլինի հստակ պատկերացում ունենալ թե´ քանակական, թե´ որակական բազային իրավիճակի մասին, որի արդյունքում և կսահմանվեն ելքային թիրախները:</w:t>
            </w:r>
          </w:p>
          <w:p w:rsidR="00F2404D" w:rsidRDefault="00A9005C">
            <w:pPr>
              <w:tabs>
                <w:tab w:val="left" w:pos="0"/>
              </w:tabs>
              <w:spacing w:after="200" w:line="360" w:lineRule="auto"/>
              <w:rPr>
                <w:rFonts w:ascii="GHEA Grapalat" w:eastAsia="GHEA Grapalat" w:hAnsi="GHEA Grapalat" w:cs="GHEA Grapalat"/>
                <w:sz w:val="24"/>
                <w:szCs w:val="24"/>
              </w:rPr>
            </w:pPr>
            <w:r>
              <w:rPr>
                <w:rFonts w:ascii="GHEA Grapalat" w:eastAsia="GHEA Grapalat" w:hAnsi="GHEA Grapalat" w:cs="GHEA Grapalat"/>
                <w:sz w:val="24"/>
                <w:szCs w:val="24"/>
              </w:rPr>
              <w:t>Այդուհանդերձ, ԳԾ-ում հասցեագրվել է խնդիրը և կատարվել են փոփոխություններ։</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4.Ռազմավարության «Գործառնական ամփոփագիր» վերնագրմամբ 2-րդ բաժնում որպես խնդիր է ձևակերպվել հետևյալը. «վերանայել ու ըստ մասնագիտական կարիքների բարեփոխել ոստիկանության ծառայողների պատրաստման ու շարունակական մասնագիտական վերապատրաստման համակարգը՝ թե </w:t>
            </w:r>
            <w:r>
              <w:rPr>
                <w:rFonts w:ascii="GHEA Grapalat" w:eastAsia="GHEA Grapalat" w:hAnsi="GHEA Grapalat" w:cs="GHEA Grapalat"/>
                <w:sz w:val="24"/>
                <w:szCs w:val="24"/>
              </w:rPr>
              <w:lastRenderedPageBreak/>
              <w:t>ծրագրերի բովանդակության, և թե պատրաստման մեթոդի տեսանկյունից,»: Այնուհետև, որպես նշված խնդրի լուծում, Ռազմավարության գործողությունների ծրագրով առանձնացվել է «Նոր ոստիկանության նկարագիր» ուղղությունը, որտեղ սակայն վերոնշյալ խնդիրն այլ ձևակերպում է ստացել. «Պետության հարկադրանք կիրառող, օրվա իշխանությանը ծառայող մարմնի իմիջի փոխություն հանրությանը ծառայող, վստահելի և հարգանքի արժանի հանրային ծառայության տեսակի»: Հաշվի առնելով, որ Ռազմավարությունը և գործողությունների ծրագիրը դիտարկվում են որպես մեկ ամբողջական փաստաթուղթ կամ իրավական ակտ, և դրանում պետք է բացառվեն ներքին հակասությունները, ուստի առաջարկում ենք խմբագրել խնդրի ձևակերպումը:</w:t>
            </w:r>
          </w:p>
        </w:tc>
        <w:tc>
          <w:tcPr>
            <w:tcW w:w="2340" w:type="dxa"/>
            <w:tcBorders>
              <w:top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4.Չի ընդունվել</w:t>
            </w:r>
          </w:p>
        </w:tc>
        <w:tc>
          <w:tcPr>
            <w:tcW w:w="4554" w:type="dxa"/>
            <w:tcBorders>
              <w:top w:val="single" w:sz="4" w:space="0" w:color="000000"/>
            </w:tcBorders>
          </w:tcPr>
          <w:p w:rsidR="00F2404D" w:rsidRDefault="00A9005C">
            <w:pPr>
              <w:tabs>
                <w:tab w:val="left" w:pos="0"/>
              </w:tabs>
              <w:spacing w:after="200"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Նշյալը որևէ կերպ ներքին հակասություն չի կարող լինել, քանի որ մի դեպքում՝ նկարագրված է նախկին իրավիճակն ու խնդիրը, երկրորդ պարագայում՝ այն միջոցն ու քայլերի հաջորդականությունը, որը կհանգեցնի տվյալ խնդրի լուծմանը։ Կարևոր է նաև շեշտել, որ ոստիկանության կերպարի </w:t>
            </w:r>
            <w:r>
              <w:rPr>
                <w:rFonts w:ascii="GHEA Grapalat" w:eastAsia="GHEA Grapalat" w:hAnsi="GHEA Grapalat" w:cs="GHEA Grapalat"/>
                <w:sz w:val="24"/>
                <w:szCs w:val="24"/>
              </w:rPr>
              <w:lastRenderedPageBreak/>
              <w:t>փոփոխության կարևոր նպատակին հասնելու համար կենտրոնական խնդիրը, որը պետք է լուծել, հենց մասնագիտական կրթությունն է։ Գործառնական ամփոփագրի այդ խնդիրը առավել մանրամասն բացահայտված և փոխկապակցված է ոստիկանության նոր իմիջի հետ Ռազմավարության 2-րդ մասում։</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5.Ռազմավարության «Նոր ոստիկանության նկարագիր» վերտառությամբ 3-րդ բաժնում</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անդրադարձ է կատարվում նշված ուղղությամբ </w:t>
            </w:r>
            <w:r>
              <w:rPr>
                <w:rFonts w:ascii="GHEA Grapalat" w:eastAsia="GHEA Grapalat" w:hAnsi="GHEA Grapalat" w:cs="GHEA Grapalat"/>
                <w:sz w:val="24"/>
                <w:szCs w:val="24"/>
              </w:rPr>
              <w:lastRenderedPageBreak/>
              <w:t>ձեռնարկվելիք հիմնական գործողություններին, սակայն գործողությունների ծրագրում այդ ուղղությամբ նախատեսված առանձին գործողությունների մեջ ոչ բոլորն են ներառված: Օրինակ, Ռազմավարության մեջ խոսք է գնում ոստիկանության ծառայությունում նոր կադրերի</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ընդունման ընթացակարգում հոգեբանական թեստավորումից բացի բարեվարքության ու սոցիալական վարքի ստուգման ընթացակարգի, մրցույթների ժամանակ հարցազրույցների անցկացման պրակտիկայի ներդրման մասին, ինչը նաև իրենից ենթադրելում է օրենսդրական ակտերում համապատասխան փոփոխություններ և լրացումներ նախատեսող նախագծերի մշակում և ընդունում, սակայն նշվածի վերաբերյալ առանձին գործողություն, դրա կատարման ժամկետներ և պատասխանատու մարմիններ նախատեսված չեն: Վերոգրյալն առնչվում է նաև ոստիկանության ծառայողների վարձատրության, մարզերում աշխատանք </w:t>
            </w:r>
            <w:r>
              <w:rPr>
                <w:rFonts w:ascii="GHEA Grapalat" w:eastAsia="GHEA Grapalat" w:hAnsi="GHEA Grapalat" w:cs="GHEA Grapalat"/>
                <w:sz w:val="24"/>
                <w:szCs w:val="24"/>
              </w:rPr>
              <w:lastRenderedPageBreak/>
              <w:t>իրականացնող ծառայողների համար առավել գրավիչ սոցիալական երաշխիքների տրամադրման և այլ հարցերին:</w:t>
            </w:r>
          </w:p>
        </w:tc>
        <w:tc>
          <w:tcPr>
            <w:tcW w:w="2340" w:type="dxa"/>
            <w:tcBorders>
              <w:top w:val="single" w:sz="4" w:space="0" w:color="000000"/>
            </w:tcBorders>
          </w:tcPr>
          <w:p w:rsidR="00F2404D" w:rsidRDefault="00A9005C">
            <w:pPr>
              <w:spacing w:after="200" w:line="276" w:lineRule="auto"/>
              <w:rPr>
                <w:rFonts w:ascii="GHEA Grapalat" w:eastAsia="GHEA Grapalat" w:hAnsi="GHEA Grapalat" w:cs="GHEA Grapalat"/>
                <w:sz w:val="24"/>
                <w:szCs w:val="24"/>
              </w:rPr>
            </w:pPr>
            <w:r>
              <w:rPr>
                <w:rFonts w:ascii="GHEA Grapalat" w:eastAsia="GHEA Grapalat" w:hAnsi="GHEA Grapalat" w:cs="GHEA Grapalat"/>
                <w:sz w:val="24"/>
                <w:szCs w:val="24"/>
              </w:rPr>
              <w:lastRenderedPageBreak/>
              <w:t>5.Ընդունվել է։</w:t>
            </w:r>
          </w:p>
        </w:tc>
        <w:tc>
          <w:tcPr>
            <w:tcW w:w="4554" w:type="dxa"/>
            <w:tcBorders>
              <w:top w:val="single" w:sz="4" w:space="0" w:color="000000"/>
            </w:tcBorders>
            <w:vAlign w:val="center"/>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5.Ռազմավարության մեջ նշված ոստիկանության ծառայությունում նոր կադրերի</w:t>
            </w:r>
          </w:p>
          <w:p w:rsidR="00F2404D" w:rsidRDefault="00A9005C">
            <w:pPr>
              <w:tabs>
                <w:tab w:val="left" w:pos="0"/>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ընդունման ընթացակարգում հոգեբանական թեստավորումից բացի բարեվարքության ու սոցիալական վարքի ստուգման ընթացակարգի, մրցույթների ժամանակ հարցազրույցների անցկացման պրակտիկայի ներդրման գործընթացները, որոնք ենթադրում են ենթաօրենսդրական ակտերի փոփոխություն, ԳԾ-ում արտացոլվել են հաստատվելիք ընդունելության նոր կարգի ներքո։  Ոստիկանության ծառայողների վարձատրության և սոցիալական երաշխիքների բարելավման գործողություն է նախատեսվել ԳԾ-ով։</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6.Ռազմավարության «Նոր ոստիկանության նկարագիր» վերտառությամբ 3-րդ բաժնում</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նշվում է, որ Ռազմավարության հիմնական նպատակներից է հասարակությանը նոր ոստիկանի կերպարով նոր ոստիկանություն ներկայացնելը, ինչը իրենից ենթադրելու է նոր կադրերի ներգրավում, անձնակազմի վերապատրաստում, ոստիկանության կրթահամալիրի ծրագրերի վերանայում, թիրախային դասընթացների ապահովում և այլ համալիր միջոցառումներ: Այդ առնչությամբ առաջարկում ենք, որպեսզի նշված ուղղությամբ Ռազմավարությամբ ամրագրվի, որ ոստիկանության կրթահամալիրի կրթական ծրագրերի կազմակերպման ու բովանդակային վերանայման հարցերի քննարկումների ժամանակ պատշաճ ուշադրություն է դարձվելու հատկապես ոստիկանության ծառայողի </w:t>
            </w:r>
            <w:r>
              <w:rPr>
                <w:rFonts w:ascii="GHEA Grapalat" w:eastAsia="GHEA Grapalat" w:hAnsi="GHEA Grapalat" w:cs="GHEA Grapalat"/>
                <w:sz w:val="24"/>
                <w:szCs w:val="24"/>
              </w:rPr>
              <w:lastRenderedPageBreak/>
              <w:t>բարեխղճության և հակակոռուպցիոն կրթություն</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ստանալուն առնչվող հարցերին և կրթական ծրագրերում պարտադիր ներառվելու են բարեխղճության (Integrity) և դրա առանձին բաղադրիչների (հաշվետվողականություն,</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արհեստավարժություն, էթիկա, հակակոռուպցիոն վարքագիծ), կոռուպցիայի և դրա դրսևորման եղանակների, շահերի բախմանը վերաբերող ուսումնական մոդուլներ:</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Կարևորում ենք նաև, որպեսզի կրթական ծրագրերը անց կացվեն ուսումնական իրավիճակների (сase study) մեթոդաբանության կիրառմամբ:</w:t>
            </w:r>
          </w:p>
        </w:tc>
        <w:tc>
          <w:tcPr>
            <w:tcW w:w="2340" w:type="dxa"/>
            <w:tcBorders>
              <w:top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6.Ընդունվել է ի գիտություն</w:t>
            </w:r>
          </w:p>
        </w:tc>
        <w:tc>
          <w:tcPr>
            <w:tcW w:w="4554" w:type="dxa"/>
            <w:tcBorders>
              <w:top w:val="single" w:sz="4" w:space="0" w:color="000000"/>
            </w:tcBorders>
          </w:tcPr>
          <w:p w:rsidR="00F2404D" w:rsidRDefault="00A9005C">
            <w:pPr>
              <w:tabs>
                <w:tab w:val="left" w:pos="0"/>
              </w:tabs>
              <w:spacing w:after="200"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6.Կատարվել են համապատասխան փոփոխություններ Ռազմավարության «Գործառնական ամփոփագիր» բաժնում, ինչպես նաև համապատասխան դասընթացներ նախատեսվում են վերապատրատումների համապարփակ ցանկով: Ավելին, ընդունելության կարգով ևս նախատեսվելու են դիմորդների բարեվարքության ստուգում։ Ինչ վերաբերում է ուսումնական իրավիճակների (сase study) մեթոդաբանության կիրառմամբ դասընթացներին, ապա այս և այլ ժամանակակից ու միջազգային ստանդարտներին համապատասխան այլ մեթոդներ ներառված են ուսուցման </w:t>
            </w:r>
            <w:r>
              <w:rPr>
                <w:rFonts w:ascii="GHEA Grapalat" w:eastAsia="GHEA Grapalat" w:hAnsi="GHEA Grapalat" w:cs="GHEA Grapalat"/>
                <w:sz w:val="24"/>
                <w:szCs w:val="24"/>
              </w:rPr>
              <w:lastRenderedPageBreak/>
              <w:t>մեթոդիկայում, ու դասընթացների կազմակերպումն ու անցկացումը բսցառապես իրականացվելու է այդ չափանիշներին համապատասխան:</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7.Առաջարկում ենք որպեսզի Ռազմավարության գործողությունների ծրագրի բոլոր ուղղություններով առանձին գործողությունների իրականացման համար պատասխանատու մարմինների շարքում հիշատակվեն քաղաքացիական հասարակության կառույցները, որոնց դերը նշանակալի և օգտակար է լինելու հատկապես հանրությանը </w:t>
            </w:r>
            <w:r>
              <w:rPr>
                <w:rFonts w:ascii="GHEA Grapalat" w:eastAsia="GHEA Grapalat" w:hAnsi="GHEA Grapalat" w:cs="GHEA Grapalat"/>
                <w:sz w:val="24"/>
                <w:szCs w:val="24"/>
              </w:rPr>
              <w:lastRenderedPageBreak/>
              <w:t>մատչելի ու ժամանակին այս բարեփոխումների ընթացքի վերաբերյալ տեղեկատվություն ներկայացնելու, նոր ոստիկանի կերպարի նկատմամբ հանրության շրջանում վստահություն և հարգանք ձևավորելու, մի շարք</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ուղղություններով աուդիտի, ուսումնասիրությունների անցկացմանն աջակցելու, ինչպես նաև Ռազմավարության հանրային մշտադիտարկման անցկացման հարցում:</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Հարկ ենք համարում նշել նաև, որ նման փորձ արդեն իսկ կա, և նախորդ տարվա ընթացքում մշակված և ՀՀ կառավարության կողմից հաստատված հակակոռուպցիոն նոր ռազմավարության մի շարք գործողությունների իրականացման համար պատասխանատու մարմինների շարքում հասարակական կազմակերպությունները ներառվել են որպես համակատարող:</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Բացի այդ, հաշվի առնելով, որ Ռազմավարության առանձին ուղղություններով</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նախատեսում է առանձին գործողությունների ծրագրերի մշակում, օրինակ՝ պարեկային ծառայության կամ ռազմավարական հաղորդակցության ծրագրերի, հետևաբար առաջարկում ենք, որպեսզի Ռազմավարությամբ ամրագրի, որ նախքան առանձին գործողությունների ծրագրերի ընդունումը, դրանց մշակումը պետք է կատարվի ներառական գործընթացի միջոցով՝ այդ գործընթացում ընդգրկելով մասնագիտացված</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քաղաքացիական հասարակության կառույցներին և այդ գործընթացները հասարակական վերահսկողության տակ պահելու գործուն մեխանիզմներ և երաշխիքներ տալ հասարակական կազմակերպություններին:</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Վերոնշյալը բխում է նաև «Ոստիկանության կառուցվածքային մոդելը» ուղղության մեջ նշված այն մոտեցումից, համաձայն որի՝ նոր ոստիկանությունը պետք է ունենա </w:t>
            </w:r>
            <w:r>
              <w:rPr>
                <w:rFonts w:ascii="GHEA Grapalat" w:eastAsia="GHEA Grapalat" w:hAnsi="GHEA Grapalat" w:cs="GHEA Grapalat"/>
                <w:sz w:val="24"/>
                <w:szCs w:val="24"/>
              </w:rPr>
              <w:lastRenderedPageBreak/>
              <w:t>ժողովրդավարական պետությանը բնորոշ քաղաքացիական և խորհրդարանական վերահսկողության գործուն մեխանիզմներ:</w:t>
            </w:r>
          </w:p>
        </w:tc>
        <w:tc>
          <w:tcPr>
            <w:tcW w:w="2340" w:type="dxa"/>
            <w:tcBorders>
              <w:top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7.Ընդունվել է ի գիտություն</w:t>
            </w:r>
          </w:p>
        </w:tc>
        <w:tc>
          <w:tcPr>
            <w:tcW w:w="4554" w:type="dxa"/>
            <w:tcBorders>
              <w:top w:val="single" w:sz="4" w:space="0" w:color="000000"/>
            </w:tcBorders>
          </w:tcPr>
          <w:p w:rsidR="00F2404D" w:rsidRDefault="00A9005C">
            <w:pPr>
              <w:tabs>
                <w:tab w:val="left" w:pos="0"/>
              </w:tabs>
              <w:spacing w:after="200"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7.Ռազմավարության 9-րդ բաժինը նախատեսում է Համակարգող խորհրդի ստեղծում, որի կազմում, բարեփոխումների իրականացման գործընթացի մշտադիտարկումն պահովելու համար, ներգրավվելու են նաև քաղաքացիական հասարակության ներկայացուցիչները: </w:t>
            </w:r>
            <w:r>
              <w:rPr>
                <w:rFonts w:ascii="GHEA Grapalat" w:eastAsia="GHEA Grapalat" w:hAnsi="GHEA Grapalat" w:cs="GHEA Grapalat"/>
                <w:sz w:val="24"/>
                <w:szCs w:val="24"/>
              </w:rPr>
              <w:lastRenderedPageBreak/>
              <w:t>Այլ կերպ ասած, ՔՀԿ-ների ներգրավումը նախատեսված է համապարփակ կերպով ռազմավարության և ոչ թե ըստ գործողությունների։</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8. Ռազմավարության «Քրեական ոստիկանության զարգացում և արդյունավետ նախաքննություն» ուղղության մի կողմից մեջ նշվում է, որ. «...քրեական դատավարության նոր օրենսգրքի նախագծում էլ նախատեսված չեն այնպիսի ընթացակարգեր, որոնցով կմեծանա ոստիկանության աշխատակիցների դերը քրեական գործի քննության ընթացքում», ինչն արդեն իսկ նախանշում է, որ քրեական գործերի քննության հարցում այլ մոտեցում է որդեգրվել, իսկ մյուս կողմից էլ Ռազմավարությամբ առաջարկվում է քննարկման առարկա դարձնել քրեական գործերի քննության ընթացքում ոստիկանության դերի բարձրացումը:</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Վերոգրյալի առնչությամբ նախ հարկ ենք համարում նշել, որ դեռևս 2014 թվականին կատարված համակարգային փոփոխությունները հիմնավորվել են ոչ միայն </w:t>
            </w:r>
            <w:r>
              <w:rPr>
                <w:rFonts w:ascii="GHEA Grapalat" w:eastAsia="GHEA Grapalat" w:hAnsi="GHEA Grapalat" w:cs="GHEA Grapalat"/>
                <w:sz w:val="24"/>
                <w:szCs w:val="24"/>
              </w:rPr>
              <w:lastRenderedPageBreak/>
              <w:t xml:space="preserve">Ռազմավարությամբ բերված հետևյալ հիմնավորումներով՝ «...մարդու իրավունքների պաշտպանության առավել բարձր երաշխիքների ապահովմամբ, ինչպես նաև հետաքննություն իրականացնող մարմնի կազմից նախաքննության իրականացման գործառույթով օժտված մարմնի տարանջատմամբ», այլ նաև կարևորագույն համարվող այլ հիմնավորումներ ևս հաշվի առնելով: Մասնավորապես, խոսքը գնում է հետևյալի մասին. « ...Տարբեր մարմինների կողմից նախաքննության իրականացման պրակտիկան վկայում է այն մասին, որ նրանք չունեն կազմակերպման և գործունեության միասնական սկզբունքներ և աշխատաոճ: Շատ դեպքերում միևնույն իրավական հարցերի վերաբերյալ ցուցաբերվում են տարբեր մոտեցումներ, որի հետևանքով խաթարվում է օրենքի առջև հավասարության սկզբունքը: Բացի այդ, գործադիր իշխանության մարմինների համակարգում քննչական մարմինների գործունեության հետևանքով </w:t>
            </w:r>
            <w:r>
              <w:rPr>
                <w:rFonts w:ascii="GHEA Grapalat" w:eastAsia="GHEA Grapalat" w:hAnsi="GHEA Grapalat" w:cs="GHEA Grapalat"/>
                <w:sz w:val="24"/>
                <w:szCs w:val="24"/>
              </w:rPr>
              <w:lastRenderedPageBreak/>
              <w:t>էապես սահմանափակվում է նախաքննության մարմինների դատավարական ինքնուրույնությունը, մի շարք դատավարական հարցերի լուծումն իրականացվում է վարչաիրավական հարաբերություններին հատուկ կառուցակարգերով, ինչն ինքնին հակասում է քննիչի դատավարական գործառույթների բնույթին: Գործադիր իշխանության մարմնի կազմում քննչական մարմինը գործում է տվյալ գործադիր իշխանության մարմնի նյութատեխնիկական բազայի հիման վրա, ինչն ուղղակի ազդեցություն է ունենում քննչական մարմինների անկախության վրա:» 1 Հետևաբար, նախկին մոդելին վերադառնալու հարցում Ռազմավարությամբ անհրաժեշտ էր ներկայացնել լուրջ հիմնավորումներ:</w:t>
            </w:r>
          </w:p>
          <w:p w:rsidR="00F2404D" w:rsidRDefault="00A9005C">
            <w:pPr>
              <w:tabs>
                <w:tab w:val="left" w:pos="0"/>
                <w:tab w:val="left" w:pos="342"/>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Երկրորդ. հաշվի առնելով, որ Ռազմավարության ներածական մասում նշվել է, որ. «անհրաժեշտ է լիակատար սիներգիա ապահովել Ռազմավարության և </w:t>
            </w:r>
            <w:r>
              <w:rPr>
                <w:rFonts w:ascii="GHEA Grapalat" w:eastAsia="GHEA Grapalat" w:hAnsi="GHEA Grapalat" w:cs="GHEA Grapalat"/>
                <w:sz w:val="24"/>
                <w:szCs w:val="24"/>
              </w:rPr>
              <w:lastRenderedPageBreak/>
              <w:t xml:space="preserve">Կառավարության կողմից ոլորտային բարեփոխումների այլ ծրագրերի, մասնավորապես՝ Ազգային անվտանգության, դատական և իրավական, կոռուպցիայի դեմ պայքարի, հանրային ծառայության, մարդու իրավունքների պաշտպանության և ոլորտային բարեփոխումների մյուս ռազմավարությունների և իհարկե, ամփոփման փուլում գտնվող քրեական նոր օրենսդրության հետ:» գտնում ենք, որ եթե քննչական մարմինների քանակի, քննչական ենթակայության հանձնվող գործերի շրջանակի ճշգրտման և այլ հարցերի առնչությամբ պետության կողմից տարվող քաղաքականության մեջ փոփոխություններ կատարելու անհրաժեշտություն լիներ, ապա դրանք արդեն իսկ ներառված կլինեին ՀՀ կառավարության 2019 թվականի հոկտեմբերի 10-ի «Հայաստանի Հանրապետության դատական և իրավական բարեփոխումների 2019-2023 թվականների ռազմավարությունը և դրանից բխող գործողությունների ծրագրերը </w:t>
            </w:r>
            <w:r>
              <w:rPr>
                <w:rFonts w:ascii="GHEA Grapalat" w:eastAsia="GHEA Grapalat" w:hAnsi="GHEA Grapalat" w:cs="GHEA Grapalat"/>
                <w:sz w:val="24"/>
                <w:szCs w:val="24"/>
              </w:rPr>
              <w:lastRenderedPageBreak/>
              <w:t>հաստատելու մասին» N 1441-Լ որոշման մեջ, ինչպես նաև Ոստիկանության մասով համապատասխան կարգավորումներ պետք է որ նախատեսված լինեին նոր քրեական դատավարության օրենսգրքի նախագծով:</w:t>
            </w:r>
          </w:p>
        </w:tc>
        <w:tc>
          <w:tcPr>
            <w:tcW w:w="2340" w:type="dxa"/>
            <w:tcBorders>
              <w:top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8. Ընդունվել է ի գիտություն</w:t>
            </w:r>
          </w:p>
          <w:p w:rsidR="00F2404D" w:rsidRDefault="00F2404D">
            <w:pPr>
              <w:rPr>
                <w:rFonts w:ascii="GHEA Grapalat" w:eastAsia="GHEA Grapalat" w:hAnsi="GHEA Grapalat" w:cs="GHEA Grapalat"/>
                <w:sz w:val="24"/>
                <w:szCs w:val="24"/>
              </w:rPr>
            </w:pPr>
          </w:p>
        </w:tc>
        <w:tc>
          <w:tcPr>
            <w:tcW w:w="4554" w:type="dxa"/>
            <w:tcBorders>
              <w:top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8.Քննչական կոմիտեի ձևավորման հիմքում դրված հիմնավորումներին հակադարձելու համար ավելի լուրջ հիմնավորումների անհրաժեշտությունը բացակայում է, քանի որ այդ հիմնավորումներն ընդունելի են այնքանով, որքանով ուղղված են եղել քննչական մարմնի անկախության ապահովմանը և նախաքննության մարմինը հետաքննության մարմնի ենթակայությունից դուրս բերելուն։ Ռազմավարությամբ ներկայացված քննչական գործառույթների իրականացման մոդելը չի հանդիսանում նախկին համակարգի վերադարձ, որից անցում է կատարվել 2014 թվականին։</w:t>
            </w:r>
          </w:p>
          <w:p w:rsidR="00F2404D" w:rsidRDefault="00A9005C">
            <w:pPr>
              <w:spacing w:after="200" w:line="276" w:lineRule="auto"/>
              <w:rPr>
                <w:rFonts w:ascii="GHEA Grapalat" w:eastAsia="GHEA Grapalat" w:hAnsi="GHEA Grapalat" w:cs="GHEA Grapalat"/>
                <w:sz w:val="24"/>
                <w:szCs w:val="24"/>
              </w:rPr>
            </w:pPr>
            <w:r>
              <w:rPr>
                <w:rFonts w:ascii="GHEA Grapalat" w:eastAsia="GHEA Grapalat" w:hAnsi="GHEA Grapalat" w:cs="GHEA Grapalat"/>
                <w:sz w:val="24"/>
                <w:szCs w:val="24"/>
              </w:rPr>
              <w:lastRenderedPageBreak/>
              <w:t>Ինչ վերաբերում է քրեական դատավարության նոր օրենսգրքի նախագծին, ապա վերջինս համապատասխանեցվելու է ռազմավարության դրույթներին։</w:t>
            </w:r>
          </w:p>
          <w:p w:rsidR="00F2404D" w:rsidRDefault="00F2404D">
            <w:pPr>
              <w:tabs>
                <w:tab w:val="left" w:pos="0"/>
              </w:tabs>
              <w:spacing w:after="200" w:line="360" w:lineRule="auto"/>
              <w:rPr>
                <w:rFonts w:ascii="GHEA Grapalat" w:eastAsia="GHEA Grapalat" w:hAnsi="GHEA Grapalat" w:cs="GHEA Grapalat"/>
                <w:sz w:val="24"/>
                <w:szCs w:val="24"/>
              </w:rPr>
            </w:pP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9.Ռազմավարության գործողությունների ծրագրով նախատեսված գործողությունների իրականացման համար որպես ֆինանսավորման աղբյուր հիմնականում նշվում է պետական բյուջեի միջոցները, ինչպես նաև օրենքով չարգելված միջոցները: Այդ առնչությամբ հարկ ենք համարում նշել, որ Մեթոդական հրահանգի պահանջների համաձայն անհրաժեշտ էր նախապես կատարել Ռազմավարության ուղղությունների (գերակայությունների) համապատասխան ծախսային գնահատում և այդ ծախսային գնահատականները ներառել Ռազմավարության մեջ: Բացի այդ՝ Մեթոդաբանական հրահանգի պահանջների համաձայն՝ ռազմավարություններին առնչվող ծախսային </w:t>
            </w:r>
            <w:r>
              <w:rPr>
                <w:rFonts w:ascii="GHEA Grapalat" w:eastAsia="GHEA Grapalat" w:hAnsi="GHEA Grapalat" w:cs="GHEA Grapalat"/>
                <w:sz w:val="24"/>
                <w:szCs w:val="24"/>
              </w:rPr>
              <w:lastRenderedPageBreak/>
              <w:t>գնահատականները պետք է սահմանվեն ոչ միայն ողջ ռազմավարության, այլ նաև դրա շրջանակներում իրականացվելիք նպատակների և/կամ ռազմավարական ծրագրերի/միջոցառումների մակարդակով, որոնք այնուհետև բյուջետային ծրագրերի միջոցով պետք է փոխանցվեն բյուջետավորման համակարգ և հիմք հանդիսանան ՄԺԾԾ և բյուջետային հատկացումների սահմանման համար:</w:t>
            </w:r>
          </w:p>
        </w:tc>
        <w:tc>
          <w:tcPr>
            <w:tcW w:w="2340" w:type="dxa"/>
            <w:tcBorders>
              <w:top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9.Ընդունվել է ի գիտություն</w:t>
            </w:r>
          </w:p>
        </w:tc>
        <w:tc>
          <w:tcPr>
            <w:tcW w:w="4554" w:type="dxa"/>
            <w:tcBorders>
              <w:top w:val="single" w:sz="4" w:space="0" w:color="000000"/>
            </w:tcBorders>
          </w:tcPr>
          <w:p w:rsidR="00F2404D" w:rsidRDefault="00A9005C">
            <w:pPr>
              <w:tabs>
                <w:tab w:val="left" w:pos="0"/>
              </w:tabs>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9. Ռազմավարության լրամշակված տարբերակի փաթեթով ներկայացվում է նաև ֆինանսական գնահատումը: Միաժամանակ արդեն իսկ մեկնարկել են հաջորդ ՄԺԾԾ մշակման աշխատանքները, որում հնարավորություն կա ներկայացնելու ոստիկանության բարեփոխումներից բխող նոր ծրագրային առաջարկներ:</w:t>
            </w:r>
          </w:p>
        </w:tc>
      </w:tr>
      <w:tr w:rsidR="00F2404D">
        <w:trPr>
          <w:trHeight w:val="495"/>
        </w:trPr>
        <w:tc>
          <w:tcPr>
            <w:tcW w:w="81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tcBorders>
              <w:top w:val="single" w:sz="4" w:space="0" w:color="000000"/>
            </w:tcBorders>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10.Ռազմավարության հիմնավորման մեջ նշվում է, որ ՀՀ-ում անկախացումից ի վեր</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հանրության շրջանում ոստիկանության ընկալումը հանրային վստահության առումով</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տարբեր աստիճաններ է արձանագրել, ինչը պայմանավորված է եղել մի շարք օբյեկտիվ</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և սուբյեկտիվ հանգանքների համադրությամբ: Այնուհետև նշվում է, որ այս ոլորտում</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կայուն փոփոխության հնարավոր է հասնել պետության ու հանրության երկխոսության</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միջոցով՝ ոստիկանությունում ինստիտուցիոնալ </w:t>
            </w:r>
            <w:r>
              <w:rPr>
                <w:rFonts w:ascii="GHEA Grapalat" w:eastAsia="GHEA Grapalat" w:hAnsi="GHEA Grapalat" w:cs="GHEA Grapalat"/>
                <w:sz w:val="24"/>
                <w:szCs w:val="24"/>
              </w:rPr>
              <w:lastRenderedPageBreak/>
              <w:t>փոփոխությունների (արժեքային,</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բովանդակային, միջավայրային և նյութական հագեցվածության) իրականացման</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ճանապարհով, բարեփոխումների մշակման և իրականացման ընթացքում ներառական</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մասնագիտական քննարկումների միջոցով և իհարկե, փոփոխությունների մասին</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գրագետ ու թիրախային ռազմավարական հաղորդակցության իրականացմամբ։ Այդ</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առնչությամբ հարկ ենք համարում նշել, որ պետության և հանրության ճիշտ</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երկխոսության ծավալման համար անհրաժեշտ նախապայմաններից մեկը կարող էր</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լինել Ռազմավարությամբ ոստիկանության նախորդ տարիների գործունեությանը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պատշաճ իրավաքաղաքական գնահատական տալը, հաշվի առնելով, որ</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Ռազմավարությամբ որևէ կերպ չի արձանագրվել այդ գործունեության մեջ տեղ գտած</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կոպտագույն խախտումներն ու բացթողումները: </w:t>
            </w:r>
            <w:r>
              <w:rPr>
                <w:rFonts w:ascii="GHEA Grapalat" w:eastAsia="GHEA Grapalat" w:hAnsi="GHEA Grapalat" w:cs="GHEA Grapalat"/>
                <w:sz w:val="24"/>
                <w:szCs w:val="24"/>
              </w:rPr>
              <w:lastRenderedPageBreak/>
              <w:t>Մինչդեռ այդպիսի արձանագրում</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կատարելը կարող է ոչ միայն հետագայում նման երևույթները կանխարգելելու</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նշանակություն ունենալ, այլ դա կարևորվում է նաև ապագայում ոստիկանության</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գործելակերպում օրինականության սկզբունքը անշեղորեն ապահովելու</w:t>
            </w:r>
          </w:p>
          <w:p w:rsidR="00F2404D" w:rsidRDefault="00A9005C">
            <w:pPr>
              <w:tabs>
                <w:tab w:val="left" w:pos="0"/>
                <w:tab w:val="left" w:pos="342"/>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համատեքստում:</w:t>
            </w:r>
          </w:p>
        </w:tc>
        <w:tc>
          <w:tcPr>
            <w:tcW w:w="2340" w:type="dxa"/>
            <w:tcBorders>
              <w:top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10.Ընդունվել է ի գիտություն</w:t>
            </w:r>
          </w:p>
        </w:tc>
        <w:tc>
          <w:tcPr>
            <w:tcW w:w="4554" w:type="dxa"/>
            <w:tcBorders>
              <w:top w:val="single" w:sz="4" w:space="0" w:color="000000"/>
            </w:tcBorders>
          </w:tcPr>
          <w:p w:rsidR="00F2404D" w:rsidRDefault="00A9005C">
            <w:pPr>
              <w:tabs>
                <w:tab w:val="left" w:pos="0"/>
              </w:tabs>
              <w:spacing w:after="200"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Ռազմավարության թե նախաբանում և թե տեքստում հանրության վստահության բացը պայմանավորած խնդիրներին անդրադաձ է կատարվում և այդ խնդիրների նշումը կառավարության կողմից հաստատվող ռազմավարական փաստաթղթում, արդեն իսկ իրավաքաղաքական գնահատականի ձև է։ Այս առումով ոստիկանության գործունեության որոշ ասպեկտների իրավաքաղաքական </w:t>
            </w:r>
            <w:r>
              <w:rPr>
                <w:rFonts w:ascii="GHEA Grapalat" w:eastAsia="GHEA Grapalat" w:hAnsi="GHEA Grapalat" w:cs="GHEA Grapalat"/>
                <w:sz w:val="24"/>
                <w:szCs w:val="24"/>
              </w:rPr>
              <w:lastRenderedPageBreak/>
              <w:t xml:space="preserve">գնահատականը տրված է նաև 2019 թվականի դեկտեմբերին հաստատված Մարդու իրավունքների ազգային ռազմավարությամբ։ </w:t>
            </w:r>
          </w:p>
        </w:tc>
      </w:tr>
      <w:tr w:rsidR="00F2404D">
        <w:trPr>
          <w:trHeight w:val="495"/>
        </w:trPr>
        <w:tc>
          <w:tcPr>
            <w:tcW w:w="810" w:type="dxa"/>
            <w:vMerge w:val="restart"/>
            <w:vAlign w:val="center"/>
          </w:tcPr>
          <w:p w:rsidR="00F2404D" w:rsidRDefault="00F2404D">
            <w:pPr>
              <w:numPr>
                <w:ilvl w:val="0"/>
                <w:numId w:val="8"/>
              </w:numPr>
              <w:pBdr>
                <w:top w:val="nil"/>
                <w:left w:val="nil"/>
                <w:bottom w:val="nil"/>
                <w:right w:val="nil"/>
                <w:between w:val="nil"/>
              </w:pBdr>
              <w:spacing w:after="200" w:line="276" w:lineRule="auto"/>
              <w:rPr>
                <w:rFonts w:ascii="GHEA Grapalat" w:eastAsia="GHEA Grapalat" w:hAnsi="GHEA Grapalat" w:cs="GHEA Grapalat"/>
                <w:b/>
                <w:color w:val="000000"/>
                <w:sz w:val="24"/>
                <w:szCs w:val="24"/>
              </w:rPr>
            </w:pPr>
          </w:p>
        </w:tc>
        <w:tc>
          <w:tcPr>
            <w:tcW w:w="1830" w:type="dxa"/>
            <w:vMerge w:val="restart"/>
            <w:vAlign w:val="center"/>
          </w:tcPr>
          <w:p w:rsidR="00F2404D" w:rsidRDefault="00A9005C">
            <w:pPr>
              <w:spacing w:before="120" w:after="200" w:line="276"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տարածքային կառավարման և ենթակառուցվածքների նախարարություն</w:t>
            </w:r>
          </w:p>
        </w:tc>
        <w:tc>
          <w:tcPr>
            <w:tcW w:w="5580" w:type="dxa"/>
            <w:tcBorders>
              <w:top w:val="single" w:sz="4" w:space="0" w:color="000000"/>
              <w:bottom w:val="single" w:sz="4" w:space="0" w:color="000000"/>
            </w:tcBorders>
          </w:tcPr>
          <w:p w:rsidR="00F2404D" w:rsidRDefault="00A9005C">
            <w:pPr>
              <w:numPr>
                <w:ilvl w:val="0"/>
                <w:numId w:val="2"/>
              </w:numPr>
              <w:pBdr>
                <w:top w:val="nil"/>
                <w:left w:val="nil"/>
                <w:bottom w:val="nil"/>
                <w:right w:val="nil"/>
                <w:between w:val="nil"/>
              </w:pBdr>
              <w:tabs>
                <w:tab w:val="left" w:pos="0"/>
                <w:tab w:val="left" w:pos="342"/>
              </w:tabs>
              <w:spacing w:line="360" w:lineRule="auto"/>
              <w:ind w:left="252" w:hanging="27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Միգրացիոն ծառայության գործառույթներ իրականացնող մարմինը ստեղծվելիք Ներքին գործերի նախարարության կազմում ներառելու դեպքում անհրաժեշտ է որ.</w:t>
            </w:r>
          </w:p>
          <w:p w:rsidR="00F2404D" w:rsidRDefault="00A9005C">
            <w:pPr>
              <w:numPr>
                <w:ilvl w:val="0"/>
                <w:numId w:val="9"/>
              </w:num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միգրացիայի հարցերով զբաղվող մարմնում ծառայությունը լինի քաղաքացիական բնույթի։ Ի թիվս այլոց, պատճառներից մեկն էլ այն է որ այդ մարմինը պետք է զբաղվի նաև ապաստանի տրամադրման հարցերով, ինչը ուժային կառույցին վերապահելը կարող է խիստ խնդրահարույց լինել,</w:t>
            </w:r>
          </w:p>
          <w:p w:rsidR="00F2404D" w:rsidRDefault="00A9005C">
            <w:pPr>
              <w:numPr>
                <w:ilvl w:val="0"/>
                <w:numId w:val="9"/>
              </w:num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Ն9- նախարարությանը վերապահվի </w:t>
            </w:r>
            <w:r>
              <w:rPr>
                <w:rFonts w:ascii="GHEA Grapalat" w:eastAsia="GHEA Grapalat" w:hAnsi="GHEA Grapalat" w:cs="GHEA Grapalat"/>
                <w:color w:val="000000"/>
                <w:sz w:val="24"/>
                <w:szCs w:val="24"/>
              </w:rPr>
              <w:lastRenderedPageBreak/>
              <w:t>միգրացիոն քաղաքականության մշակման և համակարգման իրավասություն։ Վերջինիս կարևորությունը հիմնավորվում է այն փաստով, որ միգրացիոն ոլորտի որոշ գործառույթներ մնալու են պետական այլ մարմինների գործառույթների տիրույթում (վիզաների տրամադրումը՝ ԱԳՆ-ում, սահմանային հսկողությունը՝ ԱԱԾ-ում և այլն)</w:t>
            </w:r>
          </w:p>
          <w:p w:rsidR="00F2404D" w:rsidRDefault="00A9005C">
            <w:pPr>
              <w:numPr>
                <w:ilvl w:val="0"/>
                <w:numId w:val="9"/>
              </w:numPr>
              <w:pBdr>
                <w:top w:val="nil"/>
                <w:left w:val="nil"/>
                <w:bottom w:val="nil"/>
                <w:right w:val="nil"/>
                <w:between w:val="nil"/>
              </w:pBdr>
              <w:tabs>
                <w:tab w:val="left" w:pos="0"/>
                <w:tab w:val="left" w:pos="342"/>
              </w:tabs>
              <w:spacing w:after="20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կառուցվածքային փոփոխությունը կատարվի ՀՀ ՏԿեՆ միգրացիոն ծառայության և Ոստիկանության ԱՎՎ-ի միավորման ձևով, և նոր մարմինն անվանվի Ն9Ն Միգրացիայի և քաղաքացիության հարցերի ծառայություն՝ հաշվի առնելով գործառույթների բնույթը։</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1.Ընդունվել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1.Համապատասխան փոփոխությունները կատարվել են Ռազմավարության 3-րդ բաժնում:</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2"/>
              </w:numPr>
              <w:pBdr>
                <w:top w:val="nil"/>
                <w:left w:val="nil"/>
                <w:bottom w:val="nil"/>
                <w:right w:val="nil"/>
                <w:between w:val="nil"/>
              </w:pBdr>
              <w:tabs>
                <w:tab w:val="left" w:pos="0"/>
                <w:tab w:val="left" w:pos="342"/>
              </w:tabs>
              <w:spacing w:after="200" w:line="360" w:lineRule="auto"/>
              <w:ind w:left="252" w:hanging="27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«Ոստիկանության կառուցվածքային մոդելը»</w:t>
            </w:r>
          </w:p>
          <w:p w:rsidR="00F2404D" w:rsidRDefault="00A9005C">
            <w:pPr>
              <w:tabs>
                <w:tab w:val="left" w:pos="0"/>
                <w:tab w:val="left" w:pos="342"/>
              </w:tabs>
              <w:spacing w:line="360" w:lineRule="auto"/>
              <w:ind w:left="-18"/>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բաժնի «Ռազմավարությամբ առաջարկվող կազմակերպաիրավական ձևը» մասի 5-րդ պարբերությունում նշված է որ. «բովանդակային և միջսեկտորալ կապ պետք է ապահովվի դատական և իրավական բարեփոխումների 2019–2023թթ ռազմավարությամբ նախատեսված հանրային ծառայությունների մատուցման միասնական գրասենյակների ներդրման ու զարգացման մոտեցման հետ՝ իրականացման տեսանկյունից էլ միավորելով ջանքերը և ապահովելով հանրային որևէ ծառայության՝ ամբողջական ցիկլով ներդրումը»։ Այս առնչությամբ հարկ ենք համարում նկատել որ ներկայումս հանրապետության տարածքի բոլոր խոշորացված համայնքներում գործում են Քաղաքացիների սպասարկման 49 գրասենյակներ (ՔՍԳ), որտեղից քաղաքացին կարող է «մեկ պատուհան» սկզբունքով ստանալ բոլոր համայնքային և վարչական ծառայությունները։ Համայնքների խոշորացմանը զուգահեռ դրանց թիվն առնվազն </w:t>
            </w:r>
            <w:r>
              <w:rPr>
                <w:rFonts w:ascii="GHEA Grapalat" w:eastAsia="GHEA Grapalat" w:hAnsi="GHEA Grapalat" w:cs="GHEA Grapalat"/>
                <w:sz w:val="24"/>
                <w:szCs w:val="24"/>
              </w:rPr>
              <w:lastRenderedPageBreak/>
              <w:t xml:space="preserve">կկրկնապատվկի՝ հնարավորություն տալով ծառայություններն առավել հասանելի դարձնել քաղաքացիների համար։ Միաժամանակ ՔՍԴ-ները, միջազգային գործընկերների (612Լ, ՍՏ/\10 և այլն) օժանդակությամբ, ապահովվում են ինչպես բարեկարգ շենքային պայմաններով, այնպես էլ կազմակերպվում են անձնակազմի վերապատրաստումներ՝ ապահովելով մատուցվող ծառայությունների որակը։ 2018թ–ին ամփոփվել են 26 համայնքներում գործող ՔՍԳ-ների ծառայությունների մատուցումից քաղաքացիների գոհունակության ուսումնասիրության (հարցումն իրականացվել է 1764 քաղաքացիների շրջանում, այսինքն՝ ներկայացուցչական է) արդյունքները, որոնք ցույց են տվել որ հարցված քաղաքացիների 84%-ը լիովին բավարարված է ՔՍՌ-ներում մատուցվող ծառայությունների որակից, իսկ 90%-ը լիովին բավարարված է սպասարկման որակից։ Հետևաբար հարց է առաջանում, թե ինչով են հանրային ծառայությունների </w:t>
            </w:r>
            <w:r>
              <w:rPr>
                <w:rFonts w:ascii="GHEA Grapalat" w:eastAsia="GHEA Grapalat" w:hAnsi="GHEA Grapalat" w:cs="GHEA Grapalat"/>
                <w:sz w:val="24"/>
                <w:szCs w:val="24"/>
              </w:rPr>
              <w:lastRenderedPageBreak/>
              <w:t>մատուցման միասնական գրասենյակները տարբերվելու քաղաքացիների սպասարկման գրասենյակներից, և արդյոք նպատակահարմար չէ՞ քննարկել դրանք նույնպես միավորելու հարցը։</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2.Ընդունվել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2. Համապատասխան փոփոխություններ կատարվել են </w:t>
            </w:r>
            <w:r>
              <w:rPr>
                <w:rFonts w:ascii="GHEA Grapalat" w:eastAsia="GHEA Grapalat" w:hAnsi="GHEA Grapalat" w:cs="GHEA Grapalat"/>
                <w:sz w:val="24"/>
                <w:szCs w:val="24"/>
              </w:rPr>
              <w:lastRenderedPageBreak/>
              <w:t xml:space="preserve">Ռազմավարության 3-րդ բաժնում: </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3.Վերոհիշյալ խնդրի հետ առնչվում է նաև բնակչության ռեգիստրների վարման հարցը։ Կառավարության 2005թ–ի թիվ 1231-Ն որոշման համաձայն, որով սահմանվում է ռեգիստրի վարման կարգը, տեղեկատվության փոխանցման կարգը ձևավորված է որպես «բուրգ», որտեղ տեղեկատվությունը հավաքագրվում է կենտրոնական ռեգիստրում և փոխանցվում տեղական ռեգիստրներին։ Մինչդեռ այս գործընթացն առաջացնում է երկու հիմնական խնդիր՝ ժամանակի/արդյունավետության և տվյալների որակի հետ կապված։ Տեղական մակարդակում համայնքներն ավելի լավ և ավելի շուտ են տիրապետում բնակչության տեղաշարժերի հետ կապված տեղեկատվությանը, քան վարչական </w:t>
            </w:r>
            <w:r>
              <w:rPr>
                <w:rFonts w:ascii="GHEA Grapalat" w:eastAsia="GHEA Grapalat" w:hAnsi="GHEA Grapalat" w:cs="GHEA Grapalat"/>
                <w:sz w:val="24"/>
                <w:szCs w:val="24"/>
              </w:rPr>
              <w:lastRenderedPageBreak/>
              <w:t>մարդակում, ըստ այդմ ունեն ավելի մեծ հնարավորություններ ժամանակին տեղեկատվությունը հավաքագրելու և համակարգելու համար։ Երկրորդ՝ մինչ տեղեկատվությունը պետական մարմիններից փոխանցվում է կենտրոնական ռեգիստր (որոշակի՝ հիմնականում եռամսյա պարբերականությամբ), իսկ այնուհետև տեղական ռեգիստներ, այդ տվյալները հիմնականում այլևս արդիական չեն։</w:t>
            </w:r>
          </w:p>
          <w:p w:rsidR="00F2404D" w:rsidRDefault="00A9005C">
            <w:pPr>
              <w:tabs>
                <w:tab w:val="left" w:pos="0"/>
                <w:tab w:val="left" w:pos="342"/>
              </w:tabs>
              <w:spacing w:line="360" w:lineRule="auto"/>
              <w:ind w:left="-18"/>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Բնակչության պետական ռեգիստրի վարման հետ կապված խնդիրների լուծման տեսանկյունից հիմնական ուղին լիազորությունների պատվիրակումն է համայնքներին։ Ներկայում ՔՍԳ-ներում գործող Համայնքային տեղեկատվական համակարգերում առկա է «Համայնքների բնակչության տվյալների կառավարման ենթահամակարգ», որը լիազորությունների բացակայության պատճառով համայնքների կողմից լիովին չի շահագործվում։ </w:t>
            </w:r>
            <w:r>
              <w:rPr>
                <w:rFonts w:ascii="GHEA Grapalat" w:eastAsia="GHEA Grapalat" w:hAnsi="GHEA Grapalat" w:cs="GHEA Grapalat"/>
                <w:sz w:val="24"/>
                <w:szCs w:val="24"/>
              </w:rPr>
              <w:lastRenderedPageBreak/>
              <w:t>Լիազորությունների պատվիրակումը կլուծի նաև տեղեկատվական «բուրգի» կառուցվածքի խնդիրը, որտեղ տեղեկատվության փոխանցումը տեղի կունենա ինչպես «վերևից ներքև», այնպես էլ «ներքևից վերև»՝ թույլ տալով ունենալ որակյալ և արդիական տեղեկատվություն բնակչության տեղաշարժի և հաշվառմանվերաբերյալ։</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3.Ընդունվել է ի գիտություն</w:t>
            </w:r>
          </w:p>
        </w:tc>
        <w:tc>
          <w:tcPr>
            <w:tcW w:w="4554" w:type="dxa"/>
            <w:tcBorders>
              <w:top w:val="single" w:sz="4" w:space="0" w:color="000000"/>
              <w:bottom w:val="single" w:sz="4" w:space="0" w:color="000000"/>
            </w:tcBorders>
          </w:tcPr>
          <w:p w:rsidR="00F2404D" w:rsidRDefault="00A9005C">
            <w:pPr>
              <w:tabs>
                <w:tab w:val="left" w:pos="0"/>
              </w:tabs>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3.Ոստիկանության նոր կազմակերպաիրավական ձևի գործարկման արդյունքում նշյալ հարցն այլևս արդիական չէ:</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4.Առաջարկում ենք նաև վերանայել նախագծի հավելված 1-ի</w:t>
            </w:r>
            <w:r>
              <w:rPr>
                <w:rFonts w:ascii="GHEA Grapalat" w:eastAsia="GHEA Grapalat" w:hAnsi="GHEA Grapalat" w:cs="GHEA Grapalat"/>
                <w:sz w:val="24"/>
                <w:szCs w:val="24"/>
              </w:rPr>
              <w:tab/>
              <w:t>2-րդ՝</w:t>
            </w:r>
          </w:p>
          <w:p w:rsidR="00F2404D" w:rsidRDefault="00A9005C">
            <w:pPr>
              <w:tabs>
                <w:tab w:val="left" w:pos="0"/>
                <w:tab w:val="left" w:pos="342"/>
              </w:tabs>
              <w:spacing w:line="360" w:lineRule="auto"/>
              <w:ind w:left="-18"/>
              <w:jc w:val="both"/>
              <w:rPr>
                <w:rFonts w:ascii="GHEA Grapalat" w:eastAsia="GHEA Grapalat" w:hAnsi="GHEA Grapalat" w:cs="GHEA Grapalat"/>
                <w:sz w:val="24"/>
                <w:szCs w:val="24"/>
              </w:rPr>
            </w:pPr>
            <w:r>
              <w:rPr>
                <w:rFonts w:ascii="GHEA Grapalat" w:eastAsia="GHEA Grapalat" w:hAnsi="GHEA Grapalat" w:cs="GHEA Grapalat"/>
                <w:sz w:val="24"/>
                <w:szCs w:val="24"/>
              </w:rPr>
              <w:t>«Գործառնական ամփոփագիր» բաժնի «Առաջնահերթ ուղղությունները» մասի ա. կետի վերջին նախադասությունն այն հաշվով, որ սահմանային համալիր կառավարման պետական գործառույթները վերապահվեն ոչ թե ոստիկանությանը այլ ՆԳՆ-ին՝ հաշվի առնելով այն հանգամանքը, որ սահմանների համալիր կառավարումը ենթադրում է ոչ միայն ոստիկանական գործառույթներ</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 xml:space="preserve">4.Ընդունվել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4.Համապատասխան փոփոխություններ են կատարվել Ռազմավարության 1-ին բաժնում՝ սահմանային անցման կետերում սահմանաային ռեժիմի պահպանության հետ կապված հարցերը ենթակա են քննարկման, որոնց ընթացքում նաև կորոշվի ենթակայությունը։ </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ind w:left="-18"/>
              <w:jc w:val="both"/>
              <w:rPr>
                <w:rFonts w:ascii="GHEA Grapalat" w:eastAsia="GHEA Grapalat" w:hAnsi="GHEA Grapalat" w:cs="GHEA Grapalat"/>
                <w:sz w:val="24"/>
                <w:szCs w:val="24"/>
              </w:rPr>
            </w:pPr>
            <w:r>
              <w:rPr>
                <w:rFonts w:ascii="GHEA Grapalat" w:eastAsia="GHEA Grapalat" w:hAnsi="GHEA Grapalat" w:cs="GHEA Grapalat"/>
                <w:sz w:val="24"/>
                <w:szCs w:val="24"/>
              </w:rPr>
              <w:t>5.Նախագծի հավելված 1-ի</w:t>
            </w:r>
            <w:r>
              <w:rPr>
                <w:rFonts w:ascii="GHEA Grapalat" w:eastAsia="GHEA Grapalat" w:hAnsi="GHEA Grapalat" w:cs="GHEA Grapalat"/>
                <w:sz w:val="24"/>
                <w:szCs w:val="24"/>
              </w:rPr>
              <w:tab/>
              <w:t>5-րդ՝ «Պարեկային ծառայության ստեղծում,</w:t>
            </w:r>
          </w:p>
          <w:p w:rsidR="00F2404D" w:rsidRDefault="00A9005C">
            <w:pPr>
              <w:tabs>
                <w:tab w:val="left" w:pos="0"/>
                <w:tab w:val="left" w:pos="342"/>
              </w:tabs>
              <w:spacing w:line="360" w:lineRule="auto"/>
              <w:ind w:left="-18"/>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օպերատիվ կառավարման կենտրոն, սահմանային կառավարում» բաժնի «Պարեկային ծառայության ստեղծում» մասում, պարեկային ծառայության գործառույթների ներքո նշված է նաև սահմանային անցակետերում սահմանային ռեժիմի պահպանությունը գործառույթը։ Այս առնչությամբ բաց է մնում Պարեկային ծառայության և Սահմանապահ ծառայության գործառույթների տարանջատման խնդիրը, կարծում ենք որ անհրաժեշտ է այս հարցում հստակություն մտցնել</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5.Ընդունվել է ի</w:t>
            </w:r>
          </w:p>
        </w:tc>
        <w:tc>
          <w:tcPr>
            <w:tcW w:w="4554" w:type="dxa"/>
            <w:tcBorders>
              <w:top w:val="single" w:sz="4" w:space="0" w:color="000000"/>
              <w:bottom w:val="single" w:sz="4" w:space="0" w:color="000000"/>
            </w:tcBorders>
          </w:tcPr>
          <w:p w:rsidR="00F2404D" w:rsidRDefault="00A9005C">
            <w:pPr>
              <w:tabs>
                <w:tab w:val="left" w:pos="0"/>
              </w:tabs>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Գործառույթները հստակեցվել են։</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0"/>
              </w:numPr>
              <w:pBdr>
                <w:top w:val="nil"/>
                <w:left w:val="nil"/>
                <w:bottom w:val="nil"/>
                <w:right w:val="nil"/>
                <w:between w:val="nil"/>
              </w:pBdr>
              <w:tabs>
                <w:tab w:val="left" w:pos="0"/>
                <w:tab w:val="left" w:pos="72"/>
              </w:tabs>
              <w:spacing w:after="200" w:line="360" w:lineRule="auto"/>
              <w:ind w:left="162" w:hanging="18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Առաջարկում ենք նախագծի հավելված 1-ի</w:t>
            </w:r>
            <w:r>
              <w:rPr>
                <w:rFonts w:ascii="GHEA Grapalat" w:eastAsia="GHEA Grapalat" w:hAnsi="GHEA Grapalat" w:cs="GHEA Grapalat"/>
                <w:color w:val="000000"/>
                <w:sz w:val="24"/>
                <w:szCs w:val="24"/>
              </w:rPr>
              <w:tab/>
              <w:t>10-րդ՝ «Բարեփոխումների իրականացման ներառականություն, գործողությունների մշտադիտարկում և համակարգում» բաժնի երկրորդ պարբերության մեջ նշված Ոստիկանության բարեփոխումների համակարգող խորհրդի կազմում ներառել նաև ՀՀ ՏԿԵՆ միգրացիոն ծառայությանը</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6.Չի ընդունվել</w:t>
            </w:r>
          </w:p>
        </w:tc>
        <w:tc>
          <w:tcPr>
            <w:tcW w:w="4554" w:type="dxa"/>
            <w:tcBorders>
              <w:top w:val="single" w:sz="4" w:space="0" w:color="000000"/>
              <w:bottom w:val="single" w:sz="4" w:space="0" w:color="000000"/>
            </w:tcBorders>
          </w:tcPr>
          <w:p w:rsidR="00F2404D" w:rsidRDefault="00A9005C">
            <w:pPr>
              <w:tabs>
                <w:tab w:val="left" w:pos="0"/>
              </w:tabs>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 xml:space="preserve">6.Հաշվի առնելով, որ միգրացիոն գործառույթը ներառվելու է ոստիկանության նոր կազմակերպաիրավական ձևում, իսկ վերջինս հանդես է գալու որպես Համակարգող խորհրդի անդամ, նպատակահարմար չէ ՀՀ ՏԿԵՆ ներգրավումը այդ խորհրդին: </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10"/>
              </w:numPr>
              <w:pBdr>
                <w:top w:val="nil"/>
                <w:left w:val="nil"/>
                <w:bottom w:val="nil"/>
                <w:right w:val="nil"/>
                <w:between w:val="nil"/>
              </w:pBdr>
              <w:tabs>
                <w:tab w:val="left" w:pos="0"/>
                <w:tab w:val="left" w:pos="342"/>
              </w:tabs>
              <w:spacing w:after="200" w:line="360" w:lineRule="auto"/>
              <w:ind w:left="-18" w:hanging="9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առաջարկում ենք նախագծի հավելված 2-ի</w:t>
            </w:r>
            <w:r>
              <w:rPr>
                <w:rFonts w:ascii="GHEA Grapalat" w:eastAsia="GHEA Grapalat" w:hAnsi="GHEA Grapalat" w:cs="GHEA Grapalat"/>
                <w:color w:val="000000"/>
                <w:sz w:val="24"/>
                <w:szCs w:val="24"/>
              </w:rPr>
              <w:tab/>
              <w:t>2-րդ՝ «Ոստիկանության կառուցվածքային մոդել» ուղղության 4-րդ՝ «Ներքին գործերի նախարարության կազմում Միգրացիոն ծառայության վերակազմակերպման հարցի քննարկում» կետի կատարման ժամկետը նախատեսել ոչ թե 2021, այլ 2020 թվականին։</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spacing w:after="200" w:line="276" w:lineRule="auto"/>
              <w:rPr>
                <w:rFonts w:ascii="GHEA Grapalat" w:eastAsia="GHEA Grapalat" w:hAnsi="GHEA Grapalat" w:cs="GHEA Grapalat"/>
                <w:sz w:val="24"/>
                <w:szCs w:val="24"/>
              </w:rPr>
            </w:pPr>
            <w:r>
              <w:rPr>
                <w:rFonts w:ascii="GHEA Grapalat" w:eastAsia="GHEA Grapalat" w:hAnsi="GHEA Grapalat" w:cs="GHEA Grapalat"/>
                <w:sz w:val="24"/>
                <w:szCs w:val="24"/>
              </w:rPr>
              <w:t>7.Ընդունվել է։</w:t>
            </w:r>
          </w:p>
        </w:tc>
        <w:tc>
          <w:tcPr>
            <w:tcW w:w="4554" w:type="dxa"/>
            <w:tcBorders>
              <w:top w:val="single" w:sz="4" w:space="0" w:color="000000"/>
              <w:bottom w:val="single" w:sz="4" w:space="0" w:color="000000"/>
            </w:tcBorders>
          </w:tcPr>
          <w:p w:rsidR="00F2404D" w:rsidRDefault="00A9005C">
            <w:pPr>
              <w:tabs>
                <w:tab w:val="left" w:pos="0"/>
              </w:tabs>
              <w:spacing w:after="200" w:line="360" w:lineRule="auto"/>
              <w:rPr>
                <w:rFonts w:ascii="GHEA Grapalat" w:eastAsia="GHEA Grapalat" w:hAnsi="GHEA Grapalat" w:cs="GHEA Grapalat"/>
                <w:sz w:val="24"/>
                <w:szCs w:val="24"/>
              </w:rPr>
            </w:pPr>
            <w:r>
              <w:rPr>
                <w:rFonts w:ascii="GHEA Grapalat" w:eastAsia="GHEA Grapalat" w:hAnsi="GHEA Grapalat" w:cs="GHEA Grapalat"/>
                <w:sz w:val="24"/>
                <w:szCs w:val="24"/>
              </w:rPr>
              <w:t>7. Համապատասխան փոփոխությունը կատարվել է ԳԾ-ում։</w:t>
            </w:r>
          </w:p>
        </w:tc>
      </w:tr>
      <w:tr w:rsidR="00F2404D">
        <w:trPr>
          <w:trHeight w:val="495"/>
        </w:trPr>
        <w:tc>
          <w:tcPr>
            <w:tcW w:w="810" w:type="dxa"/>
            <w:vAlign w:val="center"/>
          </w:tcPr>
          <w:p w:rsidR="00F2404D" w:rsidRDefault="00F2404D">
            <w:pPr>
              <w:numPr>
                <w:ilvl w:val="0"/>
                <w:numId w:val="8"/>
              </w:numPr>
              <w:pBdr>
                <w:top w:val="nil"/>
                <w:left w:val="nil"/>
                <w:bottom w:val="nil"/>
                <w:right w:val="nil"/>
                <w:between w:val="nil"/>
              </w:pBdr>
              <w:spacing w:after="200" w:line="276" w:lineRule="auto"/>
              <w:rPr>
                <w:rFonts w:ascii="GHEA Grapalat" w:eastAsia="GHEA Grapalat" w:hAnsi="GHEA Grapalat" w:cs="GHEA Grapalat"/>
                <w:b/>
                <w:color w:val="000000"/>
                <w:sz w:val="24"/>
                <w:szCs w:val="24"/>
              </w:rPr>
            </w:pPr>
          </w:p>
        </w:tc>
        <w:tc>
          <w:tcPr>
            <w:tcW w:w="1830" w:type="dxa"/>
            <w:vAlign w:val="center"/>
          </w:tcPr>
          <w:p w:rsidR="00F2404D" w:rsidRDefault="00A9005C">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կենտրոնական բանկ</w:t>
            </w:r>
          </w:p>
        </w:tc>
        <w:tc>
          <w:tcPr>
            <w:tcW w:w="5580" w:type="dxa"/>
            <w:tcBorders>
              <w:top w:val="single" w:sz="4" w:space="0" w:color="000000"/>
              <w:bottom w:val="single" w:sz="4" w:space="0" w:color="000000"/>
            </w:tcBorders>
          </w:tcPr>
          <w:p w:rsidR="00F2404D" w:rsidRDefault="00A9005C">
            <w:pPr>
              <w:numPr>
                <w:ilvl w:val="0"/>
                <w:numId w:val="3"/>
              </w:numPr>
              <w:pBdr>
                <w:top w:val="nil"/>
                <w:left w:val="nil"/>
                <w:bottom w:val="nil"/>
                <w:right w:val="nil"/>
                <w:between w:val="nil"/>
              </w:pBdr>
              <w:tabs>
                <w:tab w:val="left" w:pos="0"/>
                <w:tab w:val="left" w:pos="342"/>
              </w:tabs>
              <w:spacing w:after="200" w:line="360" w:lineRule="auto"/>
              <w:ind w:left="252" w:hanging="27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Հարկ ենք համարում նշել, որ աշխարհում գոյություն ունի ֆինանսական հետախուզության մարմինների (այսուհետ՝ ՖՀՄ) երեք մոդե՝ վարչական (ավելի հաճախ՝ Կենտրոնական բանկի կազմում կամ անկախ մարմնի տեսքով), իրավապահ (մասնավորապես՝ դատախազական, դատական, ոստիկանական) և հիբրիդային (օրինակ՝ դատախազական-դատական): Բոլոր ՖՀՍ-ների 65%-ը վարչական, 23%-ը՝ իրավապահ, իսկ 12%-ը հիբրիդային մոդելի մարմիններ են: Ընդ որում, վերջին շրջանում նկատելի է </w:t>
            </w:r>
            <w:r>
              <w:rPr>
                <w:rFonts w:ascii="GHEA Grapalat" w:eastAsia="GHEA Grapalat" w:hAnsi="GHEA Grapalat" w:cs="GHEA Grapalat"/>
                <w:b/>
                <w:color w:val="000000"/>
                <w:sz w:val="24"/>
                <w:szCs w:val="24"/>
              </w:rPr>
              <w:t xml:space="preserve">իրավապահից վարչական մոդելի </w:t>
            </w:r>
            <w:r>
              <w:rPr>
                <w:rFonts w:ascii="GHEA Grapalat" w:eastAsia="GHEA Grapalat" w:hAnsi="GHEA Grapalat" w:cs="GHEA Grapalat"/>
                <w:b/>
                <w:color w:val="000000"/>
                <w:sz w:val="24"/>
                <w:szCs w:val="24"/>
              </w:rPr>
              <w:lastRenderedPageBreak/>
              <w:t xml:space="preserve">անցման կայուն միտում </w:t>
            </w:r>
            <w:r>
              <w:rPr>
                <w:rFonts w:ascii="GHEA Grapalat" w:eastAsia="GHEA Grapalat" w:hAnsi="GHEA Grapalat" w:cs="GHEA Grapalat"/>
                <w:color w:val="000000"/>
                <w:sz w:val="24"/>
                <w:szCs w:val="24"/>
              </w:rPr>
              <w:t>(միայն վերջին երկու տարում՝ Գերմանիայի և Մոլդովւսյի ՖՀՍ֊ները):</w:t>
            </w:r>
          </w:p>
          <w:p w:rsidR="00F2404D" w:rsidRDefault="00A9005C">
            <w:pPr>
              <w:tabs>
                <w:tab w:val="left" w:pos="0"/>
                <w:tab w:val="left" w:pos="7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Միջազգային գնահատումների վրա հիմնված փորձի տեսանկյունից անհնար է որևէ հիմնավոր եզրահանգման գալ </w:t>
            </w:r>
            <w:r>
              <w:rPr>
                <w:rFonts w:ascii="GHEA Grapalat" w:eastAsia="GHEA Grapalat" w:hAnsi="GHEA Grapalat" w:cs="GHEA Grapalat"/>
                <w:b/>
                <w:sz w:val="24"/>
                <w:szCs w:val="24"/>
              </w:rPr>
              <w:t xml:space="preserve">ՖՀՄ-ի մոդելի ընտրության և դրա գործունեության արդյունավետության միջև պատճառահետևանքային կապի մասին: </w:t>
            </w:r>
            <w:r>
              <w:rPr>
                <w:rFonts w:ascii="GHEA Grapalat" w:eastAsia="GHEA Grapalat" w:hAnsi="GHEA Grapalat" w:cs="GHEA Grapalat"/>
                <w:sz w:val="24"/>
                <w:szCs w:val="24"/>
              </w:rPr>
              <w:t>Ընդ որում, քիչ չեն երկրները (օրինակ՝ Ավստրիա, Դանիա, Աիտվա, Մեն կղզի), որտեղ ՖՀՄ֊ն իրավապահ մոդելի է, սակայն փողերի լվացման և ահաբեկչության ֆինանսավորման գործերի</w:t>
            </w:r>
          </w:p>
          <w:p w:rsidR="00F2404D" w:rsidRDefault="00A9005C">
            <w:pPr>
              <w:tabs>
                <w:tab w:val="left" w:pos="0"/>
                <w:tab w:val="left" w:pos="342"/>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Կարևոր է նաև ՖԴԿ-ի՝ Կենտրոնական բանկի կազմում գործելու նախապատմությունը, որի հիմքում ընկած է եղել ՖԼԼԹՖ-ի 29-րդ հանձնարարականին համապատասխան՝ </w:t>
            </w:r>
            <w:r>
              <w:rPr>
                <w:rFonts w:ascii="GHEA Grapalat" w:eastAsia="GHEA Grapalat" w:hAnsi="GHEA Grapalat" w:cs="GHEA Grapalat"/>
                <w:b/>
                <w:sz w:val="24"/>
                <w:szCs w:val="24"/>
              </w:rPr>
              <w:t xml:space="preserve">գործառնական անկախությամբ և ինքնավարությամբ օժտված ֆինանսական հետախուզության ազգային մարմին </w:t>
            </w:r>
            <w:r>
              <w:rPr>
                <w:rFonts w:ascii="GHEA Grapalat" w:eastAsia="GHEA Grapalat" w:hAnsi="GHEA Grapalat" w:cs="GHEA Grapalat"/>
                <w:sz w:val="24"/>
                <w:szCs w:val="24"/>
              </w:rPr>
              <w:t>ստեղծելու պահանջը:</w:t>
            </w:r>
            <w:r>
              <w:rPr>
                <w:rFonts w:ascii="GHEA Grapalat" w:eastAsia="GHEA Grapalat" w:hAnsi="GHEA Grapalat" w:cs="GHEA Grapalat"/>
                <w:sz w:val="24"/>
                <w:szCs w:val="24"/>
              </w:rPr>
              <w:tab/>
              <w:t xml:space="preserve">Այդ անկախությունն </w:t>
            </w:r>
            <w:r>
              <w:rPr>
                <w:rFonts w:ascii="GHEA Grapalat" w:eastAsia="GHEA Grapalat" w:hAnsi="GHEA Grapalat" w:cs="GHEA Grapalat"/>
                <w:sz w:val="24"/>
                <w:szCs w:val="24"/>
              </w:rPr>
              <w:lastRenderedPageBreak/>
              <w:t xml:space="preserve">ապահովվում է նախ ՖԴԿ-ի՝ ՀՀ մյուս բոլոր պետական մարմիններից անկախ Կենտրոնական բանկի կառուցվածքային ստորաբաժանում լինելու, ինչպես նաև՝ Կենտրոնական բանկի կառուցվածքում առանձնահատուկ դիրք ունենալու շնորհիվ: Մասնավորապես. </w:t>
            </w:r>
          </w:p>
          <w:p w:rsidR="00F2404D" w:rsidRDefault="00A9005C">
            <w:pPr>
              <w:numPr>
                <w:ilvl w:val="0"/>
                <w:numId w:val="9"/>
              </w:num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ՖԴԿ֊ի բոլոր աշխատակիցները նշանակվում և աշխատանքից ազատվում են Կենտրոնական բանկի խորհրդի անհատական որոշումներով, </w:t>
            </w:r>
          </w:p>
          <w:p w:rsidR="00F2404D" w:rsidRDefault="00A9005C">
            <w:pPr>
              <w:numPr>
                <w:ilvl w:val="0"/>
                <w:numId w:val="9"/>
              </w:num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ՖԴԿ-ն անկախ է տեղեկություններ հավաքելու, վերլուծելու և պատկան մարմիններին հայտնելու իր գործառույթն իրականացնելիս, </w:t>
            </w:r>
          </w:p>
          <w:p w:rsidR="00F2404D" w:rsidRDefault="00A9005C">
            <w:pPr>
              <w:numPr>
                <w:ilvl w:val="0"/>
                <w:numId w:val="9"/>
              </w:num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ՖԴԿ-ն ինքնուրույն է հարաբերվում ներպետական և արտասահմանյան գործընկերների հետ, և </w:t>
            </w:r>
          </w:p>
          <w:p w:rsidR="00F2404D" w:rsidRDefault="00A9005C">
            <w:pPr>
              <w:numPr>
                <w:ilvl w:val="0"/>
                <w:numId w:val="9"/>
              </w:numPr>
              <w:pBdr>
                <w:top w:val="nil"/>
                <w:left w:val="nil"/>
                <w:bottom w:val="nil"/>
                <w:right w:val="nil"/>
                <w:between w:val="nil"/>
              </w:pBdr>
              <w:tabs>
                <w:tab w:val="left" w:pos="0"/>
                <w:tab w:val="left" w:pos="342"/>
              </w:tabs>
              <w:spacing w:after="200"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ՖԴԿ-ն ենթակա չէ քաղաքական, պետական կամ մասնագիտական որևէ </w:t>
            </w:r>
            <w:r>
              <w:rPr>
                <w:rFonts w:ascii="GHEA Grapalat" w:eastAsia="GHEA Grapalat" w:hAnsi="GHEA Grapalat" w:cs="GHEA Grapalat"/>
                <w:color w:val="000000"/>
                <w:sz w:val="24"/>
                <w:szCs w:val="24"/>
              </w:rPr>
              <w:lastRenderedPageBreak/>
              <w:t xml:space="preserve">կառույցի ազդեցությանը: </w:t>
            </w:r>
          </w:p>
          <w:p w:rsidR="00F2404D" w:rsidRDefault="00A9005C">
            <w:pPr>
              <w:tabs>
                <w:tab w:val="left" w:pos="0"/>
                <w:tab w:val="left" w:pos="342"/>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Կենտրոնական բանկի կազմում գործելու հավելյալ նպաստավոր գործոններից են նաև. </w:t>
            </w:r>
          </w:p>
          <w:p w:rsidR="00F2404D" w:rsidRDefault="00A9005C">
            <w:pPr>
              <w:numPr>
                <w:ilvl w:val="0"/>
                <w:numId w:val="9"/>
              </w:num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Կայացած ենթակաոուցվածքներից և օժանդակ ծառայություններից օգտվելու հնարավորությունը, </w:t>
            </w:r>
          </w:p>
          <w:p w:rsidR="00F2404D" w:rsidRDefault="00A9005C">
            <w:pPr>
              <w:numPr>
                <w:ilvl w:val="0"/>
                <w:numId w:val="9"/>
              </w:num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Աշխատակիցների վարձատրության և սոցիալական ապահովության առաջավոր համակարգի առկայությունը,</w:t>
            </w:r>
          </w:p>
          <w:p w:rsidR="00F2404D" w:rsidRDefault="00A9005C">
            <w:pPr>
              <w:numPr>
                <w:ilvl w:val="0"/>
                <w:numId w:val="9"/>
              </w:num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Ֆինանսական համակարգի միակ կարգավորող մարմնի հետ սերտ համագործակցությունը,</w:t>
            </w:r>
          </w:p>
          <w:p w:rsidR="00F2404D" w:rsidRDefault="00A9005C">
            <w:pPr>
              <w:numPr>
                <w:ilvl w:val="0"/>
                <w:numId w:val="9"/>
              </w:numPr>
              <w:pBdr>
                <w:top w:val="nil"/>
                <w:left w:val="nil"/>
                <w:bottom w:val="nil"/>
                <w:right w:val="nil"/>
                <w:between w:val="nil"/>
              </w:pBdr>
              <w:tabs>
                <w:tab w:val="left" w:pos="0"/>
                <w:tab w:val="left" w:pos="342"/>
              </w:tabs>
              <w:spacing w:line="360" w:lineRule="auto"/>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ՀՀ բոլոր իրավապահ մարմինների հետ հավասարաչափ և համաչափ համագործակցությունը:</w:t>
            </w:r>
          </w:p>
          <w:p w:rsidR="00F2404D" w:rsidRDefault="00A9005C">
            <w:pPr>
              <w:pBdr>
                <w:top w:val="nil"/>
                <w:left w:val="nil"/>
                <w:bottom w:val="nil"/>
                <w:right w:val="nil"/>
                <w:between w:val="nil"/>
              </w:pBdr>
              <w:tabs>
                <w:tab w:val="left" w:pos="0"/>
                <w:tab w:val="left" w:pos="342"/>
              </w:tabs>
              <w:spacing w:line="360" w:lineRule="auto"/>
              <w:ind w:left="-18" w:hanging="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Կարծում ենք, որ ֆինանսական հետախուզության ազգային մարմնի գործող մոդելի փոփոխության վերաբերյալ ցանկացած առաջարկ պետք է վերը ներկայացված փաստարկներին հանգամանալից ու բավարար պատասխաններ </w:t>
            </w:r>
            <w:r>
              <w:rPr>
                <w:rFonts w:ascii="GHEA Grapalat" w:eastAsia="GHEA Grapalat" w:hAnsi="GHEA Grapalat" w:cs="GHEA Grapalat"/>
                <w:color w:val="000000"/>
                <w:sz w:val="24"/>
                <w:szCs w:val="24"/>
              </w:rPr>
              <w:lastRenderedPageBreak/>
              <w:t xml:space="preserve">տալուց զատ ներկայացնի փոփոխությամբ ակնկալվող </w:t>
            </w:r>
            <w:r>
              <w:rPr>
                <w:rFonts w:ascii="GHEA Grapalat" w:eastAsia="GHEA Grapalat" w:hAnsi="GHEA Grapalat" w:cs="GHEA Grapalat"/>
                <w:b/>
                <w:color w:val="000000"/>
                <w:sz w:val="24"/>
                <w:szCs w:val="24"/>
              </w:rPr>
              <w:t>չափելի և իրագործելի դրական արդյունքները:</w:t>
            </w:r>
          </w:p>
          <w:p w:rsidR="00F2404D" w:rsidRDefault="00A9005C">
            <w:pPr>
              <w:pBdr>
                <w:top w:val="nil"/>
                <w:left w:val="nil"/>
                <w:bottom w:val="nil"/>
                <w:right w:val="nil"/>
                <w:between w:val="nil"/>
              </w:pBdr>
              <w:tabs>
                <w:tab w:val="left" w:pos="0"/>
                <w:tab w:val="left" w:pos="342"/>
              </w:tabs>
              <w:spacing w:after="200" w:line="360" w:lineRule="auto"/>
              <w:ind w:left="-18" w:hanging="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Հաշվի առնելով վերոգրյալը՝ առաջարկում ենք ՀՀ ոստիկանության բարեփոխումների ռազմավարության և 2020-2022թթ. գործողությունների ծրագրի նախագծից հանել նշված հարցերը:</w:t>
            </w:r>
          </w:p>
        </w:tc>
        <w:tc>
          <w:tcPr>
            <w:tcW w:w="2340" w:type="dxa"/>
            <w:tcBorders>
              <w:top w:val="single" w:sz="4" w:space="0" w:color="000000"/>
              <w:bottom w:val="single" w:sz="4" w:space="0" w:color="000000"/>
            </w:tcBorders>
          </w:tcPr>
          <w:p w:rsidR="00F2404D" w:rsidRDefault="00A9005C">
            <w:pPr>
              <w:spacing w:after="200" w:line="276" w:lineRule="auto"/>
              <w:rPr>
                <w:rFonts w:ascii="GHEA Grapalat" w:eastAsia="GHEA Grapalat" w:hAnsi="GHEA Grapalat" w:cs="GHEA Grapalat"/>
                <w:sz w:val="24"/>
                <w:szCs w:val="24"/>
              </w:rPr>
            </w:pPr>
            <w:r>
              <w:rPr>
                <w:rFonts w:ascii="GHEA Grapalat" w:eastAsia="GHEA Grapalat" w:hAnsi="GHEA Grapalat" w:cs="GHEA Grapalat"/>
                <w:sz w:val="24"/>
                <w:szCs w:val="24"/>
              </w:rPr>
              <w:lastRenderedPageBreak/>
              <w:t>1.Ընդունվել։</w:t>
            </w:r>
          </w:p>
        </w:tc>
        <w:tc>
          <w:tcPr>
            <w:tcW w:w="4554" w:type="dxa"/>
            <w:tcBorders>
              <w:top w:val="single" w:sz="4" w:space="0" w:color="000000"/>
              <w:bottom w:val="single" w:sz="4" w:space="0" w:color="000000"/>
            </w:tcBorders>
          </w:tcPr>
          <w:p w:rsidR="00F2404D" w:rsidRDefault="00A9005C">
            <w:pPr>
              <w:tabs>
                <w:tab w:val="left" w:pos="0"/>
              </w:tabs>
              <w:spacing w:after="200" w:line="360" w:lineRule="auto"/>
              <w:rPr>
                <w:rFonts w:ascii="GHEA Grapalat" w:eastAsia="GHEA Grapalat" w:hAnsi="GHEA Grapalat" w:cs="GHEA Grapalat"/>
                <w:sz w:val="24"/>
                <w:szCs w:val="24"/>
              </w:rPr>
            </w:pPr>
            <w:r>
              <w:rPr>
                <w:rFonts w:ascii="GHEA Grapalat" w:eastAsia="GHEA Grapalat" w:hAnsi="GHEA Grapalat" w:cs="GHEA Grapalat"/>
                <w:sz w:val="24"/>
                <w:szCs w:val="24"/>
              </w:rPr>
              <w:t>1. Համապատասխան փոփոխությունները կատարվել են Ռազմավարության 3-րդ բաժնում:</w:t>
            </w:r>
          </w:p>
        </w:tc>
      </w:tr>
      <w:tr w:rsidR="00F2404D">
        <w:trPr>
          <w:trHeight w:val="495"/>
        </w:trPr>
        <w:tc>
          <w:tcPr>
            <w:tcW w:w="810" w:type="dxa"/>
            <w:vMerge w:val="restart"/>
            <w:vAlign w:val="center"/>
          </w:tcPr>
          <w:p w:rsidR="00F2404D" w:rsidRDefault="00F2404D">
            <w:pPr>
              <w:numPr>
                <w:ilvl w:val="0"/>
                <w:numId w:val="8"/>
              </w:numPr>
              <w:pBdr>
                <w:top w:val="nil"/>
                <w:left w:val="nil"/>
                <w:bottom w:val="nil"/>
                <w:right w:val="nil"/>
                <w:between w:val="nil"/>
              </w:pBdr>
              <w:spacing w:after="200" w:line="276" w:lineRule="auto"/>
              <w:rPr>
                <w:rFonts w:ascii="GHEA Grapalat" w:eastAsia="GHEA Grapalat" w:hAnsi="GHEA Grapalat" w:cs="GHEA Grapalat"/>
                <w:b/>
                <w:color w:val="000000"/>
                <w:sz w:val="24"/>
                <w:szCs w:val="24"/>
              </w:rPr>
            </w:pPr>
          </w:p>
        </w:tc>
        <w:tc>
          <w:tcPr>
            <w:tcW w:w="1830" w:type="dxa"/>
            <w:vMerge w:val="restart"/>
            <w:vAlign w:val="center"/>
          </w:tcPr>
          <w:p w:rsidR="00F2404D" w:rsidRDefault="00A9005C">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ազգային անվտանգության ծառայություն</w:t>
            </w:r>
          </w:p>
          <w:p w:rsidR="00F2404D" w:rsidRDefault="00A9005C">
            <w:pPr>
              <w:spacing w:before="120"/>
              <w:jc w:val="center"/>
              <w:rPr>
                <w:rFonts w:ascii="GHEA Grapalat" w:eastAsia="GHEA Grapalat" w:hAnsi="GHEA Grapalat" w:cs="GHEA Grapalat"/>
                <w:b/>
                <w:sz w:val="24"/>
                <w:szCs w:val="24"/>
              </w:rPr>
            </w:pPr>
            <w:r>
              <w:rPr>
                <w:rFonts w:ascii="GHEA Grapalat" w:eastAsia="GHEA Grapalat" w:hAnsi="GHEA Grapalat" w:cs="GHEA Grapalat"/>
                <w:b/>
                <w:sz w:val="24"/>
                <w:szCs w:val="24"/>
              </w:rPr>
              <w:t>11/136</w:t>
            </w:r>
          </w:p>
        </w:tc>
        <w:tc>
          <w:tcPr>
            <w:tcW w:w="5580" w:type="dxa"/>
            <w:tcBorders>
              <w:top w:val="single" w:sz="4" w:space="0" w:color="000000"/>
              <w:bottom w:val="single" w:sz="4" w:space="0" w:color="000000"/>
            </w:tcBorders>
          </w:tcPr>
          <w:p w:rsidR="00F2404D" w:rsidRDefault="00A9005C">
            <w:pPr>
              <w:numPr>
                <w:ilvl w:val="0"/>
                <w:numId w:val="7"/>
              </w:numPr>
              <w:pBdr>
                <w:top w:val="nil"/>
                <w:left w:val="nil"/>
                <w:bottom w:val="nil"/>
                <w:right w:val="nil"/>
                <w:between w:val="nil"/>
              </w:pBdr>
              <w:tabs>
                <w:tab w:val="left" w:pos="0"/>
                <w:tab w:val="left" w:pos="342"/>
              </w:tabs>
              <w:spacing w:after="200" w:line="360" w:lineRule="auto"/>
              <w:ind w:left="162" w:hanging="16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Ներքին գործերի նախարարության ձևավորման համատեքստում, կարևորելով կազմակերպված հանցավորության դեմ պայքարում ՆՂՆ և ոստիկանության նախատեսվող դերակատարումը, նախագծով առաջարկվում է քննարկման առարկա դարձնել նաև Կենտրոնական բանկի ֆինանսական դիտարկումների կենտրոնը Ներքին գործերի նախարարության կառուցվածքում ներառելու հարցը, որի ընթացքում պետք է քննարկվի նաև գործող վարչական տիպի հետախուզության մարմնի բնույթի հնարավոր փոփոխությունը դեպի </w:t>
            </w:r>
            <w:r>
              <w:rPr>
                <w:rFonts w:ascii="GHEA Grapalat" w:eastAsia="GHEA Grapalat" w:hAnsi="GHEA Grapalat" w:cs="GHEA Grapalat"/>
                <w:color w:val="000000"/>
                <w:sz w:val="24"/>
                <w:szCs w:val="24"/>
              </w:rPr>
              <w:lastRenderedPageBreak/>
              <w:t>իրավապահի:</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Հարկ է նշել, որ Կենտրոնական բանկի ֆինանսական դիտարկումների կենտրոնը գործող օրենսդրության համաձայն, փողերի լվացման, ահաբեկչության և զանգվածային ոչնչացման զենքի տարածման ֆինանսավորման դեմ պայքարի լիազոր մարմինն է և նման լրջագույն հարցին ռազմավարությամբ հպանցիկ մոտեցումը անհասկանալի է, որով առնվազն չի դիտարկման կենտրոնի ներկա մոդելի հնարավոր անարդյունավետության, իսկ որ առավել կարևոր է' կազմակերպված հանցավորության դեմ պայքարում Ներքին գործերի նախարարության կազմում ներառելու ենթադրյալ արդյունավետության վերաբերյալ որևէ փաստարկ, հիմնավորում կամ վերլուծություն:</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Միաժամանակ, առաջարկվող մոդելի փոփոխությունը, այդ թվում' վարչական տիպից դեպի իրավապահ անցումը, հաշվի չի առնում </w:t>
            </w:r>
            <w:r>
              <w:rPr>
                <w:rFonts w:ascii="GHEA Grapalat" w:eastAsia="GHEA Grapalat" w:hAnsi="GHEA Grapalat" w:cs="GHEA Grapalat"/>
                <w:sz w:val="24"/>
                <w:szCs w:val="24"/>
              </w:rPr>
              <w:lastRenderedPageBreak/>
              <w:t>դրա հնարավոր իրագործման դեպքում առաջացող բազմաթիվ տեխնիկական և բովանդակային հարցերը, ինչի կապակցությամբ կարծում ենք, որ ֆինանսական հետախուզության ազգային մարմնի գործող մոդելի փոփոխության վերաբերյալ առաջարկները պետք է ներկայացված լինեն փոփոխությամբ ակնկալվող չափելի և իրագործելի դրական արդյունքներով: Անհրաժեշտ է նկատի ունենալ նաև, որ Կենտրոնական բանկի ֆինանսական դիտարկումների կենտրոնը փողերի լվացման և ահաբեկչության ֆինանսավորման դեմ պայքարի արդյունավետ իրականացման նպատակով ներկայումս համագործակցում է ինչպես ոստիկանության, այնպես էլ այլ իրավապահ մարմինների հետ:</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1. 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rPr>
                <w:rFonts w:ascii="GHEA Grapalat" w:eastAsia="GHEA Grapalat" w:hAnsi="GHEA Grapalat" w:cs="GHEA Grapalat"/>
                <w:sz w:val="24"/>
                <w:szCs w:val="24"/>
              </w:rPr>
            </w:pPr>
            <w:r>
              <w:rPr>
                <w:rFonts w:ascii="GHEA Grapalat" w:eastAsia="GHEA Grapalat" w:hAnsi="GHEA Grapalat" w:cs="GHEA Grapalat"/>
                <w:sz w:val="24"/>
                <w:szCs w:val="24"/>
              </w:rPr>
              <w:t>1. Համապատասխան փոփոխությունները կատարվել են Ռազմավարության 3-րդ բաժնում:</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2.Քրեական ոստիկանությունում քննչական և օպերատիվ ֆունկցիաների միավորմամբ դետեկտիվների ինստիտուտի ներդրումն ունի լրացուցիչ հիմնավորման կարիք՝ հաշվի </w:t>
            </w:r>
            <w:r>
              <w:rPr>
                <w:rFonts w:ascii="GHEA Grapalat" w:eastAsia="GHEA Grapalat" w:hAnsi="GHEA Grapalat" w:cs="GHEA Grapalat"/>
                <w:sz w:val="24"/>
                <w:szCs w:val="24"/>
              </w:rPr>
              <w:lastRenderedPageBreak/>
              <w:t>առնելով այն հանգամանքը, որ անհրաժեշտ կլինի ոլորտային օրենսդրությունում կատարել լայնածավալ և սկզբունքային փոփոխություններ։</w:t>
            </w:r>
          </w:p>
        </w:tc>
        <w:tc>
          <w:tcPr>
            <w:tcW w:w="2340" w:type="dxa"/>
            <w:tcBorders>
              <w:top w:val="single" w:sz="4" w:space="0" w:color="000000"/>
              <w:bottom w:val="single" w:sz="4" w:space="0" w:color="000000"/>
            </w:tcBorders>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2. Ընդունվել է ի գիտություն։</w:t>
            </w:r>
          </w:p>
          <w:p w:rsidR="00F2404D" w:rsidRDefault="00F2404D">
            <w:pPr>
              <w:rPr>
                <w:rFonts w:ascii="GHEA Grapalat" w:eastAsia="GHEA Grapalat" w:hAnsi="GHEA Grapalat" w:cs="GHEA Grapalat"/>
                <w:sz w:val="24"/>
                <w:szCs w:val="24"/>
              </w:rPr>
            </w:pPr>
          </w:p>
        </w:tc>
        <w:tc>
          <w:tcPr>
            <w:tcW w:w="4554" w:type="dxa"/>
            <w:tcBorders>
              <w:top w:val="single" w:sz="4" w:space="0" w:color="000000"/>
              <w:bottom w:val="single" w:sz="4" w:space="0" w:color="000000"/>
            </w:tcBorders>
            <w:vAlign w:val="center"/>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Ըստ ռազմավարության այդ հարցը ենթակա է քննարկման։</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3. Ոստիկանությունում կադրերի պատրաստման և մասնագիտական զարգացման կապակցությամբ անհրաժեշտ է նկատի ունենալ, որ նախագծում շեշտը դրված է ոստիկանության կրթահամալիրի, ոստիկան մասնագիտացմամբ կադրերի պատրաստման վրա։ Այս պայմաններում պարզ չէ, թե այլ մասնագիտություն ունեցող անձինք կարող են արդյոք հավակնել ծառայության անցնել ոստիկանության համակարգում, թե՝ պետք է պարտադիր վերապատրաստվեն։ Ընդ որում, անհրաժեշտ է նկատի ունենալ, որ քննիչի՝ որպես քրեադատավարական սուբյեկտի, համար պարտադիր է ոչ թե ոստիկանի, այլև՝ իրավաբանի մասնագիտություն ու որակավորում։</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3. Ընդունվել է ի գիտություն։</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3.Ռազմավարության տրամաբանությունը կրթահամալիրի կողմից ոստիկանների պատրաստումն է։ Ինչ վերաբերում է քննիչների կրթությանը և մասնագիտական պատրաստվածությանը, ապա այդ գործընթացը կազմակերպվելու է ներկայումս գործող ընթացակարգով՝ արդարադատության ակադեմիայում ուսուցմամբ։</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4.ՀՀ ԱԱԾ սահմանապահ զորքերի հիմնական գործառույթներից մեկը՝ սահմանային </w:t>
            </w:r>
            <w:r>
              <w:rPr>
                <w:rFonts w:ascii="GHEA Grapalat" w:eastAsia="GHEA Grapalat" w:hAnsi="GHEA Grapalat" w:cs="GHEA Grapalat"/>
                <w:sz w:val="24"/>
                <w:szCs w:val="24"/>
              </w:rPr>
              <w:lastRenderedPageBreak/>
              <w:t xml:space="preserve">վերահսկողությունը, ստեղծվելիք ոստիկանության պարեկային ծառայությանը փոխանցելը և, ընդհանուր առմամբ, ՀՀ պետական սահմանի անցման կետերում սահմանային կառավարման գործող մոդելը ձևափոխելու գաղափարը համարում ենք խնդրահարույց և վիճելի: </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4.Ընդունվել է ի գիտություն</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որ նշված հարցն</w:t>
            </w:r>
            <w:r>
              <w:rPr>
                <w:rFonts w:ascii="Merriweather" w:eastAsia="Merriweather" w:hAnsi="Merriweather" w:cs="Merriweather"/>
                <w:sz w:val="24"/>
                <w:szCs w:val="24"/>
              </w:rPr>
              <w:t xml:space="preserve"> </w:t>
            </w:r>
            <w:r>
              <w:rPr>
                <w:rFonts w:ascii="GHEA Grapalat" w:eastAsia="GHEA Grapalat" w:hAnsi="GHEA Grapalat" w:cs="GHEA Grapalat"/>
                <w:sz w:val="24"/>
                <w:szCs w:val="24"/>
              </w:rPr>
              <w:t xml:space="preserve">ավելի խորքային վերլուծության կարիք </w:t>
            </w:r>
            <w:r>
              <w:rPr>
                <w:rFonts w:ascii="GHEA Grapalat" w:eastAsia="GHEA Grapalat" w:hAnsi="GHEA Grapalat" w:cs="GHEA Grapalat"/>
                <w:sz w:val="24"/>
                <w:szCs w:val="24"/>
              </w:rPr>
              <w:lastRenderedPageBreak/>
              <w:t>ունի, իսկ ռազմավարական փաստաթուղթը կարող է նախատեսել ոլորտի հնարավոր փոփոխություններ՝ հիմնվելով խորքային գնահատումների վրա, Ռազմավարությամբ ամրագրված ձևակերպումը լավագույնս բնութագրում է այն քայլերը, որոնք Կառավարությունն անհրաժեշտ է համարում տվյալ հարցի վերաբերյալ տեղեկացված և հիմնավորված լուծում ընդունելու համար:</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5.Ապառազմականացման վերաբերյալ հիմնավորման մասով անհրաժեշտ է հաշվի առնել, որ սահմանային վերահսկողություն իրականացնող ՀՀ ԱԱԾ սահմանապահ զորքերի ստորաբաժանումները խաղաղ պայմաններում մարտական հերթապահություն կամ զինված վերակարգերի ծառայություն իրականացնելու խնդիր չեն կատարում, սակայն պետական սահմանի ավտոմոբիլային և երկաթուղային անցման կետերի վրա </w:t>
            </w:r>
            <w:r>
              <w:rPr>
                <w:rFonts w:ascii="GHEA Grapalat" w:eastAsia="GHEA Grapalat" w:hAnsi="GHEA Grapalat" w:cs="GHEA Grapalat"/>
                <w:sz w:val="24"/>
                <w:szCs w:val="24"/>
              </w:rPr>
              <w:lastRenderedPageBreak/>
              <w:t xml:space="preserve">հնարավոր զինված հարձակումներին, զինված սադրանքներին հակազդելու կամ, հարկ եղած ժամանակ, անձանց անվտանգությանը սպառնացող այլ գործողությունների չեզոքացման նպատակով, սահմանային վերահսկողության ստորաբաժանումների զինծառայողներից կազմավորվում են համապատասխան զինված խմբեր: …… </w:t>
            </w:r>
          </w:p>
          <w:p w:rsidR="00F2404D" w:rsidRDefault="00A9005C">
            <w:pPr>
              <w:tabs>
                <w:tab w:val="left" w:pos="0"/>
                <w:tab w:val="left" w:pos="342"/>
              </w:tabs>
              <w:spacing w:after="20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Միաժամանակ, ՀՀ ոստիկանության բարեփոխումների ռազմավարության 5-րդ կետի 3-րդ ենթակետում անուղղակիորեն ակնարկվում է, որ ներկայումս սահմանային վերահսկողություն իրականացնող ՀՀ ԱԱԾ սահմանապահ զորքերի զինծառայողները չեն համապատասխանում բարեվարքության չափանիշներին և ունեն ընդհանուր ցածր մակարդակ: Անհրաժեշտ է նկատի ունենալ, որ ՀՀ ԱԱԾ սահմանապահ զորքերում բարեվարքության և կրթական մակարդակին շարունակաբար մեծ ուշադրություն է դարձվում, հատկապես հաշվի առնելով, որ ОС ԱԱԾ </w:t>
            </w:r>
            <w:r>
              <w:rPr>
                <w:rFonts w:ascii="GHEA Grapalat" w:eastAsia="GHEA Grapalat" w:hAnsi="GHEA Grapalat" w:cs="GHEA Grapalat"/>
                <w:sz w:val="24"/>
                <w:szCs w:val="24"/>
              </w:rPr>
              <w:lastRenderedPageBreak/>
              <w:t>աշխատակցի բարոյական և մասնագիտական նկարագիրը հստակորեն սահմանված է և անվերապահորեն պահպանվում է: Սկսած 2018 թվականից, սահմանային վերահսկողության ստորաբաժանումներում ծառայության անցնելու համար ընդունվում են առնվազն 1 օտար լեզվի իմացությամբ, բարձր ընդհանուր կրթական մակարդակ ունեցող անձինք: Բացի այդ, սահմանային վերահսկողության անձնակազմի համար մշակվել է նոր նմուշի համազգեստ և հայտարարվել մրցույթ:</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Անհրաժեշտ է նկատի ունենալ, որ ՀՀ ԱԱԾ սահմանապահ զորքերի կողմից </w:t>
            </w:r>
            <w:r>
              <w:rPr>
                <w:rFonts w:ascii="GHEA Grapalat" w:eastAsia="GHEA Grapalat" w:hAnsi="GHEA Grapalat" w:cs="GHEA Grapalat"/>
                <w:i/>
                <w:sz w:val="24"/>
                <w:szCs w:val="24"/>
              </w:rPr>
              <w:t>ՀՀ</w:t>
            </w:r>
            <w:r>
              <w:rPr>
                <w:rFonts w:ascii="GHEA Grapalat" w:eastAsia="GHEA Grapalat" w:hAnsi="GHEA Grapalat" w:cs="GHEA Grapalat"/>
                <w:sz w:val="24"/>
                <w:szCs w:val="24"/>
              </w:rPr>
              <w:t xml:space="preserve"> պետական սահմանի անցման կետերում բացահայտվել են մաքսանենգության և կոռուպցիոն բնույթի բազմաթիվ իրավախախտումներ (այդ թվում' կատարված այլ պետական մարմինների աշխատակիցների կողմից): Դրա հետ մեկտեղ, վերջին 2 տարում ՀՀ ԱԱԾ սահմանապահ զորքերի զինծառայողների կողմից կոռուպցիոն բնույթի հանցագործությունների կատարման </w:t>
            </w:r>
            <w:r>
              <w:rPr>
                <w:rFonts w:ascii="GHEA Grapalat" w:eastAsia="GHEA Grapalat" w:hAnsi="GHEA Grapalat" w:cs="GHEA Grapalat"/>
                <w:sz w:val="24"/>
                <w:szCs w:val="24"/>
              </w:rPr>
              <w:lastRenderedPageBreak/>
              <w:t xml:space="preserve">դեպքեր չեն արձանագրվել: ՀՀ ԱԱԾ սահմանապահ զորքերի՝ սահմանային վերահսկողություն իրականացնող անձնակազմի մասնագիտական և կազմակերպչական ունակությունները, օտար լեզուների իմացությունը, գործառույթների իրականացման պատրաստականությունը և վճռականությունը, ինչպես նաև բարոյահոգեբանական վիճակը գտնվում են անհրաժեշտ մակարդակի վրա և շարունակաբար զարգացվում են: Այս կապակցությամբ Կառավարության 2017 թվականի ապրիլի б-ի նիստի N 14 արձանագրության 1-ին կետով հավանության արժանացած Հայաստանի Հանրապետության սահմանային անվտանգության և պետական սահմանի համալիր կառավարման ապահովմանն ուղղված 2017-2021 թվականների միջոցառումների ծրագրի 2.21 կետի համաձայն՝ պետական սահմանի անցման կետերում գործող մարմինների աշխատակիցների համար </w:t>
            </w:r>
            <w:r>
              <w:rPr>
                <w:rFonts w:ascii="GHEA Grapalat" w:eastAsia="GHEA Grapalat" w:hAnsi="GHEA Grapalat" w:cs="GHEA Grapalat"/>
                <w:sz w:val="24"/>
                <w:szCs w:val="24"/>
              </w:rPr>
              <w:lastRenderedPageBreak/>
              <w:t>մշտական հիմունքներով կազմակերպվում են դասընթացներ (այդ թվում՝ անհատական), որոնք վերաբերում են համապատասխան օտար լեզուների, համակարգչային հմտությունների և կիրառվող տեխնոլոգիական համակարգերի իմացությանը, առկա գիտելիքների բարելավմանը:</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Ելնելով վերոգրյալից, գտնում ենք, որ պետական սահմանի պահպանության մասով առաջարկվող բարեփոխումները, իրենց բնույթով և բովանդակությամբ պետք է միտված լինեն ՀՀ սահմանային անվտանգության ամրապնդմանը և հաշվի առնվեն ռազմական ոլորտի խնդիրները: Ուստի գտնում ենք, որ նախագիծն ունի լրամշակման կարիք, ինչի կապակցությամբ առաջարկում ենք նախաձեռնել աշխատանքային քննարկումներ' ներգրավելով ՀՀ ԱԱԾ, ՀՀ արտաքին գործերի, պաշտպանության նախարարությունների և այլ շահագրգիռ մարմինների ներկայացուցիչներին:</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5.Ընդունվել է ի գիտություն</w:t>
            </w:r>
          </w:p>
        </w:tc>
        <w:tc>
          <w:tcPr>
            <w:tcW w:w="4554" w:type="dxa"/>
            <w:tcBorders>
              <w:top w:val="single" w:sz="4" w:space="0" w:color="000000"/>
              <w:bottom w:val="single" w:sz="4" w:space="0" w:color="000000"/>
            </w:tcBorders>
            <w:vAlign w:val="center"/>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Ապառազմականացման Ռազմավարության կոնցեպտը որևէ ձևով չի հակասում առկա իրավիճակում սահմանային վերահսկողության ստորաբաժանումների զինծառայողների գործողությունների իրականացման ընդունված պրակտիկաներին։</w:t>
            </w:r>
          </w:p>
          <w:p w:rsidR="00F2404D" w:rsidRDefault="00F2404D">
            <w:pPr>
              <w:tabs>
                <w:tab w:val="left" w:pos="0"/>
              </w:tabs>
              <w:spacing w:line="360" w:lineRule="auto"/>
              <w:jc w:val="both"/>
              <w:rPr>
                <w:rFonts w:ascii="GHEA Grapalat" w:eastAsia="GHEA Grapalat" w:hAnsi="GHEA Grapalat" w:cs="GHEA Grapalat"/>
                <w:sz w:val="24"/>
                <w:szCs w:val="24"/>
              </w:rPr>
            </w:pP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Ինչ վերաբերում է բարեվարքության հարցերին, ապա Ռազմավարությամբ որևէ կերպ նկատի չեն առնվում կոնկրետ սահմանապահ զորքերի ծառայողները, փոխարենը խոսքը վերաբերում է սահմանային անցման կետերում ծառայություն իրականացնող տարբեր կառույցների ծառայողների շրջանում կոռուպցիայի կանխարգելման ընդհանրական նպատակին, ինչը մեր կառավարության գործունեության կարևոր ուղղություն է և վերաբերում է բոլոր տեսակի հանրային ծառայություններին և պաշտոնատար անձանց։</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ԱԱԾ հետ աշխատանքային քննարկումները շարունակվելու են։</w:t>
            </w:r>
          </w:p>
        </w:tc>
      </w:tr>
      <w:tr w:rsidR="00F2404D">
        <w:trPr>
          <w:trHeight w:val="495"/>
        </w:trPr>
        <w:tc>
          <w:tcPr>
            <w:tcW w:w="810" w:type="dxa"/>
            <w:vMerge w:val="restart"/>
            <w:vAlign w:val="center"/>
          </w:tcPr>
          <w:p w:rsidR="00F2404D" w:rsidRDefault="00F2404D">
            <w:pPr>
              <w:spacing w:before="120"/>
              <w:jc w:val="center"/>
              <w:rPr>
                <w:rFonts w:ascii="GHEA Grapalat" w:eastAsia="GHEA Grapalat" w:hAnsi="GHEA Grapalat" w:cs="GHEA Grapalat"/>
                <w:b/>
                <w:sz w:val="24"/>
                <w:szCs w:val="24"/>
              </w:rPr>
            </w:pPr>
          </w:p>
        </w:tc>
        <w:tc>
          <w:tcPr>
            <w:tcW w:w="1830" w:type="dxa"/>
            <w:vMerge w:val="restart"/>
            <w:vAlign w:val="center"/>
          </w:tcPr>
          <w:p w:rsidR="00F2404D" w:rsidRDefault="00A9005C">
            <w:pPr>
              <w:spacing w:before="120"/>
              <w:jc w:val="center"/>
              <w:rPr>
                <w:rFonts w:ascii="GHEA Grapalat" w:eastAsia="GHEA Grapalat" w:hAnsi="GHEA Grapalat" w:cs="GHEA Grapalat"/>
                <w:b/>
                <w:sz w:val="24"/>
                <w:szCs w:val="24"/>
              </w:rPr>
            </w:pPr>
            <w:bookmarkStart w:id="1" w:name="_heading=h.gjdgxs" w:colFirst="0" w:colLast="0"/>
            <w:bookmarkEnd w:id="1"/>
            <w:r>
              <w:rPr>
                <w:rFonts w:ascii="GHEA Grapalat" w:eastAsia="GHEA Grapalat" w:hAnsi="GHEA Grapalat" w:cs="GHEA Grapalat"/>
                <w:b/>
                <w:sz w:val="24"/>
                <w:szCs w:val="24"/>
              </w:rPr>
              <w:t>ՀՀ ոստիկանություն</w:t>
            </w:r>
            <w:r>
              <w:rPr>
                <w:rFonts w:ascii="GHEA Grapalat" w:eastAsia="GHEA Grapalat" w:hAnsi="GHEA Grapalat" w:cs="GHEA Grapalat"/>
                <w:b/>
                <w:sz w:val="24"/>
                <w:szCs w:val="24"/>
              </w:rPr>
              <w:br/>
              <w:t>24.03.2020</w:t>
            </w: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Ռազմավարության 1-ին էջի 3-րդ պարբերության </w:t>
            </w:r>
            <w:r>
              <w:rPr>
                <w:rFonts w:ascii="GHEA Grapalat" w:eastAsia="GHEA Grapalat" w:hAnsi="GHEA Grapalat" w:cs="GHEA Grapalat"/>
                <w:sz w:val="24"/>
                <w:szCs w:val="24"/>
                <w:highlight w:val="white"/>
              </w:rPr>
              <w:t>«</w:t>
            </w:r>
            <w:r>
              <w:rPr>
                <w:rFonts w:ascii="GHEA Grapalat" w:eastAsia="GHEA Grapalat" w:hAnsi="GHEA Grapalat" w:cs="GHEA Grapalat"/>
                <w:sz w:val="24"/>
                <w:szCs w:val="24"/>
              </w:rPr>
              <w:t>աստիճանի համեմատաբար ցածր աստիճանը</w:t>
            </w:r>
            <w:r>
              <w:rPr>
                <w:rFonts w:ascii="GHEA Grapalat" w:eastAsia="GHEA Grapalat" w:hAnsi="GHEA Grapalat" w:cs="GHEA Grapalat"/>
                <w:sz w:val="24"/>
                <w:szCs w:val="24"/>
                <w:highlight w:val="white"/>
              </w:rPr>
              <w:t>»</w:t>
            </w:r>
            <w:r>
              <w:rPr>
                <w:rFonts w:ascii="GHEA Grapalat" w:eastAsia="GHEA Grapalat" w:hAnsi="GHEA Grapalat" w:cs="GHEA Grapalat"/>
                <w:sz w:val="24"/>
                <w:szCs w:val="24"/>
              </w:rPr>
              <w:t xml:space="preserve"> բառերը փոխարինել </w:t>
            </w:r>
            <w:r>
              <w:rPr>
                <w:rFonts w:ascii="GHEA Grapalat" w:eastAsia="GHEA Grapalat" w:hAnsi="GHEA Grapalat" w:cs="GHEA Grapalat"/>
                <w:sz w:val="24"/>
                <w:szCs w:val="24"/>
                <w:highlight w:val="white"/>
              </w:rPr>
              <w:t>«</w:t>
            </w:r>
            <w:r>
              <w:rPr>
                <w:rFonts w:ascii="GHEA Grapalat" w:eastAsia="GHEA Grapalat" w:hAnsi="GHEA Grapalat" w:cs="GHEA Grapalat"/>
                <w:sz w:val="24"/>
                <w:szCs w:val="24"/>
              </w:rPr>
              <w:t>համեմատաբար ցածր մակարդակը</w:t>
            </w:r>
            <w:r>
              <w:rPr>
                <w:rFonts w:ascii="GHEA Grapalat" w:eastAsia="GHEA Grapalat" w:hAnsi="GHEA Grapalat" w:cs="GHEA Grapalat"/>
                <w:sz w:val="24"/>
                <w:szCs w:val="24"/>
                <w:highlight w:val="white"/>
              </w:rPr>
              <w:t>»</w:t>
            </w:r>
            <w:r>
              <w:rPr>
                <w:rFonts w:ascii="GHEA Grapalat" w:eastAsia="GHEA Grapalat" w:hAnsi="GHEA Grapalat" w:cs="GHEA Grapalat"/>
                <w:sz w:val="24"/>
                <w:szCs w:val="24"/>
              </w:rPr>
              <w:t xml:space="preserve"> բառերով:</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փոփոխություն</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GHEA Grapalat" w:eastAsia="GHEA Grapalat" w:hAnsi="GHEA Grapalat" w:cs="GHEA Grapalat"/>
                <w:sz w:val="24"/>
                <w:szCs w:val="24"/>
              </w:rPr>
              <w:tab/>
              <w:t>Ռազմավարության 2-րդ էջի 2-րդ և 3-րդ էջի 3-րդ պարբերություններում «քրեական» բառը փոխարինել «քրեադատավարական» բառով:</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փոփոխություն</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Pr>
                <w:rFonts w:ascii="GHEA Grapalat" w:eastAsia="GHEA Grapalat" w:hAnsi="GHEA Grapalat" w:cs="GHEA Grapalat"/>
                <w:sz w:val="24"/>
                <w:szCs w:val="24"/>
              </w:rPr>
              <w:tab/>
              <w:t>Ռազմավարության 4-րդ էջի 2-րդ պարբերության «ապահովումը» բառը փոխարինել «նախատեսել» բառով:</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փոփոխություն</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4.</w:t>
            </w:r>
            <w:r>
              <w:rPr>
                <w:rFonts w:ascii="GHEA Grapalat" w:eastAsia="GHEA Grapalat" w:hAnsi="GHEA Grapalat" w:cs="GHEA Grapalat"/>
                <w:sz w:val="24"/>
                <w:szCs w:val="24"/>
              </w:rPr>
              <w:tab/>
              <w:t>Ռազմավարության 8-րդ էջի վերջին պարբերության վերաբերյալ հայտնվում է, որ ՀՀ ոստիկանությունում ներկայումս էլ գործում են թեկնածուների բարեվարքության և սոցիալական վարքի ստուգման գործուն ընթացակարգեր, ուստի նպատակահարմար կլիներ ռազմավարության տեքստում նշել դրանց վերանայման ուղղությունները և նոր մոտեցումները:</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tc>
        <w:tc>
          <w:tcPr>
            <w:tcW w:w="4554" w:type="dxa"/>
            <w:tcBorders>
              <w:top w:val="single" w:sz="4" w:space="0" w:color="000000"/>
              <w:bottom w:val="single" w:sz="4" w:space="0" w:color="000000"/>
            </w:tcBorders>
            <w:vAlign w:val="center"/>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Ռազմավարությամբ նշված բարեվարքության ստուգումը համապատասխանում է «Դատական և իրավական բարեփոխումների 2019-2023թթ. ռազմավարությամբ» և «2019-2022թթ. Հակակոռուպցիոն ռազմավարությամբ» ներկայացված մոդելին, որն էականորեն տարբերվում է ոստիկանության համակարգում մինչ օրս գործող ընթացակարգերից։ Ուստի </w:t>
            </w:r>
            <w:r>
              <w:rPr>
                <w:rFonts w:ascii="GHEA Grapalat" w:eastAsia="GHEA Grapalat" w:hAnsi="GHEA Grapalat" w:cs="GHEA Grapalat"/>
                <w:sz w:val="24"/>
                <w:szCs w:val="24"/>
              </w:rPr>
              <w:lastRenderedPageBreak/>
              <w:t>ռազմավարությամբ նախատեսվում է բարեվարքության ստուգման մեխանիզմի բարելավում։</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5.</w:t>
            </w:r>
            <w:r>
              <w:rPr>
                <w:rFonts w:ascii="GHEA Grapalat" w:eastAsia="GHEA Grapalat" w:hAnsi="GHEA Grapalat" w:cs="GHEA Grapalat"/>
                <w:sz w:val="24"/>
                <w:szCs w:val="24"/>
              </w:rPr>
              <w:tab/>
              <w:t>Ռազմավարության 9-րդ էջի 1-ին պարբերությունում Հայաստանի Հանրապետության ամբողջ տարածքում Պարեկային ծառայության գործարկման վերջնաժամկետ նշված է 2022 թվականի վերջը, մինչդեռ ռազմավարության 16-րդ էջի 2-րդ պարբերությունում վերջնաժամկետ է նշված 2021 թվականի վերջը, իսկ գործողությունների ծրագրի 3-րդ գլխի    5-րդ կետում՝ 2020 թվականի 1-ին կիսամյակը, ուստի անհրաժեշտ է հստակեցնել նշված ժամկետները:</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Ռազմավարության մեջ կատարվել է համապատասխան փոփոխություն</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6.</w:t>
            </w:r>
            <w:r>
              <w:rPr>
                <w:rFonts w:ascii="GHEA Grapalat" w:eastAsia="GHEA Grapalat" w:hAnsi="GHEA Grapalat" w:cs="GHEA Grapalat"/>
                <w:sz w:val="24"/>
                <w:szCs w:val="24"/>
              </w:rPr>
              <w:tab/>
              <w:t xml:space="preserve">Տարակուսելի է ռազմավարության 13-րդ էջի 1-ին պարբերությունում նշված «վերանայել մարզային ստորաբաժանումների և դրանց կազմի մեջ մտնող կառուցվածքային միավորների պահպանման անհրաժեշտությունը» դրույթը, քանի որ մարզային վարչությունները և իրենց կազմի մեջ </w:t>
            </w:r>
            <w:r>
              <w:rPr>
                <w:rFonts w:ascii="GHEA Grapalat" w:eastAsia="GHEA Grapalat" w:hAnsi="GHEA Grapalat" w:cs="GHEA Grapalat"/>
                <w:sz w:val="24"/>
                <w:szCs w:val="24"/>
              </w:rPr>
              <w:lastRenderedPageBreak/>
              <w:t>մտնող ստորաբաժանումները հանդիսանում են հանցավորության դեմ պայքարի և օպերատիվ իրավիճակի վերահսկման տարածքային հիմնական օղակները: Ուստի պարզ չէ, թե դրանց հնարավոր լուծարման պարագայում այդ գործառույթները որ ստորաբաժանմանն է վերապահվելու: Այս համատեքստում հատկանշական է, որ նոր ձևավորվող Պարեկային ծառայության գործառույթների մեջ ներառված չեն ամբողջ ծավալով հետաքննության և օպերատիվ-հետախուզական գործունեության, ընտանեկան բռնության դեմ պայքարի, ձերբակալվածների պահման վայրերի աշխատանքների կազմակերպման լիազորությունները:</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ի գիտություն</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Աշխատանքային խմբի քննարկումների ընթացքում այս հարցը քանիցս քննարկվել  և որոշում է կայացվել հարցին անդրադառնալ Ոստիկանության կառուցվածքային բարեփոխումների գործընթացում՝ հիմք ընդունելով գործառութային </w:t>
            </w:r>
            <w:r>
              <w:rPr>
                <w:rFonts w:ascii="GHEA Grapalat" w:eastAsia="GHEA Grapalat" w:hAnsi="GHEA Grapalat" w:cs="GHEA Grapalat"/>
                <w:sz w:val="24"/>
                <w:szCs w:val="24"/>
              </w:rPr>
              <w:lastRenderedPageBreak/>
              <w:t xml:space="preserve">կրկնությունների, դրանց արդյունավետ իրականացման, ինչպես  նաև ծախսարդյունավետ լուծումների բոլոր առաջարկությունները։ </w:t>
            </w:r>
          </w:p>
          <w:p w:rsidR="00F2404D" w:rsidRDefault="00F2404D">
            <w:pPr>
              <w:tabs>
                <w:tab w:val="left" w:pos="0"/>
              </w:tabs>
              <w:spacing w:line="360" w:lineRule="auto"/>
              <w:jc w:val="both"/>
              <w:rPr>
                <w:rFonts w:ascii="GHEA Grapalat" w:eastAsia="GHEA Grapalat" w:hAnsi="GHEA Grapalat" w:cs="GHEA Grapalat"/>
                <w:sz w:val="24"/>
                <w:szCs w:val="24"/>
              </w:rPr>
            </w:pPr>
          </w:p>
          <w:p w:rsidR="00F2404D" w:rsidRDefault="00F2404D">
            <w:pPr>
              <w:tabs>
                <w:tab w:val="left" w:pos="0"/>
              </w:tabs>
              <w:spacing w:line="360" w:lineRule="auto"/>
              <w:jc w:val="both"/>
              <w:rPr>
                <w:rFonts w:ascii="GHEA Grapalat" w:eastAsia="GHEA Grapalat" w:hAnsi="GHEA Grapalat" w:cs="GHEA Grapalat"/>
                <w:sz w:val="24"/>
                <w:szCs w:val="24"/>
              </w:rPr>
            </w:pPr>
          </w:p>
          <w:p w:rsidR="00F2404D" w:rsidRDefault="00F2404D">
            <w:pPr>
              <w:tabs>
                <w:tab w:val="left" w:pos="0"/>
              </w:tabs>
              <w:spacing w:line="360" w:lineRule="auto"/>
              <w:jc w:val="both"/>
              <w:rPr>
                <w:rFonts w:ascii="GHEA Grapalat" w:eastAsia="GHEA Grapalat" w:hAnsi="GHEA Grapalat" w:cs="GHEA Grapalat"/>
                <w:sz w:val="24"/>
                <w:szCs w:val="24"/>
              </w:rPr>
            </w:pPr>
          </w:p>
          <w:p w:rsidR="00F2404D" w:rsidRDefault="00F2404D">
            <w:pPr>
              <w:tabs>
                <w:tab w:val="left" w:pos="0"/>
              </w:tabs>
              <w:spacing w:line="360" w:lineRule="auto"/>
              <w:jc w:val="both"/>
              <w:rPr>
                <w:rFonts w:ascii="GHEA Grapalat" w:eastAsia="GHEA Grapalat" w:hAnsi="GHEA Grapalat" w:cs="GHEA Grapalat"/>
                <w:sz w:val="24"/>
                <w:szCs w:val="24"/>
              </w:rPr>
            </w:pP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7.</w:t>
            </w:r>
            <w:r>
              <w:rPr>
                <w:rFonts w:ascii="GHEA Grapalat" w:eastAsia="GHEA Grapalat" w:hAnsi="GHEA Grapalat" w:cs="GHEA Grapalat"/>
                <w:sz w:val="24"/>
                <w:szCs w:val="24"/>
              </w:rPr>
              <w:tab/>
              <w:t xml:space="preserve">Ռազմավարության 15-րդ էջի 1-ին պարբերության 7-րդ կետում «դեպքի վայրում դրանց ստուգումը» բառերից հետո լրացնել «ինչպես նաև արձանագրումը» բառերը, 9-րդ կետում «հետախուզման մեջ գտնվող» բառերը փոխարինել «հետախուզվող ենթադրյալ </w:t>
            </w:r>
            <w:r>
              <w:rPr>
                <w:rFonts w:ascii="GHEA Grapalat" w:eastAsia="GHEA Grapalat" w:hAnsi="GHEA Grapalat" w:cs="GHEA Grapalat"/>
                <w:sz w:val="24"/>
                <w:szCs w:val="24"/>
              </w:rPr>
              <w:lastRenderedPageBreak/>
              <w:t>հանցագործների» բառերով, 10-րդ կետի «պահպանությունը» բառից հետո ավելացնել «ականատես վկաների հայտնաբերումը» բառերը, 13-րդ կետում «իր ենթակայությանը հանձնված վարչական իրավախախտումների դեպքերի արձանագրումը, պետական հաշվառումը» բառերը փոխարինել «իր ենթակայությանը վերապահված վարչական իրավախախտումների դեպքերի արձանագրումը և հաշվառումը» բառերով, 14-րդ կետում «իր ենթակայությանը հանձնված վարչական իրավախախտումների վերաբերյալ գործերով վարչական վարույթի իրականացումը» բառերը փոխարինել «իր ենթակայությանը վերապահված վարչական իրավախախտումների վերաբերյալ գործերով վարույթի իրականացումը» բառերով: Պարբերությունը լրացնել հետևյալ բովանդակությամբ երկու նոր կետերով.</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w:t>
            </w:r>
            <w:r>
              <w:rPr>
                <w:rFonts w:ascii="GHEA Grapalat" w:eastAsia="GHEA Grapalat" w:hAnsi="GHEA Grapalat" w:cs="GHEA Grapalat"/>
                <w:sz w:val="24"/>
                <w:szCs w:val="24"/>
              </w:rPr>
              <w:tab/>
              <w:t>հանցագործության մասին հաղորդումների ընդունում,</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2)</w:t>
            </w:r>
            <w:r>
              <w:rPr>
                <w:rFonts w:ascii="GHEA Grapalat" w:eastAsia="GHEA Grapalat" w:hAnsi="GHEA Grapalat" w:cs="GHEA Grapalat"/>
                <w:sz w:val="24"/>
                <w:szCs w:val="24"/>
              </w:rPr>
              <w:tab/>
              <w:t>դժվարին իրավիճակներում հայտնված անձանց օգնություն և աջակցություն:</w:t>
            </w:r>
          </w:p>
        </w:tc>
        <w:tc>
          <w:tcPr>
            <w:tcW w:w="2340" w:type="dxa"/>
            <w:tcBorders>
              <w:top w:val="single" w:sz="4" w:space="0" w:color="000000"/>
              <w:bottom w:val="single" w:sz="4" w:space="0" w:color="000000"/>
            </w:tcBorders>
          </w:tcPr>
          <w:p w:rsidR="00F2404D" w:rsidRDefault="00A9005C">
            <w:pPr>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մասնակի</w:t>
            </w:r>
          </w:p>
        </w:tc>
        <w:tc>
          <w:tcPr>
            <w:tcW w:w="4554" w:type="dxa"/>
            <w:tcBorders>
              <w:top w:val="single" w:sz="4" w:space="0" w:color="000000"/>
              <w:bottom w:val="single" w:sz="4" w:space="0" w:color="000000"/>
            </w:tcBorders>
            <w:vAlign w:val="center"/>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են համապատասխան փոփոխություններ։</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Դժվարին իրավիճակներում հայտնված քաղաքացիներին օգնությունը և աջակցությունը որպես առանձին գործառույթ չեն ներառվել պարեկային </w:t>
            </w:r>
            <w:r>
              <w:rPr>
                <w:rFonts w:ascii="GHEA Grapalat" w:eastAsia="GHEA Grapalat" w:hAnsi="GHEA Grapalat" w:cs="GHEA Grapalat"/>
                <w:sz w:val="24"/>
                <w:szCs w:val="24"/>
              </w:rPr>
              <w:lastRenderedPageBreak/>
              <w:t>ծառայության գործառույթների շարքում վերջինիս բավական լայն և անորոշ լինելու պատճառով։ Բացի այդ, քաղաքացիներին օգնություն ցուցաբերելը որպես առանձին գործառույթ սահմանելը նպատակահարմար չենք համարում նաև այն պատճառով, որ վերջինս անհրաժեշտ է դիտարկել պարեկի կողմից իր ծառայությանը ցուցաբերվող մոտեցում և քաղաքացիակենտրոն ծառայություն իրականացնելու գաղափար, այլ կերպ ասած՝ աշխատանքի բնույթ և ոչ թե՝ կոնկրետ գործառույթ։</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«Հետախուզման մեջ գտնվող» բառերը փոփոխման չեն ենթարկվել, քանի որ հարուցված քրեական գործի շրջանակներում անձի նկատմամբ հետախուզում է հայտարարվում ենթադրյալ հանցավոր արարք </w:t>
            </w:r>
            <w:r>
              <w:rPr>
                <w:rFonts w:ascii="GHEA Grapalat" w:eastAsia="GHEA Grapalat" w:hAnsi="GHEA Grapalat" w:cs="GHEA Grapalat"/>
                <w:sz w:val="24"/>
                <w:szCs w:val="24"/>
              </w:rPr>
              <w:lastRenderedPageBreak/>
              <w:t>կատարելու համար, ուստի, առաջարկված տարբերակն իր մեջ կրկնաբանություն է պարունակում։ Միաժամանակ, այդպիսով ապահովվում է քրեադատավարական տերմինների միասնականությունը։</w:t>
            </w:r>
          </w:p>
          <w:p w:rsidR="00F2404D" w:rsidRDefault="00A9005C">
            <w:pPr>
              <w:tabs>
                <w:tab w:val="left" w:pos="0"/>
              </w:tabs>
              <w:spacing w:line="360" w:lineRule="auto"/>
              <w:jc w:val="both"/>
              <w:rPr>
                <w:rFonts w:ascii="GHEA Grapalat" w:eastAsia="GHEA Grapalat" w:hAnsi="GHEA Grapalat" w:cs="GHEA Grapalat"/>
                <w:sz w:val="24"/>
                <w:szCs w:val="24"/>
              </w:rPr>
            </w:pPr>
            <w:bookmarkStart w:id="2" w:name="_heading=h.30j0zll" w:colFirst="0" w:colLast="0"/>
            <w:bookmarkEnd w:id="2"/>
            <w:r>
              <w:rPr>
                <w:rFonts w:ascii="GHEA Grapalat" w:eastAsia="GHEA Grapalat" w:hAnsi="GHEA Grapalat" w:cs="GHEA Grapalat"/>
                <w:sz w:val="24"/>
                <w:szCs w:val="24"/>
              </w:rPr>
              <w:t>Ինչ վերաբերում է ականատես վկաների հայտնաբերման մասին առանձին նշում անելուն, ապա գտնում ենք, որ դրա անհրաժեշտությունը բացակայում է, քանի որ պարեկային ոստիկանները օժտված են լինելու օպերատիվ հարցումներ իրականացնելու լիազորությամբ, որի նպատակների մեջ ակնհայտորեն ներառվում է նաև ականատես վկաների հայտնաբերումը։</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8.</w:t>
            </w:r>
            <w:r>
              <w:rPr>
                <w:rFonts w:ascii="GHEA Grapalat" w:eastAsia="GHEA Grapalat" w:hAnsi="GHEA Grapalat" w:cs="GHEA Grapalat"/>
                <w:sz w:val="24"/>
                <w:szCs w:val="24"/>
              </w:rPr>
              <w:tab/>
              <w:t xml:space="preserve">Ռազմավարության 16-րդ էջի վերջին պարբերությունում նշված է, որ միայն Պարեկային ծառայության ինստիտուցիոնալ կայանալուց հետո է վերջինիս վերապահվելու </w:t>
            </w:r>
            <w:r>
              <w:rPr>
                <w:rFonts w:ascii="GHEA Grapalat" w:eastAsia="GHEA Grapalat" w:hAnsi="GHEA Grapalat" w:cs="GHEA Grapalat"/>
                <w:sz w:val="24"/>
                <w:szCs w:val="24"/>
              </w:rPr>
              <w:lastRenderedPageBreak/>
              <w:t xml:space="preserve">ճանապարհատրանսպորտային պատահարներով նյութերի նախապատրաստաման և հետաքննության (հետագայում հնարավոր է նաև նախաքննության) գործառույթ, մինչդեռ ներկայումս այդ գործառույթն իրականացվում է Ճանապարհային ոստիկանության ծառայության կողմից, ինչը ռազմավարությամբ նախատեսված է լուծարել: Ուստի առաջարկվում է վերը նշված քրեադատավարական գործառույթներն ի սկզբանե նախատեսել Պարեկային ծառայության գործառույթներում կամ վերապահել մեկ այլ ստորաբաժանման: Այս համատեքստում հստակեցման կարիք ունեն նաև Ճանապարհային ոստիկանության ծառայության կրճատմամբ և Պարեկային ծառայության ստեղծմամբ այնպիսի ծառայությունների կարգավիճակի և ենթակայության հարցերը, ինչպիսիք են հաշվառման-քննական և ավտոփորձաքննության բաժինը, ուստի ելնելով </w:t>
            </w:r>
            <w:r>
              <w:rPr>
                <w:rFonts w:ascii="GHEA Grapalat" w:eastAsia="GHEA Grapalat" w:hAnsi="GHEA Grapalat" w:cs="GHEA Grapalat"/>
                <w:sz w:val="24"/>
                <w:szCs w:val="24"/>
              </w:rPr>
              <w:lastRenderedPageBreak/>
              <w:t>աշխատանքների անընդհատության և մատուցվող ծառայությունների որակի պահպանման անհրաժեշտությունից՝ վերը նշված խնդիրներին անհրաժեշտ է անդրադառնալ գործողությունների նախնական փուլում:</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9.</w:t>
            </w:r>
            <w:r>
              <w:rPr>
                <w:rFonts w:ascii="GHEA Grapalat" w:eastAsia="GHEA Grapalat" w:hAnsi="GHEA Grapalat" w:cs="GHEA Grapalat"/>
                <w:sz w:val="24"/>
                <w:szCs w:val="24"/>
              </w:rPr>
              <w:tab/>
              <w:t>Ռազմավարության 17-րդ էջի վերջին պարբերության վերաբերյալ առաջարկում ենք նախատեսել նաև օդային, հեծանվային և մոտորասահնակային պարեկային մասնագիտացված ծառայությունների իրականացում:</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փոփոխություն</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10.</w:t>
            </w:r>
            <w:r>
              <w:rPr>
                <w:rFonts w:ascii="GHEA Grapalat" w:eastAsia="GHEA Grapalat" w:hAnsi="GHEA Grapalat" w:cs="GHEA Grapalat"/>
                <w:sz w:val="24"/>
                <w:szCs w:val="24"/>
              </w:rPr>
              <w:tab/>
              <w:t>Ռազմավարության 18-րդ էջի «մեկ միասնական օպերատիվ կառավարման կենտրոնի (ՕԿԿ) ստեղծում» բաժինը լրացնել ՕԿԿ խնդիրներով և գործառույթներով հետևյալ բովանդակությամբ.</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Խնդիրներ՝</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քաղաքացիներից ստացված ահազանգերի </w:t>
            </w:r>
            <w:r>
              <w:rPr>
                <w:rFonts w:ascii="GHEA Grapalat" w:eastAsia="GHEA Grapalat" w:hAnsi="GHEA Grapalat" w:cs="GHEA Grapalat"/>
                <w:sz w:val="24"/>
                <w:szCs w:val="24"/>
              </w:rPr>
              <w:lastRenderedPageBreak/>
              <w:t>սպասարկումը,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պարեկային ծառայության օպերատիվ կառավարումը,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ոստիկանական ծառայությունների տեղեկատվական-վերլուծական ապահովումը,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պարեկային ծառայության և այլ ուժերի համատեղ գործողությունների համակարգումը: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Գործառույթներ՝</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ստացված ահազանգերի ընդունումը, գրանցումը, դասակարգումը, սպասարկումը և ստացված տեղեկատվության ըստ ենթակայության փոխանցումը,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արտակարգ իրավիճակի կամ շտապ բժշկական օգնության զանգեր ստանալու դեպքում դրանք իրավասու մարմիններին (օպերատորներին) փոխանցումը,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քաղաքացիներին խորհրդատվական, մասնագիտական տեղեկատվության տրամադրումը և հոգեբանական աջակցության ցուցաբերումը,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ահազանգող քաղաքացու գտնվելու վայրի և /կամ/ վերջինիս կողմից նշված դեպքի վայրի պարզումը (տեղորոշում),</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անհրաժեշտությամբ պայմանավորված՝ ահազանգող քաղաքացու գտնվելու կամ վերջինիս կողմից նշված դեպքի վայր պարեկային և /կամ/ այլ օպերատիվ կարգախմբերի մեկնման ապահովումը,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մեկնող պարեկային կարգախմբին անհրաժեշտ տեղեկությունների և կողմնորոշիչ տվյալների տրամադրումը,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պարեկային կարգախմբից ստացած տեղեկատվության հիման վրա օպերատիվ խմբի և /կամ/ քննիչի  դեպքի վայր մեկնման ապահովումը,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օպերատիվ իրավիճակով պայմանավորված՝ լրացուցիչ պարեկային կարգախմբեր դեպքի վայր ուղարկելը և պարեկային վերակարգերի տեղաբաշխման փոփոխության կազմակերպումը,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զանգվածային միջոցառումների ժամանակ </w:t>
            </w:r>
            <w:r>
              <w:rPr>
                <w:rFonts w:ascii="GHEA Grapalat" w:eastAsia="GHEA Grapalat" w:hAnsi="GHEA Grapalat" w:cs="GHEA Grapalat"/>
                <w:sz w:val="24"/>
                <w:szCs w:val="24"/>
              </w:rPr>
              <w:lastRenderedPageBreak/>
              <w:t>պարեկային կարգախմբերի և ներգրավված այլ ուժերի կառավարումը և համակարգումը,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սպասարկվող տարածքում օպերատիվ (քրեածին) իրավիճակի, ճանապարհային երթևեկության կազմակերպման վերլուծության իրականացումը, այդ թվում՝ ավտոմատացված վերլուծական համակարգերի միջոցով,</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Ոստիկանության ծառայություններին անհրաժեշտ տեղեկատվական տվյալների փոխանցումը, ինչպես նաև վերլուծական աջակցության ցուցաբերումը,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ըստ անհրաժեշտության՝ հասարակական վայրերի տեսադիտարկումը (վիդեոմոնիթորինգ),</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տեսավերլուծության արդյունքում ստացված ազդանշաններին օպերատիվ արձագանքումը (հետախուզվող անձանց և տրանսպորտային միջոցների հաշվառման համարանիշերի ավտոմատ նույնականացում):</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tc>
        <w:tc>
          <w:tcPr>
            <w:tcW w:w="4554" w:type="dxa"/>
            <w:tcBorders>
              <w:top w:val="single" w:sz="4" w:space="0" w:color="000000"/>
              <w:bottom w:val="single" w:sz="4" w:space="0" w:color="000000"/>
            </w:tcBorders>
            <w:vAlign w:val="center"/>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Կատարվել է համապատասխան փոփոխություն</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10. Ռազմավարության 21-րդ էջի 1-ին պարբերության 6-րդ ենթակետի «ազգային </w:t>
            </w:r>
            <w:r>
              <w:rPr>
                <w:rFonts w:ascii="GHEA Grapalat" w:eastAsia="GHEA Grapalat" w:hAnsi="GHEA Grapalat" w:cs="GHEA Grapalat"/>
                <w:sz w:val="24"/>
                <w:szCs w:val="24"/>
              </w:rPr>
              <w:lastRenderedPageBreak/>
              <w:t xml:space="preserve">գվարդիան ներգրավելու է» բառերից հետո ավելացնել «զանգվածային միջոցառումների ընթացքում հասարակական կարգը պահպանելիս, բարձրաստիճան պաշտոնատար անձանց, ինչպես նաև պետական արարողակարգով նախատեսված օտարերկրյա պատվիրակությունների, ներկայացուցիչների անվտանգության ապահովմանն աջակցելիս» բառերը, քանի որ նշված գործառույթները ներկայումս իրականացվում են լուծարման ենթակա Պարեկապահակետային գնդի և Ճանապարհային ոստիկանության ծառայությունների կողմից ու չեն հանդիսանում նոր Պարեկային ծառայության խնդիր: Ընդ որում, անհրաժեշտ է նկատի ունենալ, որ գործնականում այս գործառույթը կազմակերպվում և իրականացվում է նաև տարածքային մարմինների /քրեական ոստիկանություն, համայնքային ոստիկանություն, անչափահասների իրավունքների պաշտպանության և ընտանիքում </w:t>
            </w:r>
            <w:r>
              <w:rPr>
                <w:rFonts w:ascii="GHEA Grapalat" w:eastAsia="GHEA Grapalat" w:hAnsi="GHEA Grapalat" w:cs="GHEA Grapalat"/>
                <w:sz w:val="24"/>
                <w:szCs w:val="24"/>
              </w:rPr>
              <w:lastRenderedPageBreak/>
              <w:t>բռնության դեմ պայքարի ստորաբաժանում/ ծառայողների համատեղ ուժերով, ինչն արդարացված չէ, առաջացնում է լրացուցիչ ծանրաբեռնվածություն` էականորեն դժվարեցնելով վերջիններիս հիմնական գործառույթների արդյունավետ կատարումը:</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tc>
        <w:tc>
          <w:tcPr>
            <w:tcW w:w="4554" w:type="dxa"/>
            <w:tcBorders>
              <w:top w:val="single" w:sz="4" w:space="0" w:color="000000"/>
              <w:bottom w:val="single" w:sz="4" w:space="0" w:color="000000"/>
            </w:tcBorders>
            <w:vAlign w:val="center"/>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Նախագծում կատարվել է համապատասխան փոփոխություն</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11. Ռազմավարության 23-րդ էջի վերջին և 24-րդ էջի 1-ին պարբերություններով նախատեսված է տարանջատել Ոստիկանության և մյուս մարմինների քննչական ենթակայության հանձնվող գործերի շրջանակը: Առաջարկում ենք հստակեցնել տարանջատման մոտեցումները:</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p>
        </w:tc>
        <w:tc>
          <w:tcPr>
            <w:tcW w:w="4554" w:type="dxa"/>
            <w:tcBorders>
              <w:top w:val="single" w:sz="4" w:space="0" w:color="000000"/>
              <w:bottom w:val="single" w:sz="4" w:space="0" w:color="000000"/>
            </w:tcBorders>
            <w:vAlign w:val="center"/>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Ռազմավարության նշված հատվածի հաջորդ պարբերությամբ հստակ նախանշված են հնարավոր այնպիսի գործերի շրջանակը, որոնց հիման վրա քրեական դատավարության օրենսգրքում կվերապահվի քննչական ենթակայությունը։</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12. Ռազմավարության 25-րդ էջում համայնքային ոստիկանության գործառույթները կազմելիս առաջարկվում է նկատի ունենալ նաև ՀՀ կառավարության 2014թ. նոյեմբերի 6-ի թիվ 1254-Ն որոշմամբ համայնքային ոստիկանությանը վերապահված լիազորությունները:</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tc>
        <w:tc>
          <w:tcPr>
            <w:tcW w:w="4554" w:type="dxa"/>
            <w:tcBorders>
              <w:top w:val="single" w:sz="4" w:space="0" w:color="000000"/>
              <w:bottom w:val="single" w:sz="4" w:space="0" w:color="000000"/>
            </w:tcBorders>
            <w:vAlign w:val="center"/>
          </w:tcPr>
          <w:p w:rsidR="00F2404D" w:rsidRDefault="00F2404D">
            <w:pPr>
              <w:tabs>
                <w:tab w:val="left" w:pos="0"/>
              </w:tabs>
              <w:spacing w:line="360" w:lineRule="auto"/>
              <w:jc w:val="both"/>
              <w:rPr>
                <w:rFonts w:ascii="GHEA Grapalat" w:eastAsia="GHEA Grapalat" w:hAnsi="GHEA Grapalat" w:cs="GHEA Grapalat"/>
                <w:sz w:val="24"/>
                <w:szCs w:val="24"/>
              </w:rPr>
            </w:pP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13. Ռազմավարության 25-րդ էջի 3-րդ </w:t>
            </w:r>
            <w:r>
              <w:rPr>
                <w:rFonts w:ascii="GHEA Grapalat" w:eastAsia="GHEA Grapalat" w:hAnsi="GHEA Grapalat" w:cs="GHEA Grapalat"/>
                <w:sz w:val="24"/>
                <w:szCs w:val="24"/>
              </w:rPr>
              <w:lastRenderedPageBreak/>
              <w:t>պարբերությունում նշված է, որ համայնքային ոստիկանության գաղափարից չի բխում տեղեկատվության հավաքագրումը և տարատեսակ դիմումների վերաբերյալ պատասխաններ տրամադրելը: Այս առումով անհրաժեշտ է հստակեցնել, թե ինչպիսի տեղեկությունների և դիմումների մասին է խոսքը, քանի որ համայնքային ոստիկանը հանդիսանում է վարչարարություն իրականացնող պաշտոնատար անձ և իր գործառութային պարտականություններն արդյունավետ կատարելու համար պարտավոր է հավաքագրել տեղեկություններ և սահմանված ժամկետներում նախապատրաստել դիմումների պատասխաններ:</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ի գիտություն</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Համայնքային ոստիկանության </w:t>
            </w:r>
            <w:r>
              <w:rPr>
                <w:rFonts w:ascii="GHEA Grapalat" w:eastAsia="GHEA Grapalat" w:hAnsi="GHEA Grapalat" w:cs="GHEA Grapalat"/>
                <w:sz w:val="24"/>
                <w:szCs w:val="24"/>
              </w:rPr>
              <w:lastRenderedPageBreak/>
              <w:t>գործառութային փոփոխությունների համատեքստում նախատեսվում է հստակեցնել համայնքային ոստիկանի արդյունավետ գործունեության համար անհրաժեշտ գործողությունները, ինչին հասնելու համար կրթական ծրագրերում ևս կարվեն անհրաժեշտ փոփոխություններ։ Միաժամանակ, դիտարկումից զատ կոնկրետ առաջարկություն չի ներկայացվել։</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14. Ռազմավարության 26-րդ էջի 4-րդ պարբերությունը շարադրել հետևյալ կերպ՝</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 անհրաժեշտ է երկկողմ մակարդակում շարունակել համագործակցությունը ՌԴ ներքին գործերի նախարարության հետ՝ ՌԴ ներքին գործերի նախարարության և Ոստիկանության </w:t>
            </w:r>
            <w:r>
              <w:rPr>
                <w:rFonts w:ascii="GHEA Grapalat" w:eastAsia="GHEA Grapalat" w:hAnsi="GHEA Grapalat" w:cs="GHEA Grapalat"/>
                <w:sz w:val="24"/>
                <w:szCs w:val="24"/>
              </w:rPr>
              <w:lastRenderedPageBreak/>
              <w:t xml:space="preserve">Միավորված կոլեգիայի ֆորմատով, ինչպես նաև համագործակցությունը ԱՊՀ մասնակից պետությունների ներքին գործերի նախարարությունների հետ՝ ԱՊՀ ՆԳՆ Խորհրդի շրջանակներում, </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զուգահեռաբար անհրաժեշտ է խորացնել երկկողմ և բազմակողմ սերտ համագործակցությունն այլ օտարերկրյա պետությունների ներքին գործերի նախարարությունների (ոստիկանությունների) և միջազգային կազմակերպությունների հետ, մասնավորապես՝ ՄԱԿ-ի հայաստանյան գրասենյակի և ծրագրերի, Միգրացիայի միջազգային կազմակերպության, Եվրոպայի Խորհրդի, ԵԱՀԿ-ի, ՆԱՏՕ-ի, ԵԱՏՄ-ի, ՀԱՊԿ-ի, Եվրոպական ոստիկանական քոլեջի (CEPOL) և այլ միջազգային կազմակերպությունների հետ: Առանձնապես կարևորվում է նաև ԱՄՆ Դաշնային հետաքննությունների բյուրոյի, նահանգային իրավապահ և ոստիկանական կառույցների և, հատկապես, ԱՄՆ </w:t>
            </w:r>
            <w:r>
              <w:rPr>
                <w:rFonts w:ascii="GHEA Grapalat" w:eastAsia="GHEA Grapalat" w:hAnsi="GHEA Grapalat" w:cs="GHEA Grapalat"/>
                <w:sz w:val="24"/>
                <w:szCs w:val="24"/>
              </w:rPr>
              <w:lastRenderedPageBreak/>
              <w:t>Թմրամիջոցների դեմ պայքարի և իրավապահ համագործակցության գրասենյակի հետ համագործակցությունը,</w:t>
            </w:r>
          </w:p>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հանցավորության դեմ պայքարի արդյուավետությունը բարձրացնելու և հատկապես ծանր և առանձնապես ծանր հանցագործությունների կատարման մեջ մեղադրվող անձանց նկատմամբ քրեական հետապնդում իրականացնելու համար, ինչպես նաև պատասխանատվության անխուսափելիության սկզբունքի լիակատար իրագործման նպատակով քրեական գործերով իրավական օգնության վերաբերյալ համաձայնագրեր և պայմանագրեր ստորագրել արտասահմանյան մի շարք երկրների, մասնավորապես՝ ԱՄՆ-ի, Կանադայի, Չինաստանի Ժողովրդական Հանրապետության և Հնդկաստանի հետ: »:</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tc>
        <w:tc>
          <w:tcPr>
            <w:tcW w:w="4554" w:type="dxa"/>
            <w:tcBorders>
              <w:top w:val="single" w:sz="4" w:space="0" w:color="000000"/>
              <w:bottom w:val="single" w:sz="4" w:space="0" w:color="000000"/>
            </w:tcBorders>
            <w:vAlign w:val="center"/>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Համապատասխան փոփոխությունները կատարվել են Ռազմավարության մեջ</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15. Ռազմավարության 28-րդ էջի 1-ին պարբերությունում խոսվում է հավելված 4-ի մասին, սակայն նախագծով 3-րդ և 4-րդ </w:t>
            </w:r>
            <w:r>
              <w:rPr>
                <w:rFonts w:ascii="GHEA Grapalat" w:eastAsia="GHEA Grapalat" w:hAnsi="GHEA Grapalat" w:cs="GHEA Grapalat"/>
                <w:sz w:val="24"/>
                <w:szCs w:val="24"/>
              </w:rPr>
              <w:lastRenderedPageBreak/>
              <w:t>հավելվածներ նախատեսված չեն:</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Համապատասխան փոփոխությունները կատարվել են Ռազմավարության մեջ</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tabs>
                <w:tab w:val="left" w:pos="0"/>
                <w:tab w:val="left" w:pos="342"/>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16. Հարկ է նշել, որ ռազմավարությամբ նշված են հայեցակարգային փաստաթղթին բնորոշ այնպիսի ձևակերպումներ, որոնցով դեռևս նախատեսվում են քննարկումներ և բացակայում են հստակ լուծումները: Դրանցից են օրինակ՝ որոշ անցման կետերում պետական սահմանի ռեժիմի պահպանության գործառույթ Ոստիկանությանը վերապահելը, երկարաժամկետ կտրվածքում ամբողջական կամ որոշ տեսակի գործերի դեպքում Ոստիկանությանը նախնական քննություն իրականացնելու լիազորություն վերապահելը, համայնքային ոստիկանության գործառույթները Պարեկային ծառայությանը վերապահելը և այլն: Ելնելով վերոգրյալից՝ առաջարկում ենք նշված ձևակերպումները հստակեցնել կամ հանել սույն ռազմավարության տեքստից, քանի որ դրանով պայմանվորված էականորեն բարդանում են այնպիսի միջոցառումների իրականացումը, ինչպիսիք են ձևավորվող ծառայությունների </w:t>
            </w:r>
            <w:r>
              <w:rPr>
                <w:rFonts w:ascii="GHEA Grapalat" w:eastAsia="GHEA Grapalat" w:hAnsi="GHEA Grapalat" w:cs="GHEA Grapalat"/>
                <w:sz w:val="24"/>
                <w:szCs w:val="24"/>
              </w:rPr>
              <w:lastRenderedPageBreak/>
              <w:t>համար ուսումնական ծրագրերի կազմումը, օրենսդրական ակտերի, այդ թվում՝ կանոնադրությունների նախագծերի մշակումը, ստորաբաժանումների կառուցվածքի և կազմհաստիքային թվաքանակի որոշակիացումը, ծառայողների գործառութային պարտականությունների շրջանակի որոշումը, շենքային, տրանսպորտային և նյութատեխնիկական բազայի հագեցվածության նախատեսումն ու հաշվարկը և այլն:</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որ նշված հարցերը ավելի խորքային վերլուծության կարիք ունեն, իսկ ռազմավարական փաստաթուղթը կարող է նախատեսել ոլորտի հնարավոր փոփոխություններ՝ հիմնվելով խորքային գնահատումների վրա, Ռազմավարությամբ ամրագրված ձևակերպումը լավագույնս բնութագրում է այն քայլերը, որոնք Կառավարությունն անհրաժեշտ է համարում տվյալ հարցի վերաբերյալ տեղեկացված և հիմնավորված լուծում ընդունելու համար:</w:t>
            </w:r>
          </w:p>
        </w:tc>
      </w:tr>
      <w:tr w:rsidR="00F2404D">
        <w:trPr>
          <w:trHeight w:val="495"/>
        </w:trPr>
        <w:tc>
          <w:tcPr>
            <w:tcW w:w="810" w:type="dxa"/>
            <w:vMerge w:val="restart"/>
            <w:vAlign w:val="center"/>
          </w:tcPr>
          <w:p w:rsidR="00F2404D" w:rsidRDefault="00F2404D">
            <w:pPr>
              <w:spacing w:before="120"/>
              <w:jc w:val="center"/>
              <w:rPr>
                <w:rFonts w:ascii="GHEA Grapalat" w:eastAsia="GHEA Grapalat" w:hAnsi="GHEA Grapalat" w:cs="GHEA Grapalat"/>
                <w:b/>
                <w:sz w:val="24"/>
                <w:szCs w:val="24"/>
              </w:rPr>
            </w:pPr>
          </w:p>
        </w:tc>
        <w:tc>
          <w:tcPr>
            <w:tcW w:w="1830" w:type="dxa"/>
            <w:vMerge w:val="restart"/>
            <w:vAlign w:val="center"/>
          </w:tcPr>
          <w:p w:rsidR="00F2404D" w:rsidRDefault="00F2404D">
            <w:pPr>
              <w:spacing w:before="120"/>
              <w:jc w:val="center"/>
              <w:rPr>
                <w:rFonts w:ascii="GHEA Grapalat" w:eastAsia="GHEA Grapalat" w:hAnsi="GHEA Grapalat" w:cs="GHEA Grapalat"/>
                <w:b/>
                <w:sz w:val="24"/>
                <w:szCs w:val="24"/>
              </w:rPr>
            </w:pPr>
          </w:p>
        </w:tc>
        <w:tc>
          <w:tcPr>
            <w:tcW w:w="12474" w:type="dxa"/>
            <w:gridSpan w:val="3"/>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b/>
                <w:sz w:val="24"/>
                <w:szCs w:val="24"/>
              </w:rPr>
            </w:pPr>
            <w:r>
              <w:rPr>
                <w:rFonts w:ascii="GHEA Grapalat" w:eastAsia="GHEA Grapalat" w:hAnsi="GHEA Grapalat" w:cs="GHEA Grapalat"/>
                <w:b/>
                <w:sz w:val="24"/>
                <w:szCs w:val="24"/>
              </w:rPr>
              <w:t>Գործողությունների ծրագրի մասով</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b/>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Առաջարկում ենք գործողությունների ծրագրի 1-ին գլխի 1-ին կետում ուսումնական ծրագրերի բառերը փոխարինել մասնագիտական կրթական ծրագրերի և պետական կրթական չափորոշիչների բառերով, քանի որ կրթահամալիրի ուսումնական գործընթացում ուսումնական ծրագիր ձևակերպում գոյություն չունի:  </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Համապատասխան փոփոխությունները կատարվել է Գործողությունների ծրագրում</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Գործողությունների ծրագրի 1-ին գլխի 2-րդ կետում, որպես արդյունքներից մեկը նշված է Պարեկային ծառայության կրթական ծրագիրը հաստատվել է: Պարեկային ծառայության կրթական ծրագիր ձևակերպումը ճիշտ չէ, պետք է լինի  Ոստիկանական գործ մասնագիտության Պարեկ որակավորմամբ նախնական մասնագիտական կրթության պետական չափորոշիչ: Իսկ այդ չափորոշիչի հաստատումը,  որպես արդյունք արդեն իսկ նախատեսված է Ծրագրի Պարեկային ոստիկանության ծառայության և Օպերատիվ կառավարման կենտրոնի ներդրում ուղղության երրորդ կետում: Ուստի առաջարկում ենք Ծրագրի Նոր ոստիկանության նկարագիրը ուղղության երկրորդ կետում հանել Պարեկային ծառայության կրթական ծրագիրը հաստատվել է արդյունքը: Միևնույն ժամանակ, առաջարկում ենք նշված կետով նախատեսված միջոցառումը ձևակերպել հետևյալ կերպ՝ Գործող մասնագիտական </w:t>
            </w:r>
            <w:r>
              <w:rPr>
                <w:rFonts w:ascii="GHEA Grapalat" w:eastAsia="GHEA Grapalat" w:hAnsi="GHEA Grapalat" w:cs="GHEA Grapalat"/>
                <w:color w:val="000000"/>
                <w:sz w:val="24"/>
                <w:szCs w:val="24"/>
              </w:rPr>
              <w:lastRenderedPageBreak/>
              <w:t xml:space="preserve">կրթական ծրագրերի և պետական կրթական չափորոշիչների վերանայում, իսկ որպես այդ միջոցառման կատարման ժամկետ նախատեսել 2021 թվականի առաջին կիսամյակը: Այդ առաջարկը հիմնավորվում է նրանով, որ նպատակահարմար չէ կրթական ծրագրերը վերանայել նախքան դրանց աուդիտի ավարտը: </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Համապատասխան փոփոխությունները կատարվել է Գործողությունների ծրագրում</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Առաջարկում ենք գործողությունների ծրագրի 1-ին գլխի 3-րդ կետում նախատեսված միջոցառման կատարման ժամկետներից հանել 2020 թվականի առաջին կիսամյակը, քանի որ կրթական միջավայրի բարեփոխումը նպատակահարմար է սկսել կրթական ծրագրերի աուդիտից հետո՝ դրա արդյունքների հիման վրա:   </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Համապատասխան փոփոխությունները կատարվել է Գործողությունների ծրագրում</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Գործողությունների ծրագրի 3-րդ գլխի 2-րդ կետում որպես միջոցառում նախատեսված է Պարեկային ծառայության կանոնադրությունն </w:t>
            </w:r>
            <w:r>
              <w:rPr>
                <w:rFonts w:ascii="GHEA Grapalat" w:eastAsia="GHEA Grapalat" w:hAnsi="GHEA Grapalat" w:cs="GHEA Grapalat"/>
                <w:color w:val="000000"/>
                <w:sz w:val="24"/>
                <w:szCs w:val="24"/>
              </w:rPr>
              <w:lastRenderedPageBreak/>
              <w:t xml:space="preserve">ու կառուցվածքը հաստատելու և ծառայության գործարկման նպատակով այլ ենթաօրենսդրական ակտերի փոփոխությունը, ներառյալ նոր ծառայություն ընդունելության կարգի հաստատումը: Պարեկային ծառայության ուկրաինական փորձի ուսումնասիրությունը ցույց է տալիս, որ բացի կանոնադրությունից, որը ընդհանրական ձևով սահմանում է պարեկային ծառայության գործառույթներն ու լիազորությունները, գործում են նաև այլ իրավական ակտեր (ստանդարտ օպերացիոն ընթացակարգեր (SOP), պաշտոնական հրահանգներ), որոնք առավել մանրամասը կանոնակարգում են առանձին գործառույթների և լիազորությունների իրականացման ընթացքում պարեկային ծառայողների գործողությունները, իրավունքներն ու պարտականությունները: Առաջարկում ենք ծրագրի տվյալ կետում որպես միջոցառում նախատեսել նաև նմանատիպ նորմատիվ իրավական ակտերի ընդունումը:   </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Պարեկային ծառայության կանոնադրությունն ու կառուցվածքը հաստատելու և ծառայության </w:t>
            </w:r>
            <w:r>
              <w:rPr>
                <w:rFonts w:ascii="GHEA Grapalat" w:eastAsia="GHEA Grapalat" w:hAnsi="GHEA Grapalat" w:cs="GHEA Grapalat"/>
                <w:sz w:val="24"/>
                <w:szCs w:val="24"/>
              </w:rPr>
              <w:lastRenderedPageBreak/>
              <w:t>գործարկման նպատակով այլ ենթաօրենսդրական ակտերի փոփոխությունը ներառում է նաև ՊԾ կանոնագիրքը (SOP) և այլ իրավական ակտեր: Հետևաբար ԳԾ-ում ենթաօրենսդրական ակտերի առանձնացված թվարկումը նպատակահարար չէ:</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Գործողությունների ծրագրի 3-րդ գլխի 3-րդ կետում նշված է Պարեկային ծառայության կրթական չափորոշիչի հաստատում: Առաջարկում ենք այդ ձևակերպումը փոխարինել հետևյալ ձևակերպմամբ՝ Ոստիկանական գործ մասնագիտության Պարեկ որակավորմամբ նախնական մասնագիտական կրթության պետական չափորոշիչի հաստատում: Բացի այդ, որպես այդ միջոցառման կատարման ժամկետ նշված է 2020 թվականի առաջին կիսամյակը: Սակայն պետական կրթական չափորոշիչի հաստատման համար անհրաժեշտ նախադրյալը պարեկային ծառայության կանոնադրության և պարեկային ծառայության գործառույթներին առնչվող մյուս նորմատիվ իրավական ակտերի ընդունումն է:  Ծրագրի Պարեկային ոստիկանության ծառայության և Օպերատիվ կառավարման կենտրոնի ներդրում ուղղության երկրորդ կետում այդ </w:t>
            </w:r>
            <w:r>
              <w:rPr>
                <w:rFonts w:ascii="GHEA Grapalat" w:eastAsia="GHEA Grapalat" w:hAnsi="GHEA Grapalat" w:cs="GHEA Grapalat"/>
                <w:color w:val="000000"/>
                <w:sz w:val="24"/>
                <w:szCs w:val="24"/>
              </w:rPr>
              <w:lastRenderedPageBreak/>
              <w:t xml:space="preserve">միջոցառումները նախատեսված է իրականացնել 2020 թվականի առաջին և երկրորդ կիսամյակների ընթացքում: Հետևաբար, առաջարկում ենք պետական կրթական չափորոշիչի հաստատման ժամկետ նույնպես նախատեսել 2020 թվականի առաջին և երկրորդ կիսամյակները:    </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Համապատասխան փոփոխությունները կատարվել են Գործողությունների ծրագրում</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Գործողությունների ծրագրի 3-րդ գլխի 4-րդ կետի համաձայն՝ 2020 թվականի 2-րդ կիսամյակից մեկնարկելու է պարեկային ծառայողների պատրաստման /կրթության/ գործընթացի իրականացումը: Կարծում ենք, որ դեռևս պարեկային ծառայողների մրցույթի փուլում պետք է նվազագույնը հստակեցված լինի պարեկների աշխատանքի վարձատրության չափը՝ նոր ստեղծվող ծառայության գրավչությունը հանրությանը ներկայացնելու, հանրային իրազեկման արշավը պատշաճ իրականացնելու և բավարար չափով մասնակիցներ մրցույթին ներգրավելու համար: </w:t>
            </w:r>
            <w:r>
              <w:rPr>
                <w:rFonts w:ascii="GHEA Grapalat" w:eastAsia="GHEA Grapalat" w:hAnsi="GHEA Grapalat" w:cs="GHEA Grapalat"/>
                <w:color w:val="000000"/>
                <w:sz w:val="24"/>
                <w:szCs w:val="24"/>
              </w:rPr>
              <w:lastRenderedPageBreak/>
              <w:t xml:space="preserve">Հաշվի առնելով այն նպատակադրումը, որ նոր ստեղծվող Պարեկային ծառայությունն առնվազն 50%-ի չափով համալրվելու է նոր ընդունվող ծառայողներից՝ նշված հարցի շուտափույթ հստակեցումը շատ կարևոր է: Նոր ստեղծվող Պարեկային ծառայության գրավչությունն ապահովելու համար անհրաժեշտ է նաև ուսման ժամանակահատվածի համար նախատեսել կրթաթոշակ ստանալու հնարավորություն: </w:t>
            </w:r>
          </w:p>
          <w:p w:rsidR="00F2404D" w:rsidRDefault="00F2404D">
            <w:pPr>
              <w:tabs>
                <w:tab w:val="left" w:pos="0"/>
                <w:tab w:val="left" w:pos="342"/>
              </w:tabs>
              <w:spacing w:line="360" w:lineRule="auto"/>
              <w:jc w:val="both"/>
              <w:rPr>
                <w:rFonts w:ascii="GHEA Grapalat" w:eastAsia="GHEA Grapalat" w:hAnsi="GHEA Grapalat" w:cs="GHEA Grapalat"/>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ի գիտություն</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առնելով, որ ոստիկանության գործընկերների հետ այս և այլ ընթացակարգային հարցերի շուրջ տեղի են ունենում ամենօրյա քննարկումներ, ինչպես նաև այն, որ նշված դիտողությունից զատ որևէ կոնկրետ գործնական առաջարկ չի պարունակում, ուստի, փոփոխություններ կատարել ԳԾ-ում հնարավոր չէ: </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Հաշվի առնելով կրթական փուլի ավարտից անմիջապես հետո Պարեկային ծառայությունը գործարկելու նպատակադրումը՝ կրթությանը զուգահեռ պետք է միջոցառումներ ձեռնարկվեն պարեկային տրանսպորտային միջոցների, պարեկային հանդերձանքի, զենքի և հատուկ միջոցների ձեռքբերման, ինչպես նաև ծառայության տեղակայման շենքերում անհրաժեշտ շինարարական աշխատանքների իրականացման ուղղությամբ: Ելնելով </w:t>
            </w:r>
            <w:r>
              <w:rPr>
                <w:rFonts w:ascii="GHEA Grapalat" w:eastAsia="GHEA Grapalat" w:hAnsi="GHEA Grapalat" w:cs="GHEA Grapalat"/>
                <w:color w:val="000000"/>
                <w:sz w:val="24"/>
                <w:szCs w:val="24"/>
              </w:rPr>
              <w:lastRenderedPageBreak/>
              <w:t>վերոգրյալից՝ գործողությունների ծրագրում 2020 թվականի 1-ին կիսամյակի համար պետք է նախատեսել նշված խնդիրների լուծմանն ուղղված առանձին կետ, որը ի թիվս այլ միջոցառումների, կնախատեսի վերը նշված միջոցների, անհրաժեշտ շինարարական աշխատանքների տեխնիկական առաջադրանքների կազմում, գնման գործընթացի իրականացում:</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Համապատասխան փոփոխությունները կատարվել են ԳԾ-ում </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Գործողությունների ծրագրի 3-րդ գլխի 5-րդ կետի համաձայն՝ Պարեկային ծառայության գործարկումը Երևան քաղաքում նախատեսվում է 2021 թվականի 1-ին կիսամյակում՝ համապատասխան պատրաստություն անցած 600 ծառայողների ուժերով: Նշվածի կապակցությամբ հայտնում ենք, որ ըստ համապատասխան մեթոդաբանությամբ կատարված հաշվարկների (մեկ պարեկի հաստիքի նկատմամբ 1.81 գործակցի կիրառմամբ /հաշվարկի մեթոդաբանության հիմնավորումը կցվում է/), Պարեկային </w:t>
            </w:r>
            <w:r>
              <w:rPr>
                <w:rFonts w:ascii="GHEA Grapalat" w:eastAsia="GHEA Grapalat" w:hAnsi="GHEA Grapalat" w:cs="GHEA Grapalat"/>
                <w:color w:val="000000"/>
                <w:sz w:val="24"/>
                <w:szCs w:val="24"/>
              </w:rPr>
              <w:lastRenderedPageBreak/>
              <w:t>ծառայությունը Երևան քաղաքում գործարկելու համար անհրաժեշտ է նախատեսել պարեկի 1282, հրամանատարական կազմի՝ 35 հաստիք: Հաշվի առնելով, որ մոնիթորինգի ծառայության թվով մոտ 20 աշխատակիցները ևս պետք է պատրաստվեն, ուստի հանրագումարում մինչև 2021 թվականի 1-ին կիսամյակի ավարտն անհրաժեշտ է վերապատրաստել 1337 ծառայողի և դա այն պարագայում, եթե ներկայիս անշարժ ավտոպահակետերը փոխանցվեն Ոստիկանության զորքերին (Ազգային գվարդիային):</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Ոստիկանության կողմից տրամադրված մեթոդաբանությունն ու հաշվարկները կիրառելի են նորկայումս գործող արտաքին ծառայության համար: Հաշվի առնելով, որ Պարեկային ծառայությունը գործելու է բոլորովին այլ ուղեցույցներով, մեթոդաբանությամբ ու փիլիսոփայությամբ, ինչպես նաև լինելու է միակ արտաքին ծառայությունը և ունենալու է մեկ միասնական կառավարման կենտրոն, </w:t>
            </w:r>
            <w:r>
              <w:rPr>
                <w:rFonts w:ascii="GHEA Grapalat" w:eastAsia="GHEA Grapalat" w:hAnsi="GHEA Grapalat" w:cs="GHEA Grapalat"/>
                <w:sz w:val="24"/>
                <w:szCs w:val="24"/>
              </w:rPr>
              <w:lastRenderedPageBreak/>
              <w:t>ուստի, նշյալ թվերը հիմնավորված չեն Պարեկային ծառայության համար:</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 հաշվի առնելով Ոստիկանության կրթահամալիրի կարողությունները և  այն հանգամանքը, որ Երևանում ՊԾ պետք է գործարկել միանգամից և ոչ փուլային, ԳԾ-ում նշված թվերը լիովին ապահովում են Երևանի ծածկույթը:</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Միևնույն ժամանակ, համեմատության կարգով կարելի է դիտարկել ՈՒկրաինայի որոշ քաղաքների փորձը.</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Օրինակ՝ Լվով քաղաքը, 182կմ տարածքով, 800.000 բնակչությամբ ՊԾ իրականցնում է օրեկան 2 հերթափոխով՝ ընդհանուրը՝ 100 մեքենա, և 300 պարեկային ծառայողով, որից 100՝ հետիոտն, Խարկով քաղաքը, 350կմ տարածքով, 1.5մլն բնակչությամբ ՊԾ իրականցնում է օրեկան 2 </w:t>
            </w:r>
            <w:r>
              <w:rPr>
                <w:rFonts w:ascii="GHEA Grapalat" w:eastAsia="GHEA Grapalat" w:hAnsi="GHEA Grapalat" w:cs="GHEA Grapalat"/>
                <w:sz w:val="24"/>
                <w:szCs w:val="24"/>
              </w:rPr>
              <w:lastRenderedPageBreak/>
              <w:t>հերթափոխով՝ ընդհանուրը՝ 200 մեքենա, և 500 պարեկային ծառայողով, որից 100՝ հետիոտն:</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Այս համատեքստում՝ Երևանի տարածքը՝ 223կմ, բնակչությունը՝ 1մլն 75հազ., ՊԾ առաջարկվում է իրականացնել 3 հերթափոխով, ընդհանուր՝ 150 մեքենա ու ընդհանուր 600 պերակային ծառայով:     </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Գործողությունների ծրագրի 4-րդ գլխի 3-րդ կետի գործողության և արդյունքի ցուցանիշում «Ոստիկանության զորքեր» բառերն առաջարկվում է փոխարինել «Ազգային գվարդիա» բառերով, քանի որ 1-ին կետով նախատեսվում է 2021թ. 1-ին կիսամյակում ուժը կորցրած ճանաչել «Ոստիկանության զորքերի մասին» օրենքը:</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Ընդունվել է </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Համապատասխան փոփոխությունները կատարվել են Գործողությունների ծրագրում</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Առաջարկում ենք գործողությունների ծրագրի 4-րդ գլխի բոլոր կետերի ժամկետները նախատեսել 2020թ. 2-րդ կիսամյակ՝ հաշվի առնելով, որ 2020 թվականի 2-րդ կիսամյակից </w:t>
            </w:r>
            <w:r>
              <w:rPr>
                <w:rFonts w:ascii="GHEA Grapalat" w:eastAsia="GHEA Grapalat" w:hAnsi="GHEA Grapalat" w:cs="GHEA Grapalat"/>
                <w:color w:val="000000"/>
                <w:sz w:val="24"/>
                <w:szCs w:val="24"/>
              </w:rPr>
              <w:lastRenderedPageBreak/>
              <w:t>սկսած Ճանապարհային ոստիկանության և Պարեկապահակետային գնդի ծառայողների մեծ մասը գտնվելու են ուսումնական գործընթացներում և ինչպես հասարակական կարգի ապահովման, այնպես էլ ճանապարհային երթևեկության անվտանգության ապահովման աշխատանքները նպատակահարմար է դնել արդեն իսկ վերապատրաստված Ազգային գվարդիայի ծառայողների վրա՝ ապահովելով անցնցում անցումային գործընթաց:</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առնելով, որ ներկայումս էլ անհրաժեշտության դեպքում ՀՀ ոստիկանությունը կատարում է ծառայությունների ուժերի </w:t>
            </w:r>
            <w:r>
              <w:rPr>
                <w:rFonts w:ascii="GHEA Grapalat" w:eastAsia="GHEA Grapalat" w:hAnsi="GHEA Grapalat" w:cs="GHEA Grapalat"/>
                <w:sz w:val="24"/>
                <w:szCs w:val="24"/>
              </w:rPr>
              <w:lastRenderedPageBreak/>
              <w:t>ժամանակավոր տեղաբաշխում/ներգրավում՝ ըստ ծառայողական օպերատիվ կառավարման, այս հարցը նպատակահարմար է կարգավորել ըստ գործընթացի՝ ելնելով անհրաժեշտությունից ու կարիքներից:</w:t>
            </w:r>
          </w:p>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Ինչ վերաբերում է ԳԾ 4-րդ գլխի գործողություններին, ապա դրանք նախատեսում են հենց ոստիկանության զորքերի՝ իրենց կարիքներից բխող փոփոխություններ, և ոչ այլ ծառայությունների գործառույթներն իրականացնելու խնդրից:</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Առաջարկում ենք գործողությունների ծրագրում նախատեսել Ներքին գործերի նախարարության ստեղծմամբ պայմանավորված Ոստիկանության աջակցող մասնագիատական ստորաբաժանումների ծառայողների քաղաքացիական ծառայությանն </w:t>
            </w:r>
            <w:r>
              <w:rPr>
                <w:rFonts w:ascii="GHEA Grapalat" w:eastAsia="GHEA Grapalat" w:hAnsi="GHEA Grapalat" w:cs="GHEA Grapalat"/>
                <w:color w:val="000000"/>
                <w:sz w:val="24"/>
                <w:szCs w:val="24"/>
              </w:rPr>
              <w:lastRenderedPageBreak/>
              <w:t>անցմանը վերաբերող առանձին կետ:</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ի գիտություն</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Ռազմավարությամբ ու ԳԾ-ով նախատեսված օրենսդրական ու ենթաօրենսդրական փոփոխությունները ներառում են նաև նշյալ հարցը:</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after="200"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Առաջարկվում է վերանայել ու խմբագրել գործողությունների արդյունքներում նշված թվային, տոկոսային ցուցանիշները, քանի որ դրանց հնարավոր կանխավարկածն անիրատեսական է (oրինակ՝ ընդունվել է նախագծերի վերաբերյալ ներկայացված առաջարկությունների առնվազն 30%-ը, խոշտանգումների մասին հաղորդումների ուղղորդող մեխանիզմով ներկայացվել է առնվազն 10 հաղորդում):</w:t>
            </w: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t xml:space="preserve">Չի ընդունվել </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Համաձայն ՀՀ կառավարության 2017թ.-ի հոկտեմբերի 5-ի՝ «Պետական եկամուտների և ծախսերի վրա ազդեցություն ունեցող ռազմավարական փաստաթղթերի մշակման, ներկայացման եվ հսկողության իրականացման մեթոդական հրահանգին հավանություն տալու մասին» արձանագրային որոշման՝   ռազմավարական փաստաթղթերը պետք է համապատասխանեն սահմանված չափանիշներին՝ այդ թվում ունենալով թվային ու տոկոսային ցուցանիշներ: Հաշվի առնելով, որ առաջարկության մեջ ներկայացված չեն նախատեսված ցուցաիշները փոխարինելու հստակ փոփոխություններ, որևէ փոփոխություն հնարավոր չէ </w:t>
            </w:r>
            <w:r>
              <w:rPr>
                <w:rFonts w:ascii="GHEA Grapalat" w:eastAsia="GHEA Grapalat" w:hAnsi="GHEA Grapalat" w:cs="GHEA Grapalat"/>
                <w:sz w:val="24"/>
                <w:szCs w:val="24"/>
              </w:rPr>
              <w:lastRenderedPageBreak/>
              <w:t xml:space="preserve">կատարել: </w:t>
            </w:r>
          </w:p>
        </w:tc>
      </w:tr>
      <w:tr w:rsidR="00F2404D">
        <w:trPr>
          <w:trHeight w:val="495"/>
        </w:trPr>
        <w:tc>
          <w:tcPr>
            <w:tcW w:w="81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1830" w:type="dxa"/>
            <w:vMerge/>
            <w:vAlign w:val="center"/>
          </w:tcPr>
          <w:p w:rsidR="00F2404D" w:rsidRDefault="00F2404D">
            <w:pPr>
              <w:widowControl w:val="0"/>
              <w:pBdr>
                <w:top w:val="nil"/>
                <w:left w:val="nil"/>
                <w:bottom w:val="nil"/>
                <w:right w:val="nil"/>
                <w:between w:val="nil"/>
              </w:pBdr>
              <w:spacing w:line="276" w:lineRule="auto"/>
              <w:rPr>
                <w:rFonts w:ascii="GHEA Grapalat" w:eastAsia="GHEA Grapalat" w:hAnsi="GHEA Grapalat" w:cs="GHEA Grapalat"/>
                <w:sz w:val="24"/>
                <w:szCs w:val="24"/>
              </w:rPr>
            </w:pPr>
          </w:p>
        </w:tc>
        <w:tc>
          <w:tcPr>
            <w:tcW w:w="5580" w:type="dxa"/>
            <w:tcBorders>
              <w:top w:val="single" w:sz="4" w:space="0" w:color="000000"/>
              <w:bottom w:val="single" w:sz="4" w:space="0" w:color="000000"/>
            </w:tcBorders>
          </w:tcPr>
          <w:p w:rsidR="00F2404D" w:rsidRDefault="00A9005C">
            <w:pPr>
              <w:numPr>
                <w:ilvl w:val="0"/>
                <w:numId w:val="5"/>
              </w:numPr>
              <w:pBdr>
                <w:top w:val="nil"/>
                <w:left w:val="nil"/>
                <w:bottom w:val="nil"/>
                <w:right w:val="nil"/>
                <w:between w:val="nil"/>
              </w:pBdr>
              <w:tabs>
                <w:tab w:val="left" w:pos="0"/>
                <w:tab w:val="left" w:pos="342"/>
              </w:tabs>
              <w:spacing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Առաջարկում ենք գործողությունների ծրագրի «Համակատարող» սյունակում ՀՀ արդարադատության նախարարության հետ մեկտեղ համակատարողներ նախատեսել նաև.</w:t>
            </w:r>
          </w:p>
          <w:p w:rsidR="00F2404D" w:rsidRDefault="00A9005C">
            <w:pPr>
              <w:pBdr>
                <w:top w:val="nil"/>
                <w:left w:val="nil"/>
                <w:bottom w:val="nil"/>
                <w:right w:val="nil"/>
                <w:between w:val="nil"/>
              </w:pBdr>
              <w:tabs>
                <w:tab w:val="left" w:pos="0"/>
                <w:tab w:val="left" w:pos="342"/>
              </w:tabs>
              <w:spacing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- 1-ին գլխի 1-ին կետում՝ ՀՀ կրթության, գիտության, մշակույթի և սպորտի նախարարությանը,</w:t>
            </w:r>
          </w:p>
          <w:p w:rsidR="00F2404D" w:rsidRDefault="00A9005C">
            <w:pPr>
              <w:pBdr>
                <w:top w:val="nil"/>
                <w:left w:val="nil"/>
                <w:bottom w:val="nil"/>
                <w:right w:val="nil"/>
                <w:between w:val="nil"/>
              </w:pBdr>
              <w:tabs>
                <w:tab w:val="left" w:pos="0"/>
                <w:tab w:val="left" w:pos="342"/>
              </w:tabs>
              <w:spacing w:line="360" w:lineRule="auto"/>
              <w:ind w:left="42" w:firstLine="22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1-ին գլխի 2-րդ, 3-րդ և 4-րդ կետերում՝ ՀՀ կրթության, գիտության, մշակույթի և սպորտի ու ֆինանսների նախարարություններին,</w:t>
            </w:r>
          </w:p>
          <w:p w:rsidR="00F2404D" w:rsidRDefault="00A9005C">
            <w:pPr>
              <w:pBdr>
                <w:top w:val="nil"/>
                <w:left w:val="nil"/>
                <w:bottom w:val="nil"/>
                <w:right w:val="nil"/>
                <w:between w:val="nil"/>
              </w:pBdr>
              <w:tabs>
                <w:tab w:val="left" w:pos="0"/>
                <w:tab w:val="left" w:pos="342"/>
              </w:tabs>
              <w:spacing w:line="360" w:lineRule="auto"/>
              <w:ind w:left="42" w:hanging="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1-ին գլխի 6-րդ կետում՝ ՀՀ ֆինանսների նախարարությանը,</w:t>
            </w:r>
          </w:p>
          <w:p w:rsidR="00F2404D" w:rsidRDefault="00A9005C">
            <w:pPr>
              <w:pBdr>
                <w:top w:val="nil"/>
                <w:left w:val="nil"/>
                <w:bottom w:val="nil"/>
                <w:right w:val="nil"/>
                <w:between w:val="nil"/>
              </w:pBdr>
              <w:tabs>
                <w:tab w:val="left" w:pos="0"/>
                <w:tab w:val="left" w:pos="342"/>
              </w:tabs>
              <w:spacing w:line="360" w:lineRule="auto"/>
              <w:ind w:left="42" w:firstLine="13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2-րդ գլխի 1-ին և 2-րդ կետերում՝ ՀՀ ֆինանսների նախարարությանը,</w:t>
            </w:r>
          </w:p>
          <w:p w:rsidR="00F2404D" w:rsidRDefault="00A9005C">
            <w:pPr>
              <w:pBdr>
                <w:top w:val="nil"/>
                <w:left w:val="nil"/>
                <w:bottom w:val="nil"/>
                <w:right w:val="nil"/>
                <w:between w:val="nil"/>
              </w:pBdr>
              <w:tabs>
                <w:tab w:val="left" w:pos="0"/>
                <w:tab w:val="left" w:pos="342"/>
              </w:tabs>
              <w:spacing w:line="360" w:lineRule="auto"/>
              <w:ind w:left="42" w:firstLine="13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- 2-րդ գլխի 3-րդ կետում՝ ՀՀ տարածքային կառավարման և ենթակառուցվածքների ու ֆինանսների նախարարություններին,</w:t>
            </w:r>
          </w:p>
          <w:p w:rsidR="00F2404D" w:rsidRDefault="00A9005C">
            <w:pPr>
              <w:pBdr>
                <w:top w:val="nil"/>
                <w:left w:val="nil"/>
                <w:bottom w:val="nil"/>
                <w:right w:val="nil"/>
                <w:between w:val="nil"/>
              </w:pBdr>
              <w:tabs>
                <w:tab w:val="left" w:pos="0"/>
                <w:tab w:val="left" w:pos="342"/>
              </w:tabs>
              <w:spacing w:line="360" w:lineRule="auto"/>
              <w:ind w:left="42" w:firstLine="13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3-րդ գլխի 1-ին և 3-րդ կետերում՝ ՀՀ ֆինանսների նախարարությանը,</w:t>
            </w:r>
          </w:p>
          <w:p w:rsidR="00F2404D" w:rsidRDefault="00A9005C">
            <w:pPr>
              <w:pBdr>
                <w:top w:val="nil"/>
                <w:left w:val="nil"/>
                <w:bottom w:val="nil"/>
                <w:right w:val="nil"/>
                <w:between w:val="nil"/>
              </w:pBdr>
              <w:tabs>
                <w:tab w:val="left" w:pos="0"/>
                <w:tab w:val="left" w:pos="342"/>
              </w:tabs>
              <w:spacing w:line="360" w:lineRule="auto"/>
              <w:ind w:left="42" w:firstLine="13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- 3-րդ գլխի 4-րդ կետում՝ ՀՀ կրթության, </w:t>
            </w:r>
            <w:r>
              <w:rPr>
                <w:rFonts w:ascii="GHEA Grapalat" w:eastAsia="GHEA Grapalat" w:hAnsi="GHEA Grapalat" w:cs="GHEA Grapalat"/>
                <w:color w:val="000000"/>
                <w:sz w:val="24"/>
                <w:szCs w:val="24"/>
              </w:rPr>
              <w:lastRenderedPageBreak/>
              <w:t>գիտության, մշակույթի և սպորտի ու ֆինանսների նախարարություններին,</w:t>
            </w:r>
          </w:p>
          <w:p w:rsidR="00F2404D" w:rsidRDefault="00A9005C">
            <w:pPr>
              <w:pBdr>
                <w:top w:val="nil"/>
                <w:left w:val="nil"/>
                <w:bottom w:val="nil"/>
                <w:right w:val="nil"/>
                <w:between w:val="nil"/>
              </w:pBdr>
              <w:tabs>
                <w:tab w:val="left" w:pos="0"/>
                <w:tab w:val="left" w:pos="342"/>
              </w:tabs>
              <w:spacing w:line="360" w:lineRule="auto"/>
              <w:ind w:left="42" w:hanging="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3-րդ գլխի 5-րդ կետում՝ ՀՀ ֆինանսների նախարարությանը, </w:t>
            </w:r>
          </w:p>
          <w:p w:rsidR="00F2404D" w:rsidRDefault="00A9005C">
            <w:pPr>
              <w:pBdr>
                <w:top w:val="nil"/>
                <w:left w:val="nil"/>
                <w:bottom w:val="nil"/>
                <w:right w:val="nil"/>
                <w:between w:val="nil"/>
              </w:pBdr>
              <w:tabs>
                <w:tab w:val="left" w:pos="0"/>
                <w:tab w:val="left" w:pos="342"/>
              </w:tabs>
              <w:spacing w:line="360" w:lineRule="auto"/>
              <w:ind w:left="42" w:firstLine="13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- 3-րդ գլխի 6-րդ կետում՝ ՀՀ բարձր տեխնոլոգիական արդյունաբերության և ֆինանսների նախարարություններին,</w:t>
            </w:r>
          </w:p>
          <w:p w:rsidR="00F2404D" w:rsidRDefault="00A9005C">
            <w:pPr>
              <w:pBdr>
                <w:top w:val="nil"/>
                <w:left w:val="nil"/>
                <w:bottom w:val="nil"/>
                <w:right w:val="nil"/>
                <w:between w:val="nil"/>
              </w:pBdr>
              <w:tabs>
                <w:tab w:val="left" w:pos="0"/>
                <w:tab w:val="left" w:pos="342"/>
              </w:tabs>
              <w:spacing w:line="360" w:lineRule="auto"/>
              <w:ind w:left="42" w:firstLine="22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- 3-րդ գլխի 7-րդ, 8-րդ և 9-րդ կետերում՝ ՀՀ բարձր տեխնոլոգիական արդյունաբերության, արտակարգ իրավիճակների, առողջապահության և ֆինանսների նախարարություններին,</w:t>
            </w:r>
          </w:p>
          <w:p w:rsidR="00F2404D" w:rsidRDefault="00A9005C">
            <w:pPr>
              <w:pBdr>
                <w:top w:val="nil"/>
                <w:left w:val="nil"/>
                <w:bottom w:val="nil"/>
                <w:right w:val="nil"/>
                <w:between w:val="nil"/>
              </w:pBdr>
              <w:tabs>
                <w:tab w:val="left" w:pos="0"/>
                <w:tab w:val="left" w:pos="342"/>
              </w:tabs>
              <w:spacing w:line="360" w:lineRule="auto"/>
              <w:ind w:left="42" w:firstLine="13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- 4-րդ գլխի 1-ին և 2-րդ կետերում՝ ՀՀ պաշտպանության նախարարությանը և զինված ուժերի գլխավոր շտաբին,</w:t>
            </w:r>
          </w:p>
          <w:p w:rsidR="00F2404D" w:rsidRDefault="00A9005C">
            <w:pPr>
              <w:pBdr>
                <w:top w:val="nil"/>
                <w:left w:val="nil"/>
                <w:bottom w:val="nil"/>
                <w:right w:val="nil"/>
                <w:between w:val="nil"/>
              </w:pBdr>
              <w:tabs>
                <w:tab w:val="left" w:pos="0"/>
                <w:tab w:val="left" w:pos="342"/>
              </w:tabs>
              <w:spacing w:line="360" w:lineRule="auto"/>
              <w:ind w:left="42" w:hanging="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4-րդ գլխի 3-րդ կետում՝ ՀՀ ֆինանսների նախարարությանը,</w:t>
            </w:r>
          </w:p>
          <w:p w:rsidR="00F2404D" w:rsidRDefault="00A9005C">
            <w:pPr>
              <w:pBdr>
                <w:top w:val="nil"/>
                <w:left w:val="nil"/>
                <w:bottom w:val="nil"/>
                <w:right w:val="nil"/>
                <w:between w:val="nil"/>
              </w:pBdr>
              <w:tabs>
                <w:tab w:val="left" w:pos="0"/>
                <w:tab w:val="left" w:pos="342"/>
              </w:tabs>
              <w:spacing w:line="360" w:lineRule="auto"/>
              <w:ind w:left="42" w:firstLine="13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- 5-րդ գլխի 1-ին կետում՝ ՀՀ գլխավոր դատախազությանը և նախաքննական բոլոր մարմիններին,</w:t>
            </w:r>
          </w:p>
          <w:p w:rsidR="00F2404D" w:rsidRDefault="00A9005C">
            <w:pPr>
              <w:pBdr>
                <w:top w:val="nil"/>
                <w:left w:val="nil"/>
                <w:bottom w:val="nil"/>
                <w:right w:val="nil"/>
                <w:between w:val="nil"/>
              </w:pBdr>
              <w:tabs>
                <w:tab w:val="left" w:pos="0"/>
                <w:tab w:val="left" w:pos="342"/>
              </w:tabs>
              <w:spacing w:line="360" w:lineRule="auto"/>
              <w:ind w:left="42" w:hanging="4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5-րդ գլխի 2-րդ, 3-րդ և 4-րդ կետերում՝ ՀՀ </w:t>
            </w:r>
            <w:r>
              <w:rPr>
                <w:rFonts w:ascii="GHEA Grapalat" w:eastAsia="GHEA Grapalat" w:hAnsi="GHEA Grapalat" w:cs="GHEA Grapalat"/>
                <w:color w:val="000000"/>
                <w:sz w:val="24"/>
                <w:szCs w:val="24"/>
              </w:rPr>
              <w:lastRenderedPageBreak/>
              <w:t>գլխավոր դատախազությանը, նախաքննական բոլոր մարմիններին և ՀՀ ֆինանսների նախարարությանը,</w:t>
            </w:r>
          </w:p>
          <w:p w:rsidR="00F2404D" w:rsidRDefault="00A9005C">
            <w:pPr>
              <w:pBdr>
                <w:top w:val="nil"/>
                <w:left w:val="nil"/>
                <w:bottom w:val="nil"/>
                <w:right w:val="nil"/>
                <w:between w:val="nil"/>
              </w:pBdr>
              <w:tabs>
                <w:tab w:val="left" w:pos="0"/>
                <w:tab w:val="left" w:pos="342"/>
              </w:tabs>
              <w:spacing w:line="360" w:lineRule="auto"/>
              <w:ind w:left="42" w:hanging="132"/>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5-րդ գլխի 5-րդ և 6-րդ կետերում՝ ՀՀ գլխավոր դատախազությանը, նախաքննական բոլոր մարմիններին, ՀՀ մարդու իրավունքների պաշտպանին /համաձայնությամբ/ և ՀՀ ֆինանսների նախարարությանը,</w:t>
            </w:r>
          </w:p>
          <w:p w:rsidR="00F2404D" w:rsidRDefault="00A9005C">
            <w:pPr>
              <w:pBdr>
                <w:top w:val="nil"/>
                <w:left w:val="nil"/>
                <w:bottom w:val="nil"/>
                <w:right w:val="nil"/>
                <w:between w:val="nil"/>
              </w:pBdr>
              <w:tabs>
                <w:tab w:val="left" w:pos="0"/>
                <w:tab w:val="left" w:pos="342"/>
              </w:tabs>
              <w:spacing w:line="360" w:lineRule="auto"/>
              <w:ind w:left="42" w:firstLine="4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6-րդ գլխի 1-ին կետում՝ ՀՀ պաշտպանության ու աշխատանքի և սոցիալական հարցերի նախարարություններին,</w:t>
            </w:r>
          </w:p>
          <w:p w:rsidR="00F2404D" w:rsidRDefault="00A9005C">
            <w:pPr>
              <w:pBdr>
                <w:top w:val="nil"/>
                <w:left w:val="nil"/>
                <w:bottom w:val="nil"/>
                <w:right w:val="nil"/>
                <w:between w:val="nil"/>
              </w:pBdr>
              <w:tabs>
                <w:tab w:val="left" w:pos="0"/>
                <w:tab w:val="left" w:pos="342"/>
              </w:tabs>
              <w:spacing w:line="360" w:lineRule="auto"/>
              <w:ind w:left="42" w:hanging="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6-րդ գլխի 2-րդ կետում՝ ՀՀ ֆինանսների նախարարությանը,</w:t>
            </w:r>
          </w:p>
          <w:p w:rsidR="00F2404D" w:rsidRDefault="00A9005C">
            <w:pPr>
              <w:pBdr>
                <w:top w:val="nil"/>
                <w:left w:val="nil"/>
                <w:bottom w:val="nil"/>
                <w:right w:val="nil"/>
                <w:between w:val="nil"/>
              </w:pBdr>
              <w:tabs>
                <w:tab w:val="left" w:pos="0"/>
                <w:tab w:val="left" w:pos="342"/>
              </w:tabs>
              <w:spacing w:line="360" w:lineRule="auto"/>
              <w:ind w:left="42" w:firstLine="31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7-րդ գլխի 1-ին կետում՝ ՀՀ արտաքին գործերի և ֆինանսների նախարարություններին ու հեռուստատեսության և ռադիոյի հանձնաժողովին /համաձայնությամբ/,</w:t>
            </w:r>
          </w:p>
          <w:p w:rsidR="00F2404D" w:rsidRDefault="00A9005C">
            <w:pPr>
              <w:pBdr>
                <w:top w:val="nil"/>
                <w:left w:val="nil"/>
                <w:bottom w:val="nil"/>
                <w:right w:val="nil"/>
                <w:between w:val="nil"/>
              </w:pBdr>
              <w:tabs>
                <w:tab w:val="left" w:pos="0"/>
                <w:tab w:val="left" w:pos="342"/>
              </w:tabs>
              <w:spacing w:line="360" w:lineRule="auto"/>
              <w:ind w:left="42" w:hanging="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- 7-րդ գլխի 2-րդ և 3-րդ կետերում՝ ՀՀ արտաքին գործերի և ֆինանսների նախարարություններին:</w:t>
            </w:r>
          </w:p>
          <w:p w:rsidR="00F2404D" w:rsidRDefault="00F2404D">
            <w:pPr>
              <w:pBdr>
                <w:top w:val="nil"/>
                <w:left w:val="nil"/>
                <w:bottom w:val="nil"/>
                <w:right w:val="nil"/>
                <w:between w:val="nil"/>
              </w:pBdr>
              <w:tabs>
                <w:tab w:val="left" w:pos="0"/>
              </w:tabs>
              <w:spacing w:after="200" w:line="360" w:lineRule="auto"/>
              <w:ind w:left="42" w:hanging="720"/>
              <w:jc w:val="both"/>
              <w:rPr>
                <w:rFonts w:ascii="GHEA Grapalat" w:eastAsia="GHEA Grapalat" w:hAnsi="GHEA Grapalat" w:cs="GHEA Grapalat"/>
                <w:color w:val="000000"/>
                <w:sz w:val="24"/>
                <w:szCs w:val="24"/>
              </w:rPr>
            </w:pPr>
          </w:p>
        </w:tc>
        <w:tc>
          <w:tcPr>
            <w:tcW w:w="2340" w:type="dxa"/>
            <w:tcBorders>
              <w:top w:val="single" w:sz="4" w:space="0" w:color="000000"/>
              <w:bottom w:val="single" w:sz="4" w:space="0" w:color="000000"/>
            </w:tcBorders>
          </w:tcPr>
          <w:p w:rsidR="00F2404D" w:rsidRDefault="00A9005C">
            <w:pP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մասամբ</w:t>
            </w:r>
          </w:p>
        </w:tc>
        <w:tc>
          <w:tcPr>
            <w:tcW w:w="4554" w:type="dxa"/>
            <w:tcBorders>
              <w:top w:val="single" w:sz="4" w:space="0" w:color="000000"/>
              <w:bottom w:val="single" w:sz="4" w:space="0" w:color="000000"/>
            </w:tcBorders>
          </w:tcPr>
          <w:p w:rsidR="00F2404D" w:rsidRDefault="00A9005C">
            <w:pPr>
              <w:tabs>
                <w:tab w:val="left" w:pos="0"/>
              </w:tabs>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Համապատասխան փոփոխությունները կատարվել են Գործողությունների ծրագրում</w:t>
            </w:r>
          </w:p>
        </w:tc>
      </w:tr>
    </w:tbl>
    <w:p w:rsidR="00F2404D" w:rsidRDefault="00F2404D">
      <w:pPr>
        <w:pStyle w:val="Heading1"/>
        <w:spacing w:before="0" w:line="240" w:lineRule="auto"/>
        <w:jc w:val="both"/>
        <w:rPr>
          <w:rFonts w:ascii="GHEA Grapalat" w:eastAsia="GHEA Grapalat" w:hAnsi="GHEA Grapalat" w:cs="GHEA Grapalat"/>
          <w:color w:val="000000"/>
          <w:sz w:val="24"/>
          <w:szCs w:val="24"/>
        </w:rPr>
      </w:pPr>
    </w:p>
    <w:sectPr w:rsidR="00F2404D" w:rsidSect="00E71B9A">
      <w:footerReference w:type="default" r:id="rId8"/>
      <w:pgSz w:w="15840" w:h="12240"/>
      <w:pgMar w:top="567" w:right="1239" w:bottom="709"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31A" w:rsidRDefault="0047531A">
      <w:pPr>
        <w:spacing w:after="0" w:line="240" w:lineRule="auto"/>
      </w:pPr>
      <w:r>
        <w:separator/>
      </w:r>
    </w:p>
  </w:endnote>
  <w:endnote w:type="continuationSeparator" w:id="0">
    <w:p w:rsidR="0047531A" w:rsidRDefault="004753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Noto Sans Symbols">
    <w:altName w:val="Times New Roman"/>
    <w:charset w:val="00"/>
    <w:family w:val="auto"/>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erriweather">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04D" w:rsidRDefault="00E71B9A">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sidR="00A9005C">
      <w:rPr>
        <w:color w:val="000000"/>
      </w:rPr>
      <w:instrText>PAGE</w:instrText>
    </w:r>
    <w:r>
      <w:rPr>
        <w:color w:val="000000"/>
      </w:rPr>
      <w:fldChar w:fldCharType="separate"/>
    </w:r>
    <w:r w:rsidR="00CB7842">
      <w:rPr>
        <w:noProof/>
        <w:color w:val="000000"/>
      </w:rPr>
      <w:t>50</w:t>
    </w:r>
    <w:r>
      <w:rPr>
        <w:color w:val="000000"/>
      </w:rPr>
      <w:fldChar w:fldCharType="end"/>
    </w:r>
  </w:p>
  <w:p w:rsidR="00F2404D" w:rsidRDefault="00F2404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31A" w:rsidRDefault="0047531A">
      <w:pPr>
        <w:spacing w:after="0" w:line="240" w:lineRule="auto"/>
      </w:pPr>
      <w:r>
        <w:separator/>
      </w:r>
    </w:p>
  </w:footnote>
  <w:footnote w:type="continuationSeparator" w:id="0">
    <w:p w:rsidR="0047531A" w:rsidRDefault="004753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06E9C"/>
    <w:multiLevelType w:val="multilevel"/>
    <w:tmpl w:val="578051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0067FAC"/>
    <w:multiLevelType w:val="multilevel"/>
    <w:tmpl w:val="8028FB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30432D7C"/>
    <w:multiLevelType w:val="multilevel"/>
    <w:tmpl w:val="38E6434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315674F2"/>
    <w:multiLevelType w:val="multilevel"/>
    <w:tmpl w:val="886648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55C4480"/>
    <w:multiLevelType w:val="multilevel"/>
    <w:tmpl w:val="26D89F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C815E52"/>
    <w:multiLevelType w:val="multilevel"/>
    <w:tmpl w:val="4FE6AC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39B17EB"/>
    <w:multiLevelType w:val="multilevel"/>
    <w:tmpl w:val="93021F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94C64B7"/>
    <w:multiLevelType w:val="multilevel"/>
    <w:tmpl w:val="1228D8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C78757C"/>
    <w:multiLevelType w:val="multilevel"/>
    <w:tmpl w:val="C83C354E"/>
    <w:lvl w:ilvl="0">
      <w:start w:val="2"/>
      <w:numFmt w:val="bullet"/>
      <w:lvlText w:val="-"/>
      <w:lvlJc w:val="left"/>
      <w:pPr>
        <w:ind w:left="720" w:hanging="360"/>
      </w:pPr>
      <w:rPr>
        <w:rFonts w:ascii="GHEA Grapalat" w:eastAsia="GHEA Grapalat" w:hAnsi="GHEA Grapalat" w:cs="GHEA Grapala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7A1974DE"/>
    <w:multiLevelType w:val="multilevel"/>
    <w:tmpl w:val="563829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7F90127F"/>
    <w:multiLevelType w:val="multilevel"/>
    <w:tmpl w:val="868054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3"/>
  </w:num>
  <w:num w:numId="3">
    <w:abstractNumId w:val="6"/>
  </w:num>
  <w:num w:numId="4">
    <w:abstractNumId w:val="0"/>
  </w:num>
  <w:num w:numId="5">
    <w:abstractNumId w:val="9"/>
  </w:num>
  <w:num w:numId="6">
    <w:abstractNumId w:val="2"/>
  </w:num>
  <w:num w:numId="7">
    <w:abstractNumId w:val="7"/>
  </w:num>
  <w:num w:numId="8">
    <w:abstractNumId w:val="1"/>
  </w:num>
  <w:num w:numId="9">
    <w:abstractNumId w:val="8"/>
  </w:num>
  <w:num w:numId="10">
    <w:abstractNumId w:val="4"/>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hideSpellingErrors/>
  <w:defaultTabStop w:val="720"/>
  <w:characterSpacingControl w:val="doNotCompress"/>
  <w:footnotePr>
    <w:footnote w:id="-1"/>
    <w:footnote w:id="0"/>
  </w:footnotePr>
  <w:endnotePr>
    <w:endnote w:id="-1"/>
    <w:endnote w:id="0"/>
  </w:endnotePr>
  <w:compat/>
  <w:rsids>
    <w:rsidRoot w:val="00F2404D"/>
    <w:rsid w:val="00035DF9"/>
    <w:rsid w:val="00322392"/>
    <w:rsid w:val="0047531A"/>
    <w:rsid w:val="0051158B"/>
    <w:rsid w:val="005B3ADD"/>
    <w:rsid w:val="006373DF"/>
    <w:rsid w:val="006A7108"/>
    <w:rsid w:val="007571B4"/>
    <w:rsid w:val="008B69DD"/>
    <w:rsid w:val="009B7C65"/>
    <w:rsid w:val="00A10BBD"/>
    <w:rsid w:val="00A9005C"/>
    <w:rsid w:val="00B45970"/>
    <w:rsid w:val="00BD1052"/>
    <w:rsid w:val="00BE351B"/>
    <w:rsid w:val="00CB7842"/>
    <w:rsid w:val="00D72569"/>
    <w:rsid w:val="00E36C05"/>
    <w:rsid w:val="00E71B9A"/>
    <w:rsid w:val="00EF25AC"/>
    <w:rsid w:val="00F240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505A"/>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1"/>
    <w:next w:val="Normal1"/>
    <w:rsid w:val="006D6C62"/>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1"/>
    <w:next w:val="Normal1"/>
    <w:rsid w:val="006D6C62"/>
    <w:pPr>
      <w:keepNext/>
      <w:keepLines/>
      <w:spacing w:before="240" w:after="40"/>
      <w:outlineLvl w:val="3"/>
    </w:pPr>
    <w:rPr>
      <w:b/>
      <w:sz w:val="24"/>
      <w:szCs w:val="24"/>
    </w:rPr>
  </w:style>
  <w:style w:type="paragraph" w:styleId="Heading5">
    <w:name w:val="heading 5"/>
    <w:basedOn w:val="Normal1"/>
    <w:next w:val="Normal1"/>
    <w:rsid w:val="006D6C62"/>
    <w:pPr>
      <w:keepNext/>
      <w:keepLines/>
      <w:spacing w:before="220" w:after="40"/>
      <w:outlineLvl w:val="4"/>
    </w:pPr>
    <w:rPr>
      <w:b/>
    </w:rPr>
  </w:style>
  <w:style w:type="paragraph" w:styleId="Heading6">
    <w:name w:val="heading 6"/>
    <w:basedOn w:val="Normal1"/>
    <w:next w:val="Normal1"/>
    <w:rsid w:val="006D6C6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6D6C62"/>
    <w:pPr>
      <w:keepNext/>
      <w:keepLines/>
      <w:spacing w:before="480" w:after="120"/>
    </w:pPr>
    <w:rPr>
      <w:b/>
      <w:sz w:val="72"/>
      <w:szCs w:val="72"/>
    </w:rPr>
  </w:style>
  <w:style w:type="paragraph" w:customStyle="1" w:styleId="Normal1">
    <w:name w:val="Normal1"/>
    <w:rsid w:val="006D6C62"/>
  </w:style>
  <w:style w:type="table" w:styleId="TableGrid">
    <w:name w:val="Table Grid"/>
    <w:basedOn w:val="TableNormal"/>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uiPriority w:val="99"/>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basedOn w:val="Normal"/>
    <w:uiPriority w:val="99"/>
    <w:unhideWhenUsed/>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List_Paragraph,Multilevel para_II,List Paragraph1,Akapit z listą BS,Bullet1,Bullets,List Paragraph 1,References,List Paragraph (numbered (a)),IBL List Paragraph,List Paragraph nowy,Numbered List Paragraph"/>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uiPriority w:val="9"/>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paragraph" w:styleId="CommentText">
    <w:name w:val="annotation text"/>
    <w:basedOn w:val="Normal"/>
    <w:link w:val="CommentTextChar"/>
    <w:uiPriority w:val="99"/>
    <w:unhideWhenUsed/>
    <w:rsid w:val="007A62EA"/>
    <w:pPr>
      <w:spacing w:line="240" w:lineRule="auto"/>
    </w:pPr>
    <w:rPr>
      <w:rFonts w:eastAsiaTheme="minorHAnsi"/>
      <w:sz w:val="20"/>
      <w:szCs w:val="20"/>
      <w:lang w:val="en-GB"/>
    </w:rPr>
  </w:style>
  <w:style w:type="character" w:customStyle="1" w:styleId="CommentTextChar">
    <w:name w:val="Comment Text Char"/>
    <w:basedOn w:val="DefaultParagraphFont"/>
    <w:link w:val="CommentText"/>
    <w:uiPriority w:val="99"/>
    <w:rsid w:val="007A62EA"/>
    <w:rPr>
      <w:rFonts w:eastAsiaTheme="minorHAnsi"/>
      <w:sz w:val="20"/>
      <w:szCs w:val="20"/>
      <w:lang w:val="en-GB"/>
    </w:rPr>
  </w:style>
  <w:style w:type="character" w:customStyle="1" w:styleId="ListParagraphChar">
    <w:name w:val="List Paragraph Char"/>
    <w:aliases w:val="Table no. List Paragraph Char,List_Paragraph Char,Multilevel para_II Char,List Paragraph1 Char,Akapit z listą BS Char,Bullet1 Char,Bullets Char,List Paragraph 1 Char,References Char,List Paragraph (numbered (a)) Char"/>
    <w:link w:val="ListParagraph"/>
    <w:uiPriority w:val="34"/>
    <w:locked/>
    <w:rsid w:val="002058DE"/>
  </w:style>
  <w:style w:type="paragraph" w:styleId="BodyText">
    <w:name w:val="Body Text"/>
    <w:basedOn w:val="Normal"/>
    <w:link w:val="BodyTextChar"/>
    <w:uiPriority w:val="99"/>
    <w:unhideWhenUsed/>
    <w:rsid w:val="007D2B36"/>
    <w:pPr>
      <w:spacing w:after="120"/>
    </w:pPr>
  </w:style>
  <w:style w:type="character" w:customStyle="1" w:styleId="BodyTextChar">
    <w:name w:val="Body Text Char"/>
    <w:basedOn w:val="DefaultParagraphFont"/>
    <w:link w:val="BodyText"/>
    <w:uiPriority w:val="99"/>
    <w:rsid w:val="007D2B36"/>
  </w:style>
  <w:style w:type="character" w:customStyle="1" w:styleId="UnresolvedMention1">
    <w:name w:val="Unresolved Mention1"/>
    <w:basedOn w:val="DefaultParagraphFont"/>
    <w:uiPriority w:val="99"/>
    <w:semiHidden/>
    <w:unhideWhenUsed/>
    <w:rsid w:val="00124D0C"/>
    <w:rPr>
      <w:color w:val="605E5C"/>
      <w:shd w:val="clear" w:color="auto" w:fill="E1DFDD"/>
    </w:rPr>
  </w:style>
  <w:style w:type="character" w:styleId="CommentReference">
    <w:name w:val="annotation reference"/>
    <w:basedOn w:val="DefaultParagraphFont"/>
    <w:uiPriority w:val="99"/>
    <w:semiHidden/>
    <w:unhideWhenUsed/>
    <w:rsid w:val="004F6F06"/>
    <w:rPr>
      <w:sz w:val="16"/>
      <w:szCs w:val="16"/>
    </w:rPr>
  </w:style>
  <w:style w:type="paragraph" w:styleId="CommentSubject">
    <w:name w:val="annotation subject"/>
    <w:basedOn w:val="CommentText"/>
    <w:next w:val="CommentText"/>
    <w:link w:val="CommentSubjectChar"/>
    <w:uiPriority w:val="99"/>
    <w:semiHidden/>
    <w:unhideWhenUsed/>
    <w:rsid w:val="004F6F06"/>
    <w:rPr>
      <w:rFonts w:eastAsiaTheme="minorEastAsia"/>
      <w:b/>
      <w:bCs/>
      <w:lang w:val="en-US"/>
    </w:rPr>
  </w:style>
  <w:style w:type="character" w:customStyle="1" w:styleId="CommentSubjectChar">
    <w:name w:val="Comment Subject Char"/>
    <w:basedOn w:val="CommentTextChar"/>
    <w:link w:val="CommentSubject"/>
    <w:uiPriority w:val="99"/>
    <w:semiHidden/>
    <w:rsid w:val="004F6F06"/>
    <w:rPr>
      <w:rFonts w:eastAsiaTheme="minorHAnsi"/>
      <w:b/>
      <w:bCs/>
      <w:sz w:val="20"/>
      <w:szCs w:val="20"/>
      <w:lang w:val="en-GB"/>
    </w:rPr>
  </w:style>
  <w:style w:type="character" w:customStyle="1" w:styleId="a">
    <w:name w:val="Основной текст_"/>
    <w:basedOn w:val="DefaultParagraphFont"/>
    <w:link w:val="a0"/>
    <w:rsid w:val="00263631"/>
    <w:rPr>
      <w:rFonts w:ascii="Tahoma" w:eastAsia="Tahoma" w:hAnsi="Tahoma" w:cs="Tahoma"/>
      <w:shd w:val="clear" w:color="auto" w:fill="FFFFFF"/>
    </w:rPr>
  </w:style>
  <w:style w:type="paragraph" w:customStyle="1" w:styleId="a0">
    <w:name w:val="Основной текст"/>
    <w:basedOn w:val="Normal"/>
    <w:link w:val="a"/>
    <w:rsid w:val="00263631"/>
    <w:pPr>
      <w:widowControl w:val="0"/>
      <w:shd w:val="clear" w:color="auto" w:fill="FFFFFF"/>
      <w:spacing w:before="360" w:after="0" w:line="320" w:lineRule="exact"/>
      <w:ind w:hanging="360"/>
      <w:jc w:val="both"/>
    </w:pPr>
    <w:rPr>
      <w:rFonts w:ascii="Tahoma" w:eastAsia="Tahoma" w:hAnsi="Tahoma" w:cs="Tahoma"/>
    </w:rPr>
  </w:style>
  <w:style w:type="character" w:customStyle="1" w:styleId="2">
    <w:name w:val="Основной текст (2)_"/>
    <w:basedOn w:val="DefaultParagraphFont"/>
    <w:link w:val="20"/>
    <w:rsid w:val="00755732"/>
    <w:rPr>
      <w:rFonts w:ascii="Tahoma" w:eastAsia="Tahoma" w:hAnsi="Tahoma" w:cs="Tahoma"/>
      <w:sz w:val="19"/>
      <w:szCs w:val="19"/>
      <w:shd w:val="clear" w:color="auto" w:fill="FFFFFF"/>
    </w:rPr>
  </w:style>
  <w:style w:type="character" w:customStyle="1" w:styleId="a1">
    <w:name w:val="Основной текст + Полужирный"/>
    <w:basedOn w:val="a"/>
    <w:rsid w:val="00755732"/>
    <w:rPr>
      <w:rFonts w:ascii="Tahoma" w:eastAsia="Tahoma" w:hAnsi="Tahoma" w:cs="Tahoma"/>
      <w:b/>
      <w:bCs/>
      <w:color w:val="000000"/>
      <w:spacing w:val="0"/>
      <w:w w:val="100"/>
      <w:position w:val="0"/>
      <w:sz w:val="20"/>
      <w:szCs w:val="20"/>
      <w:shd w:val="clear" w:color="auto" w:fill="FFFFFF"/>
      <w:lang w:val="hy-AM" w:eastAsia="hy-AM" w:bidi="hy-AM"/>
    </w:rPr>
  </w:style>
  <w:style w:type="paragraph" w:customStyle="1" w:styleId="20">
    <w:name w:val="Основной текст (2)"/>
    <w:basedOn w:val="Normal"/>
    <w:link w:val="2"/>
    <w:rsid w:val="00755732"/>
    <w:pPr>
      <w:widowControl w:val="0"/>
      <w:shd w:val="clear" w:color="auto" w:fill="FFFFFF"/>
      <w:spacing w:after="60" w:line="235" w:lineRule="exact"/>
      <w:jc w:val="center"/>
    </w:pPr>
    <w:rPr>
      <w:rFonts w:ascii="Tahoma" w:eastAsia="Tahoma" w:hAnsi="Tahoma" w:cs="Tahoma"/>
      <w:sz w:val="19"/>
      <w:szCs w:val="19"/>
    </w:rPr>
  </w:style>
  <w:style w:type="character" w:customStyle="1" w:styleId="4">
    <w:name w:val="Основной текст (4)_"/>
    <w:basedOn w:val="DefaultParagraphFont"/>
    <w:link w:val="40"/>
    <w:rsid w:val="00E3490E"/>
    <w:rPr>
      <w:rFonts w:ascii="Tahoma" w:eastAsia="Tahoma" w:hAnsi="Tahoma" w:cs="Tahoma"/>
      <w:sz w:val="21"/>
      <w:szCs w:val="21"/>
      <w:shd w:val="clear" w:color="auto" w:fill="FFFFFF"/>
    </w:rPr>
  </w:style>
  <w:style w:type="character" w:customStyle="1" w:styleId="Exact">
    <w:name w:val="Подпись к картинке Exact"/>
    <w:basedOn w:val="DefaultParagraphFont"/>
    <w:link w:val="a2"/>
    <w:rsid w:val="00E3490E"/>
    <w:rPr>
      <w:rFonts w:ascii="Tahoma" w:eastAsia="Tahoma" w:hAnsi="Tahoma" w:cs="Tahoma"/>
      <w:b/>
      <w:bCs/>
      <w:i/>
      <w:iCs/>
      <w:sz w:val="8"/>
      <w:szCs w:val="8"/>
      <w:shd w:val="clear" w:color="auto" w:fill="FFFFFF"/>
    </w:rPr>
  </w:style>
  <w:style w:type="paragraph" w:customStyle="1" w:styleId="40">
    <w:name w:val="Основной текст (4)"/>
    <w:basedOn w:val="Normal"/>
    <w:link w:val="4"/>
    <w:rsid w:val="00E3490E"/>
    <w:pPr>
      <w:widowControl w:val="0"/>
      <w:shd w:val="clear" w:color="auto" w:fill="FFFFFF"/>
      <w:spacing w:before="360" w:after="0" w:line="322" w:lineRule="exact"/>
      <w:jc w:val="both"/>
    </w:pPr>
    <w:rPr>
      <w:rFonts w:ascii="Tahoma" w:eastAsia="Tahoma" w:hAnsi="Tahoma" w:cs="Tahoma"/>
      <w:sz w:val="21"/>
      <w:szCs w:val="21"/>
    </w:rPr>
  </w:style>
  <w:style w:type="paragraph" w:customStyle="1" w:styleId="a2">
    <w:name w:val="Подпись к картинке"/>
    <w:basedOn w:val="Normal"/>
    <w:link w:val="Exact"/>
    <w:rsid w:val="00E3490E"/>
    <w:pPr>
      <w:widowControl w:val="0"/>
      <w:shd w:val="clear" w:color="auto" w:fill="FFFFFF"/>
      <w:spacing w:after="0" w:line="0" w:lineRule="atLeast"/>
    </w:pPr>
    <w:rPr>
      <w:rFonts w:ascii="Tahoma" w:eastAsia="Tahoma" w:hAnsi="Tahoma" w:cs="Tahoma"/>
      <w:b/>
      <w:bCs/>
      <w:i/>
      <w:iCs/>
      <w:sz w:val="8"/>
      <w:szCs w:val="8"/>
    </w:rPr>
  </w:style>
  <w:style w:type="character" w:customStyle="1" w:styleId="12pt">
    <w:name w:val="Основной текст + 12 pt"/>
    <w:aliases w:val="Курсив,Масштаб 120%"/>
    <w:basedOn w:val="a"/>
    <w:rsid w:val="00FB35DD"/>
    <w:rPr>
      <w:rFonts w:ascii="Tahoma" w:eastAsia="Tahoma" w:hAnsi="Tahoma" w:cs="Tahoma"/>
      <w:i/>
      <w:iCs/>
      <w:color w:val="000000"/>
      <w:spacing w:val="0"/>
      <w:w w:val="120"/>
      <w:position w:val="0"/>
      <w:sz w:val="24"/>
      <w:szCs w:val="24"/>
      <w:shd w:val="clear" w:color="auto" w:fill="FFFFFF"/>
      <w:lang w:val="hy-AM" w:eastAsia="hy-AM" w:bidi="hy-AM"/>
    </w:rPr>
  </w:style>
  <w:style w:type="paragraph" w:styleId="Subtitle">
    <w:name w:val="Subtitle"/>
    <w:basedOn w:val="Normal"/>
    <w:next w:val="Normal"/>
    <w:rsid w:val="00E71B9A"/>
    <w:pPr>
      <w:keepNext/>
      <w:keepLines/>
      <w:spacing w:before="360" w:after="80"/>
    </w:pPr>
    <w:rPr>
      <w:rFonts w:ascii="Georgia" w:eastAsia="Georgia" w:hAnsi="Georgia" w:cs="Georgia"/>
      <w:i/>
      <w:color w:val="666666"/>
      <w:sz w:val="48"/>
      <w:szCs w:val="48"/>
    </w:rPr>
  </w:style>
  <w:style w:type="table" w:customStyle="1" w:styleId="a3">
    <w:basedOn w:val="TableNormal"/>
    <w:rsid w:val="006D6C62"/>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Footer">
    <w:name w:val="footer"/>
    <w:basedOn w:val="Normal"/>
    <w:link w:val="FooterChar"/>
    <w:uiPriority w:val="99"/>
    <w:unhideWhenUsed/>
    <w:rsid w:val="007B0B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0BAE"/>
  </w:style>
  <w:style w:type="table" w:customStyle="1" w:styleId="a4">
    <w:basedOn w:val="TableNormal"/>
    <w:rsid w:val="00E71B9A"/>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HhHIw63hM2lEjmpd3RqdGHfBhA==">AMUW2mXqGm8nwHTTRNokomqp/l+iiptX7dJQfF0YmmV2Cfpac4UEcHF5hNAvZfR0hduWI4uuQR7+ePHsU5ZF2BEKeoCu75AMxOeUABbT0D6KFPYVUpeIkQSfYjgmMlAKpISZz8C6vBxa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112</Pages>
  <Words>14581</Words>
  <Characters>83113</Characters>
  <Application>Microsoft Office Word</Application>
  <DocSecurity>0</DocSecurity>
  <Lines>692</Lines>
  <Paragraphs>194</Paragraphs>
  <ScaleCrop>false</ScaleCrop>
  <Company/>
  <LinksUpToDate>false</LinksUpToDate>
  <CharactersWithSpaces>97500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Nerses Zeynalyan</dc:creator>
  <cp:lastModifiedBy>Am-Hovsepyan</cp:lastModifiedBy>
  <cp:revision>18</cp:revision>
  <dcterms:created xsi:type="dcterms:W3CDTF">2020-03-25T09:31:00Z</dcterms:created>
  <dcterms:modified xsi:type="dcterms:W3CDTF">2020-04-21T10:09:00Z</dcterms:modified>
</cp:coreProperties>
</file>