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6568A2">
        <w:rPr>
          <w:rFonts w:ascii="GHEA Grapalat" w:hAnsi="GHEA Grapalat" w:cs="Sylfaen"/>
          <w:sz w:val="24"/>
          <w:lang w:val="hy-AM"/>
        </w:rPr>
        <w:t>ապրիլի</w:t>
      </w:r>
      <w:r w:rsidR="0012342A">
        <w:rPr>
          <w:rFonts w:ascii="GHEA Grapalat" w:hAnsi="GHEA Grapalat"/>
          <w:sz w:val="24"/>
        </w:rPr>
        <w:t xml:space="preserve">  2020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F95B4B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F95B4B">
        <w:rPr>
          <w:rFonts w:ascii="GHEA Grapalat" w:eastAsia="Times New Roman" w:hAnsi="GHEA Grapalat" w:cs="Tahoma"/>
          <w:lang w:val="hy-AM" w:eastAsia="ru-RU"/>
        </w:rPr>
        <w:t>«ՓԱՍՏԱԲԱՆՈՒԹՅԱՆ ՄԱՍԻՆ» ՀԱՅԱՍՏԱՆԻ ՀԱՆՐԱՊԵՏՈՒԹՅԱՆ ՕՐԵՆՔՈՒՄ ՓՈՓՈԽՈՒԹՅՈՒՆ ԿԱՏԱՐԵԼՈՒ ՄԱՍԻՆ»</w:t>
      </w:r>
      <w:r w:rsidR="00132358" w:rsidRPr="00132358">
        <w:rPr>
          <w:rFonts w:ascii="GHEA Grapalat" w:hAnsi="GHEA Grapalat" w:cs="Sylfaen"/>
          <w:spacing w:val="10"/>
          <w:lang w:val="hy-AM"/>
        </w:rPr>
        <w:t xml:space="preserve"> 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0A7548">
        <w:rPr>
          <w:rFonts w:ascii="GHEA Grapalat" w:hAnsi="GHEA Grapalat" w:cs="Sylfaen"/>
          <w:spacing w:val="10"/>
          <w:lang w:val="hy-AM"/>
        </w:rPr>
        <w:t>Ա</w:t>
      </w:r>
      <w:r w:rsidR="00594E59">
        <w:rPr>
          <w:rFonts w:ascii="GHEA Grapalat" w:hAnsi="GHEA Grapalat" w:cs="Sylfaen"/>
          <w:spacing w:val="10"/>
          <w:lang w:val="hy-AM"/>
        </w:rPr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F95B4B" w:rsidRPr="00F95B4B">
        <w:rPr>
          <w:rFonts w:ascii="GHEA Grapalat" w:eastAsia="Times New Roman" w:hAnsi="GHEA Grapalat" w:cs="Tahoma"/>
          <w:lang w:val="hy-AM" w:eastAsia="ru-RU"/>
        </w:rPr>
        <w:t>«Փաստաբանության մասին» Հայաստանի Հանրապետության օրենքում փոփոխություն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0A7548" w:rsidRPr="000A7548">
        <w:rPr>
          <w:rFonts w:ascii="GHEA Grapalat" w:eastAsia="Times New Roman" w:hAnsi="GHEA Grapalat" w:cs="Tahoma"/>
          <w:lang w:val="hy-AM" w:eastAsia="ru-RU"/>
        </w:rPr>
        <w:t>Պ-512-12.03.2020-ՄԻ-011/0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0A7548">
        <w:rPr>
          <w:rFonts w:ascii="GHEA Grapalat" w:eastAsia="Times New Roman" w:hAnsi="GHEA Grapalat" w:cs="Tahoma"/>
          <w:lang w:val="hy-AM" w:eastAsia="ru-RU"/>
        </w:rPr>
        <w:softHyphen/>
      </w:r>
      <w:r w:rsidR="000A7548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0A7548">
        <w:rPr>
          <w:rFonts w:ascii="GHEA Grapalat" w:eastAsia="Times New Roman" w:hAnsi="GHEA Grapalat" w:cs="Tahoma"/>
          <w:lang w:val="hy-AM" w:eastAsia="ru-RU"/>
        </w:rPr>
        <w:softHyphen/>
      </w:r>
      <w:r w:rsidR="000A7548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0A7548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0A7548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0A7548">
        <w:rPr>
          <w:rFonts w:ascii="GHEA Grapalat" w:eastAsia="Times New Roman" w:hAnsi="GHEA Grapalat" w:cs="Tahoma"/>
          <w:lang w:val="hy-AM" w:eastAsia="ru-RU"/>
        </w:rPr>
        <w:softHyphen/>
        <w:t>կությա</w:t>
      </w:r>
      <w:r w:rsidR="003B4A5C">
        <w:rPr>
          <w:rFonts w:ascii="GHEA Grapalat" w:eastAsia="Times New Roman" w:hAnsi="GHEA Grapalat" w:cs="Tahoma"/>
          <w:lang w:val="hy-AM" w:eastAsia="ru-RU"/>
        </w:rPr>
        <w:t>ն</w:t>
      </w:r>
      <w:r w:rsidR="000A7548">
        <w:rPr>
          <w:rFonts w:ascii="GHEA Grapalat" w:eastAsia="Times New Roman" w:hAnsi="GHEA Grapalat" w:cs="Tahoma"/>
          <w:lang w:val="hy-AM" w:eastAsia="ru-RU"/>
        </w:rPr>
        <w:t>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12342A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2020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06428C">
        <w:rPr>
          <w:rFonts w:ascii="GHEA Grapalat" w:hAnsi="GHEA Grapalat" w:cs="IRTEK Courier"/>
          <w:spacing w:val="-4"/>
          <w:lang w:val="hy-AM"/>
        </w:rPr>
        <w:t>ապրիլի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440D5" w:rsidRDefault="001440D5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440D5" w:rsidRDefault="001440D5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440D5" w:rsidRDefault="001440D5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827FFA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F95B4B">
        <w:rPr>
          <w:rFonts w:ascii="GHEA Grapalat" w:eastAsia="Times New Roman" w:hAnsi="GHEA Grapalat" w:cs="Tahoma"/>
          <w:lang w:val="hy-AM" w:eastAsia="ru-RU"/>
        </w:rPr>
        <w:t>«ՓԱՍՏԱԲԱՆՈՒԹՅԱՆ ՄԱՍԻՆ» ՀԱՅԱՍՏԱՆԻ ՀԱՆՐԱՊԵՏՈՒԹՅԱՆ ՕՐԵՆՔՈՒՄ ՓՈՓՈԽՈՒԹՅՈՒՆ ԿԱՏԱՐԵԼՈՒ ՄԱՍԻՆ»</w:t>
      </w:r>
      <w:r w:rsidR="00476CD6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0A7548">
        <w:rPr>
          <w:rFonts w:ascii="GHEA Grapalat" w:eastAsia="Times New Roman" w:hAnsi="GHEA Grapalat" w:cs="Tahoma"/>
          <w:lang w:val="hy-AM" w:eastAsia="ru-RU"/>
        </w:rPr>
        <w:t>Պ-512-12.03.2020-ՄԻ-011/0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</w:t>
      </w:r>
      <w:r>
        <w:rPr>
          <w:rFonts w:ascii="GHEA Grapalat" w:hAnsi="GHEA Grapalat" w:cs="Tahoma"/>
          <w:caps/>
          <w:spacing w:val="-4"/>
          <w:lang w:val="hy-AM"/>
        </w:rPr>
        <w:t>Ն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513C5D" w:rsidRDefault="00513C5D" w:rsidP="00513C5D">
      <w:pPr>
        <w:tabs>
          <w:tab w:val="left" w:pos="9990"/>
        </w:tabs>
        <w:spacing w:after="0" w:line="360" w:lineRule="auto"/>
        <w:ind w:right="15"/>
        <w:jc w:val="both"/>
        <w:rPr>
          <w:rFonts w:ascii="GHEA Grapalat" w:hAnsi="GHEA Grapalat" w:cs="Tahoma"/>
          <w:lang w:val="hy-AM"/>
        </w:rPr>
      </w:pP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Sylfaen"/>
          <w:lang w:val="hy-AM"/>
        </w:rPr>
        <w:t>«Զինվորական ծառայության և զինծառայողի կարգավիճակի մասին» օրենքի 3-րդ հոդվածի 1-ին մասի համաձայն՝</w:t>
      </w:r>
      <w:r w:rsidRPr="00A5248F">
        <w:rPr>
          <w:rFonts w:cs="Calibri"/>
          <w:lang w:val="hy-AM"/>
        </w:rPr>
        <w:t> 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Sylfaen"/>
          <w:lang w:val="hy-AM"/>
        </w:rPr>
      </w:pPr>
      <w:r w:rsidRPr="00A5248F">
        <w:rPr>
          <w:rFonts w:ascii="GHEA Grapalat" w:hAnsi="GHEA Grapalat" w:cs="Sylfaen"/>
          <w:lang w:val="hy-AM"/>
        </w:rPr>
        <w:t>«1. Զինվորական ծառայությունը Հայաստանի Հանրապետության զինված ուժերում և այլ զորքերում օրենքով սահմանված պետական ծառայության հատուկ տեսակ է: Հայաստանի Հանրապետության զինված ուժերում և այլ զորքերում սույն օրենքով և այլ օրենքներով սահմանված կարգով զինվորական ծառայություն անցնող անձինք համարվում են զինծառայող:…():»: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cs="Calibri"/>
          <w:lang w:val="hy-AM"/>
        </w:rPr>
        <w:t> </w:t>
      </w:r>
      <w:r w:rsidRPr="00A5248F">
        <w:rPr>
          <w:rFonts w:ascii="GHEA Grapalat" w:hAnsi="GHEA Grapalat" w:cs="Courier New"/>
          <w:lang w:val="hy-AM"/>
        </w:rPr>
        <w:t>«</w:t>
      </w:r>
      <w:r w:rsidRPr="00A5248F">
        <w:rPr>
          <w:rFonts w:ascii="GHEA Grapalat" w:hAnsi="GHEA Grapalat" w:cs="Sylfaen"/>
          <w:lang w:val="hy-AM"/>
        </w:rPr>
        <w:t>Զինվորական ծառայության և զինծառայողի կարգավիճակի մասին</w:t>
      </w:r>
      <w:r w:rsidRPr="00A5248F">
        <w:rPr>
          <w:rFonts w:ascii="GHEA Grapalat" w:hAnsi="GHEA Grapalat" w:cs="Courier New"/>
          <w:lang w:val="hy-AM"/>
        </w:rPr>
        <w:t xml:space="preserve">» օրենքի 3-րդ հոդվածի 2-րդ մասի համաձայն՝ 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2. Զինվորական ծառայությունը ներառում է`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1) զորակոչի` պարտադիր կամ զորահավաքային կամ պայմանագրի կնքման կամ վարժական հավաքի կանչվելու միջոցով զինվորական ծառայությանը ներգրավումը.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2) զինվորական պաշտոնի նշանակումը և զինվորական կոչման շնորհումը.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3) զինվորական ծառայության և զինծառայողի կարգավիճակից բխող պարտականությունների իրականացումը.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4) զինվորական ծառայությունից արձակումը: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 xml:space="preserve">«Զինվորական ծառայության և զինծառայողի կարգավիճակի մասին» օրենքի 5-րդ հոդվածի 1-ին և 2-րդ մասերի համաձայն՝ 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1. Զինվորական ծառայության տեսակներն են`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1) ժամկետային.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2) պահեստազորային.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3) զորահավաքային: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2. Ժամկետային զինվորական ծառայությունը բաղկացած է պարտադիր և պայմանագրային զինվորական ծառայություններից: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«Զինվորական ծառայության և զինծառայողի կարգավիճակի մասին» օրենքի 6-րդ հոդվածի համաձայն՝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1. Զինվորական ծառայության սկիզբ է համարվում`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 xml:space="preserve">1) պարտադիր զինվորական ծառայության զորակոչված կամ զորահավաքային զորակոչի կամ պահեստազորային զինվորական ծառայության կանչված քաղաքացիների </w:t>
      </w:r>
      <w:r w:rsidRPr="00A5248F">
        <w:rPr>
          <w:rFonts w:ascii="GHEA Grapalat" w:hAnsi="GHEA Grapalat" w:cs="Courier New"/>
          <w:lang w:val="hy-AM"/>
        </w:rPr>
        <w:lastRenderedPageBreak/>
        <w:t>համար` ծառայության վայր մեկնելու նպատակով զինվորական կոմիսարիատ ներկայանալու օրը.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2) պայմանագրային զինվորական ծառայության ընդունվող քաղաքացիների համար` պայմանագիրն ուժի մեջ մտնելու օրը.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3) ռազմաուսումնական հաստատություններ ընդունված քաղաքացիների համար` տվյալ ռազմաուսումնական հաստատությունում որպես կուրսանտ գրանցվելու օրը: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2. Զինվորական ծառայությունն ավարտված է համարվում զինծառայողին զինվորական ծառայությունից արձակելու կապակցությամբ զորամասի (զինվորական կառավարման մարմնի) անձնակազմի և բավարարման (ապահովման) ցուցակներից հանելու օրը: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«Զինվորական ծառայության և զինծառայողի կարգավիճակի մասին» օրենքի 7-րդ հոդվածի 1-ին և 2-րդ մասերի համաձայն՝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1. Զինվորական ծառայության ընդհանուր ժամկետում ներառվում է զինծառայողի` սույն օրենքով սահմանված զինվորական ծառայության մեջ գտնվելու ամբողջ ժամանակահատվածը: Զինվորական ծառայության ընդհանուր ժամկետը որոշվում է օրացուցային հաշվարկով: Օրենքով կարող է սահմանվել նաև զինվորական ծառայության ժամկետի արտոնյալ հաշվարկ: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2. Զինվորական ծառայության ժամկետում չեն հաշվարկվում զինծառայողի`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1) ազատազրկման կամ կալանքի ձևով պատիժը կրելու ժամանակահատվածը.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2) ձերբակալման կամ որպես խափանման միջոց կիրառված կալանավորման ժամանակահատվածը.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3) զորամասը կամ ծառայության վայրն ինքնակամ թողնելու կամ օրենքով սահմանված կարգով ապացուցված ինքնախեղման կամ դիտավորությամբ իր առողջական վիճակն այլ եղանակով վատթարացրած զինծառայողի բուժման մեջ գտնվելու ժամանակահատվածները` անկախ պատճառներից, ինչպես նաև զինծառայողի պահանջով իր առողջական վիճակի կրկնակի հետազոտման մեջ գտնվելու ժամանակահատվածը, եթե հետազոտման արդյունքներով զինծառայողի բուժման անհրաժեշտությունը բացակայում է.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4) ռազմաուսումնական հաստատություններից կարգապահական տույժի կարգով կամ անբավարար առաջադիմության կամ ուսումնառությունից հրաժարվելու համար հեռացված կուրսանտների ուսման կամ սույն օրենքի 54-րդ հոդվածի 4-րդ մասում նշված դեպքում պայմանագրային զինվորական ծառայության ժամանակահատվածը` սույն օրենքով սահմանված պարտադիր զինվորական ծառայության ընդհանուր ժամկետում.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5) սույն օրենքի 26-րդ հոդվածի 5-րդ մասում նշված անձի կողմից պայմանագրի գործողության ժամկետի ընթացքում պայմանագրից հրաժարվելու դեպքում՝ սույն օրենքի 28-</w:t>
      </w:r>
      <w:r w:rsidRPr="00A5248F">
        <w:rPr>
          <w:rFonts w:ascii="GHEA Grapalat" w:hAnsi="GHEA Grapalat" w:cs="Courier New"/>
          <w:lang w:val="hy-AM"/>
        </w:rPr>
        <w:lastRenderedPageBreak/>
        <w:t>րդ հոդվածի 12-րդ մասի համաձայն ամսական արձակուրդում գտնվելու օրերը՝ սույն օրենքով սահմանված պարտադիր զինվորական ծառայության ընդհանուր ժամկետում.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6) սույն օրենքի խախտմամբ պայմանագրային զինվորական ծառայություն անցած լինելու ժամանակահատվածը: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>Վերոգրյալ իրավակարգավորումների համակարգային և բովանդակային վերլուծությունից պարզ է դառնում, որ «Զինվորական ծառայության և զինծառայողի կարգավիճակի մասին» օրենքով առանձնացված են զինվորական ծառայության հետևյալ տեսակները՝ ժամկետային, պահեստազորային, զորահավաքային: Ընդ որում ժամկետային զինվորական ծառայությունը բաղկացած է պարտադիր և պայմանագրային զինվորական ծառայություններից, իսկ նույն օրենքի 3-րդ հոդվածի 1-ին մասում նախատեսված կարգավորումից էլ պարզ է դառնում, որ զինծառայող են համարվում Հայաստանի Հանրապետության զինված ուժերում և այլ զորքերում նույն օրենքով և այլ օրենքներով սահմանված կարգով զինվորական ծառայություն անցնող անձինք: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 xml:space="preserve"> «Զինվորական ծառայության և զինծառայողի կարգավիճակի մասին» օրենքով հստակ նաև նախատեսված է, որ զինվորական ծառայության ընդհանուր ժամկետում ներառվում է զինծառայողի` նույն օրենքով սահմանված զինվորական ծառայության մեջ գտնվելու ամբողջ ժամանակահատվածը, որի սկզիբն ու ավարտը սահմանված են «Զինվորական ծառայության և զինծառայողի կարգավիճակի մասին» օրենքի 6-րդ հոդվածում: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t xml:space="preserve">Վերոգրյալ կարգավորումների համատեքստում անդրադառնալով Նախագծով առաջարկվող կարգավորմանը, հարկ է նկատել, որ Նախագծով նախատեսվում է սահմանել անվճար իրավաբանական օգնություն զինծառայության ժամանակ մահացած զինծառայողի ընտանիքի անդամների համար: Մինչդեռ հարկ է արձանագրել, որ Նախագծով առաջարկվող կարագավորմամբ բովանդակային առումով տարբերակում դրված չէ «մահացած» և «զոհված» եզրույթների միջև, որի պարագայում էլ ստացվում է, որ Նախագծի ընդունման պարագայում, փաստորեն անկախ այն հանգամանքից թե զինծառայության ընթացքում ինչպիսի հանգամանքների արդյունքում է առաջացել զինծառայողի մահը՝ անմիջականորեն զինվորական ծառայության հետ պատճառական կապով կապված, թե ոչ, սահմանվելու է անվճար իրավաբանական օգնություն այդ զինծառայողների ընտանիքի անդամների համար, ինչը կարծում ենք՝ խնդրահարույց է, ուստի </w:t>
      </w:r>
      <w:r w:rsidRPr="00A5248F">
        <w:rPr>
          <w:rFonts w:ascii="GHEA Grapalat" w:hAnsi="GHEA Grapalat" w:cs="Courier New"/>
          <w:bCs/>
          <w:lang w:val="hy-AM"/>
        </w:rPr>
        <w:t>առաջարկում ենք  «Զինծառայության ժամանակ մահացած» բառերը փոխարինել «օրենքով սահ</w:t>
      </w:r>
      <w:r w:rsidRPr="00A5248F">
        <w:rPr>
          <w:rFonts w:ascii="GHEA Grapalat" w:hAnsi="GHEA Grapalat" w:cs="Courier New"/>
          <w:bCs/>
          <w:lang w:val="hy-AM"/>
        </w:rPr>
        <w:softHyphen/>
        <w:t>ման</w:t>
      </w:r>
      <w:r w:rsidRPr="00A5248F">
        <w:rPr>
          <w:rFonts w:ascii="GHEA Grapalat" w:hAnsi="GHEA Grapalat" w:cs="Courier New"/>
          <w:bCs/>
          <w:lang w:val="hy-AM"/>
        </w:rPr>
        <w:softHyphen/>
        <w:t xml:space="preserve">ված կարգով հաստատված՝ զինվորական ծառայության հետ պատճառական կապով զոհված (մահացած)» բառերով՝ հաշվի առնելով ՀՀ կառավարության </w:t>
      </w:r>
      <w:r w:rsidRPr="00A5248F">
        <w:rPr>
          <w:rFonts w:ascii="GHEA Grapalat" w:hAnsi="GHEA Grapalat" w:cs="GHEA Grapalat"/>
          <w:bCs/>
          <w:lang w:val="hy-AM"/>
        </w:rPr>
        <w:t xml:space="preserve">2018 </w:t>
      </w:r>
      <w:r w:rsidRPr="00A5248F">
        <w:rPr>
          <w:rFonts w:ascii="GHEA Grapalat" w:hAnsi="GHEA Grapalat" w:cs="Courier New"/>
          <w:bCs/>
          <w:lang w:val="hy-AM"/>
        </w:rPr>
        <w:t>թ</w:t>
      </w:r>
      <w:r w:rsidRPr="00A5248F">
        <w:rPr>
          <w:rFonts w:ascii="GHEA Grapalat" w:eastAsia="MS Mincho" w:hAnsi="GHEA Grapalat" w:cs="MS Mincho"/>
          <w:bCs/>
          <w:lang w:val="hy-AM"/>
        </w:rPr>
        <w:t>վականի ապրիլի 12-ի</w:t>
      </w:r>
      <w:r w:rsidRPr="00A5248F">
        <w:rPr>
          <w:rFonts w:ascii="GHEA Grapalat" w:hAnsi="GHEA Grapalat" w:cs="Courier New"/>
          <w:bCs/>
          <w:lang w:val="hy-AM"/>
        </w:rPr>
        <w:t xml:space="preserve"> N 405-Ն որոշմամբ հաստատված կարգի 93-րդ կետի պահանջները։</w:t>
      </w:r>
    </w:p>
    <w:p w:rsidR="00A5248F" w:rsidRPr="00A5248F" w:rsidRDefault="00A5248F" w:rsidP="00A5248F">
      <w:pPr>
        <w:spacing w:after="0" w:line="360" w:lineRule="auto"/>
        <w:ind w:left="-90" w:right="231" w:firstLine="567"/>
        <w:jc w:val="both"/>
        <w:rPr>
          <w:rFonts w:ascii="GHEA Grapalat" w:hAnsi="GHEA Grapalat" w:cs="Courier New"/>
          <w:lang w:val="hy-AM"/>
        </w:rPr>
      </w:pPr>
      <w:r w:rsidRPr="00A5248F">
        <w:rPr>
          <w:rFonts w:ascii="GHEA Grapalat" w:hAnsi="GHEA Grapalat" w:cs="Courier New"/>
          <w:lang w:val="hy-AM"/>
        </w:rPr>
        <w:lastRenderedPageBreak/>
        <w:t>Տվյալ պարագայում անդրադարձ կատարելով նաև Նախագծին կից ներկայացված հիմնավորմանը, հարկ է նկատել, որ թեև դրանում ներկայացված են Հանրային պաշտպանի գրասենյակի կողմից տրամադրված որոշ վիճակագրական տվյալներ՝ քննարկվող գործերի քանակի վերաբերյալ, սակայն ներկայացված չէ առաջարկվող կարգավորման ազդեցության ֆինանսական գնահատականը, որի դեպքում էլ անհասկանալի է թե խոսքը տվյալ պարագայում անձանց ինչ շրջանակի մասին է և գործնականում ինչ ֆինանսական ծախսեր կարող են առաջանալ Նախագծով առաջարկվող իրավակարգավորման գործողության արդյունքում:</w:t>
      </w:r>
      <w:bookmarkStart w:id="0" w:name="_GoBack"/>
      <w:bookmarkEnd w:id="0"/>
    </w:p>
    <w:p w:rsidR="0006428C" w:rsidRPr="00A714D9" w:rsidRDefault="0006428C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sz w:val="22"/>
          <w:szCs w:val="22"/>
          <w:lang w:val="hy-AM"/>
        </w:rPr>
        <w:t xml:space="preserve">  </w:t>
      </w:r>
    </w:p>
    <w:p w:rsidR="00217EC2" w:rsidRPr="00513C5D" w:rsidRDefault="00513C5D" w:rsidP="0006428C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513C5D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ED6393" w:rsidRPr="00ED6393" w:rsidRDefault="00ED6393" w:rsidP="00ED639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75F30" w:rsidRPr="007E481E" w:rsidRDefault="00B75F3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827FFA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827FFA">
        <w:rPr>
          <w:rFonts w:ascii="GHEA Grapalat" w:eastAsia="Times New Roman" w:hAnsi="GHEA Grapalat" w:cs="Tahoma"/>
          <w:b/>
          <w:lang w:val="hy-AM" w:eastAsia="ru-RU"/>
        </w:rPr>
        <w:t>«Փաստաբանության մասին» Հայաստանի Հանրապետության օրենքում փոփոխություն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827FFA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F95B4B">
        <w:rPr>
          <w:rFonts w:ascii="GHEA Grapalat" w:eastAsia="Times New Roman" w:hAnsi="GHEA Grapalat" w:cs="Tahoma"/>
          <w:lang w:val="hy-AM" w:eastAsia="ru-RU"/>
        </w:rPr>
        <w:t>«Փաստաբանության մասին» Հայաստանի Հանրապետության օրենքում փոփոխություն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չի 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8F25BD">
        <w:rPr>
          <w:rFonts w:ascii="GHEA Grapalat" w:hAnsi="GHEA Grapalat" w:cs="Sylfaen"/>
          <w:lang w:val="hy-AM"/>
        </w:rPr>
        <w:t xml:space="preserve"> և</w:t>
      </w:r>
      <w:r w:rsidR="00963448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>կարող է հանգեցնել</w:t>
      </w:r>
      <w:r w:rsidR="00963448">
        <w:rPr>
          <w:rFonts w:ascii="GHEA Grapalat" w:hAnsi="GHEA Grapalat" w:cs="Sylfaen"/>
          <w:lang w:val="hy-AM"/>
        </w:rPr>
        <w:t xml:space="preserve"> 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="00AE63A9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777345" w:rsidRDefault="00777345" w:rsidP="00876FDE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sectPr w:rsidR="00777345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1BA" w:rsidRDefault="00C421BA" w:rsidP="006F109F">
      <w:pPr>
        <w:spacing w:after="0" w:line="240" w:lineRule="auto"/>
      </w:pPr>
      <w:r>
        <w:separator/>
      </w:r>
    </w:p>
  </w:endnote>
  <w:endnote w:type="continuationSeparator" w:id="0">
    <w:p w:rsidR="00C421BA" w:rsidRDefault="00C421BA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1BA" w:rsidRDefault="00C421BA" w:rsidP="006F109F">
      <w:pPr>
        <w:spacing w:after="0" w:line="240" w:lineRule="auto"/>
      </w:pPr>
      <w:r>
        <w:separator/>
      </w:r>
    </w:p>
  </w:footnote>
  <w:footnote w:type="continuationSeparator" w:id="0">
    <w:p w:rsidR="00C421BA" w:rsidRDefault="00C421BA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4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5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6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0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8"/>
  </w:num>
  <w:num w:numId="2">
    <w:abstractNumId w:val="25"/>
  </w:num>
  <w:num w:numId="3">
    <w:abstractNumId w:val="8"/>
  </w:num>
  <w:num w:numId="4">
    <w:abstractNumId w:val="31"/>
  </w:num>
  <w:num w:numId="5">
    <w:abstractNumId w:val="9"/>
  </w:num>
  <w:num w:numId="6">
    <w:abstractNumId w:val="14"/>
  </w:num>
  <w:num w:numId="7">
    <w:abstractNumId w:val="15"/>
  </w:num>
  <w:num w:numId="8">
    <w:abstractNumId w:val="21"/>
  </w:num>
  <w:num w:numId="9">
    <w:abstractNumId w:val="19"/>
  </w:num>
  <w:num w:numId="10">
    <w:abstractNumId w:val="23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2"/>
  </w:num>
  <w:num w:numId="14">
    <w:abstractNumId w:val="5"/>
  </w:num>
  <w:num w:numId="15">
    <w:abstractNumId w:val="22"/>
  </w:num>
  <w:num w:numId="16">
    <w:abstractNumId w:val="13"/>
  </w:num>
  <w:num w:numId="17">
    <w:abstractNumId w:val="24"/>
  </w:num>
  <w:num w:numId="18">
    <w:abstractNumId w:val="4"/>
  </w:num>
  <w:num w:numId="19">
    <w:abstractNumId w:val="10"/>
  </w:num>
  <w:num w:numId="20">
    <w:abstractNumId w:val="17"/>
  </w:num>
  <w:num w:numId="21">
    <w:abstractNumId w:val="3"/>
  </w:num>
  <w:num w:numId="22">
    <w:abstractNumId w:val="30"/>
  </w:num>
  <w:num w:numId="23">
    <w:abstractNumId w:val="11"/>
  </w:num>
  <w:num w:numId="24">
    <w:abstractNumId w:val="26"/>
  </w:num>
  <w:num w:numId="25">
    <w:abstractNumId w:val="6"/>
  </w:num>
  <w:num w:numId="26">
    <w:abstractNumId w:val="0"/>
  </w:num>
  <w:num w:numId="27">
    <w:abstractNumId w:val="1"/>
  </w:num>
  <w:num w:numId="28">
    <w:abstractNumId w:val="20"/>
  </w:num>
  <w:num w:numId="29">
    <w:abstractNumId w:val="16"/>
  </w:num>
  <w:num w:numId="30">
    <w:abstractNumId w:val="29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54562"/>
    <w:rsid w:val="00057693"/>
    <w:rsid w:val="0006428C"/>
    <w:rsid w:val="0007306C"/>
    <w:rsid w:val="000966DE"/>
    <w:rsid w:val="00096D23"/>
    <w:rsid w:val="000A7548"/>
    <w:rsid w:val="000B3A76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2342A"/>
    <w:rsid w:val="00126553"/>
    <w:rsid w:val="00132358"/>
    <w:rsid w:val="00140AAA"/>
    <w:rsid w:val="0014163C"/>
    <w:rsid w:val="001440D5"/>
    <w:rsid w:val="001502EA"/>
    <w:rsid w:val="001635FC"/>
    <w:rsid w:val="00192417"/>
    <w:rsid w:val="001975F3"/>
    <w:rsid w:val="00197BEA"/>
    <w:rsid w:val="001B617A"/>
    <w:rsid w:val="001C3BA6"/>
    <w:rsid w:val="001C64CC"/>
    <w:rsid w:val="001F70A9"/>
    <w:rsid w:val="00202105"/>
    <w:rsid w:val="00206940"/>
    <w:rsid w:val="00217EC2"/>
    <w:rsid w:val="002368C7"/>
    <w:rsid w:val="0023768A"/>
    <w:rsid w:val="00242A84"/>
    <w:rsid w:val="002651D4"/>
    <w:rsid w:val="00275218"/>
    <w:rsid w:val="00277794"/>
    <w:rsid w:val="002B064E"/>
    <w:rsid w:val="002C0441"/>
    <w:rsid w:val="002C5BCB"/>
    <w:rsid w:val="002F290E"/>
    <w:rsid w:val="00314985"/>
    <w:rsid w:val="003331A1"/>
    <w:rsid w:val="00336A80"/>
    <w:rsid w:val="00337E18"/>
    <w:rsid w:val="00374D9F"/>
    <w:rsid w:val="00374EE4"/>
    <w:rsid w:val="00397C3B"/>
    <w:rsid w:val="003B24F3"/>
    <w:rsid w:val="003B4A5C"/>
    <w:rsid w:val="003D0342"/>
    <w:rsid w:val="003D16E3"/>
    <w:rsid w:val="003F7763"/>
    <w:rsid w:val="00413083"/>
    <w:rsid w:val="0041570D"/>
    <w:rsid w:val="00420F58"/>
    <w:rsid w:val="00430B47"/>
    <w:rsid w:val="004370D4"/>
    <w:rsid w:val="0045145A"/>
    <w:rsid w:val="00452E95"/>
    <w:rsid w:val="00470B95"/>
    <w:rsid w:val="0047372D"/>
    <w:rsid w:val="00476CD6"/>
    <w:rsid w:val="004938BC"/>
    <w:rsid w:val="004D7F29"/>
    <w:rsid w:val="005027F7"/>
    <w:rsid w:val="00503309"/>
    <w:rsid w:val="00510203"/>
    <w:rsid w:val="00510847"/>
    <w:rsid w:val="00513A8E"/>
    <w:rsid w:val="00513C5D"/>
    <w:rsid w:val="00532AB1"/>
    <w:rsid w:val="005406B1"/>
    <w:rsid w:val="005506C0"/>
    <w:rsid w:val="0055145E"/>
    <w:rsid w:val="005646D1"/>
    <w:rsid w:val="005740A5"/>
    <w:rsid w:val="00577B2F"/>
    <w:rsid w:val="00594E59"/>
    <w:rsid w:val="005A6F71"/>
    <w:rsid w:val="005F2424"/>
    <w:rsid w:val="006125C1"/>
    <w:rsid w:val="00614796"/>
    <w:rsid w:val="00616756"/>
    <w:rsid w:val="006231EB"/>
    <w:rsid w:val="00627B0F"/>
    <w:rsid w:val="00627F15"/>
    <w:rsid w:val="00655D37"/>
    <w:rsid w:val="006568A2"/>
    <w:rsid w:val="0066766C"/>
    <w:rsid w:val="00676681"/>
    <w:rsid w:val="00677BB1"/>
    <w:rsid w:val="006913CD"/>
    <w:rsid w:val="006A2130"/>
    <w:rsid w:val="006B7745"/>
    <w:rsid w:val="006C0191"/>
    <w:rsid w:val="006C2A2C"/>
    <w:rsid w:val="006D359E"/>
    <w:rsid w:val="006D7663"/>
    <w:rsid w:val="006D7DF2"/>
    <w:rsid w:val="006F109F"/>
    <w:rsid w:val="00712A61"/>
    <w:rsid w:val="007279F8"/>
    <w:rsid w:val="0077464F"/>
    <w:rsid w:val="00777345"/>
    <w:rsid w:val="00783681"/>
    <w:rsid w:val="00790217"/>
    <w:rsid w:val="007D73E0"/>
    <w:rsid w:val="007E481E"/>
    <w:rsid w:val="007F26D4"/>
    <w:rsid w:val="007F5D27"/>
    <w:rsid w:val="00804721"/>
    <w:rsid w:val="00820238"/>
    <w:rsid w:val="008207D0"/>
    <w:rsid w:val="00820B9C"/>
    <w:rsid w:val="00827417"/>
    <w:rsid w:val="00827FFA"/>
    <w:rsid w:val="0083626C"/>
    <w:rsid w:val="00840126"/>
    <w:rsid w:val="008410D5"/>
    <w:rsid w:val="00847F53"/>
    <w:rsid w:val="00865E99"/>
    <w:rsid w:val="008662D8"/>
    <w:rsid w:val="00870522"/>
    <w:rsid w:val="00876FDE"/>
    <w:rsid w:val="00890FA6"/>
    <w:rsid w:val="00891B82"/>
    <w:rsid w:val="00893438"/>
    <w:rsid w:val="008A57B8"/>
    <w:rsid w:val="008B210F"/>
    <w:rsid w:val="008B5B29"/>
    <w:rsid w:val="008D6470"/>
    <w:rsid w:val="008F25BD"/>
    <w:rsid w:val="008F6BCF"/>
    <w:rsid w:val="00900C59"/>
    <w:rsid w:val="009570B2"/>
    <w:rsid w:val="00963448"/>
    <w:rsid w:val="009715FF"/>
    <w:rsid w:val="00981904"/>
    <w:rsid w:val="009C1C3E"/>
    <w:rsid w:val="009D0A6C"/>
    <w:rsid w:val="009E4025"/>
    <w:rsid w:val="009F0331"/>
    <w:rsid w:val="009F2D7F"/>
    <w:rsid w:val="009F7810"/>
    <w:rsid w:val="00A02712"/>
    <w:rsid w:val="00A04FF1"/>
    <w:rsid w:val="00A17978"/>
    <w:rsid w:val="00A5248F"/>
    <w:rsid w:val="00A52989"/>
    <w:rsid w:val="00A530BA"/>
    <w:rsid w:val="00A56A63"/>
    <w:rsid w:val="00A714D9"/>
    <w:rsid w:val="00A74205"/>
    <w:rsid w:val="00A844EF"/>
    <w:rsid w:val="00A901E2"/>
    <w:rsid w:val="00AA5809"/>
    <w:rsid w:val="00AB5F9C"/>
    <w:rsid w:val="00AE38EF"/>
    <w:rsid w:val="00AE63A9"/>
    <w:rsid w:val="00AF729C"/>
    <w:rsid w:val="00B154AA"/>
    <w:rsid w:val="00B2183F"/>
    <w:rsid w:val="00B22636"/>
    <w:rsid w:val="00B55AA3"/>
    <w:rsid w:val="00B61309"/>
    <w:rsid w:val="00B64166"/>
    <w:rsid w:val="00B64F49"/>
    <w:rsid w:val="00B745E5"/>
    <w:rsid w:val="00B75F30"/>
    <w:rsid w:val="00B87F07"/>
    <w:rsid w:val="00BA16BE"/>
    <w:rsid w:val="00BA4430"/>
    <w:rsid w:val="00BB3470"/>
    <w:rsid w:val="00BC6E30"/>
    <w:rsid w:val="00BD0928"/>
    <w:rsid w:val="00BD093F"/>
    <w:rsid w:val="00BD16B4"/>
    <w:rsid w:val="00BE166E"/>
    <w:rsid w:val="00BF22A6"/>
    <w:rsid w:val="00C0212F"/>
    <w:rsid w:val="00C0464F"/>
    <w:rsid w:val="00C13379"/>
    <w:rsid w:val="00C147D0"/>
    <w:rsid w:val="00C15552"/>
    <w:rsid w:val="00C30B17"/>
    <w:rsid w:val="00C35F6F"/>
    <w:rsid w:val="00C421BA"/>
    <w:rsid w:val="00C51739"/>
    <w:rsid w:val="00C575B5"/>
    <w:rsid w:val="00C6349C"/>
    <w:rsid w:val="00C90C60"/>
    <w:rsid w:val="00CA24FF"/>
    <w:rsid w:val="00CB79B0"/>
    <w:rsid w:val="00CC0BAF"/>
    <w:rsid w:val="00CC1135"/>
    <w:rsid w:val="00CC49BD"/>
    <w:rsid w:val="00CC68BD"/>
    <w:rsid w:val="00CE20FD"/>
    <w:rsid w:val="00CE71F3"/>
    <w:rsid w:val="00CF4D7C"/>
    <w:rsid w:val="00D04D9E"/>
    <w:rsid w:val="00D0560C"/>
    <w:rsid w:val="00D13A4C"/>
    <w:rsid w:val="00D25D28"/>
    <w:rsid w:val="00D41257"/>
    <w:rsid w:val="00D426E7"/>
    <w:rsid w:val="00D473C5"/>
    <w:rsid w:val="00D50208"/>
    <w:rsid w:val="00DA1635"/>
    <w:rsid w:val="00DA22C1"/>
    <w:rsid w:val="00DA5F30"/>
    <w:rsid w:val="00DB4D3B"/>
    <w:rsid w:val="00DD238E"/>
    <w:rsid w:val="00DD2DC8"/>
    <w:rsid w:val="00DD47A7"/>
    <w:rsid w:val="00E026AD"/>
    <w:rsid w:val="00E1291A"/>
    <w:rsid w:val="00E15A06"/>
    <w:rsid w:val="00E25454"/>
    <w:rsid w:val="00E2592A"/>
    <w:rsid w:val="00E3269C"/>
    <w:rsid w:val="00E441F7"/>
    <w:rsid w:val="00E47B32"/>
    <w:rsid w:val="00E52592"/>
    <w:rsid w:val="00E53C44"/>
    <w:rsid w:val="00E6378C"/>
    <w:rsid w:val="00E651E1"/>
    <w:rsid w:val="00E8412A"/>
    <w:rsid w:val="00E943BF"/>
    <w:rsid w:val="00E94FCE"/>
    <w:rsid w:val="00EA2058"/>
    <w:rsid w:val="00EC41CE"/>
    <w:rsid w:val="00ED6393"/>
    <w:rsid w:val="00ED72C1"/>
    <w:rsid w:val="00F04BBE"/>
    <w:rsid w:val="00F05E81"/>
    <w:rsid w:val="00F07039"/>
    <w:rsid w:val="00F1792C"/>
    <w:rsid w:val="00F25BA6"/>
    <w:rsid w:val="00F33CD2"/>
    <w:rsid w:val="00F35616"/>
    <w:rsid w:val="00F64506"/>
    <w:rsid w:val="00F65AA1"/>
    <w:rsid w:val="00F752CA"/>
    <w:rsid w:val="00F77554"/>
    <w:rsid w:val="00F806E3"/>
    <w:rsid w:val="00F80DD9"/>
    <w:rsid w:val="00F8571A"/>
    <w:rsid w:val="00F9535E"/>
    <w:rsid w:val="00F95B4B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FB457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F10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6A3B5-5D06-4228-8F85-4F4A258BA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5</Pages>
  <Words>892</Words>
  <Characters>6984</Characters>
  <Application>Microsoft Office Word</Application>
  <DocSecurity>0</DocSecurity>
  <Lines>170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>https://mul2.gov.am/tasks/245519/oneclick/Arajarkutyunner_512.docx?token=36de26914abbde5df4c649dbec4c85d9</cp:keywords>
  <cp:lastModifiedBy>Araksya Terteryan</cp:lastModifiedBy>
  <cp:revision>81</cp:revision>
  <cp:lastPrinted>2019-10-10T11:45:00Z</cp:lastPrinted>
  <dcterms:created xsi:type="dcterms:W3CDTF">2019-04-19T07:12:00Z</dcterms:created>
  <dcterms:modified xsi:type="dcterms:W3CDTF">2020-04-29T07:37:00Z</dcterms:modified>
</cp:coreProperties>
</file>