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titleStyle"/>
      </w:pPr>
      <w:bookmarkStart w:id="1" w:name="_Toc1"/>
      <w:r>
        <w:t>Ամփոփաթերթ</w:t>
      </w:r>
      <w:bookmarkEnd w:id="1"/>
    </w:p>
    <w:p>
      <w:pPr>
        <w:pStyle w:val="HeadingtitleStyle"/>
      </w:pPr>
      <w:bookmarkStart w:id="2" w:name="_Toc2"/>
      <w:r>
        <w:t>ՀԱՅԱՍՏԱՆԻ ՀԱՆՐԱՊԵՏՈՒԹՅԱՆ ԿԱՌԱՎԱՐՈՒԹՅԱՆ 2002 ԹՎԱԿԱՆԻ ՄԱՅԻՍԻ 30-Ի N 927-Ն ՈՐՈՇՄԱՆ ՄԵՋ ՓՈՓՈԽՈՒԹՅՈՒՆ ԿԱՏԱՐԵԼՈՒ ՄԱՍԻՆ նախագծի վերաբերյալ</w:t>
      </w:r>
      <w:bookmarkEnd w:id="2"/>
    </w:p>
    <w:p>
      <w:pPr/>
      <w:r>
        <w:rPr/>
        <w:t xml:space="preserve"/>
      </w:r>
    </w:p>
    <w:p>
      <w:pPr/>
      <w:r>
        <w:rPr/>
        <w:t xml:space="preserve"/>
      </w:r>
    </w:p>
    <w:p>
      <w:pPr/>
      <w:r>
        <w:rPr/>
        <w:t xml:space="preserve"/>
      </w:r>
    </w:p>
    <w:tbl>
      <w:tblGrid>
        <w:gridCol w:w="500" w:type="dxa"/>
        <w:gridCol w:w="2250" w:type="dxa"/>
        <w:gridCol w:w="5200" w:type="dxa"/>
        <w:gridCol w:w="3800" w:type="dxa"/>
        <w:gridCol w:w="3000" w:type="dxa"/>
      </w:tblGrid>
      <w:tr>
        <w:trPr/>
        <w:tc>
          <w:tcPr>
            <w:tcW w:w="5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հ/</w:t>
            </w:r>
          </w:p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հ</w:t>
            </w:r>
          </w:p>
        </w:tc>
        <w:tc>
          <w:tcPr>
            <w:tcW w:w="225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Եզրակացություն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Կատարված փոփոխությունը</w:t>
            </w:r>
          </w:p>
        </w:tc>
      </w:tr>
      <w:tr>
        <w:trPr/>
        <w:tc>
          <w:tcPr>
            <w:tcW w:w="5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/>
            </w:r>
          </w:p>
        </w:tc>
        <w:tc>
          <w:tcPr>
            <w:tcW w:w="22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1</w:t>
            </w:r>
          </w:p>
        </w:tc>
        <w:tc>
          <w:tcPr>
            <w:tcW w:w="52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2</w:t>
            </w:r>
          </w:p>
        </w:tc>
        <w:tc>
          <w:tcPr>
            <w:tcW w:w="38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3</w:t>
            </w:r>
          </w:p>
        </w:tc>
        <w:tc>
          <w:tcPr>
            <w:tcW w:w="30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4</w:t>
            </w:r>
          </w:p>
        </w:tc>
      </w:tr>
      <w:tr>
        <w:trPr/>
        <w:tc>
          <w:tcPr>
            <w:tcW w:w="5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1</w:t>
            </w:r>
          </w:p>
        </w:tc>
        <w:tc>
          <w:tcPr>
            <w:tcW w:w="225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Vardan Vardanyan</w:t>
            </w:r>
          </w:p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23.04.2020 21:04:00</w:t>
            </w:r>
          </w:p>
        </w:tc>
        <w:tc>
          <w:tcPr>
            <w:tcW w:w="52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Իմ կարծիքով բնապահպանական խնդիրների լուծմանն ուղղված, «Սևան» ազգային պարկի արգելավայրային գոտիների պահպանության և արդյունավետ օգտագործման լիարժեք իրավական հիմքերը անպայմանորեն պետք է փոփոխեն վարձակալության պայմանագրերի առավելագույն ժամկետը, ափամերձ տարածքների սանատարահիգենիկ նորմաները, ափի տեղադրությունը, բուսական և կենդանական աշխարհը ֆիքսեն միավոր ժսմանակում։</w:t>
            </w:r>
          </w:p>
        </w:tc>
        <w:tc>
          <w:tcPr>
            <w:tcW w:w="38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Չի ընդունվել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Առաջարկը դուրս է նախագծի կարգավորուման շրջանակներից:</w:t>
            </w:r>
          </w:p>
        </w:tc>
      </w:tr>
    </w:tbl>
    <w:sectPr>
      <w:pgSz w:orient="landscape" w:w="16787" w:h="11870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titleStyle">
    <w:link w:val="HeadingtitleStyleChar"/>
    <w:name w:val="heading titleStyle"/>
    <w:basedOn w:val="Normal"/>
    <w:pPr>
      <w:jc w:val="center"/>
    </w:pPr>
    <w:rPr>
      <w:rFonts w:ascii="GHEA Grapalat" w:hAnsi="GHEA Grapalat" w:eastAsia="GHEA Grapalat" w:cs="GHEA Grapalat"/>
      <w:color w:val="000000"/>
      <w:sz w:val="28"/>
      <w:szCs w:val="28"/>
      <w:b/>
      <w:cap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2020-05-22T15:15:38+04:00</dcterms:created>
  <dcterms:modified xsi:type="dcterms:W3CDTF">2020-05-22T15:15:38+04:00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