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8"/>
        <w:gridCol w:w="6521"/>
        <w:gridCol w:w="1701"/>
        <w:gridCol w:w="4153"/>
      </w:tblGrid>
      <w:tr w:rsidR="00C604A5" w:rsidRPr="00923169" w:rsidTr="00BD2E69">
        <w:trPr>
          <w:trHeight w:val="2010"/>
        </w:trPr>
        <w:tc>
          <w:tcPr>
            <w:tcW w:w="1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5" w:rsidRPr="00923169" w:rsidRDefault="00C604A5" w:rsidP="00E00675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af-ZA"/>
              </w:rPr>
            </w:pPr>
            <w:r w:rsidRPr="00923169">
              <w:rPr>
                <w:b/>
                <w:sz w:val="24"/>
                <w:szCs w:val="24"/>
              </w:rPr>
              <w:t>ԱՄՓՈՓԱԹԵՐԹ</w:t>
            </w:r>
          </w:p>
          <w:p w:rsidR="009B0D59" w:rsidRPr="00923169" w:rsidRDefault="00AD532A" w:rsidP="00E00675">
            <w:pPr>
              <w:spacing w:before="0" w:after="0" w:line="240" w:lineRule="auto"/>
              <w:jc w:val="center"/>
              <w:rPr>
                <w:rFonts w:cs="Sylfaen"/>
                <w:b/>
                <w:sz w:val="24"/>
                <w:szCs w:val="24"/>
                <w:lang w:val="af-ZA"/>
              </w:rPr>
            </w:pPr>
            <w:r w:rsidRPr="00923169">
              <w:rPr>
                <w:b/>
                <w:sz w:val="24"/>
                <w:szCs w:val="24"/>
                <w:lang w:val="af-ZA"/>
              </w:rPr>
              <w:t>«</w:t>
            </w:r>
            <w:r w:rsidRPr="00923169">
              <w:rPr>
                <w:b/>
                <w:sz w:val="24"/>
                <w:szCs w:val="24"/>
              </w:rPr>
              <w:t>ԱՆՎԱՎՈՐ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ՓՈԽԱԴՐԱՄԻՋՈՑՆԵՐԻ</w:t>
            </w:r>
            <w:r w:rsidRPr="00923169">
              <w:rPr>
                <w:rFonts w:ascii="Calibri" w:hAnsi="Calibri" w:cs="Calibri"/>
                <w:b/>
                <w:sz w:val="24"/>
                <w:szCs w:val="24"/>
                <w:lang w:val="af-ZA"/>
              </w:rPr>
              <w:t> </w:t>
            </w:r>
            <w:r w:rsidRPr="00923169">
              <w:rPr>
                <w:b/>
                <w:sz w:val="24"/>
                <w:szCs w:val="24"/>
              </w:rPr>
              <w:t>ԵՎ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ԱՆՎԱՎՈՐ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ՓՈԽԱԴՐԱՄԻՋՈՑՆԵՐԻ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ՎՐԱ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ՏԵՂԱԴՐՎՈՂ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ԵՎ</w:t>
            </w:r>
            <w:r w:rsidRPr="00923169">
              <w:rPr>
                <w:b/>
                <w:sz w:val="24"/>
                <w:szCs w:val="24"/>
                <w:lang w:val="af-ZA"/>
              </w:rPr>
              <w:t>/</w:t>
            </w:r>
            <w:r w:rsidRPr="00923169">
              <w:rPr>
                <w:b/>
                <w:sz w:val="24"/>
                <w:szCs w:val="24"/>
              </w:rPr>
              <w:t>ԿԱՄ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ՕԳՏԱԳՈՐԾՎՈՂ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ՍԱՐՔԱՎՈՐՈՒՄՆԵՐԻ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ՈՒ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ՄԱՍԵՐԻ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ՀԱՄԱՐ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ՄԻՕՐԻՆԱԿ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ՏԵԽՆԻԿԱԿԱՆ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ԿԱՐԳԱԴՐԱԳՐԵՐԻ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ԸՆԴՈՒՆՄԱՆ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ՄԱՍԻՆ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ԵՎ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ԱՅԴ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ԿԱՐԳԱԴՐԱԳՐԵՐԻ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ՀԻՄԱՆ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ՎՐԱ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ՏՐՎՈՂ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ՀԱՍՏԱՏՈՒՄՆԵՐԻ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ՓՈԽԱԴԱՐՁԱԲԱՐ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ՃԱՆԱՉՄԱՆ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ՊԱՅՄԱՆՆԵՐԻ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ՄԱՍԻՆ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» </w:t>
            </w:r>
            <w:r w:rsidRPr="00923169">
              <w:rPr>
                <w:b/>
                <w:sz w:val="24"/>
                <w:szCs w:val="24"/>
              </w:rPr>
              <w:t>ՀԱՄԱՁԱՅՆԱԳՐԻ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, </w:t>
            </w:r>
            <w:r w:rsidRPr="00923169">
              <w:rPr>
                <w:b/>
                <w:sz w:val="24"/>
                <w:szCs w:val="24"/>
              </w:rPr>
              <w:t>ԻՆՉՊԵՍ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ՆԱԵՎ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«</w:t>
            </w:r>
            <w:r w:rsidRPr="00923169">
              <w:rPr>
                <w:b/>
                <w:sz w:val="24"/>
                <w:szCs w:val="24"/>
              </w:rPr>
              <w:t>ԱՆՎԱՎՈՐ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ՏՐԱՆՍՊՈՐՏԱՅԻՆ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ՄԻՋՈՑՆԵՐԻ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ԱՆՎՏԱՆԳՈՒԹՅԱՆ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ՄԱՍԻՆ</w:t>
            </w:r>
            <w:r w:rsidRPr="00923169">
              <w:rPr>
                <w:b/>
                <w:sz w:val="24"/>
                <w:szCs w:val="24"/>
                <w:lang w:val="af-ZA"/>
              </w:rPr>
              <w:t>» (</w:t>
            </w:r>
            <w:r w:rsidRPr="00923169">
              <w:rPr>
                <w:b/>
                <w:sz w:val="24"/>
                <w:szCs w:val="24"/>
              </w:rPr>
              <w:t>ՄՄ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ՏԿ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018/2011) </w:t>
            </w:r>
            <w:r w:rsidRPr="00923169">
              <w:rPr>
                <w:b/>
                <w:sz w:val="24"/>
                <w:szCs w:val="24"/>
              </w:rPr>
              <w:t>ՄԱՔՍԱՅԻՆ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ՄԻՈՒԹՅԱՆ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ՏԵԽՆԻԿԱԿԱՆ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ԿԱՆՈՆԱԿԱՐԳԻ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» </w:t>
            </w:r>
            <w:r w:rsidRPr="00923169">
              <w:rPr>
                <w:b/>
                <w:sz w:val="24"/>
                <w:szCs w:val="24"/>
              </w:rPr>
              <w:t>ՊԱՀԱՆՋՆԵՐՆ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ԱՊԱՀՈՎԵԼՈՒ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ՆՊԱՏԱԿՈՎ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 </w:t>
            </w:r>
            <w:r w:rsidRPr="00923169">
              <w:rPr>
                <w:b/>
                <w:sz w:val="24"/>
                <w:szCs w:val="24"/>
              </w:rPr>
              <w:t>ԼԻԱԶՈՐ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ՄԱՐՄԻՆ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ՃԱՆԱՉԵԼՈՒ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Pr="00923169">
              <w:rPr>
                <w:b/>
                <w:sz w:val="24"/>
                <w:szCs w:val="24"/>
              </w:rPr>
              <w:t>ՄԱՍԻՆ</w:t>
            </w:r>
            <w:r w:rsidRPr="00923169">
              <w:rPr>
                <w:b/>
                <w:sz w:val="24"/>
                <w:szCs w:val="24"/>
                <w:lang w:val="af-ZA"/>
              </w:rPr>
              <w:t xml:space="preserve"> </w:t>
            </w:r>
            <w:r w:rsidR="00B10C9D" w:rsidRPr="00923169">
              <w:rPr>
                <w:rFonts w:cs="Sylfaen"/>
                <w:b/>
                <w:color w:val="000000"/>
                <w:sz w:val="24"/>
                <w:szCs w:val="24"/>
              </w:rPr>
              <w:t>ՆԱԽԱԳԾԻ</w:t>
            </w:r>
            <w:r w:rsidR="009B0D59" w:rsidRPr="00923169">
              <w:rPr>
                <w:rFonts w:cs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="00C604A5" w:rsidRPr="00923169">
              <w:rPr>
                <w:b/>
                <w:bCs/>
                <w:caps/>
                <w:sz w:val="24"/>
                <w:szCs w:val="24"/>
                <w:lang w:val="af-ZA"/>
              </w:rPr>
              <w:t xml:space="preserve">ՎԵՐԱԲԵՐՅԱԼ ՍՏԱՑՎԱԾ </w:t>
            </w:r>
            <w:r w:rsidR="009B0D59" w:rsidRPr="00923169">
              <w:rPr>
                <w:b/>
                <w:bCs/>
                <w:caps/>
                <w:sz w:val="24"/>
                <w:szCs w:val="24"/>
                <w:lang w:val="af-ZA"/>
              </w:rPr>
              <w:t xml:space="preserve"> </w:t>
            </w:r>
            <w:r w:rsidR="00C604A5" w:rsidRPr="00923169">
              <w:rPr>
                <w:b/>
                <w:bCs/>
                <w:caps/>
                <w:sz w:val="24"/>
                <w:szCs w:val="24"/>
                <w:lang w:val="af-ZA"/>
              </w:rPr>
              <w:t>ԴԻՏՈՂՈՒԹՅՈՒՆՆԵՐԻ</w:t>
            </w:r>
            <w:r w:rsidR="001C1F42" w:rsidRPr="00923169">
              <w:rPr>
                <w:b/>
                <w:bCs/>
                <w:caps/>
                <w:sz w:val="24"/>
                <w:szCs w:val="24"/>
                <w:lang w:val="af-ZA"/>
              </w:rPr>
              <w:t xml:space="preserve"> ԵՎ </w:t>
            </w:r>
            <w:r w:rsidR="009B0D59" w:rsidRPr="00923169">
              <w:rPr>
                <w:b/>
                <w:bCs/>
                <w:caps/>
                <w:sz w:val="24"/>
                <w:szCs w:val="24"/>
                <w:lang w:val="af-ZA"/>
              </w:rPr>
              <w:t xml:space="preserve"> </w:t>
            </w:r>
            <w:r w:rsidR="00C604A5" w:rsidRPr="00923169">
              <w:rPr>
                <w:b/>
                <w:bCs/>
                <w:caps/>
                <w:sz w:val="24"/>
                <w:szCs w:val="24"/>
                <w:lang w:val="af-ZA"/>
              </w:rPr>
              <w:t>առաջարկությունների</w:t>
            </w:r>
          </w:p>
        </w:tc>
      </w:tr>
      <w:tr w:rsidR="009A1B7D" w:rsidRPr="00923169" w:rsidTr="00434EA7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5" w:rsidRPr="00923169" w:rsidRDefault="00C604A5" w:rsidP="00434EA7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923169">
              <w:rPr>
                <w:b/>
                <w:sz w:val="24"/>
                <w:szCs w:val="24"/>
                <w:lang w:val="fr-FR"/>
              </w:rPr>
              <w:t>հ</w:t>
            </w:r>
            <w:r w:rsidRPr="00923169">
              <w:rPr>
                <w:rFonts w:cs="Times Armenian"/>
                <w:b/>
                <w:sz w:val="24"/>
                <w:szCs w:val="24"/>
                <w:lang w:val="fr-FR"/>
              </w:rPr>
              <w:t>/</w:t>
            </w:r>
            <w:r w:rsidRPr="00923169">
              <w:rPr>
                <w:b/>
                <w:sz w:val="24"/>
                <w:szCs w:val="24"/>
                <w:lang w:val="fr-FR"/>
              </w:rPr>
              <w:t>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5" w:rsidRPr="00923169" w:rsidRDefault="00C604A5" w:rsidP="00434EA7">
            <w:pPr>
              <w:spacing w:before="0" w:after="0" w:line="240" w:lineRule="auto"/>
              <w:ind w:left="-108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23169">
              <w:rPr>
                <w:b/>
                <w:sz w:val="24"/>
                <w:szCs w:val="24"/>
              </w:rPr>
              <w:t>Առաջարկության</w:t>
            </w:r>
            <w:proofErr w:type="spellEnd"/>
            <w:r w:rsidR="00CA3441" w:rsidRPr="0092316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b/>
                <w:sz w:val="24"/>
                <w:szCs w:val="24"/>
              </w:rPr>
              <w:t>հեղինակը</w:t>
            </w:r>
            <w:proofErr w:type="spellEnd"/>
            <w:r w:rsidRPr="00923169">
              <w:rPr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23169">
              <w:rPr>
                <w:b/>
                <w:sz w:val="24"/>
                <w:szCs w:val="24"/>
              </w:rPr>
              <w:t>գրության</w:t>
            </w:r>
            <w:proofErr w:type="spellEnd"/>
            <w:r w:rsidR="00633F1E" w:rsidRPr="0092316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b/>
                <w:sz w:val="24"/>
                <w:szCs w:val="24"/>
              </w:rPr>
              <w:t>ամսաթիվը</w:t>
            </w:r>
            <w:proofErr w:type="spellEnd"/>
            <w:r w:rsidRPr="00923169">
              <w:rPr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23169">
              <w:rPr>
                <w:b/>
                <w:sz w:val="24"/>
                <w:szCs w:val="24"/>
              </w:rPr>
              <w:t>գրության</w:t>
            </w:r>
            <w:proofErr w:type="spellEnd"/>
            <w:r w:rsidR="00633F1E" w:rsidRPr="0092316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5" w:rsidRPr="00923169" w:rsidRDefault="00C604A5" w:rsidP="00434EA7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923169">
              <w:rPr>
                <w:b/>
                <w:sz w:val="24"/>
                <w:szCs w:val="24"/>
                <w:lang w:val="fr-FR"/>
              </w:rPr>
              <w:t>Առաջարկության</w:t>
            </w:r>
            <w:r w:rsidR="00CA3441" w:rsidRPr="00923169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b/>
                <w:sz w:val="24"/>
                <w:szCs w:val="24"/>
                <w:lang w:val="fr-FR"/>
              </w:rPr>
              <w:t>բովանդակությունը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5" w:rsidRPr="00923169" w:rsidRDefault="00C604A5" w:rsidP="00434EA7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923169">
              <w:rPr>
                <w:b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5" w:rsidRPr="00923169" w:rsidRDefault="00C604A5" w:rsidP="00434EA7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23169">
              <w:rPr>
                <w:b/>
                <w:sz w:val="24"/>
                <w:szCs w:val="24"/>
              </w:rPr>
              <w:t>Կատարված</w:t>
            </w:r>
            <w:proofErr w:type="spellEnd"/>
            <w:r w:rsidR="00CA3441" w:rsidRPr="009231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9A1B7D" w:rsidRPr="00923169" w:rsidTr="00BD2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5" w:rsidRPr="00923169" w:rsidRDefault="00C604A5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5" w:rsidRPr="00923169" w:rsidRDefault="00CA3441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</w:rPr>
              <w:t xml:space="preserve">           </w:t>
            </w:r>
            <w:r w:rsidR="00C604A5" w:rsidRPr="00923169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5" w:rsidRPr="00923169" w:rsidRDefault="00CA3441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 xml:space="preserve">                                           </w:t>
            </w:r>
            <w:r w:rsidR="00C604A5" w:rsidRPr="00923169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5" w:rsidRPr="00923169" w:rsidRDefault="00CA3441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 xml:space="preserve">       </w:t>
            </w:r>
            <w:r w:rsidR="00C604A5" w:rsidRPr="00923169"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5" w:rsidRPr="00923169" w:rsidRDefault="00CA3441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</w:rPr>
              <w:t xml:space="preserve">                             </w:t>
            </w:r>
            <w:r w:rsidR="00C604A5" w:rsidRPr="00923169">
              <w:rPr>
                <w:sz w:val="24"/>
                <w:szCs w:val="24"/>
              </w:rPr>
              <w:t>4</w:t>
            </w:r>
          </w:p>
        </w:tc>
      </w:tr>
      <w:tr w:rsidR="00084178" w:rsidRPr="00923169" w:rsidTr="00BD2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ru-RU"/>
              </w:rPr>
              <w:t>Էկոնոմիկայի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  <w:lang w:val="ru-RU"/>
              </w:rPr>
              <w:t>նախարարություն</w:t>
            </w: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14</w:t>
            </w:r>
            <w:r w:rsidRPr="00923169">
              <w:rPr>
                <w:sz w:val="24"/>
                <w:szCs w:val="24"/>
                <w:lang w:val="ru-RU"/>
              </w:rPr>
              <w:t>.05.2020թ</w:t>
            </w:r>
            <w:r w:rsidRPr="00923169">
              <w:rPr>
                <w:sz w:val="24"/>
                <w:szCs w:val="24"/>
                <w:lang w:val="af-ZA"/>
              </w:rPr>
              <w:t xml:space="preserve">.,№  </w:t>
            </w:r>
            <w:r w:rsidRPr="00923169">
              <w:rPr>
                <w:sz w:val="24"/>
                <w:szCs w:val="24"/>
                <w:lang w:val="ru-RU"/>
              </w:rPr>
              <w:t>01/5910-2020</w:t>
            </w:r>
            <w:r w:rsidRPr="009231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ind w:firstLine="567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1.</w:t>
            </w:r>
            <w:r w:rsidRPr="00923169">
              <w:rPr>
                <w:sz w:val="24"/>
                <w:szCs w:val="24"/>
                <w:lang w:val="fr-FR"/>
              </w:rPr>
              <w:tab/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Նախագծի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վերնագրում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23169">
              <w:rPr>
                <w:sz w:val="24"/>
                <w:szCs w:val="24"/>
              </w:rPr>
              <w:t>նախաբանում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23169">
              <w:rPr>
                <w:sz w:val="24"/>
                <w:szCs w:val="24"/>
              </w:rPr>
              <w:t>որոշման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1-</w:t>
            </w:r>
            <w:proofErr w:type="spellStart"/>
            <w:r w:rsidRPr="00923169">
              <w:rPr>
                <w:sz w:val="24"/>
                <w:szCs w:val="24"/>
              </w:rPr>
              <w:t>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կետում</w:t>
            </w:r>
            <w:proofErr w:type="spellEnd"/>
            <w:proofErr w:type="gramStart"/>
            <w:r w:rsidRPr="00923169">
              <w:rPr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923169">
              <w:rPr>
                <w:sz w:val="24"/>
                <w:szCs w:val="24"/>
              </w:rPr>
              <w:t>համաձայնագրի</w:t>
            </w:r>
            <w:proofErr w:type="spellEnd"/>
            <w:proofErr w:type="gramEnd"/>
            <w:r w:rsidRPr="00923169">
              <w:rPr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923169">
              <w:rPr>
                <w:sz w:val="24"/>
                <w:szCs w:val="24"/>
              </w:rPr>
              <w:t>բառից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հետո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ավելացնել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«, </w:t>
            </w:r>
            <w:proofErr w:type="spellStart"/>
            <w:r w:rsidRPr="00923169">
              <w:rPr>
                <w:sz w:val="24"/>
                <w:szCs w:val="24"/>
              </w:rPr>
              <w:t>ինչպեսնաև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923169">
              <w:rPr>
                <w:sz w:val="24"/>
                <w:szCs w:val="24"/>
              </w:rPr>
              <w:t>Անվավոր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տրանսպորտային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միջոցների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անվտանգության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մասին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>» (</w:t>
            </w:r>
            <w:r w:rsidRPr="00923169">
              <w:rPr>
                <w:sz w:val="24"/>
                <w:szCs w:val="24"/>
              </w:rPr>
              <w:t>ՄՄ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</w:rPr>
              <w:t>ՏԿ</w:t>
            </w:r>
            <w:r w:rsidRPr="00923169">
              <w:rPr>
                <w:sz w:val="24"/>
                <w:szCs w:val="24"/>
                <w:lang w:val="fr-FR"/>
              </w:rPr>
              <w:t xml:space="preserve"> 018/2011) </w:t>
            </w:r>
            <w:proofErr w:type="spellStart"/>
            <w:r w:rsidRPr="00923169">
              <w:rPr>
                <w:sz w:val="24"/>
                <w:szCs w:val="24"/>
              </w:rPr>
              <w:t>Մաքսային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միության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տեխնիկական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կանոնակարգի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923169">
              <w:rPr>
                <w:sz w:val="24"/>
                <w:szCs w:val="24"/>
              </w:rPr>
              <w:t>բառերը</w:t>
            </w:r>
            <w:proofErr w:type="spellEnd"/>
            <w:r w:rsidRPr="00923169">
              <w:rPr>
                <w:sz w:val="24"/>
                <w:szCs w:val="24"/>
              </w:rPr>
              <w:t>՝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հիմք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ընդունելով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նշյալ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տեխնիկական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կանոնակարգով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սահմանված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պահանջներն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ապահովելու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նպատակով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  <w:lang w:val="hy-AM"/>
              </w:rPr>
              <w:t>և</w:t>
            </w:r>
            <w:r w:rsidRPr="00923169">
              <w:rPr>
                <w:sz w:val="24"/>
                <w:szCs w:val="24"/>
              </w:rPr>
              <w:t>ս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լիազոր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մարմին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ճանաչելու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923169">
              <w:rPr>
                <w:sz w:val="24"/>
                <w:szCs w:val="24"/>
              </w:rPr>
              <w:t>անհրաժեշտությունը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: </w:t>
            </w:r>
            <w:bookmarkStart w:id="0" w:name="_GoBack"/>
            <w:bookmarkEnd w:id="0"/>
          </w:p>
          <w:p w:rsidR="00084178" w:rsidRPr="00923169" w:rsidRDefault="00084178" w:rsidP="00923169">
            <w:pPr>
              <w:spacing w:before="0" w:after="0" w:line="240" w:lineRule="auto"/>
              <w:ind w:firstLine="567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2.</w:t>
            </w:r>
            <w:r w:rsidRPr="00923169">
              <w:rPr>
                <w:sz w:val="24"/>
                <w:szCs w:val="24"/>
                <w:lang w:val="fr-FR"/>
              </w:rPr>
              <w:tab/>
            </w:r>
            <w:proofErr w:type="spellStart"/>
            <w:r w:rsidRPr="00923169">
              <w:rPr>
                <w:sz w:val="24"/>
                <w:szCs w:val="24"/>
              </w:rPr>
              <w:t>Նախագծի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2-</w:t>
            </w:r>
            <w:proofErr w:type="spellStart"/>
            <w:r w:rsidRPr="00923169">
              <w:rPr>
                <w:sz w:val="24"/>
                <w:szCs w:val="24"/>
              </w:rPr>
              <w:t>րդ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923169">
              <w:rPr>
                <w:sz w:val="24"/>
                <w:szCs w:val="24"/>
              </w:rPr>
              <w:t>կետում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>«</w:t>
            </w:r>
            <w:proofErr w:type="spellStart"/>
            <w:r w:rsidRPr="00923169">
              <w:rPr>
                <w:sz w:val="24"/>
                <w:szCs w:val="24"/>
              </w:rPr>
              <w:t>մեկամսյա</w:t>
            </w:r>
            <w:proofErr w:type="spellEnd"/>
            <w:proofErr w:type="gram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ժամկետում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923169">
              <w:rPr>
                <w:sz w:val="24"/>
                <w:szCs w:val="24"/>
              </w:rPr>
              <w:t>բառերը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փոխարինել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923169">
              <w:rPr>
                <w:sz w:val="24"/>
                <w:szCs w:val="24"/>
              </w:rPr>
              <w:t>սույն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որոշումն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ուժի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մեջ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մտնելուց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հետո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</w:rPr>
              <w:t>ՀՀ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էկոնոմիկայի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նախարարության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>«</w:t>
            </w:r>
            <w:proofErr w:type="spellStart"/>
            <w:r w:rsidRPr="00923169">
              <w:rPr>
                <w:sz w:val="24"/>
                <w:szCs w:val="24"/>
              </w:rPr>
              <w:t>Ստանդարտացման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  <w:lang w:val="hy-AM"/>
              </w:rPr>
              <w:t>և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չափագիտության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ազգային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մարմին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» </w:t>
            </w:r>
            <w:r w:rsidRPr="00923169">
              <w:rPr>
                <w:sz w:val="24"/>
                <w:szCs w:val="24"/>
              </w:rPr>
              <w:t>ՓԲԸ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նշանակել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923169">
              <w:rPr>
                <w:sz w:val="24"/>
                <w:szCs w:val="24"/>
              </w:rPr>
              <w:t>բառերով</w:t>
            </w:r>
            <w:proofErr w:type="spellEnd"/>
            <w:r w:rsidRPr="00923169">
              <w:rPr>
                <w:sz w:val="24"/>
                <w:szCs w:val="24"/>
              </w:rPr>
              <w:t>։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</w:p>
          <w:p w:rsidR="00084178" w:rsidRPr="00923169" w:rsidRDefault="00084178" w:rsidP="00923169">
            <w:pPr>
              <w:spacing w:before="0" w:after="0" w:line="240" w:lineRule="auto"/>
              <w:ind w:firstLine="567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3.</w:t>
            </w:r>
            <w:r w:rsidRPr="00923169">
              <w:rPr>
                <w:sz w:val="24"/>
                <w:szCs w:val="24"/>
                <w:lang w:val="fr-FR"/>
              </w:rPr>
              <w:tab/>
            </w:r>
            <w:proofErr w:type="spellStart"/>
            <w:r w:rsidRPr="00923169">
              <w:rPr>
                <w:sz w:val="24"/>
                <w:szCs w:val="24"/>
              </w:rPr>
              <w:t>Նախագծում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սահմանել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նոր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կետ</w:t>
            </w:r>
            <w:proofErr w:type="spellEnd"/>
            <w:r w:rsidRPr="00923169">
              <w:rPr>
                <w:sz w:val="24"/>
                <w:szCs w:val="24"/>
              </w:rPr>
              <w:t>՝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հետ</w:t>
            </w:r>
            <w:proofErr w:type="spellEnd"/>
            <w:r w:rsidRPr="00923169">
              <w:rPr>
                <w:sz w:val="24"/>
                <w:szCs w:val="24"/>
                <w:lang w:val="hy-AM"/>
              </w:rPr>
              <w:t>և</w:t>
            </w:r>
            <w:proofErr w:type="spellStart"/>
            <w:r w:rsidRPr="00923169">
              <w:rPr>
                <w:sz w:val="24"/>
                <w:szCs w:val="24"/>
              </w:rPr>
              <w:t>յալ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բովանդակությամբ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. </w:t>
            </w:r>
          </w:p>
          <w:p w:rsidR="00084178" w:rsidRPr="00923169" w:rsidRDefault="00084178" w:rsidP="00923169">
            <w:pPr>
              <w:spacing w:before="0" w:after="0"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923169">
              <w:rPr>
                <w:sz w:val="24"/>
                <w:szCs w:val="24"/>
                <w:lang w:val="fr-FR"/>
              </w:rPr>
              <w:t>«</w:t>
            </w:r>
            <w:r w:rsidRPr="00923169">
              <w:rPr>
                <w:sz w:val="24"/>
                <w:szCs w:val="24"/>
              </w:rPr>
              <w:t>ՍույնորոշումնուժիմեջմտնելուցհետոտեխնիկականքարտուղարություննշանակվածՀՀէկոնոմիկայինախարարության</w:t>
            </w:r>
            <w:proofErr w:type="gramEnd"/>
            <w:r w:rsidRPr="00923169">
              <w:rPr>
                <w:sz w:val="24"/>
                <w:szCs w:val="24"/>
                <w:lang w:val="fr-FR"/>
              </w:rPr>
              <w:t>«</w:t>
            </w:r>
            <w:proofErr w:type="spellStart"/>
            <w:r w:rsidRPr="00923169">
              <w:rPr>
                <w:sz w:val="24"/>
                <w:szCs w:val="24"/>
              </w:rPr>
              <w:t>Ստանդարտացմանևչափագիտությանազգայինմարմին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>»</w:t>
            </w:r>
            <w:proofErr w:type="spellStart"/>
            <w:r w:rsidRPr="00923169">
              <w:rPr>
                <w:sz w:val="24"/>
                <w:szCs w:val="24"/>
              </w:rPr>
              <w:t>ՓԲԸ՝ապահովելՄՄՏԿ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 018/2011 </w:t>
            </w:r>
            <w:proofErr w:type="spellStart"/>
            <w:r w:rsidRPr="00923169">
              <w:rPr>
                <w:sz w:val="24"/>
                <w:szCs w:val="24"/>
              </w:rPr>
              <w:t>Մաքսային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միության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տեխնիկական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կանոնակարգով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սահմանված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lastRenderedPageBreak/>
              <w:t>համապատասխանության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գնահատման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փաստաթղթերի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միասնական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</w:rPr>
              <w:t>ձ</w:t>
            </w:r>
            <w:r w:rsidRPr="00923169">
              <w:rPr>
                <w:sz w:val="24"/>
                <w:szCs w:val="24"/>
                <w:lang w:val="hy-AM"/>
              </w:rPr>
              <w:t>և</w:t>
            </w:r>
            <w:proofErr w:type="spellStart"/>
            <w:r w:rsidRPr="00923169">
              <w:rPr>
                <w:sz w:val="24"/>
                <w:szCs w:val="24"/>
              </w:rPr>
              <w:t>անմուշների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տպագրման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ու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համապատասխանության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գնահատման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մարմիններին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տրամադրման</w:t>
            </w:r>
            <w:proofErr w:type="spellEnd"/>
            <w:r w:rsidRPr="00923169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23169">
              <w:rPr>
                <w:sz w:val="24"/>
                <w:szCs w:val="24"/>
              </w:rPr>
              <w:t>համապատասխանության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գնահատման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փաստաթղթերի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միասնական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ռեեստրի</w:t>
            </w:r>
            <w:proofErr w:type="spellEnd"/>
            <w:r w:rsidR="007D38F0" w:rsidRPr="007D38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վարման</w:t>
            </w:r>
            <w:proofErr w:type="spellEnd"/>
            <w:r w:rsidR="007D38F0" w:rsidRPr="009A0BF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գործընթացը</w:t>
            </w:r>
            <w:proofErr w:type="spellEnd"/>
            <w:r w:rsidRPr="00923169">
              <w:rPr>
                <w:sz w:val="24"/>
                <w:szCs w:val="24"/>
              </w:rPr>
              <w:t>։»:</w:t>
            </w:r>
          </w:p>
          <w:p w:rsidR="00084178" w:rsidRPr="00923169" w:rsidRDefault="00084178" w:rsidP="00923169">
            <w:pPr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</w:rPr>
              <w:t>4.</w:t>
            </w:r>
            <w:r w:rsidRPr="00923169">
              <w:rPr>
                <w:sz w:val="24"/>
                <w:szCs w:val="24"/>
              </w:rPr>
              <w:tab/>
            </w:r>
            <w:proofErr w:type="spellStart"/>
            <w:r w:rsidRPr="00923169">
              <w:rPr>
                <w:sz w:val="24"/>
                <w:szCs w:val="24"/>
              </w:rPr>
              <w:t>Միևնույն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ժամանակ</w:t>
            </w:r>
            <w:proofErr w:type="spellEnd"/>
            <w:r w:rsidRPr="00923169">
              <w:rPr>
                <w:sz w:val="24"/>
                <w:szCs w:val="24"/>
              </w:rPr>
              <w:t xml:space="preserve">, </w:t>
            </w:r>
            <w:proofErr w:type="spellStart"/>
            <w:r w:rsidRPr="00923169">
              <w:rPr>
                <w:sz w:val="24"/>
                <w:szCs w:val="24"/>
              </w:rPr>
              <w:t>Նախագծի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փաթեթում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ներառված</w:t>
            </w:r>
            <w:proofErr w:type="spellEnd"/>
            <w:r w:rsidRPr="00923169">
              <w:rPr>
                <w:sz w:val="24"/>
                <w:szCs w:val="24"/>
              </w:rPr>
              <w:t xml:space="preserve"> 1-ին </w:t>
            </w:r>
            <w:proofErr w:type="spellStart"/>
            <w:r w:rsidRPr="00923169">
              <w:rPr>
                <w:sz w:val="24"/>
                <w:szCs w:val="24"/>
              </w:rPr>
              <w:t>տեղեկանքի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բովանդակությունում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վե</w:t>
            </w:r>
            <w:proofErr w:type="spellEnd"/>
            <w:r w:rsidRPr="00923169">
              <w:rPr>
                <w:sz w:val="24"/>
                <w:szCs w:val="24"/>
                <w:lang w:val="hy-AM"/>
              </w:rPr>
              <w:t>ր</w:t>
            </w:r>
            <w:proofErr w:type="spellStart"/>
            <w:r w:rsidRPr="00923169">
              <w:rPr>
                <w:sz w:val="24"/>
                <w:szCs w:val="24"/>
              </w:rPr>
              <w:t>անայել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նշված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իրավական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ակտերը</w:t>
            </w:r>
            <w:proofErr w:type="spellEnd"/>
            <w:r w:rsidRPr="00923169">
              <w:rPr>
                <w:sz w:val="24"/>
                <w:szCs w:val="24"/>
              </w:rPr>
              <w:t xml:space="preserve">, </w:t>
            </w:r>
            <w:proofErr w:type="spellStart"/>
            <w:r w:rsidRPr="00923169">
              <w:rPr>
                <w:sz w:val="24"/>
                <w:szCs w:val="24"/>
              </w:rPr>
              <w:t>քանի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որ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դրանք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որ</w:t>
            </w:r>
            <w:proofErr w:type="spellEnd"/>
            <w:r w:rsidRPr="00923169">
              <w:rPr>
                <w:sz w:val="24"/>
                <w:szCs w:val="24"/>
                <w:lang w:val="hy-AM"/>
              </w:rPr>
              <w:t>և</w:t>
            </w:r>
            <w:r w:rsidRPr="00923169">
              <w:rPr>
                <w:sz w:val="24"/>
                <w:szCs w:val="24"/>
              </w:rPr>
              <w:t xml:space="preserve">է </w:t>
            </w:r>
            <w:proofErr w:type="spellStart"/>
            <w:r w:rsidRPr="00923169">
              <w:rPr>
                <w:sz w:val="24"/>
                <w:szCs w:val="24"/>
              </w:rPr>
              <w:t>կապ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չունեն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Նախագծի</w:t>
            </w:r>
            <w:proofErr w:type="spellEnd"/>
            <w:r w:rsidRPr="00923169">
              <w:rPr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sz w:val="24"/>
                <w:szCs w:val="24"/>
              </w:rPr>
              <w:t>հետ</w:t>
            </w:r>
            <w:proofErr w:type="spellEnd"/>
            <w:r w:rsidRPr="00923169">
              <w:rPr>
                <w:sz w:val="24"/>
                <w:szCs w:val="24"/>
              </w:rPr>
              <w:t>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  <w:r w:rsidRPr="00923169">
              <w:rPr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CA4FB7" w:rsidRPr="00923169" w:rsidRDefault="00CA4FB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7D38F0" w:rsidRDefault="007D38F0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923169">
              <w:rPr>
                <w:sz w:val="24"/>
                <w:szCs w:val="24"/>
              </w:rPr>
              <w:t>Ընդունվել</w:t>
            </w:r>
            <w:proofErr w:type="spellEnd"/>
            <w:r w:rsidRPr="00923169">
              <w:rPr>
                <w:sz w:val="24"/>
                <w:szCs w:val="24"/>
              </w:rPr>
              <w:t xml:space="preserve"> է: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84178" w:rsidRPr="00923169" w:rsidTr="00BD2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lastRenderedPageBreak/>
              <w:t>2</w:t>
            </w:r>
            <w:r w:rsidR="001717BB" w:rsidRPr="00923169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ru-RU"/>
              </w:rPr>
              <w:t>Էկոնոմիկայի</w:t>
            </w:r>
            <w:r w:rsidRPr="00923169">
              <w:rPr>
                <w:sz w:val="24"/>
                <w:szCs w:val="24"/>
                <w:lang w:val="fr-FR"/>
              </w:rPr>
              <w:t xml:space="preserve"> </w:t>
            </w:r>
            <w:r w:rsidRPr="00923169">
              <w:rPr>
                <w:sz w:val="24"/>
                <w:szCs w:val="24"/>
                <w:lang w:val="ru-RU"/>
              </w:rPr>
              <w:t>նախարարություն</w:t>
            </w:r>
          </w:p>
          <w:p w:rsidR="001717BB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af-ZA"/>
              </w:rPr>
            </w:pPr>
            <w:r w:rsidRPr="00923169">
              <w:rPr>
                <w:sz w:val="24"/>
                <w:szCs w:val="24"/>
                <w:lang w:val="fr-FR"/>
              </w:rPr>
              <w:t>20</w:t>
            </w:r>
            <w:r w:rsidRPr="00923169">
              <w:rPr>
                <w:sz w:val="24"/>
                <w:szCs w:val="24"/>
                <w:lang w:val="ru-RU"/>
              </w:rPr>
              <w:t>.05.2020թ</w:t>
            </w:r>
            <w:r w:rsidRPr="00923169">
              <w:rPr>
                <w:sz w:val="24"/>
                <w:szCs w:val="24"/>
                <w:lang w:val="af-ZA"/>
              </w:rPr>
              <w:t>.,</w:t>
            </w:r>
          </w:p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af-ZA"/>
              </w:rPr>
              <w:t xml:space="preserve">№  </w:t>
            </w:r>
            <w:r w:rsidRPr="00923169">
              <w:rPr>
                <w:sz w:val="24"/>
                <w:szCs w:val="24"/>
                <w:lang w:val="ru-RU"/>
              </w:rPr>
              <w:t>01/6760-2020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keepNext/>
              <w:spacing w:before="0" w:after="0" w:line="240" w:lineRule="auto"/>
              <w:ind w:firstLine="567"/>
              <w:rPr>
                <w:rFonts w:cs="Sylfaen"/>
                <w:sz w:val="24"/>
                <w:szCs w:val="24"/>
              </w:rPr>
            </w:pPr>
            <w:r w:rsidRPr="00923169">
              <w:rPr>
                <w:rFonts w:cs="Sylfaen"/>
                <w:sz w:val="24"/>
                <w:szCs w:val="24"/>
              </w:rPr>
              <w:tab/>
              <w:t>1.</w:t>
            </w:r>
            <w:r w:rsidRPr="00923169">
              <w:rPr>
                <w:rFonts w:cs="Sylfaen"/>
                <w:sz w:val="24"/>
                <w:szCs w:val="24"/>
              </w:rPr>
              <w:tab/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վերնագրում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նախաբանում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«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համաձայնագրի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»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բառից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հետո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ավելացնել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«,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ինչպես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նաև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«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տրանսպորտային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միջոցների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անվտանգության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» (ՄՄ ՏԿ 018/2011)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Մաքսային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միության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կանոնակարգի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»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բառերը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՝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հիմք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ընդունելով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նշյալ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կանոնակարգով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սահմանված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պահանջներն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ապահովելու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նպատակով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ևս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լիազոր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մարմին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3169">
              <w:rPr>
                <w:rFonts w:cs="Sylfaen"/>
                <w:sz w:val="24"/>
                <w:szCs w:val="24"/>
              </w:rPr>
              <w:t>ճանաչելու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անհրաժեշտությունը</w:t>
            </w:r>
            <w:proofErr w:type="spellEnd"/>
            <w:proofErr w:type="gramEnd"/>
            <w:r w:rsidRPr="00923169">
              <w:rPr>
                <w:rFonts w:cs="Sylfaen"/>
                <w:sz w:val="24"/>
                <w:szCs w:val="24"/>
              </w:rPr>
              <w:t xml:space="preserve">: </w:t>
            </w:r>
          </w:p>
          <w:p w:rsidR="00084178" w:rsidRPr="00923169" w:rsidRDefault="00084178" w:rsidP="00923169">
            <w:pPr>
              <w:keepNext/>
              <w:spacing w:before="0" w:after="0" w:line="240" w:lineRule="auto"/>
              <w:ind w:firstLine="567"/>
              <w:rPr>
                <w:rFonts w:cs="Sylfaen"/>
                <w:sz w:val="24"/>
                <w:szCs w:val="24"/>
              </w:rPr>
            </w:pPr>
            <w:r w:rsidRPr="00923169">
              <w:rPr>
                <w:rFonts w:cs="Sylfaen"/>
                <w:sz w:val="24"/>
                <w:szCs w:val="24"/>
              </w:rPr>
              <w:tab/>
              <w:t xml:space="preserve">2.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1-ին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կետը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շարադրել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հետևյալ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խմբագրությամբ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. </w:t>
            </w:r>
            <w:r w:rsidRPr="00923169">
              <w:rPr>
                <w:rFonts w:cs="Sylfaen"/>
                <w:sz w:val="24"/>
                <w:szCs w:val="24"/>
              </w:rPr>
              <w:br/>
            </w:r>
            <w:r w:rsidRPr="00923169">
              <w:rPr>
                <w:rFonts w:cs="Sylfaen"/>
                <w:sz w:val="24"/>
                <w:szCs w:val="24"/>
              </w:rPr>
              <w:tab/>
              <w:t>«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փոխադրամիջոցների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փոխադրամիջոցների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վրա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տեղադրվող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և/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կամ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օգտագործվող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սարքավորումների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ու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մասերի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համար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միօրինակ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կարգադրագրերի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ընդունման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այդ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կարգադրագրերի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հիման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վրա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տրվող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հաստատումների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փոխադարձաբար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ճանաչման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պայմանների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»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համաձայնագրի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պահանջներն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ապահովելու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նպատակով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՝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Հայաստանի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Հանրապետության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կառավարության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լիազորած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պետական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կառավարման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մարմին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և «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տրանսպորտային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միջոցների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անվտանգության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» (ՄՄ ՏԿ 018/2011)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Մաքսային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միության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կանոնակարգի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կանոնակարգող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մարմին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ճանաչել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Տարածքային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կառավարման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t>ենթակառուցվածքների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923169">
              <w:rPr>
                <w:rFonts w:cs="Sylfaen"/>
                <w:sz w:val="24"/>
                <w:szCs w:val="24"/>
              </w:rPr>
              <w:lastRenderedPageBreak/>
              <w:t>նախարարությունը</w:t>
            </w:r>
            <w:proofErr w:type="spellEnd"/>
            <w:r w:rsidRPr="00923169">
              <w:rPr>
                <w:rFonts w:cs="Sylfaen"/>
                <w:sz w:val="24"/>
                <w:szCs w:val="24"/>
              </w:rPr>
              <w:t xml:space="preserve">։» </w:t>
            </w:r>
          </w:p>
          <w:p w:rsidR="00084178" w:rsidRPr="00923169" w:rsidRDefault="009A0BF2" w:rsidP="009A0BF2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ab/>
              <w:t>3</w:t>
            </w:r>
            <w:r w:rsidR="00084178" w:rsidRPr="00923169">
              <w:rPr>
                <w:rFonts w:cs="Sylfaen"/>
                <w:sz w:val="24"/>
                <w:szCs w:val="24"/>
              </w:rPr>
              <w:t>.</w:t>
            </w:r>
            <w:r w:rsidR="00084178" w:rsidRPr="00923169">
              <w:rPr>
                <w:rFonts w:cs="Sylfaen"/>
                <w:sz w:val="24"/>
                <w:szCs w:val="24"/>
              </w:rPr>
              <w:tab/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2-րդ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կետը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շարադրել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հետևյալ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խմբագրությամբ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. </w:t>
            </w:r>
            <w:r w:rsidR="00084178" w:rsidRPr="00923169">
              <w:rPr>
                <w:rFonts w:cs="Sylfaen"/>
                <w:sz w:val="24"/>
                <w:szCs w:val="24"/>
              </w:rPr>
              <w:br/>
            </w:r>
            <w:r w:rsidR="00084178" w:rsidRPr="00923169">
              <w:rPr>
                <w:rFonts w:cs="Sylfaen"/>
                <w:sz w:val="24"/>
                <w:szCs w:val="24"/>
              </w:rPr>
              <w:tab/>
              <w:t>««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փոխադրամիջոցների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փոխադրամիջոցների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վրա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տեղադրվող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և/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կամ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օգտագործվող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սարքավորումների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ու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մասերի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միօրինակ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կարգադրագրերի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ընդունման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այդ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կարգադրագրերի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հիման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վրա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տրվող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հաստատումների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փոխադարձաբար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ճանաչման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պայմանների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»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համաձայնագրով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նախատեսված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տեսակի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հաստատում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տրամադրող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մարմին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4178" w:rsidRPr="00923169">
              <w:rPr>
                <w:rFonts w:cs="Sylfaen"/>
                <w:sz w:val="24"/>
                <w:szCs w:val="24"/>
              </w:rPr>
              <w:t>ճանաչել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Էկոնոմիկայի</w:t>
            </w:r>
            <w:proofErr w:type="spellEnd"/>
            <w:proofErr w:type="gram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նախարարության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«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Ստանդարտացման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չափագիտո</w:t>
            </w:r>
            <w:r>
              <w:rPr>
                <w:rFonts w:cs="Sylfaen"/>
                <w:sz w:val="24"/>
                <w:szCs w:val="24"/>
              </w:rPr>
              <w:t>ւթյան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ազգային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մարմին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» ՓԲԸ։»  </w:t>
            </w:r>
            <w:r>
              <w:rPr>
                <w:rFonts w:cs="Sylfaen"/>
                <w:sz w:val="24"/>
                <w:szCs w:val="24"/>
              </w:rPr>
              <w:br/>
            </w:r>
            <w:r>
              <w:rPr>
                <w:rFonts w:cs="Sylfaen"/>
                <w:sz w:val="24"/>
                <w:szCs w:val="24"/>
              </w:rPr>
              <w:tab/>
              <w:t>4</w:t>
            </w:r>
            <w:r w:rsidR="00084178" w:rsidRPr="00923169">
              <w:rPr>
                <w:rFonts w:cs="Sylfaen"/>
                <w:sz w:val="24"/>
                <w:szCs w:val="24"/>
              </w:rPr>
              <w:t xml:space="preserve">.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3-րդ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կետի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համարակա</w:t>
            </w:r>
            <w:r>
              <w:rPr>
                <w:rFonts w:cs="Sylfaen"/>
                <w:sz w:val="24"/>
                <w:szCs w:val="24"/>
              </w:rPr>
              <w:t>լումը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դարձնել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որպես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cs="Sylfaen"/>
                <w:sz w:val="24"/>
                <w:szCs w:val="24"/>
              </w:rPr>
              <w:t>կետ</w:t>
            </w:r>
            <w:proofErr w:type="spellEnd"/>
            <w:r>
              <w:rPr>
                <w:rFonts w:cs="Sylfaen"/>
                <w:sz w:val="24"/>
                <w:szCs w:val="24"/>
              </w:rPr>
              <w:t>։</w:t>
            </w:r>
            <w:r>
              <w:rPr>
                <w:rFonts w:cs="Sylfaen"/>
                <w:sz w:val="24"/>
                <w:szCs w:val="24"/>
              </w:rPr>
              <w:br/>
            </w:r>
            <w:r>
              <w:rPr>
                <w:rFonts w:cs="Sylfaen"/>
                <w:sz w:val="24"/>
                <w:szCs w:val="24"/>
              </w:rPr>
              <w:tab/>
              <w:t>5</w:t>
            </w:r>
            <w:r w:rsidR="00084178" w:rsidRPr="00923169">
              <w:rPr>
                <w:rFonts w:cs="Sylfaen"/>
                <w:sz w:val="24"/>
                <w:szCs w:val="24"/>
              </w:rPr>
              <w:t xml:space="preserve">.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3-րդ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կետը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շարադրել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հետևյալ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խմբագրությամբ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>.</w:t>
            </w:r>
            <w:r w:rsidR="00084178" w:rsidRPr="00923169">
              <w:rPr>
                <w:rFonts w:cs="Sylfaen"/>
                <w:sz w:val="24"/>
                <w:szCs w:val="24"/>
              </w:rPr>
              <w:br/>
            </w:r>
            <w:r w:rsidR="00084178" w:rsidRPr="00923169">
              <w:rPr>
                <w:rFonts w:cs="Sylfaen"/>
                <w:sz w:val="24"/>
                <w:szCs w:val="24"/>
              </w:rPr>
              <w:tab/>
              <w:t>««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Անվավոր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տրանսպորտային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միջոցների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անվտանգության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» ՄՄ ՏԿ 018/2011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Մաքսային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կանոնակարգով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սահմանված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պահանջներն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իրականացնելու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նպատակով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սերտիֆիկացման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մարմնի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կողմից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տրվող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տրանսպորտային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միջոցի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տիպի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հավաստման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(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շասսիի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տիպի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հավաստման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)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փաստաթղթի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հաստատման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գրանցման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այդ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փաստաթղթերի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ռեեստրի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վարման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գործընթացի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Հայաստանի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Հանրապետությունում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իրավասու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պետական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լիազորված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մարմին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ճանաչել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«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Ստանդարտացման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չափագիտու</w:t>
            </w:r>
            <w:r>
              <w:rPr>
                <w:rFonts w:cs="Sylfaen"/>
                <w:sz w:val="24"/>
                <w:szCs w:val="24"/>
              </w:rPr>
              <w:t>թյան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ազգային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ինստիտուտ</w:t>
            </w:r>
            <w:proofErr w:type="spellEnd"/>
            <w:r>
              <w:rPr>
                <w:rFonts w:cs="Sylfaen"/>
                <w:sz w:val="24"/>
                <w:szCs w:val="24"/>
              </w:rPr>
              <w:t>» ՓԲԸ»:</w:t>
            </w:r>
            <w:r>
              <w:rPr>
                <w:rFonts w:cs="Sylfaen"/>
                <w:sz w:val="24"/>
                <w:szCs w:val="24"/>
              </w:rPr>
              <w:br/>
            </w:r>
            <w:r>
              <w:rPr>
                <w:rFonts w:cs="Sylfaen"/>
                <w:sz w:val="24"/>
                <w:szCs w:val="24"/>
              </w:rPr>
              <w:tab/>
              <w:t>6</w:t>
            </w:r>
            <w:r w:rsidR="00084178" w:rsidRPr="00923169">
              <w:rPr>
                <w:rFonts w:cs="Sylfaen"/>
                <w:sz w:val="24"/>
                <w:szCs w:val="24"/>
              </w:rPr>
              <w:t xml:space="preserve">.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4-րդ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կետը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շարադրել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հետևյալ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խմբագրությամբ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>.</w:t>
            </w:r>
            <w:r w:rsidR="00084178" w:rsidRPr="00923169">
              <w:rPr>
                <w:rFonts w:cs="Sylfaen"/>
                <w:sz w:val="24"/>
                <w:szCs w:val="24"/>
              </w:rPr>
              <w:br/>
            </w:r>
            <w:r w:rsidR="00084178" w:rsidRPr="00923169">
              <w:rPr>
                <w:rFonts w:cs="Sylfaen"/>
                <w:sz w:val="24"/>
                <w:szCs w:val="24"/>
              </w:rPr>
              <w:tab/>
              <w:t>«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Սույն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որոշումն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ուժի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մեջ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մտնելուց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հետո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Էկոնոմիկայի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նախարարության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«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Ստանդարտացման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չափագիտության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ազգային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մարմին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» ՓԲԸ՝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ապահովել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r w:rsidR="00084178" w:rsidRPr="00923169">
              <w:rPr>
                <w:rFonts w:cs="Sylfaen"/>
                <w:sz w:val="24"/>
                <w:szCs w:val="24"/>
              </w:rPr>
              <w:lastRenderedPageBreak/>
              <w:t xml:space="preserve">ՄՄ ՏԿ 018/2011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Մաքսային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տեխնիկական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կանոնակարգով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սահմանված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համապատասխանության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գնահատման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փաստաթղթերի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միասնական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ձևանմուշների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տպագրման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ու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համապատասխանության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գնահատման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մարմիններին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տրամադրման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համապատասխանության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գնահատման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փաստաթղթերի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միասնական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ռեեստրի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վարման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գործընթացը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։»: </w:t>
            </w:r>
            <w:r w:rsidR="00084178" w:rsidRPr="00923169">
              <w:rPr>
                <w:rFonts w:cs="Sylfaen"/>
                <w:sz w:val="24"/>
                <w:szCs w:val="24"/>
              </w:rPr>
              <w:br/>
            </w:r>
            <w:r w:rsidR="00084178" w:rsidRPr="00923169">
              <w:rPr>
                <w:rFonts w:cs="Sylfaen"/>
                <w:sz w:val="24"/>
                <w:szCs w:val="24"/>
              </w:rPr>
              <w:tab/>
            </w:r>
            <w:r>
              <w:rPr>
                <w:rFonts w:cs="Sylfaen"/>
                <w:sz w:val="24"/>
                <w:szCs w:val="24"/>
              </w:rPr>
              <w:t>7</w:t>
            </w:r>
            <w:r w:rsidR="00084178" w:rsidRPr="00923169">
              <w:rPr>
                <w:rFonts w:cs="Sylfaen"/>
                <w:sz w:val="24"/>
                <w:szCs w:val="24"/>
              </w:rPr>
              <w:t>.</w:t>
            </w:r>
            <w:r w:rsidR="00084178" w:rsidRPr="00923169">
              <w:rPr>
                <w:rFonts w:cs="Sylfaen"/>
                <w:sz w:val="24"/>
                <w:szCs w:val="24"/>
              </w:rPr>
              <w:tab/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Միևնույն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ժամանակ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փաթեթում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ներառված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1-ին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տեղեկանքի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բովանդակությունում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վերանայել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նշված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իրավական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ակտերը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քանի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որ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դրանք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որևէ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կապ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չունեն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084178" w:rsidRPr="00923169">
              <w:rPr>
                <w:rFonts w:cs="Sylfaen"/>
                <w:sz w:val="24"/>
                <w:szCs w:val="24"/>
              </w:rPr>
              <w:t>հետ</w:t>
            </w:r>
            <w:proofErr w:type="spellEnd"/>
            <w:r w:rsidR="00084178" w:rsidRPr="00923169">
              <w:rPr>
                <w:rFonts w:cs="Sylfaen"/>
                <w:sz w:val="24"/>
                <w:szCs w:val="24"/>
              </w:rPr>
              <w:t>։</w:t>
            </w:r>
            <w:r w:rsidR="00084178" w:rsidRPr="00923169">
              <w:rPr>
                <w:rFonts w:cs="Sylfae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CA4FB7" w:rsidRPr="00923169" w:rsidRDefault="00CA4FB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CA4FB7" w:rsidRPr="00923169" w:rsidRDefault="00CA4FB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CA4FB7" w:rsidRPr="00923169" w:rsidRDefault="00CA4FB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CA4FB7" w:rsidRPr="00923169" w:rsidRDefault="00CA4FB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9A0BF2" w:rsidRDefault="009A0BF2" w:rsidP="00923169">
            <w:pPr>
              <w:spacing w:before="0" w:after="0" w:line="240" w:lineRule="auto"/>
              <w:rPr>
                <w:sz w:val="24"/>
                <w:szCs w:val="24"/>
                <w:lang w:val="hy-AM"/>
              </w:rPr>
            </w:pPr>
          </w:p>
          <w:p w:rsidR="003F2087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</w:rPr>
            </w:pPr>
            <w:r w:rsidRPr="00923169">
              <w:rPr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84178" w:rsidRPr="00923169" w:rsidTr="00BD2E6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1717BB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lastRenderedPageBreak/>
              <w:t>3</w:t>
            </w:r>
            <w:r w:rsidR="00084178" w:rsidRPr="00923169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3F2087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Արդարադատության նախարարություն</w:t>
            </w:r>
          </w:p>
          <w:p w:rsidR="003F2087" w:rsidRPr="00923169" w:rsidRDefault="001717BB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05.06.2020</w:t>
            </w:r>
          </w:p>
          <w:p w:rsidR="001717BB" w:rsidRPr="00923169" w:rsidRDefault="001717BB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Թիվ 01//11433-2020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3F2087" w:rsidP="00923169">
            <w:pPr>
              <w:spacing w:before="0" w:after="0" w:line="240" w:lineRule="auto"/>
              <w:ind w:firstLine="720"/>
              <w:rPr>
                <w:rFonts w:cs="GHEA Grapalat"/>
                <w:b/>
                <w:sz w:val="24"/>
                <w:szCs w:val="24"/>
                <w:lang w:val="hy-AM"/>
              </w:rPr>
            </w:pPr>
            <w:r w:rsidRPr="00923169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««</w:t>
            </w:r>
            <w:r w:rsidRPr="00923169">
              <w:rPr>
                <w:rFonts w:cs="Sylfaen"/>
                <w:sz w:val="24"/>
                <w:szCs w:val="24"/>
                <w:lang w:val="af-ZA"/>
              </w:rPr>
              <w:t>Անվավոր փոխադրամիջոցների և անվավոր փոխադրամիջոցների վրա տեղադրվող և/կամ օգտագործվող սարքավորումների ու մասերի համար միօրինակ տեխնիկական կարգադրագրերի ընդունման մասին և այդ կարգադրագրերի հիման վրա տրվող հաստատումների փոխադարձաբար ճանաչման պայմանների մասին</w:t>
            </w:r>
            <w:r w:rsidRPr="00923169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1958 թվականի մարտի 20-ին Ժնևում ստորագրված համաձայնագրի, ինչպես նաև «Անվավոր տրանսպորտային միջոցների անվտանգության մասին» (ՄՄ ՏԿ 018/2011) մաքսային միության տեխնիկական կանոնակարգի» պահանջներն ապահովելու նպատակով լիազոր մարմին ճանաչելու մասին» </w:t>
            </w:r>
            <w:r w:rsidRPr="00923169">
              <w:rPr>
                <w:rFonts w:cs="GHEA Grapalat"/>
                <w:bCs/>
                <w:sz w:val="24"/>
                <w:szCs w:val="24"/>
                <w:lang w:val="hy-AM"/>
              </w:rPr>
              <w:t xml:space="preserve">Հայաստանի Հանրապետության կառավարության որոշման նախագծի անվանման մեջ անհրաժեշտ է նախատեսել իրավական ակտի բնույթը և ընդունման տարեթիվը՝ հիմք ընդունելով </w:t>
            </w:r>
            <w:r w:rsidRPr="00923169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«Նորմատիվ իրավական ակտերի մասին» օրենքի 11-րդ հոդվածի պահանջները: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1717BB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  <w:r w:rsidRPr="00923169">
              <w:rPr>
                <w:sz w:val="24"/>
                <w:szCs w:val="24"/>
                <w:lang w:val="fr-FR"/>
              </w:rPr>
              <w:t>Ընդունվել է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8" w:rsidRPr="00923169" w:rsidRDefault="00084178" w:rsidP="00923169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182FDB" w:rsidRPr="00923169" w:rsidRDefault="00182FDB" w:rsidP="00923169">
      <w:pPr>
        <w:spacing w:before="0" w:after="0" w:line="240" w:lineRule="auto"/>
        <w:rPr>
          <w:sz w:val="24"/>
          <w:szCs w:val="24"/>
          <w:lang w:val="af-ZA"/>
        </w:rPr>
      </w:pPr>
    </w:p>
    <w:sectPr w:rsidR="00182FDB" w:rsidRPr="00923169" w:rsidSect="00503B8D">
      <w:pgSz w:w="16838" w:h="11906" w:orient="landscape"/>
      <w:pgMar w:top="36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8E0"/>
    <w:multiLevelType w:val="hybridMultilevel"/>
    <w:tmpl w:val="8F44AC9A"/>
    <w:lvl w:ilvl="0" w:tplc="CA3CD5A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580618"/>
    <w:multiLevelType w:val="hybridMultilevel"/>
    <w:tmpl w:val="0C8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220"/>
    <w:multiLevelType w:val="hybridMultilevel"/>
    <w:tmpl w:val="712657EA"/>
    <w:lvl w:ilvl="0" w:tplc="49AA8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5643F"/>
    <w:multiLevelType w:val="hybridMultilevel"/>
    <w:tmpl w:val="19BA6B78"/>
    <w:lvl w:ilvl="0" w:tplc="4C861F4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A9C"/>
    <w:multiLevelType w:val="hybridMultilevel"/>
    <w:tmpl w:val="079C6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B7312"/>
    <w:multiLevelType w:val="hybridMultilevel"/>
    <w:tmpl w:val="7760150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401A5A"/>
    <w:multiLevelType w:val="hybridMultilevel"/>
    <w:tmpl w:val="BDA88B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2BE1"/>
    <w:multiLevelType w:val="hybridMultilevel"/>
    <w:tmpl w:val="1688DC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4959CA"/>
    <w:multiLevelType w:val="hybridMultilevel"/>
    <w:tmpl w:val="DEFE5B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167675"/>
    <w:multiLevelType w:val="hybridMultilevel"/>
    <w:tmpl w:val="5E42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1E79"/>
    <w:multiLevelType w:val="hybridMultilevel"/>
    <w:tmpl w:val="448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0AED"/>
    <w:multiLevelType w:val="hybridMultilevel"/>
    <w:tmpl w:val="5FA6E58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27412E"/>
    <w:multiLevelType w:val="hybridMultilevel"/>
    <w:tmpl w:val="E23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6C55"/>
    <w:multiLevelType w:val="hybridMultilevel"/>
    <w:tmpl w:val="847C12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B53E1D"/>
    <w:multiLevelType w:val="hybridMultilevel"/>
    <w:tmpl w:val="BA8E79E8"/>
    <w:lvl w:ilvl="0" w:tplc="2A067440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7D73"/>
    <w:multiLevelType w:val="hybridMultilevel"/>
    <w:tmpl w:val="D5DA9880"/>
    <w:lvl w:ilvl="0" w:tplc="7500EC1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974D77"/>
    <w:multiLevelType w:val="hybridMultilevel"/>
    <w:tmpl w:val="10BEA2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D41EEC"/>
    <w:multiLevelType w:val="hybridMultilevel"/>
    <w:tmpl w:val="F01035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B90B26"/>
    <w:multiLevelType w:val="hybridMultilevel"/>
    <w:tmpl w:val="3E0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17EC"/>
    <w:multiLevelType w:val="hybridMultilevel"/>
    <w:tmpl w:val="F006D4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0D669A"/>
    <w:multiLevelType w:val="hybridMultilevel"/>
    <w:tmpl w:val="D91C80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7C346B"/>
    <w:multiLevelType w:val="hybridMultilevel"/>
    <w:tmpl w:val="A2FC2350"/>
    <w:lvl w:ilvl="0" w:tplc="B2A27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20"/>
  </w:num>
  <w:num w:numId="14">
    <w:abstractNumId w:val="17"/>
  </w:num>
  <w:num w:numId="15">
    <w:abstractNumId w:val="5"/>
  </w:num>
  <w:num w:numId="16">
    <w:abstractNumId w:val="4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B03"/>
    <w:rsid w:val="0004045B"/>
    <w:rsid w:val="00044C32"/>
    <w:rsid w:val="00056349"/>
    <w:rsid w:val="000722E3"/>
    <w:rsid w:val="000807B5"/>
    <w:rsid w:val="0008260C"/>
    <w:rsid w:val="00084178"/>
    <w:rsid w:val="000C0963"/>
    <w:rsid w:val="000D2B1E"/>
    <w:rsid w:val="000E4883"/>
    <w:rsid w:val="0012087B"/>
    <w:rsid w:val="001433D2"/>
    <w:rsid w:val="00143CF9"/>
    <w:rsid w:val="001717BB"/>
    <w:rsid w:val="00182FDB"/>
    <w:rsid w:val="00183901"/>
    <w:rsid w:val="00192FBD"/>
    <w:rsid w:val="00193328"/>
    <w:rsid w:val="00197463"/>
    <w:rsid w:val="001A46D2"/>
    <w:rsid w:val="001B3F39"/>
    <w:rsid w:val="001C1F42"/>
    <w:rsid w:val="001F3608"/>
    <w:rsid w:val="001F5E57"/>
    <w:rsid w:val="00210D23"/>
    <w:rsid w:val="0021785A"/>
    <w:rsid w:val="00222F6A"/>
    <w:rsid w:val="00247B24"/>
    <w:rsid w:val="002538BB"/>
    <w:rsid w:val="00255B03"/>
    <w:rsid w:val="002613D6"/>
    <w:rsid w:val="00293DD9"/>
    <w:rsid w:val="002E12D3"/>
    <w:rsid w:val="002E79C9"/>
    <w:rsid w:val="003027B4"/>
    <w:rsid w:val="00333614"/>
    <w:rsid w:val="00335379"/>
    <w:rsid w:val="003402FE"/>
    <w:rsid w:val="003560D5"/>
    <w:rsid w:val="00393D51"/>
    <w:rsid w:val="003A7485"/>
    <w:rsid w:val="003D13B7"/>
    <w:rsid w:val="003E1C04"/>
    <w:rsid w:val="003F2087"/>
    <w:rsid w:val="00431069"/>
    <w:rsid w:val="00434EA7"/>
    <w:rsid w:val="00444DC3"/>
    <w:rsid w:val="004500EA"/>
    <w:rsid w:val="00491A33"/>
    <w:rsid w:val="004A28CC"/>
    <w:rsid w:val="004B2AF2"/>
    <w:rsid w:val="004C5F1F"/>
    <w:rsid w:val="004D5EB9"/>
    <w:rsid w:val="00503B8D"/>
    <w:rsid w:val="00513578"/>
    <w:rsid w:val="0054174E"/>
    <w:rsid w:val="005432E0"/>
    <w:rsid w:val="00551DEC"/>
    <w:rsid w:val="00563C43"/>
    <w:rsid w:val="005802F7"/>
    <w:rsid w:val="00584DCF"/>
    <w:rsid w:val="00591C66"/>
    <w:rsid w:val="00593A7E"/>
    <w:rsid w:val="005A6DC3"/>
    <w:rsid w:val="005C190D"/>
    <w:rsid w:val="006045D1"/>
    <w:rsid w:val="00625F3F"/>
    <w:rsid w:val="00633F1E"/>
    <w:rsid w:val="00667567"/>
    <w:rsid w:val="0068128D"/>
    <w:rsid w:val="0068334E"/>
    <w:rsid w:val="006923F7"/>
    <w:rsid w:val="006A1383"/>
    <w:rsid w:val="006A35DF"/>
    <w:rsid w:val="006B461F"/>
    <w:rsid w:val="006E4D8C"/>
    <w:rsid w:val="006F38F5"/>
    <w:rsid w:val="007031CC"/>
    <w:rsid w:val="007265A9"/>
    <w:rsid w:val="00760308"/>
    <w:rsid w:val="00783895"/>
    <w:rsid w:val="0078469C"/>
    <w:rsid w:val="007A6A38"/>
    <w:rsid w:val="007D38F0"/>
    <w:rsid w:val="008122CC"/>
    <w:rsid w:val="00814296"/>
    <w:rsid w:val="00816DB3"/>
    <w:rsid w:val="00836B19"/>
    <w:rsid w:val="00842ABD"/>
    <w:rsid w:val="008558CA"/>
    <w:rsid w:val="00866A63"/>
    <w:rsid w:val="008A206F"/>
    <w:rsid w:val="008B67AF"/>
    <w:rsid w:val="00923169"/>
    <w:rsid w:val="009305DA"/>
    <w:rsid w:val="0099285B"/>
    <w:rsid w:val="009A0BF2"/>
    <w:rsid w:val="009A1B7D"/>
    <w:rsid w:val="009A1FF3"/>
    <w:rsid w:val="009A5FDF"/>
    <w:rsid w:val="009B0D59"/>
    <w:rsid w:val="009B799C"/>
    <w:rsid w:val="009F20E7"/>
    <w:rsid w:val="009F2DC2"/>
    <w:rsid w:val="00A4497E"/>
    <w:rsid w:val="00A672C2"/>
    <w:rsid w:val="00A75962"/>
    <w:rsid w:val="00A76F42"/>
    <w:rsid w:val="00A77558"/>
    <w:rsid w:val="00A85925"/>
    <w:rsid w:val="00A878E2"/>
    <w:rsid w:val="00AA2F32"/>
    <w:rsid w:val="00AA3436"/>
    <w:rsid w:val="00AD532A"/>
    <w:rsid w:val="00AE4669"/>
    <w:rsid w:val="00B10C9D"/>
    <w:rsid w:val="00B46C3C"/>
    <w:rsid w:val="00B87800"/>
    <w:rsid w:val="00B907F5"/>
    <w:rsid w:val="00B90EBC"/>
    <w:rsid w:val="00BA509F"/>
    <w:rsid w:val="00BD2E69"/>
    <w:rsid w:val="00BD7615"/>
    <w:rsid w:val="00BF780B"/>
    <w:rsid w:val="00C24903"/>
    <w:rsid w:val="00C36C1E"/>
    <w:rsid w:val="00C55355"/>
    <w:rsid w:val="00C604A5"/>
    <w:rsid w:val="00C65598"/>
    <w:rsid w:val="00CA0C7D"/>
    <w:rsid w:val="00CA1142"/>
    <w:rsid w:val="00CA3441"/>
    <w:rsid w:val="00CA4FB7"/>
    <w:rsid w:val="00CD0CC3"/>
    <w:rsid w:val="00CE2023"/>
    <w:rsid w:val="00D01B22"/>
    <w:rsid w:val="00D042CF"/>
    <w:rsid w:val="00D478A4"/>
    <w:rsid w:val="00D774EB"/>
    <w:rsid w:val="00D833F2"/>
    <w:rsid w:val="00D9008E"/>
    <w:rsid w:val="00DA662A"/>
    <w:rsid w:val="00DC4CB7"/>
    <w:rsid w:val="00DE653D"/>
    <w:rsid w:val="00DF11DA"/>
    <w:rsid w:val="00DF714C"/>
    <w:rsid w:val="00E00675"/>
    <w:rsid w:val="00E126AC"/>
    <w:rsid w:val="00E36A30"/>
    <w:rsid w:val="00E448E1"/>
    <w:rsid w:val="00EA1D6F"/>
    <w:rsid w:val="00EF6FAA"/>
    <w:rsid w:val="00F01B02"/>
    <w:rsid w:val="00F2172E"/>
    <w:rsid w:val="00F244CD"/>
    <w:rsid w:val="00F266B8"/>
    <w:rsid w:val="00F37A57"/>
    <w:rsid w:val="00F43EDD"/>
    <w:rsid w:val="00F641E3"/>
    <w:rsid w:val="00F8732D"/>
    <w:rsid w:val="00FA2967"/>
    <w:rsid w:val="00FA59AB"/>
    <w:rsid w:val="00FA7B23"/>
    <w:rsid w:val="00FD2D2B"/>
    <w:rsid w:val="00FD4273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4BCA"/>
  <w15:docId w15:val="{927C1849-CB38-4941-94F2-F479C8F2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A5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604A5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04A5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604A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7F5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B907F5"/>
  </w:style>
  <w:style w:type="character" w:styleId="Strong">
    <w:name w:val="Strong"/>
    <w:basedOn w:val="DefaultParagraphFont"/>
    <w:uiPriority w:val="22"/>
    <w:qFormat/>
    <w:rsid w:val="00B907F5"/>
    <w:rPr>
      <w:b/>
      <w:bCs/>
    </w:rPr>
  </w:style>
  <w:style w:type="character" w:styleId="Emphasis">
    <w:name w:val="Emphasis"/>
    <w:basedOn w:val="DefaultParagraphFont"/>
    <w:qFormat/>
    <w:rsid w:val="00B907F5"/>
    <w:rPr>
      <w:i/>
      <w:iCs/>
    </w:rPr>
  </w:style>
  <w:style w:type="character" w:styleId="Hyperlink">
    <w:name w:val="Hyperlink"/>
    <w:uiPriority w:val="99"/>
    <w:semiHidden/>
    <w:unhideWhenUsed/>
    <w:rsid w:val="00CE2023"/>
    <w:rPr>
      <w:color w:val="0000FF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5A6D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EFA1-D92F-4899-B447-FE1BC37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https://mul2.gov.am/tasks/282547/oneclick/ampopatert.docx?token=389d5d2c4cd65abe1df54bd3e3b1dcc2</cp:keywords>
  <cp:lastModifiedBy>Astghik Melkonyan</cp:lastModifiedBy>
  <cp:revision>14</cp:revision>
  <dcterms:created xsi:type="dcterms:W3CDTF">2020-06-08T11:39:00Z</dcterms:created>
  <dcterms:modified xsi:type="dcterms:W3CDTF">2020-06-17T06:09:00Z</dcterms:modified>
</cp:coreProperties>
</file>